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7717C">
      <w:pPr>
        <w:spacing w:line="360" w:lineRule="auto"/>
        <w:jc w:val="center"/>
        <w:rPr>
          <w:rFonts w:ascii="宋体" w:hAnsi="宋体" w:eastAsia="宋体" w:cs="宋体"/>
          <w:b/>
          <w:bCs/>
          <w:color w:val="auto"/>
          <w:spacing w:val="17"/>
          <w:sz w:val="52"/>
          <w:szCs w:val="52"/>
          <w:highlight w:val="none"/>
        </w:rPr>
      </w:pPr>
      <w:r>
        <w:rPr>
          <w:rFonts w:hint="eastAsia" w:ascii="宋体" w:hAnsi="宋体" w:eastAsia="宋体" w:cs="宋体"/>
          <w:b/>
          <w:bCs/>
          <w:color w:val="auto"/>
          <w:spacing w:val="17"/>
          <w:sz w:val="52"/>
          <w:szCs w:val="52"/>
          <w:highlight w:val="none"/>
        </w:rPr>
        <w:t>广西德承工程项目管理有限公司</w:t>
      </w:r>
    </w:p>
    <w:p w14:paraId="40F7B64E">
      <w:pPr>
        <w:pStyle w:val="18"/>
        <w:rPr>
          <w:color w:val="auto"/>
          <w:highlight w:val="none"/>
        </w:rPr>
      </w:pPr>
    </w:p>
    <w:p w14:paraId="23D8BB1F">
      <w:pPr>
        <w:snapToGrid w:val="0"/>
        <w:spacing w:before="156" w:beforeLines="50" w:line="360" w:lineRule="auto"/>
        <w:jc w:val="center"/>
        <w:rPr>
          <w:rFonts w:ascii="华文新魏" w:hAnsi="宋体" w:eastAsia="华文新魏"/>
          <w:color w:val="auto"/>
          <w:sz w:val="120"/>
          <w:szCs w:val="120"/>
          <w:highlight w:val="none"/>
        </w:rPr>
      </w:pPr>
      <w:r>
        <w:rPr>
          <w:rFonts w:ascii="宋体" w:hAnsi="宋体" w:cs="宋体"/>
          <w:bCs/>
          <w:color w:val="auto"/>
          <w:sz w:val="90"/>
          <w:szCs w:val="90"/>
          <w:highlight w:val="none"/>
        </w:rPr>
        <w:pict>
          <v:shape id="_x0000_s1026" o:spid="_x0000_s1026" o:spt="75" alt="486255FDA2F780ACBC62D9D1FB765E67" type="#_x0000_t75" style="position:absolute;left:0pt;margin-left:130.4pt;margin-top:17.05pt;height:184.4pt;width:184.1pt;z-index:251659264;mso-width-relative:page;mso-height-relative:page;" filled="f" o:preferrelative="t" stroked="f" coordsize="21600,21600">
            <v:path/>
            <v:fill on="f" focussize="0,0"/>
            <v:stroke on="f"/>
            <v:imagedata r:id="rId20" o:title="486255FDA2F780ACBC62D9D1FB765E67"/>
            <o:lock v:ext="edit" aspectratio="t"/>
          </v:shape>
        </w:pict>
      </w:r>
    </w:p>
    <w:p w14:paraId="2019AFA1">
      <w:pPr>
        <w:snapToGrid w:val="0"/>
        <w:spacing w:line="500" w:lineRule="exact"/>
        <w:rPr>
          <w:rFonts w:ascii="华文新魏" w:hAnsi="宋体" w:eastAsia="华文新魏"/>
          <w:color w:val="auto"/>
          <w:sz w:val="120"/>
          <w:szCs w:val="120"/>
          <w:highlight w:val="none"/>
        </w:rPr>
      </w:pPr>
    </w:p>
    <w:p w14:paraId="54A933A1">
      <w:pPr>
        <w:snapToGrid w:val="0"/>
        <w:spacing w:line="1200" w:lineRule="exact"/>
        <w:rPr>
          <w:rFonts w:ascii="华文新魏" w:hAnsi="宋体" w:eastAsia="华文新魏"/>
          <w:color w:val="auto"/>
          <w:sz w:val="120"/>
          <w:szCs w:val="120"/>
          <w:highlight w:val="none"/>
        </w:rPr>
      </w:pPr>
    </w:p>
    <w:p w14:paraId="32D9E330">
      <w:pPr>
        <w:snapToGrid w:val="0"/>
        <w:spacing w:line="1200" w:lineRule="exact"/>
        <w:jc w:val="center"/>
        <w:rPr>
          <w:rFonts w:hint="eastAsia" w:ascii="宋体" w:hAnsi="宋体" w:eastAsia="宋体" w:cs="宋体"/>
          <w:b/>
          <w:bCs/>
          <w:color w:val="auto"/>
          <w:sz w:val="90"/>
          <w:szCs w:val="90"/>
          <w:highlight w:val="none"/>
        </w:rPr>
      </w:pPr>
      <w:r>
        <w:rPr>
          <w:rFonts w:hint="eastAsia" w:ascii="宋体" w:hAnsi="宋体" w:eastAsia="宋体" w:cs="宋体"/>
          <w:b/>
          <w:bCs/>
          <w:color w:val="auto"/>
          <w:sz w:val="90"/>
          <w:szCs w:val="90"/>
          <w:highlight w:val="none"/>
        </w:rPr>
        <w:t>招 标 文 件</w:t>
      </w:r>
    </w:p>
    <w:p w14:paraId="386D542B">
      <w:pPr>
        <w:snapToGrid w:val="0"/>
        <w:spacing w:before="156" w:beforeLines="5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（全流程电子化评标）</w:t>
      </w:r>
    </w:p>
    <w:p w14:paraId="22E8FF47">
      <w:pPr>
        <w:pStyle w:val="18"/>
        <w:rPr>
          <w:color w:val="auto"/>
        </w:rPr>
      </w:pPr>
    </w:p>
    <w:p w14:paraId="6DF2B7E4">
      <w:pPr>
        <w:rPr>
          <w:color w:val="auto"/>
          <w:highlight w:val="none"/>
        </w:rPr>
      </w:pPr>
    </w:p>
    <w:p w14:paraId="4AC36705">
      <w:pPr>
        <w:pStyle w:val="24"/>
        <w:snapToGrid w:val="0"/>
        <w:spacing w:line="360" w:lineRule="auto"/>
        <w:jc w:val="center"/>
        <w:rPr>
          <w:rFonts w:hint="eastAsia" w:hAnsi="宋体"/>
          <w:b/>
          <w:color w:val="auto"/>
          <w:sz w:val="32"/>
          <w:szCs w:val="32"/>
          <w:highlight w:val="none"/>
          <w:u w:val="single"/>
        </w:rPr>
      </w:pP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项目</w:t>
      </w:r>
      <w:r>
        <w:rPr>
          <w:rFonts w:hint="eastAsia" w:hAnsi="宋体" w:cs="Courier New"/>
          <w:b/>
          <w:color w:val="auto"/>
          <w:w w:val="95"/>
          <w:sz w:val="32"/>
          <w:szCs w:val="32"/>
          <w:highlight w:val="none"/>
        </w:rPr>
        <w:t>名称</w:t>
      </w:r>
      <w:r>
        <w:rPr>
          <w:rFonts w:hint="eastAsia" w:hAnsi="宋体"/>
          <w:b/>
          <w:color w:val="auto"/>
          <w:sz w:val="32"/>
          <w:szCs w:val="32"/>
          <w:highlight w:val="none"/>
        </w:rPr>
        <w:t>：</w:t>
      </w:r>
      <w:r>
        <w:rPr>
          <w:rFonts w:hint="eastAsia" w:hAnsi="宋体"/>
          <w:b/>
          <w:color w:val="auto"/>
          <w:sz w:val="32"/>
          <w:szCs w:val="32"/>
          <w:highlight w:val="none"/>
          <w:u w:val="single"/>
        </w:rPr>
        <w:t>2026年北流市生产障碍耕地治理项目</w:t>
      </w:r>
      <w:r>
        <w:rPr>
          <w:rFonts w:hint="eastAsia" w:hAnsi="宋体"/>
          <w:b/>
          <w:color w:val="auto"/>
          <w:sz w:val="32"/>
          <w:szCs w:val="32"/>
          <w:highlight w:val="none"/>
          <w:u w:val="single"/>
          <w:lang w:val="en-US" w:eastAsia="zh-CN"/>
        </w:rPr>
        <w:t>--</w:t>
      </w:r>
      <w:r>
        <w:rPr>
          <w:rFonts w:hint="eastAsia" w:hAnsi="宋体"/>
          <w:b/>
          <w:color w:val="auto"/>
          <w:sz w:val="32"/>
          <w:szCs w:val="32"/>
          <w:highlight w:val="none"/>
          <w:u w:val="single"/>
        </w:rPr>
        <w:t>采取叶</w:t>
      </w:r>
    </w:p>
    <w:p w14:paraId="06A4EF39">
      <w:pPr>
        <w:pStyle w:val="24"/>
        <w:snapToGrid w:val="0"/>
        <w:spacing w:line="360" w:lineRule="auto"/>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u w:val="none"/>
          <w:lang w:val="en-US" w:eastAsia="zh-CN"/>
        </w:rPr>
        <w:t xml:space="preserve">           </w:t>
      </w:r>
      <w:r>
        <w:rPr>
          <w:rFonts w:hint="eastAsia" w:hAnsi="宋体"/>
          <w:b/>
          <w:color w:val="auto"/>
          <w:sz w:val="32"/>
          <w:szCs w:val="32"/>
          <w:highlight w:val="none"/>
          <w:u w:val="single"/>
        </w:rPr>
        <w:t>面阻隔+土壤PH调节技术措施及技术宣传</w:t>
      </w:r>
      <w:r>
        <w:rPr>
          <w:rFonts w:hint="eastAsia" w:hAnsi="宋体"/>
          <w:b/>
          <w:color w:val="auto"/>
          <w:sz w:val="32"/>
          <w:szCs w:val="32"/>
          <w:highlight w:val="none"/>
          <w:u w:val="single"/>
          <w:lang w:val="en-US" w:eastAsia="zh-CN"/>
        </w:rPr>
        <w:t>指导</w:t>
      </w:r>
    </w:p>
    <w:p w14:paraId="3C5F2A68">
      <w:pPr>
        <w:pStyle w:val="24"/>
        <w:snapToGrid w:val="0"/>
        <w:spacing w:line="360" w:lineRule="auto"/>
        <w:ind w:firstLine="611" w:firstLineChars="200"/>
        <w:jc w:val="left"/>
        <w:rPr>
          <w:color w:val="auto"/>
          <w:sz w:val="32"/>
          <w:szCs w:val="32"/>
          <w:highlight w:val="none"/>
          <w:u w:val="single"/>
        </w:rPr>
      </w:pPr>
      <w:r>
        <w:rPr>
          <w:rFonts w:hint="eastAsia" w:hAnsi="宋体" w:cs="Courier New"/>
          <w:b/>
          <w:color w:val="auto"/>
          <w:w w:val="95"/>
          <w:sz w:val="32"/>
          <w:szCs w:val="32"/>
          <w:highlight w:val="none"/>
        </w:rPr>
        <w:t>项目</w:t>
      </w:r>
      <w:r>
        <w:rPr>
          <w:rFonts w:hint="eastAsia" w:hAnsi="宋体"/>
          <w:b/>
          <w:color w:val="auto"/>
          <w:sz w:val="32"/>
          <w:szCs w:val="32"/>
          <w:highlight w:val="none"/>
        </w:rPr>
        <w:t>编号</w:t>
      </w:r>
      <w:r>
        <w:rPr>
          <w:rFonts w:hint="eastAsia" w:hAnsi="宋体" w:cs="Courier New"/>
          <w:b/>
          <w:color w:val="auto"/>
          <w:w w:val="95"/>
          <w:sz w:val="32"/>
          <w:szCs w:val="32"/>
          <w:highlight w:val="none"/>
        </w:rPr>
        <w:t>：</w:t>
      </w:r>
      <w:r>
        <w:rPr>
          <w:rFonts w:hint="eastAsia" w:hAnsi="宋体" w:cs="Courier New"/>
          <w:b/>
          <w:color w:val="auto"/>
          <w:w w:val="95"/>
          <w:sz w:val="32"/>
          <w:szCs w:val="32"/>
          <w:highlight w:val="none"/>
          <w:u w:val="single"/>
        </w:rPr>
        <w:t>YLZC2026-G3-810101-DCGS</w:t>
      </w:r>
    </w:p>
    <w:p w14:paraId="5093E697">
      <w:pPr>
        <w:pStyle w:val="6"/>
        <w:numPr>
          <w:ilvl w:val="3"/>
          <w:numId w:val="0"/>
        </w:numPr>
        <w:rPr>
          <w:color w:val="auto"/>
        </w:rPr>
      </w:pPr>
    </w:p>
    <w:p w14:paraId="2AE73C6D">
      <w:pPr>
        <w:ind w:firstLine="2000" w:firstLineChars="600"/>
        <w:rPr>
          <w:rFonts w:hint="eastAsia" w:ascii="宋体" w:hAnsi="宋体" w:eastAsia="宋体" w:cs="宋体"/>
          <w:b/>
          <w:color w:val="auto"/>
          <w:sz w:val="32"/>
          <w:szCs w:val="32"/>
          <w:highlight w:val="none"/>
          <w:lang w:eastAsia="zh-CN"/>
        </w:rPr>
      </w:pPr>
      <w:r>
        <w:rPr>
          <w:rFonts w:hint="eastAsia" w:ascii="宋体" w:hAnsi="宋体" w:cs="宋体"/>
          <w:b/>
          <w:color w:val="auto"/>
          <w:spacing w:val="6"/>
          <w:sz w:val="32"/>
          <w:szCs w:val="32"/>
          <w:highlight w:val="none"/>
        </w:rPr>
        <w:t>采购人</w:t>
      </w:r>
      <w:r>
        <w:rPr>
          <w:rFonts w:hint="eastAsia" w:ascii="宋体" w:hAnsi="宋体" w:cs="宋体"/>
          <w:b/>
          <w:color w:val="auto"/>
          <w:sz w:val="32"/>
          <w:szCs w:val="32"/>
          <w:highlight w:val="none"/>
        </w:rPr>
        <w:t>：北流市</w:t>
      </w:r>
      <w:r>
        <w:rPr>
          <w:rFonts w:hint="eastAsia" w:ascii="宋体" w:hAnsi="宋体" w:cs="宋体"/>
          <w:b/>
          <w:color w:val="auto"/>
          <w:sz w:val="32"/>
          <w:szCs w:val="32"/>
          <w:highlight w:val="none"/>
          <w:lang w:eastAsia="zh-CN"/>
        </w:rPr>
        <w:t>农业农村局</w:t>
      </w:r>
    </w:p>
    <w:p w14:paraId="1C42171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采购代理机构：广西德承工程项目管理有限公司</w:t>
      </w:r>
    </w:p>
    <w:p w14:paraId="02B553FA">
      <w:pPr>
        <w:jc w:val="center"/>
        <w:rPr>
          <w:rFonts w:ascii="宋体" w:hAnsi="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docGrid w:type="lines" w:linePitch="312" w:charSpace="0"/>
        </w:sect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 xml:space="preserve">   月</w:t>
      </w:r>
    </w:p>
    <w:p w14:paraId="643D8BDA">
      <w:pPr>
        <w:pStyle w:val="24"/>
        <w:spacing w:before="120" w:after="120" w:line="360" w:lineRule="auto"/>
        <w:ind w:left="0" w:leftChars="0" w:right="0" w:rightChars="0" w:firstLine="0" w:firstLineChars="0"/>
        <w:jc w:val="center"/>
        <w:rPr>
          <w:rFonts w:hint="eastAsia" w:ascii="宋体" w:hAnsi="宋体" w:eastAsia="宋体" w:cs="宋体"/>
          <w:b/>
          <w:bCs/>
          <w:color w:val="auto"/>
          <w:sz w:val="44"/>
          <w:szCs w:val="44"/>
          <w:highlight w:val="none"/>
        </w:rPr>
      </w:pPr>
      <w:r>
        <w:rPr>
          <w:rFonts w:hint="eastAsia" w:hAnsi="宋体" w:cs="宋体"/>
          <w:b/>
          <w:bCs/>
          <w:color w:val="auto"/>
          <w:sz w:val="44"/>
          <w:szCs w:val="44"/>
          <w:highlight w:val="none"/>
        </w:rPr>
        <w:t>目  录</w:t>
      </w:r>
    </w:p>
    <w:p w14:paraId="17288959">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"1-2"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_Toc25790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_Toc25790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EB6FB61">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_Toc28963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采购需求</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_Toc28963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BF43B59">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_Toc15498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投标人须知</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_Toc15498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8775772">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_Toc966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评标方法及评标标准</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_Toc966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C3BA653">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_Toc13100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  拟签订的合同文本</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_Toc13100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20A4D27">
      <w:pPr>
        <w:pStyle w:val="39"/>
        <w:tabs>
          <w:tab w:val="right" w:leader="dot" w:pos="8312"/>
        </w:tabs>
        <w:spacing w:line="48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_Toc32425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  投标文件格式</w:t>
      </w:r>
      <w:r>
        <w:rPr>
          <w:rFonts w:hint="eastAsia" w:ascii="宋体" w:hAnsi="宋体" w:eastAsia="宋体" w:cs="宋体"/>
          <w:b/>
          <w:bCs/>
          <w:color w:val="auto"/>
          <w:sz w:val="28"/>
          <w:szCs w:val="28"/>
          <w:highlight w:val="none"/>
        </w:rPr>
        <w:tab/>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_Toc32425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2466C53">
      <w:pPr>
        <w:spacing w:before="120" w:beforeLines="50" w:line="480" w:lineRule="auto"/>
        <w:rPr>
          <w:rFonts w:hint="eastAsia" w:ascii="宋体" w:hAnsi="宋体" w:cs="宋体"/>
          <w:color w:val="auto"/>
          <w:sz w:val="24"/>
          <w:highlight w:val="none"/>
        </w:rPr>
      </w:pPr>
      <w:r>
        <w:rPr>
          <w:rFonts w:hint="eastAsia" w:ascii="宋体" w:hAnsi="宋体" w:eastAsia="宋体" w:cs="宋体"/>
          <w:b/>
          <w:bCs/>
          <w:color w:val="auto"/>
          <w:sz w:val="28"/>
          <w:szCs w:val="28"/>
          <w:highlight w:val="none"/>
        </w:rPr>
        <w:fldChar w:fldCharType="end"/>
      </w:r>
    </w:p>
    <w:p w14:paraId="5BD971E8">
      <w:pPr>
        <w:spacing w:before="120" w:beforeLines="50" w:line="480" w:lineRule="exact"/>
        <w:rPr>
          <w:rFonts w:hint="eastAsia" w:ascii="宋体" w:hAnsi="宋体" w:cs="宋体"/>
          <w:color w:val="auto"/>
          <w:sz w:val="30"/>
          <w:highlight w:val="none"/>
        </w:rPr>
      </w:pPr>
    </w:p>
    <w:p w14:paraId="41F31B94">
      <w:pPr>
        <w:rPr>
          <w:rFonts w:hint="eastAsia" w:ascii="宋体" w:hAnsi="宋体" w:cs="宋体"/>
          <w:color w:val="auto"/>
          <w:highlight w:val="none"/>
        </w:rPr>
      </w:pPr>
    </w:p>
    <w:p w14:paraId="5FE567A5">
      <w:pPr>
        <w:spacing w:before="120" w:beforeLines="50" w:line="480" w:lineRule="exact"/>
        <w:rPr>
          <w:rFonts w:hint="eastAsia" w:ascii="宋体" w:hAnsi="宋体" w:cs="宋体"/>
          <w:color w:val="auto"/>
          <w:sz w:val="30"/>
          <w:highlight w:val="none"/>
        </w:rPr>
      </w:pPr>
    </w:p>
    <w:p w14:paraId="52654E28">
      <w:pPr>
        <w:spacing w:before="120" w:beforeLines="50" w:line="480" w:lineRule="exact"/>
        <w:rPr>
          <w:rFonts w:hint="eastAsia" w:ascii="宋体" w:hAnsi="宋体" w:cs="宋体"/>
          <w:color w:val="auto"/>
          <w:sz w:val="30"/>
          <w:highlight w:val="none"/>
        </w:rPr>
      </w:pPr>
    </w:p>
    <w:p w14:paraId="2CC5C0D6">
      <w:pPr>
        <w:spacing w:before="120" w:beforeLines="50" w:line="480" w:lineRule="exact"/>
        <w:rPr>
          <w:rFonts w:hint="eastAsia" w:ascii="宋体" w:hAnsi="宋体" w:cs="宋体"/>
          <w:color w:val="auto"/>
          <w:sz w:val="30"/>
          <w:highlight w:val="none"/>
        </w:rPr>
      </w:pPr>
    </w:p>
    <w:p w14:paraId="79D858B1">
      <w:pPr>
        <w:pStyle w:val="16"/>
        <w:jc w:val="both"/>
        <w:rPr>
          <w:rFonts w:hint="eastAsia" w:ascii="宋体" w:hAnsi="宋体" w:cs="宋体"/>
          <w:color w:val="auto"/>
          <w:highlight w:val="none"/>
        </w:rPr>
      </w:pPr>
      <w:bookmarkStart w:id="0" w:name="_Toc254970489"/>
      <w:bookmarkStart w:id="1" w:name="_Toc254970630"/>
    </w:p>
    <w:p w14:paraId="6739CDFB">
      <w:pPr>
        <w:pStyle w:val="16"/>
        <w:jc w:val="both"/>
        <w:rPr>
          <w:rFonts w:hint="eastAsia" w:ascii="宋体" w:hAnsi="宋体" w:cs="宋体"/>
          <w:color w:val="auto"/>
          <w:highlight w:val="none"/>
        </w:rPr>
      </w:pPr>
    </w:p>
    <w:p w14:paraId="6029B4DE">
      <w:pPr>
        <w:pStyle w:val="16"/>
        <w:jc w:val="both"/>
        <w:rPr>
          <w:rFonts w:hint="eastAsia" w:ascii="宋体" w:hAnsi="宋体" w:cs="宋体"/>
          <w:color w:val="auto"/>
          <w:highlight w:val="none"/>
        </w:rPr>
      </w:pPr>
    </w:p>
    <w:p w14:paraId="586FBD8B">
      <w:pPr>
        <w:pStyle w:val="16"/>
        <w:jc w:val="both"/>
        <w:rPr>
          <w:rFonts w:hint="eastAsia" w:ascii="宋体" w:hAnsi="宋体" w:cs="宋体"/>
          <w:color w:val="auto"/>
          <w:highlight w:val="none"/>
        </w:rPr>
      </w:pPr>
    </w:p>
    <w:p w14:paraId="03B58514">
      <w:pPr>
        <w:pStyle w:val="16"/>
        <w:jc w:val="both"/>
        <w:rPr>
          <w:rFonts w:hint="eastAsia" w:ascii="宋体" w:hAnsi="宋体" w:cs="宋体"/>
          <w:color w:val="auto"/>
          <w:highlight w:val="none"/>
        </w:rPr>
      </w:pPr>
    </w:p>
    <w:p w14:paraId="682BEEAC">
      <w:pPr>
        <w:pStyle w:val="16"/>
        <w:jc w:val="both"/>
        <w:rPr>
          <w:rFonts w:hint="eastAsia" w:ascii="宋体" w:hAnsi="宋体" w:cs="宋体"/>
          <w:color w:val="auto"/>
          <w:highlight w:val="none"/>
        </w:rPr>
      </w:pPr>
    </w:p>
    <w:p w14:paraId="1435F799">
      <w:pPr>
        <w:pStyle w:val="16"/>
        <w:jc w:val="both"/>
        <w:rPr>
          <w:rFonts w:hint="eastAsia" w:ascii="宋体" w:hAnsi="宋体" w:cs="宋体"/>
          <w:color w:val="auto"/>
          <w:highlight w:val="none"/>
        </w:rPr>
      </w:pPr>
    </w:p>
    <w:p w14:paraId="5904861F">
      <w:pPr>
        <w:pStyle w:val="16"/>
        <w:jc w:val="both"/>
        <w:rPr>
          <w:rFonts w:hint="eastAsia" w:ascii="宋体" w:hAnsi="宋体" w:cs="宋体"/>
          <w:color w:val="auto"/>
          <w:highlight w:val="none"/>
        </w:rPr>
      </w:pPr>
    </w:p>
    <w:p w14:paraId="446ACCC2">
      <w:pPr>
        <w:pStyle w:val="16"/>
        <w:jc w:val="both"/>
        <w:rPr>
          <w:rFonts w:hint="eastAsia" w:ascii="宋体" w:hAnsi="宋体" w:cs="宋体"/>
          <w:color w:val="auto"/>
          <w:highlight w:val="none"/>
        </w:rPr>
      </w:pPr>
    </w:p>
    <w:p w14:paraId="5DD62835">
      <w:pPr>
        <w:pStyle w:val="16"/>
        <w:jc w:val="both"/>
        <w:rPr>
          <w:rFonts w:hint="eastAsia" w:ascii="宋体" w:hAnsi="宋体" w:cs="宋体"/>
          <w:color w:val="auto"/>
          <w:highlight w:val="none"/>
        </w:rPr>
      </w:pPr>
    </w:p>
    <w:p w14:paraId="18D997B3">
      <w:pPr>
        <w:pStyle w:val="16"/>
        <w:jc w:val="both"/>
        <w:rPr>
          <w:rFonts w:hint="eastAsia" w:ascii="宋体" w:hAnsi="宋体" w:cs="宋体"/>
          <w:color w:val="auto"/>
          <w:highlight w:val="none"/>
        </w:rPr>
      </w:pPr>
    </w:p>
    <w:p w14:paraId="16D345D6">
      <w:pPr>
        <w:pStyle w:val="16"/>
        <w:jc w:val="both"/>
        <w:rPr>
          <w:rFonts w:hint="eastAsia" w:ascii="宋体" w:hAnsi="宋体" w:cs="宋体"/>
          <w:color w:val="auto"/>
          <w:highlight w:val="none"/>
        </w:rPr>
      </w:pPr>
    </w:p>
    <w:p w14:paraId="3EFC5D84">
      <w:pPr>
        <w:pStyle w:val="16"/>
        <w:jc w:val="both"/>
        <w:rPr>
          <w:rFonts w:hint="eastAsia" w:ascii="宋体" w:hAnsi="宋体" w:cs="宋体"/>
          <w:color w:val="auto"/>
          <w:highlight w:val="none"/>
        </w:rPr>
      </w:pPr>
    </w:p>
    <w:p w14:paraId="62482C77">
      <w:pPr>
        <w:pStyle w:val="16"/>
        <w:jc w:val="both"/>
        <w:rPr>
          <w:rFonts w:hint="eastAsia" w:ascii="宋体" w:hAnsi="宋体" w:cs="宋体"/>
          <w:color w:val="auto"/>
          <w:highlight w:val="none"/>
        </w:rPr>
      </w:pPr>
    </w:p>
    <w:p w14:paraId="1CE58B5F">
      <w:pPr>
        <w:pStyle w:val="16"/>
        <w:jc w:val="both"/>
        <w:rPr>
          <w:rFonts w:hint="eastAsia" w:ascii="宋体" w:hAnsi="宋体" w:cs="宋体"/>
          <w:color w:val="auto"/>
          <w:highlight w:val="none"/>
        </w:rPr>
      </w:pPr>
    </w:p>
    <w:p w14:paraId="178503E7">
      <w:pPr>
        <w:pStyle w:val="4"/>
        <w:spacing w:line="240" w:lineRule="auto"/>
        <w:ind w:left="0" w:leftChars="0" w:right="0" w:rightChars="0" w:firstLine="0" w:firstLineChars="0"/>
        <w:jc w:val="center"/>
        <w:rPr>
          <w:rFonts w:hint="eastAsia" w:ascii="宋体" w:hAnsi="宋体" w:eastAsia="宋体" w:cs="宋体"/>
          <w:color w:val="auto"/>
          <w:sz w:val="36"/>
          <w:szCs w:val="36"/>
          <w:highlight w:val="none"/>
        </w:rPr>
      </w:pPr>
      <w:bookmarkStart w:id="2" w:name="_Toc25790"/>
      <w:r>
        <w:rPr>
          <w:rFonts w:hint="eastAsia" w:ascii="宋体" w:hAnsi="宋体" w:eastAsia="宋体" w:cs="宋体"/>
          <w:color w:val="auto"/>
          <w:sz w:val="36"/>
          <w:szCs w:val="36"/>
          <w:highlight w:val="none"/>
        </w:rPr>
        <w:t xml:space="preserve">第一章  </w:t>
      </w:r>
      <w:bookmarkEnd w:id="0"/>
      <w:bookmarkEnd w:id="1"/>
      <w:r>
        <w:rPr>
          <w:rFonts w:hint="eastAsia" w:ascii="宋体" w:hAnsi="宋体" w:eastAsia="宋体" w:cs="宋体"/>
          <w:color w:val="auto"/>
          <w:sz w:val="36"/>
          <w:szCs w:val="36"/>
          <w:highlight w:val="none"/>
        </w:rPr>
        <w:t>招标公告</w:t>
      </w:r>
      <w:bookmarkEnd w:id="2"/>
    </w:p>
    <w:p w14:paraId="70E448C0">
      <w:pPr>
        <w:pBdr>
          <w:top w:val="single" w:color="auto" w:sz="4" w:space="1"/>
          <w:left w:val="single" w:color="auto" w:sz="4" w:space="4"/>
          <w:bottom w:val="single" w:color="auto" w:sz="4" w:space="1"/>
          <w:right w:val="single" w:color="auto" w:sz="4" w:space="4"/>
        </w:pBdr>
        <w:spacing w:line="240" w:lineRule="auto"/>
        <w:ind w:firstLine="482" w:firstLineChars="200"/>
        <w:rPr>
          <w:rFonts w:hint="eastAsia" w:ascii="宋体" w:hAnsi="宋体" w:eastAsia="宋体" w:cs="宋体"/>
          <w:b/>
          <w:bCs/>
          <w:color w:val="auto"/>
          <w:sz w:val="24"/>
          <w:szCs w:val="24"/>
          <w:highlight w:val="none"/>
        </w:rPr>
      </w:pPr>
      <w:bookmarkStart w:id="3" w:name="_Hlk37430271"/>
      <w:r>
        <w:rPr>
          <w:rFonts w:hint="eastAsia" w:ascii="宋体" w:hAnsi="宋体" w:eastAsia="宋体" w:cs="宋体"/>
          <w:b/>
          <w:bCs/>
          <w:color w:val="auto"/>
          <w:sz w:val="24"/>
          <w:szCs w:val="24"/>
          <w:highlight w:val="none"/>
        </w:rPr>
        <w:t>项目概况</w:t>
      </w:r>
    </w:p>
    <w:p w14:paraId="1A823347">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2026年北流市生产障碍耕地治理项目——采取叶面阻隔+土壤PH调节技术措施及技术宣传</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应在广西政府采购云平台（https://www.gcy.</w:t>
      </w:r>
    </w:p>
    <w:p w14:paraId="2E2DCF8B">
      <w:pPr>
        <w:pBdr>
          <w:top w:val="single" w:color="auto" w:sz="4" w:space="1"/>
          <w:left w:val="single" w:color="auto" w:sz="4" w:space="4"/>
          <w:bottom w:val="single" w:color="auto" w:sz="4" w:space="1"/>
          <w:right w:val="single" w:color="auto" w:sz="4" w:space="4"/>
        </w:pBd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zfcg.gxzf.gov.cn/）获取</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00:00</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1A9A2D02">
      <w:pPr>
        <w:spacing w:line="288" w:lineRule="auto"/>
        <w:ind w:firstLine="482" w:firstLineChars="200"/>
        <w:rPr>
          <w:rFonts w:hint="eastAsia" w:ascii="宋体" w:hAnsi="宋体" w:eastAsia="宋体" w:cs="宋体"/>
          <w:b/>
          <w:bCs w:val="0"/>
          <w:color w:val="auto"/>
          <w:sz w:val="24"/>
          <w:szCs w:val="24"/>
          <w:highlight w:val="none"/>
        </w:rPr>
      </w:pPr>
      <w:bookmarkStart w:id="4" w:name="_Toc18074"/>
      <w:bookmarkStart w:id="5" w:name="_Toc28359012"/>
      <w:bookmarkStart w:id="6" w:name="_Toc11842"/>
      <w:bookmarkStart w:id="7" w:name="_Toc35393629"/>
      <w:bookmarkStart w:id="8" w:name="_Toc5788"/>
      <w:bookmarkStart w:id="9" w:name="_Toc24384"/>
      <w:bookmarkStart w:id="10" w:name="_Toc28359089"/>
      <w:bookmarkStart w:id="11" w:name="_Toc35393798"/>
      <w:bookmarkStart w:id="12" w:name="_Toc29269"/>
      <w:bookmarkStart w:id="13" w:name="_Toc4309"/>
      <w:bookmarkStart w:id="14" w:name="_Toc16548"/>
      <w:bookmarkStart w:id="15" w:name="_Toc44229878"/>
      <w:bookmarkStart w:id="16" w:name="_Toc22650"/>
      <w:r>
        <w:rPr>
          <w:rFonts w:hint="eastAsia" w:ascii="宋体" w:hAnsi="宋体" w:eastAsia="宋体" w:cs="宋体"/>
          <w:b/>
          <w:bCs w:val="0"/>
          <w:color w:val="auto"/>
          <w:sz w:val="24"/>
          <w:szCs w:val="24"/>
          <w:highlight w:val="none"/>
        </w:rPr>
        <w:t>一、项目基本情况</w:t>
      </w:r>
      <w:bookmarkEnd w:id="4"/>
      <w:bookmarkEnd w:id="5"/>
      <w:bookmarkEnd w:id="6"/>
      <w:bookmarkEnd w:id="7"/>
      <w:bookmarkEnd w:id="8"/>
      <w:bookmarkEnd w:id="9"/>
      <w:bookmarkEnd w:id="10"/>
      <w:bookmarkEnd w:id="11"/>
      <w:bookmarkEnd w:id="12"/>
      <w:bookmarkEnd w:id="13"/>
      <w:bookmarkEnd w:id="14"/>
      <w:bookmarkEnd w:id="15"/>
      <w:bookmarkEnd w:id="16"/>
    </w:p>
    <w:p w14:paraId="0F9C7B6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采购计划文号：YLZC2026-G3-</w:t>
      </w:r>
      <w:r>
        <w:rPr>
          <w:rFonts w:hint="eastAsia" w:ascii="宋体" w:hAnsi="宋体" w:cs="宋体"/>
          <w:color w:val="auto"/>
          <w:sz w:val="24"/>
          <w:szCs w:val="24"/>
          <w:highlight w:val="none"/>
          <w:lang w:val="en-US" w:eastAsia="zh-CN"/>
        </w:rPr>
        <w:t>81447</w:t>
      </w:r>
      <w:r>
        <w:rPr>
          <w:rFonts w:hint="eastAsia" w:ascii="宋体" w:hAnsi="宋体" w:eastAsia="宋体" w:cs="宋体"/>
          <w:color w:val="auto"/>
          <w:sz w:val="24"/>
          <w:szCs w:val="24"/>
          <w:highlight w:val="none"/>
        </w:rPr>
        <w:t xml:space="preserve">  </w:t>
      </w:r>
    </w:p>
    <w:p w14:paraId="0E06268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项目编号：YLZC2026-G3-810101-DCGS    </w:t>
      </w:r>
    </w:p>
    <w:p w14:paraId="7E06C74A">
      <w:pPr>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项目名称：2026年北流市生产障碍耕地治理项目——采取叶面阻隔+土壤PH调节技术措施及技术宣传</w:t>
      </w:r>
      <w:r>
        <w:rPr>
          <w:rFonts w:hint="eastAsia" w:ascii="宋体" w:hAnsi="宋体" w:eastAsia="宋体" w:cs="宋体"/>
          <w:color w:val="auto"/>
          <w:sz w:val="24"/>
          <w:szCs w:val="24"/>
          <w:highlight w:val="none"/>
          <w:lang w:val="en-US" w:eastAsia="zh-CN"/>
        </w:rPr>
        <w:t>指导</w:t>
      </w:r>
    </w:p>
    <w:p w14:paraId="04AD40EF">
      <w:pPr>
        <w:spacing w:line="288"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采购方式：</w:t>
      </w:r>
      <w:r>
        <w:rPr>
          <w:rFonts w:hint="eastAsia" w:ascii="宋体" w:hAnsi="宋体" w:eastAsia="宋体" w:cs="宋体"/>
          <w:color w:val="auto"/>
          <w:sz w:val="24"/>
          <w:szCs w:val="24"/>
          <w:highlight w:val="none"/>
          <w:lang w:eastAsia="zh-CN"/>
        </w:rPr>
        <w:t>公开招标</w:t>
      </w:r>
    </w:p>
    <w:p w14:paraId="716D938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b/>
          <w:bCs/>
          <w:color w:val="auto"/>
          <w:sz w:val="24"/>
          <w:szCs w:val="24"/>
          <w:highlight w:val="none"/>
        </w:rPr>
        <w:t>人民币</w:t>
      </w:r>
      <w:r>
        <w:rPr>
          <w:rFonts w:hint="eastAsia" w:ascii="宋体" w:hAnsi="宋体" w:eastAsia="宋体" w:cs="宋体"/>
          <w:b/>
          <w:bCs/>
          <w:color w:val="auto"/>
          <w:sz w:val="24"/>
          <w:szCs w:val="24"/>
          <w:highlight w:val="none"/>
          <w:lang w:eastAsia="zh-CN"/>
        </w:rPr>
        <w:t>贰佰陆拾叁万伍仟元整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2635000</w:t>
      </w:r>
      <w:r>
        <w:rPr>
          <w:rFonts w:hint="eastAsia" w:ascii="宋体" w:hAnsi="宋体" w:eastAsia="宋体" w:cs="宋体"/>
          <w:b/>
          <w:bCs/>
          <w:color w:val="auto"/>
          <w:sz w:val="24"/>
          <w:szCs w:val="24"/>
          <w:highlight w:val="none"/>
        </w:rPr>
        <w:t>.00)</w:t>
      </w:r>
    </w:p>
    <w:p w14:paraId="0B7E729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b/>
          <w:bCs/>
          <w:color w:val="auto"/>
          <w:sz w:val="24"/>
          <w:szCs w:val="24"/>
          <w:highlight w:val="none"/>
        </w:rPr>
        <w:t>人民币</w:t>
      </w:r>
      <w:r>
        <w:rPr>
          <w:rFonts w:hint="eastAsia" w:ascii="宋体" w:hAnsi="宋体" w:eastAsia="宋体" w:cs="宋体"/>
          <w:b/>
          <w:bCs/>
          <w:color w:val="auto"/>
          <w:sz w:val="24"/>
          <w:szCs w:val="24"/>
          <w:highlight w:val="none"/>
          <w:lang w:eastAsia="zh-CN"/>
        </w:rPr>
        <w:t>贰佰陆拾叁万伍仟元整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2635000</w:t>
      </w:r>
      <w:r>
        <w:rPr>
          <w:rFonts w:hint="eastAsia" w:ascii="宋体" w:hAnsi="宋体" w:eastAsia="宋体" w:cs="宋体"/>
          <w:b/>
          <w:bCs/>
          <w:color w:val="auto"/>
          <w:sz w:val="24"/>
          <w:szCs w:val="24"/>
          <w:highlight w:val="none"/>
        </w:rPr>
        <w:t>.00)</w:t>
      </w:r>
    </w:p>
    <w:p w14:paraId="6119B774">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49"/>
        <w:tblW w:w="99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3060"/>
        <w:gridCol w:w="953"/>
        <w:gridCol w:w="5227"/>
      </w:tblGrid>
      <w:tr w14:paraId="1C37A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5B965BBE">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1D5B851">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71BE94F5">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5227" w:type="dxa"/>
            <w:tcBorders>
              <w:top w:val="single" w:color="auto" w:sz="4" w:space="0"/>
              <w:left w:val="single" w:color="auto" w:sz="4" w:space="0"/>
              <w:bottom w:val="single" w:color="auto" w:sz="4" w:space="0"/>
              <w:right w:val="single" w:color="auto" w:sz="4" w:space="0"/>
            </w:tcBorders>
            <w:noWrap w:val="0"/>
            <w:vAlign w:val="center"/>
          </w:tcPr>
          <w:p w14:paraId="4A0A3B1E">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简要服务要求</w:t>
            </w:r>
          </w:p>
        </w:tc>
      </w:tr>
      <w:tr w14:paraId="0F239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noWrap w:val="0"/>
            <w:vAlign w:val="center"/>
          </w:tcPr>
          <w:p w14:paraId="4584CA9B">
            <w:pPr>
              <w:widowControl/>
              <w:spacing w:line="288"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14768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2026年北流市生产障碍耕地治理项目——采取叶面阻隔+土壤PH调节技术措施及技术宣传</w:t>
            </w:r>
            <w:r>
              <w:rPr>
                <w:rFonts w:hint="eastAsia" w:ascii="宋体" w:hAnsi="宋体" w:eastAsia="宋体" w:cs="宋体"/>
                <w:color w:val="auto"/>
                <w:sz w:val="24"/>
                <w:szCs w:val="24"/>
                <w:highlight w:val="none"/>
                <w:lang w:val="en-US" w:eastAsia="zh-CN"/>
              </w:rPr>
              <w:t>指导</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6BFEB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5227" w:type="dxa"/>
            <w:tcBorders>
              <w:top w:val="single" w:color="auto" w:sz="4" w:space="0"/>
              <w:left w:val="single" w:color="auto" w:sz="4" w:space="0"/>
              <w:bottom w:val="single" w:color="auto" w:sz="4" w:space="0"/>
              <w:right w:val="single" w:color="auto" w:sz="4" w:space="0"/>
            </w:tcBorders>
            <w:noWrap w:val="0"/>
            <w:vAlign w:val="center"/>
          </w:tcPr>
          <w:p w14:paraId="16060B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采取叶面阻隔+土壤PH调节技术措施及技术宣传指导：</w:t>
            </w:r>
          </w:p>
          <w:p w14:paraId="5C7304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在新荣镇、民安镇、塘岸镇的安全利用类、严格管控类耕地实施生产障碍耕地治理面积11000亩，主要实施内容①采取叶面阻隔+土壤PH调节技术措施，实施面积11000亩；②技术宣传指导人数3250人。</w:t>
            </w:r>
          </w:p>
          <w:p w14:paraId="4AD7B8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③做好稻谷测产工作。</w:t>
            </w:r>
          </w:p>
        </w:tc>
      </w:tr>
    </w:tbl>
    <w:p w14:paraId="0D7ACD9E">
      <w:pPr>
        <w:keepNext w:val="0"/>
        <w:keepLines w:val="0"/>
        <w:pageBreakBefore w:val="0"/>
        <w:widowControl w:val="0"/>
        <w:kinsoku/>
        <w:wordWrap/>
        <w:overflowPunct/>
        <w:topLinePunct w:val="0"/>
        <w:autoSpaceDE/>
        <w:autoSpaceDN/>
        <w:adjustRightInd/>
        <w:snapToGrid/>
        <w:spacing w:line="336" w:lineRule="auto"/>
        <w:ind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b w:val="0"/>
          <w:color w:val="auto"/>
          <w:sz w:val="24"/>
          <w:szCs w:val="24"/>
          <w:highlight w:val="none"/>
          <w:u w:val="none"/>
          <w:lang w:val="en-US" w:eastAsia="zh-CN"/>
        </w:rPr>
        <w:t>如需进一步了解详细内容，详见招标文件。</w:t>
      </w:r>
    </w:p>
    <w:p w14:paraId="149CEF88">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2026年12月20日前，完成项目验收资料备案工作报玉林市农业农村局（玉林市农业生态和耕地质量保护中心）。</w:t>
      </w:r>
    </w:p>
    <w:p w14:paraId="2F6919AF">
      <w:pPr>
        <w:spacing w:line="288"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本标项（否）接受联合体竞标</w:t>
      </w:r>
    </w:p>
    <w:p w14:paraId="35977CC9">
      <w:pPr>
        <w:spacing w:line="288" w:lineRule="auto"/>
        <w:ind w:firstLine="361" w:firstLineChars="150"/>
        <w:rPr>
          <w:rFonts w:hint="eastAsia" w:ascii="宋体" w:hAnsi="宋体" w:eastAsia="宋体" w:cs="宋体"/>
          <w:b/>
          <w:color w:val="auto"/>
          <w:sz w:val="24"/>
          <w:szCs w:val="24"/>
          <w:highlight w:val="none"/>
        </w:rPr>
      </w:pPr>
      <w:bookmarkStart w:id="17" w:name="_Toc71366167"/>
      <w:r>
        <w:rPr>
          <w:rFonts w:hint="eastAsia" w:ascii="宋体" w:hAnsi="宋体" w:eastAsia="宋体" w:cs="宋体"/>
          <w:b/>
          <w:color w:val="auto"/>
          <w:sz w:val="24"/>
          <w:szCs w:val="24"/>
          <w:highlight w:val="none"/>
        </w:rPr>
        <w:t>二、申请人的资格条件：</w:t>
      </w:r>
      <w:bookmarkEnd w:id="17"/>
    </w:p>
    <w:p w14:paraId="053AC40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B0ABC6C">
      <w:pPr>
        <w:spacing w:line="288"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2.落实政府采购政策需满足的资格要求：本项目属于专门面向中小企业采购的项目，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应为中小微企业或监狱企业或残疾人福利性单位</w:t>
      </w:r>
      <w:r>
        <w:rPr>
          <w:rFonts w:hint="eastAsia" w:ascii="宋体" w:hAnsi="宋体" w:eastAsia="宋体" w:cs="宋体"/>
          <w:color w:val="auto"/>
          <w:kern w:val="0"/>
          <w:sz w:val="24"/>
          <w:szCs w:val="24"/>
          <w:highlight w:val="none"/>
          <w:lang w:eastAsia="zh-CN"/>
        </w:rPr>
        <w:t>；</w:t>
      </w:r>
    </w:p>
    <w:p w14:paraId="288C8C3B">
      <w:pPr>
        <w:spacing w:line="288"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3.本项目的特定资格要求：无</w:t>
      </w:r>
      <w:r>
        <w:rPr>
          <w:rFonts w:hint="eastAsia" w:ascii="宋体" w:hAnsi="宋体" w:eastAsia="宋体" w:cs="宋体"/>
          <w:color w:val="auto"/>
          <w:kern w:val="0"/>
          <w:sz w:val="24"/>
          <w:szCs w:val="24"/>
          <w:highlight w:val="none"/>
          <w:lang w:eastAsia="zh-CN"/>
        </w:rPr>
        <w:t>；</w:t>
      </w:r>
    </w:p>
    <w:p w14:paraId="1DF687B5">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4.单位负责人为同一人或者存在直接控股、管理关系的不同</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，不得再参加该采购项目的其他采购活动；</w:t>
      </w:r>
    </w:p>
    <w:p w14:paraId="697A957C">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73B72891">
      <w:pPr>
        <w:spacing w:line="288" w:lineRule="auto"/>
        <w:ind w:firstLine="361" w:firstLineChars="150"/>
        <w:rPr>
          <w:rFonts w:hint="eastAsia" w:ascii="宋体" w:hAnsi="宋体" w:eastAsia="宋体" w:cs="宋体"/>
          <w:b/>
          <w:color w:val="auto"/>
          <w:sz w:val="24"/>
          <w:szCs w:val="24"/>
          <w:highlight w:val="none"/>
          <w:lang w:eastAsia="zh-CN"/>
        </w:rPr>
      </w:pPr>
      <w:bookmarkStart w:id="18" w:name="_Toc71366168"/>
      <w:r>
        <w:rPr>
          <w:rFonts w:hint="eastAsia" w:ascii="宋体" w:hAnsi="宋体" w:eastAsia="宋体" w:cs="宋体"/>
          <w:b/>
          <w:color w:val="auto"/>
          <w:sz w:val="24"/>
          <w:szCs w:val="24"/>
          <w:highlight w:val="none"/>
        </w:rPr>
        <w:t>三、获取</w:t>
      </w:r>
      <w:bookmarkEnd w:id="18"/>
      <w:r>
        <w:rPr>
          <w:rFonts w:hint="eastAsia" w:ascii="宋体" w:hAnsi="宋体" w:cs="宋体"/>
          <w:b/>
          <w:color w:val="auto"/>
          <w:sz w:val="24"/>
          <w:szCs w:val="24"/>
          <w:highlight w:val="none"/>
          <w:lang w:eastAsia="zh-CN"/>
        </w:rPr>
        <w:t>招标文件</w:t>
      </w:r>
    </w:p>
    <w:p w14:paraId="54D965D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，每天上午00:00至12:00 ，下午12:00至23:59（北京时间，法定节假日除外）</w:t>
      </w:r>
    </w:p>
    <w:p w14:paraId="527528C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地点（网址）：广西政府采购云平台（https://www.gcy.zfcg.gxzf.gov.cn/）</w:t>
      </w:r>
    </w:p>
    <w:p w14:paraId="2A7DA2BA">
      <w:pPr>
        <w:wordWrap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方式：网上下载。本项目不提供纸质文件，潜在</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需在广西政府采购云平台（https://www.gcy.zfcg.gxzf.gov.cn/）-进入“项目采购”应用，在获取采购文件菜单中选择项目，获取</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。电子响应文件制作需要基于广西政府采购云平台获取的</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编制，通过其他方式获取</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的，将有可能导致</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无法在广西政府采购云平台编制及上传响应文件。</w:t>
      </w:r>
    </w:p>
    <w:p w14:paraId="548A669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 </w:t>
      </w:r>
    </w:p>
    <w:p w14:paraId="7F39A612">
      <w:pPr>
        <w:numPr>
          <w:ilvl w:val="0"/>
          <w:numId w:val="5"/>
        </w:numPr>
        <w:spacing w:line="288"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提交投标文件截止时间、开标时间和地点</w:t>
      </w:r>
    </w:p>
    <w:p w14:paraId="01DA13CF">
      <w:pPr>
        <w:pStyle w:val="43"/>
        <w:keepNext w:val="0"/>
        <w:keepLines w:val="0"/>
        <w:widowControl/>
        <w:suppressLineNumbers w:val="0"/>
        <w:wordWrap w:val="0"/>
        <w:spacing w:before="75" w:beforeAutospacing="0" w:after="75"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i w:val="0"/>
          <w:iCs w:val="0"/>
          <w:caps w:val="0"/>
          <w:color w:val="auto"/>
          <w:spacing w:val="0"/>
          <w:sz w:val="24"/>
          <w:szCs w:val="24"/>
          <w:u w:val="none"/>
        </w:rPr>
        <w:t>提交投标文件截止时间：</w:t>
      </w:r>
      <w:r>
        <w:rPr>
          <w:rFonts w:hint="eastAsia" w:cs="宋体"/>
          <w:i w:val="0"/>
          <w:iCs w:val="0"/>
          <w:caps w:val="0"/>
          <w:color w:val="auto"/>
          <w:spacing w:val="0"/>
          <w:sz w:val="24"/>
          <w:szCs w:val="24"/>
          <w:u w:val="none"/>
          <w:lang w:val="en-US" w:eastAsia="zh-CN"/>
        </w:rPr>
        <w:t xml:space="preserve">   </w:t>
      </w:r>
      <w:r>
        <w:rPr>
          <w:rFonts w:hint="eastAsia" w:ascii="宋体" w:hAnsi="宋体" w:eastAsia="宋体" w:cs="宋体"/>
          <w:i w:val="0"/>
          <w:iCs w:val="0"/>
          <w:caps w:val="0"/>
          <w:color w:val="auto"/>
          <w:spacing w:val="0"/>
          <w:sz w:val="24"/>
          <w:szCs w:val="24"/>
          <w:u w:val="none"/>
        </w:rPr>
        <w:t>年</w:t>
      </w:r>
      <w:r>
        <w:rPr>
          <w:rFonts w:hint="eastAsia" w:cs="宋体"/>
          <w:i w:val="0"/>
          <w:iCs w:val="0"/>
          <w:caps w:val="0"/>
          <w:color w:val="auto"/>
          <w:spacing w:val="0"/>
          <w:sz w:val="24"/>
          <w:szCs w:val="24"/>
          <w:u w:val="none"/>
          <w:lang w:val="en-US" w:eastAsia="zh-CN"/>
        </w:rPr>
        <w:t xml:space="preserve">  </w:t>
      </w:r>
      <w:r>
        <w:rPr>
          <w:rFonts w:hint="eastAsia" w:ascii="宋体" w:hAnsi="宋体" w:eastAsia="宋体" w:cs="宋体"/>
          <w:i w:val="0"/>
          <w:iCs w:val="0"/>
          <w:caps w:val="0"/>
          <w:color w:val="auto"/>
          <w:spacing w:val="0"/>
          <w:sz w:val="24"/>
          <w:szCs w:val="24"/>
          <w:u w:val="none"/>
        </w:rPr>
        <w:t>月</w:t>
      </w:r>
      <w:r>
        <w:rPr>
          <w:rFonts w:hint="eastAsia" w:ascii="宋体" w:hAnsi="宋体" w:eastAsia="宋体" w:cs="宋体"/>
          <w:i w:val="0"/>
          <w:iCs w:val="0"/>
          <w:caps w:val="0"/>
          <w:color w:val="auto"/>
          <w:spacing w:val="0"/>
          <w:sz w:val="24"/>
          <w:szCs w:val="24"/>
          <w:u w:val="none"/>
          <w:lang w:val="en-US" w:eastAsia="zh-CN"/>
        </w:rPr>
        <w:t xml:space="preserve">  </w:t>
      </w:r>
      <w:r>
        <w:rPr>
          <w:rFonts w:hint="eastAsia" w:ascii="宋体" w:hAnsi="宋体" w:eastAsia="宋体" w:cs="宋体"/>
          <w:i w:val="0"/>
          <w:iCs w:val="0"/>
          <w:caps w:val="0"/>
          <w:color w:val="auto"/>
          <w:spacing w:val="0"/>
          <w:sz w:val="24"/>
          <w:szCs w:val="24"/>
          <w:u w:val="none"/>
        </w:rPr>
        <w:t>日0</w:t>
      </w:r>
      <w:r>
        <w:rPr>
          <w:rFonts w:hint="eastAsia" w:cs="宋体"/>
          <w:i w:val="0"/>
          <w:iCs w:val="0"/>
          <w:caps w:val="0"/>
          <w:color w:val="auto"/>
          <w:spacing w:val="0"/>
          <w:sz w:val="24"/>
          <w:szCs w:val="24"/>
          <w:u w:val="none"/>
          <w:lang w:val="en-US" w:eastAsia="zh-CN"/>
        </w:rPr>
        <w:t>0</w:t>
      </w:r>
      <w:r>
        <w:rPr>
          <w:rFonts w:hint="eastAsia" w:ascii="宋体" w:hAnsi="宋体" w:eastAsia="宋体" w:cs="宋体"/>
          <w:i w:val="0"/>
          <w:iCs w:val="0"/>
          <w:caps w:val="0"/>
          <w:color w:val="auto"/>
          <w:spacing w:val="0"/>
          <w:sz w:val="24"/>
          <w:szCs w:val="24"/>
          <w:u w:val="none"/>
        </w:rPr>
        <w:t>:00（北京时间）</w:t>
      </w:r>
    </w:p>
    <w:p w14:paraId="0F61B4F7">
      <w:pPr>
        <w:pStyle w:val="43"/>
        <w:keepNext w:val="0"/>
        <w:keepLines w:val="0"/>
        <w:widowControl/>
        <w:suppressLineNumbers w:val="0"/>
        <w:wordWrap w:val="0"/>
        <w:spacing w:before="75" w:beforeAutospacing="0" w:after="75"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u w:val="none"/>
        </w:rPr>
        <w:t>投标地点（网址）：</w:t>
      </w:r>
      <w:r>
        <w:rPr>
          <w:rFonts w:hint="eastAsia" w:ascii="宋体" w:hAnsi="宋体" w:eastAsia="宋体" w:cs="宋体"/>
          <w:color w:val="auto"/>
          <w:sz w:val="24"/>
          <w:szCs w:val="24"/>
          <w:highlight w:val="none"/>
        </w:rPr>
        <w:t>广西政府采购云平台（https://www.gcy.zfcg.gxzf.gov.cn/）</w:t>
      </w:r>
    </w:p>
    <w:p w14:paraId="578E6B00">
      <w:pPr>
        <w:spacing w:line="288" w:lineRule="auto"/>
        <w:ind w:firstLine="480" w:firstLineChars="20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u w:val="none"/>
        </w:rPr>
        <w:t>开标时间：</w:t>
      </w:r>
      <w:r>
        <w:rPr>
          <w:rFonts w:hint="eastAsia" w:ascii="宋体" w:hAnsi="宋体" w:cs="宋体"/>
          <w:i w:val="0"/>
          <w:iCs w:val="0"/>
          <w:caps w:val="0"/>
          <w:color w:val="auto"/>
          <w:spacing w:val="0"/>
          <w:sz w:val="24"/>
          <w:szCs w:val="24"/>
          <w:u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:00（北京时间）</w:t>
      </w:r>
    </w:p>
    <w:p w14:paraId="4697DF6A">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u w:val="none"/>
        </w:rPr>
        <w:t>开标地点：</w:t>
      </w:r>
      <w:r>
        <w:rPr>
          <w:rFonts w:hint="eastAsia" w:ascii="宋体" w:hAnsi="宋体" w:eastAsia="宋体" w:cs="宋体"/>
          <w:color w:val="auto"/>
          <w:sz w:val="24"/>
          <w:szCs w:val="24"/>
          <w:highlight w:val="none"/>
        </w:rPr>
        <w:t>北流市北流市公共资源交易中心（北流城南客运站三楼）北流市网上开标大厅</w:t>
      </w:r>
      <w:r>
        <w:rPr>
          <w:rFonts w:hint="eastAsia" w:ascii="宋体" w:hAnsi="宋体" w:eastAsia="宋体" w:cs="宋体"/>
          <w:i w:val="0"/>
          <w:iCs w:val="0"/>
          <w:caps w:val="0"/>
          <w:color w:val="auto"/>
          <w:spacing w:val="0"/>
          <w:sz w:val="27"/>
          <w:szCs w:val="27"/>
        </w:rPr>
        <w:t>  </w:t>
      </w:r>
    </w:p>
    <w:p w14:paraId="75052265">
      <w:pPr>
        <w:spacing w:line="288" w:lineRule="auto"/>
        <w:ind w:firstLine="361" w:firstLineChars="150"/>
        <w:rPr>
          <w:rFonts w:hint="eastAsia" w:ascii="宋体" w:hAnsi="宋体" w:eastAsia="宋体" w:cs="宋体"/>
          <w:b/>
          <w:color w:val="auto"/>
          <w:sz w:val="24"/>
          <w:szCs w:val="24"/>
          <w:highlight w:val="none"/>
        </w:rPr>
      </w:pPr>
      <w:bookmarkStart w:id="19" w:name="_Toc71366171"/>
      <w:r>
        <w:rPr>
          <w:rFonts w:hint="eastAsia" w:ascii="宋体" w:hAnsi="宋体" w:cs="宋体"/>
          <w:b/>
          <w:color w:val="auto"/>
          <w:sz w:val="24"/>
          <w:szCs w:val="24"/>
          <w:highlight w:val="none"/>
          <w:lang w:eastAsia="zh-CN"/>
        </w:rPr>
        <w:t>五</w:t>
      </w:r>
      <w:r>
        <w:rPr>
          <w:rFonts w:hint="eastAsia" w:ascii="宋体" w:hAnsi="宋体" w:eastAsia="宋体" w:cs="宋体"/>
          <w:b/>
          <w:color w:val="auto"/>
          <w:sz w:val="24"/>
          <w:szCs w:val="24"/>
          <w:highlight w:val="none"/>
        </w:rPr>
        <w:t>、公告期限</w:t>
      </w:r>
      <w:bookmarkEnd w:id="19"/>
    </w:p>
    <w:p w14:paraId="7803B4C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2741A17">
      <w:pPr>
        <w:spacing w:line="288" w:lineRule="auto"/>
        <w:ind w:firstLine="361" w:firstLineChars="150"/>
        <w:rPr>
          <w:rFonts w:hint="eastAsia" w:ascii="宋体" w:hAnsi="宋体" w:eastAsia="宋体" w:cs="宋体"/>
          <w:b/>
          <w:color w:val="auto"/>
          <w:sz w:val="24"/>
          <w:szCs w:val="24"/>
          <w:highlight w:val="none"/>
        </w:rPr>
      </w:pPr>
      <w:bookmarkStart w:id="20" w:name="_Toc71366172"/>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、其他补充事宜</w:t>
      </w:r>
      <w:bookmarkEnd w:id="20"/>
    </w:p>
    <w:p w14:paraId="32FBE522">
      <w:pPr>
        <w:spacing w:line="288" w:lineRule="auto"/>
        <w:ind w:firstLine="480" w:firstLineChars="200"/>
        <w:rPr>
          <w:rFonts w:hint="eastAsia" w:ascii="宋体" w:hAnsi="宋体" w:eastAsia="宋体" w:cs="宋体"/>
          <w:color w:val="auto"/>
          <w:kern w:val="0"/>
          <w:sz w:val="24"/>
          <w:szCs w:val="24"/>
          <w:highlight w:val="none"/>
        </w:rPr>
      </w:pPr>
      <w:bookmarkStart w:id="21" w:name="_Hlk37429585"/>
      <w:bookmarkStart w:id="22" w:name="_Hlk37429595"/>
      <w:bookmarkStart w:id="23" w:name="_Toc35393636"/>
      <w:bookmarkStart w:id="24" w:name="_Toc44229885"/>
      <w:bookmarkStart w:id="25" w:name="_Toc35393805"/>
      <w:bookmarkStart w:id="26" w:name="_Toc28359018"/>
      <w:bookmarkStart w:id="27" w:name="_Toc28359095"/>
      <w:r>
        <w:rPr>
          <w:rFonts w:hint="eastAsia" w:ascii="宋体" w:hAnsi="宋体" w:eastAsia="宋体" w:cs="宋体"/>
          <w:color w:val="auto"/>
          <w:kern w:val="0"/>
          <w:sz w:val="24"/>
          <w:szCs w:val="24"/>
          <w:highlight w:val="none"/>
        </w:rPr>
        <w:t>1.网上查询地址</w:t>
      </w:r>
      <w:bookmarkEnd w:id="21"/>
      <w:bookmarkEnd w:id="22"/>
      <w:bookmarkStart w:id="28" w:name="_Hlk37429674"/>
      <w:r>
        <w:rPr>
          <w:rFonts w:hint="eastAsia" w:ascii="宋体" w:hAnsi="宋体" w:eastAsia="宋体" w:cs="宋体"/>
          <w:color w:val="auto"/>
          <w:kern w:val="0"/>
          <w:sz w:val="24"/>
          <w:szCs w:val="24"/>
          <w:highlight w:val="none"/>
        </w:rPr>
        <w:t>：中国政府采购网（http://www.ccgp.gov.cn）、广西壮族自治区政府采购网（http://zfcg.gxzf.gov.cn/）、全国公共资源交易平台（广西.玉林）（http://ggzy.yulin.gov.cn）。</w:t>
      </w:r>
    </w:p>
    <w:p w14:paraId="07F9540F">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2.本项目需要落实的政府采购政策</w:t>
      </w:r>
    </w:p>
    <w:p w14:paraId="17C7C077">
      <w:pPr>
        <w:spacing w:line="288" w:lineRule="auto"/>
        <w:ind w:firstLine="480" w:firstLineChars="200"/>
        <w:rPr>
          <w:rFonts w:hint="eastAsia" w:ascii="宋体" w:hAnsi="宋体" w:eastAsia="宋体" w:cs="宋体"/>
          <w:iCs/>
          <w:color w:val="auto"/>
          <w:kern w:val="0"/>
          <w:sz w:val="24"/>
          <w:szCs w:val="24"/>
          <w:highlight w:val="none"/>
        </w:rPr>
      </w:pPr>
      <w:r>
        <w:rPr>
          <w:rFonts w:hint="eastAsia" w:ascii="宋体" w:hAnsi="宋体" w:eastAsia="宋体" w:cs="宋体"/>
          <w:iCs/>
          <w:color w:val="auto"/>
          <w:kern w:val="0"/>
          <w:sz w:val="24"/>
          <w:szCs w:val="24"/>
          <w:highlight w:val="none"/>
        </w:rPr>
        <w:t>（1）政府采购促进中小企业发展。</w:t>
      </w:r>
    </w:p>
    <w:p w14:paraId="7149A846">
      <w:pPr>
        <w:spacing w:line="288" w:lineRule="auto"/>
        <w:ind w:firstLine="480" w:firstLineChars="200"/>
        <w:rPr>
          <w:rFonts w:hint="eastAsia" w:ascii="宋体" w:hAnsi="宋体" w:eastAsia="宋体" w:cs="宋体"/>
          <w:iCs/>
          <w:color w:val="auto"/>
          <w:kern w:val="0"/>
          <w:sz w:val="24"/>
          <w:szCs w:val="24"/>
          <w:highlight w:val="none"/>
        </w:rPr>
      </w:pPr>
      <w:r>
        <w:rPr>
          <w:rFonts w:hint="eastAsia" w:ascii="宋体" w:hAnsi="宋体" w:eastAsia="宋体" w:cs="宋体"/>
          <w:iCs/>
          <w:color w:val="auto"/>
          <w:kern w:val="0"/>
          <w:sz w:val="24"/>
          <w:szCs w:val="24"/>
          <w:highlight w:val="none"/>
        </w:rPr>
        <w:t>（2）政府采购支持采用本国产品的政策。</w:t>
      </w:r>
    </w:p>
    <w:p w14:paraId="4A0429AE">
      <w:pPr>
        <w:spacing w:line="288" w:lineRule="auto"/>
        <w:ind w:firstLine="480" w:firstLineChars="200"/>
        <w:rPr>
          <w:rFonts w:hint="eastAsia" w:ascii="宋体" w:hAnsi="宋体" w:eastAsia="宋体" w:cs="宋体"/>
          <w:iCs/>
          <w:color w:val="auto"/>
          <w:kern w:val="0"/>
          <w:sz w:val="24"/>
          <w:szCs w:val="24"/>
          <w:highlight w:val="none"/>
        </w:rPr>
      </w:pPr>
      <w:r>
        <w:rPr>
          <w:rFonts w:hint="eastAsia" w:ascii="宋体" w:hAnsi="宋体" w:eastAsia="宋体" w:cs="宋体"/>
          <w:iCs/>
          <w:color w:val="auto"/>
          <w:kern w:val="0"/>
          <w:sz w:val="24"/>
          <w:szCs w:val="24"/>
          <w:highlight w:val="none"/>
        </w:rPr>
        <w:t>（3）强制采购节能产品；优先采购节能产品、环境标志产品。</w:t>
      </w:r>
    </w:p>
    <w:p w14:paraId="22F04DDF">
      <w:pPr>
        <w:spacing w:line="288" w:lineRule="auto"/>
        <w:ind w:firstLine="480" w:firstLineChars="200"/>
        <w:rPr>
          <w:rFonts w:hint="eastAsia" w:ascii="宋体" w:hAnsi="宋体" w:eastAsia="宋体" w:cs="宋体"/>
          <w:iCs/>
          <w:color w:val="auto"/>
          <w:kern w:val="0"/>
          <w:sz w:val="24"/>
          <w:szCs w:val="24"/>
          <w:highlight w:val="none"/>
        </w:rPr>
      </w:pPr>
      <w:r>
        <w:rPr>
          <w:rFonts w:hint="eastAsia" w:ascii="宋体" w:hAnsi="宋体" w:eastAsia="宋体" w:cs="宋体"/>
          <w:iCs/>
          <w:color w:val="auto"/>
          <w:kern w:val="0"/>
          <w:sz w:val="24"/>
          <w:szCs w:val="24"/>
          <w:highlight w:val="none"/>
        </w:rPr>
        <w:t>（4）政府采购促进残疾人就业政策。</w:t>
      </w:r>
    </w:p>
    <w:p w14:paraId="6A66EC1F">
      <w:pPr>
        <w:spacing w:line="288" w:lineRule="auto"/>
        <w:ind w:firstLine="480" w:firstLineChars="200"/>
        <w:rPr>
          <w:rFonts w:hint="eastAsia" w:ascii="宋体" w:hAnsi="宋体" w:eastAsia="宋体" w:cs="宋体"/>
          <w:iCs/>
          <w:color w:val="auto"/>
          <w:kern w:val="0"/>
          <w:sz w:val="24"/>
          <w:szCs w:val="24"/>
          <w:highlight w:val="none"/>
        </w:rPr>
      </w:pPr>
      <w:r>
        <w:rPr>
          <w:rFonts w:hint="eastAsia" w:ascii="宋体" w:hAnsi="宋体" w:eastAsia="宋体" w:cs="宋体"/>
          <w:iCs/>
          <w:color w:val="auto"/>
          <w:kern w:val="0"/>
          <w:sz w:val="24"/>
          <w:szCs w:val="24"/>
          <w:highlight w:val="none"/>
        </w:rPr>
        <w:t>（5）政府采购支持监狱企业发展。</w:t>
      </w:r>
    </w:p>
    <w:p w14:paraId="3960874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bookmarkEnd w:id="28"/>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投标注意事项</w:t>
      </w:r>
    </w:p>
    <w:p w14:paraId="51712B82">
      <w:pPr>
        <w:wordWrap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（1）本项目为全流程电子化采购项目，通过广西政府采购云平（https://www.gcy.zfcg.gxzf.gov.cn/）实行在线电子投标，</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应按照本项目</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和广西政府采购云平台的要求编制、加密后在竞标截止时间前通过网络上传至广西政府采购云平台（加密的电子响应文件是指后缀名为“jmbs”的文件），</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在广西政府采购云平台提交电子响应文件时，请填写参加远程开标活动经办人联系方式。</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登录广西政府采购云平台，依次进入“服务中心-项目采购-操作流程-电子招投标-政府采购项目电子交易管理操作指南-</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”查看电子投标具体操作流程。</w:t>
      </w:r>
    </w:p>
    <w:p w14:paraId="1CF6525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（2）未进行网上注册并办理数字证书（CA认证）的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将无法参与本项目政府采购活动，</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应当在竞标截止时间前，完成电子交易平台上的CA数字证书办理及响应文件的提交（</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sz w:val="24"/>
          <w:szCs w:val="24"/>
          <w:highlight w:val="none"/>
        </w:rPr>
        <w:t>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824326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（3）CA证书在线解密：</w:t>
      </w:r>
      <w:r>
        <w:rPr>
          <w:rFonts w:hint="eastAsia" w:ascii="宋体" w:hAnsi="宋体" w:cs="宋体"/>
          <w:color w:val="auto"/>
          <w:kern w:val="0"/>
          <w:sz w:val="24"/>
          <w:szCs w:val="24"/>
          <w:highlight w:val="none"/>
          <w:lang w:eastAsia="zh-CN"/>
        </w:rPr>
        <w:t>投标人投</w:t>
      </w:r>
      <w:r>
        <w:rPr>
          <w:rFonts w:hint="eastAsia" w:ascii="宋体" w:hAnsi="宋体" w:eastAsia="宋体" w:cs="宋体"/>
          <w:color w:val="auto"/>
          <w:sz w:val="24"/>
          <w:szCs w:val="24"/>
          <w:highlight w:val="none"/>
        </w:rPr>
        <w:t>标时，需凭制作响应文件时用来加密的有效数字证书（CA认证）登录广西政府采购云平台电子开标大厅现场按规定时间对加密的响应文件进行解密，否则后果自负。</w:t>
      </w:r>
    </w:p>
    <w:p w14:paraId="27A4942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注：1）为确保网上操作合法、有效和安全，请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确保在电子投标过程中能够对相关数据电文进行加密和使用电子签章，妥善保管CA数字证书并使用有效的CA数字证书参与整个招标活动。2）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w:t>
      </w:r>
    </w:p>
    <w:p w14:paraId="0FC5F418">
      <w:pPr>
        <w:numPr>
          <w:ilvl w:val="0"/>
          <w:numId w:val="6"/>
        </w:num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交易服务单位：北流市公共资源交易中心；联系电话：0775-6396070。</w:t>
      </w:r>
    </w:p>
    <w:p w14:paraId="24D3BF28">
      <w:pPr>
        <w:numPr>
          <w:ilvl w:val="0"/>
          <w:numId w:val="6"/>
        </w:num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评标方式：本项目采用远程异地评标。</w:t>
      </w:r>
    </w:p>
    <w:p w14:paraId="22209FFE">
      <w:pPr>
        <w:spacing w:line="288" w:lineRule="auto"/>
        <w:ind w:firstLine="361" w:firstLineChars="150"/>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、凡对本次采购提出询问，请按以下方式联系</w:t>
      </w:r>
      <w:r>
        <w:rPr>
          <w:rFonts w:hint="eastAsia" w:ascii="宋体" w:hAnsi="宋体" w:eastAsia="宋体" w:cs="宋体"/>
          <w:color w:val="auto"/>
          <w:sz w:val="24"/>
          <w:szCs w:val="24"/>
          <w:highlight w:val="none"/>
        </w:rPr>
        <w:t>。</w:t>
      </w:r>
      <w:bookmarkEnd w:id="23"/>
      <w:bookmarkEnd w:id="24"/>
      <w:bookmarkEnd w:id="25"/>
      <w:bookmarkEnd w:id="26"/>
      <w:bookmarkEnd w:id="27"/>
    </w:p>
    <w:p w14:paraId="7B08FF4F">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CD13EBD">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称：北流市农业农村局　</w:t>
      </w:r>
    </w:p>
    <w:p w14:paraId="71F47499">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址：北流市沿江北路0005号 　</w:t>
      </w:r>
    </w:p>
    <w:p w14:paraId="2FB912E9">
      <w:pPr>
        <w:spacing w:line="288"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俞广平</w:t>
      </w:r>
    </w:p>
    <w:p w14:paraId="2D3BB312">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联系方式：0775-6333612 　 </w:t>
      </w:r>
      <w:bookmarkStart w:id="29" w:name="_Toc28359009"/>
      <w:bookmarkStart w:id="30" w:name="_Toc28359086"/>
    </w:p>
    <w:p w14:paraId="6D3F8606">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bookmarkEnd w:id="29"/>
      <w:bookmarkEnd w:id="30"/>
    </w:p>
    <w:p w14:paraId="32638F02">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称：广西德承工程项目管理有限公司　</w:t>
      </w:r>
    </w:p>
    <w:p w14:paraId="44543561">
      <w:pPr>
        <w:spacing w:line="288" w:lineRule="auto"/>
        <w:ind w:firstLine="720" w:firstLineChars="300"/>
        <w:rPr>
          <w:rFonts w:hint="eastAsia" w:ascii="宋体" w:hAnsi="宋体" w:eastAsia="宋体" w:cs="宋体"/>
          <w:color w:val="auto"/>
          <w:kern w:val="0"/>
          <w:sz w:val="24"/>
          <w:szCs w:val="24"/>
          <w:highlight w:val="none"/>
        </w:rPr>
      </w:pPr>
      <w:bookmarkStart w:id="31" w:name="_Toc28359010"/>
      <w:bookmarkStart w:id="32" w:name="_Toc28359087"/>
      <w:r>
        <w:rPr>
          <w:rFonts w:hint="eastAsia" w:ascii="宋体" w:hAnsi="宋体" w:eastAsia="宋体" w:cs="宋体"/>
          <w:color w:val="auto"/>
          <w:kern w:val="0"/>
          <w:sz w:val="24"/>
          <w:szCs w:val="24"/>
          <w:highlight w:val="none"/>
        </w:rPr>
        <w:t>地址：北流市永顺六区191号</w:t>
      </w:r>
    </w:p>
    <w:p w14:paraId="19E702F7">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项目联系人姓名：黄婷婷</w:t>
      </w:r>
    </w:p>
    <w:p w14:paraId="1A5E990C">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联系电话：0775-6351368</w:t>
      </w:r>
    </w:p>
    <w:p w14:paraId="7C93FBE4">
      <w:pPr>
        <w:spacing w:line="288"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bookmarkEnd w:id="31"/>
      <w:bookmarkEnd w:id="32"/>
    </w:p>
    <w:p w14:paraId="20DC08E5">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项目联系人：黄婷婷</w:t>
      </w:r>
    </w:p>
    <w:p w14:paraId="3E40C879">
      <w:pPr>
        <w:spacing w:line="288"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话：0775-6351368</w:t>
      </w:r>
    </w:p>
    <w:p w14:paraId="14CB129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4.监督部门</w:t>
      </w:r>
    </w:p>
    <w:p w14:paraId="2733544F">
      <w:pPr>
        <w:spacing w:line="288"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名称：北流市财政局   </w:t>
      </w:r>
    </w:p>
    <w:p w14:paraId="269BA776">
      <w:pPr>
        <w:spacing w:line="288"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联系方式：0775-6235685</w:t>
      </w:r>
    </w:p>
    <w:p w14:paraId="198FAFA8">
      <w:pPr>
        <w:spacing w:line="288" w:lineRule="auto"/>
        <w:ind w:firstLine="720" w:firstLineChars="300"/>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w:t>
      </w:r>
      <w:r>
        <w:rPr>
          <w:rFonts w:hint="eastAsia" w:ascii="宋体" w:hAnsi="宋体" w:cs="宋体"/>
          <w:color w:val="auto"/>
          <w:kern w:val="0"/>
          <w:sz w:val="24"/>
          <w:szCs w:val="24"/>
          <w:highlight w:val="none"/>
          <w:lang w:val="en-US" w:eastAsia="zh-CN"/>
        </w:rPr>
        <w:t xml:space="preserve">                    </w:t>
      </w:r>
    </w:p>
    <w:p w14:paraId="763C300A">
      <w:pPr>
        <w:spacing w:line="288" w:lineRule="auto"/>
        <w:ind w:firstLine="720" w:firstLineChars="300"/>
        <w:rPr>
          <w:rFonts w:hint="eastAsia" w:ascii="宋体" w:hAnsi="宋体" w:cs="宋体"/>
          <w:color w:val="auto"/>
          <w:kern w:val="0"/>
          <w:sz w:val="24"/>
          <w:szCs w:val="24"/>
          <w:highlight w:val="none"/>
          <w:lang w:val="en-US" w:eastAsia="zh-CN"/>
        </w:rPr>
      </w:pPr>
    </w:p>
    <w:p w14:paraId="2CFD13E7">
      <w:pPr>
        <w:pStyle w:val="2"/>
        <w:rPr>
          <w:rFonts w:hint="eastAsia"/>
          <w:lang w:val="en-US" w:eastAsia="zh-CN"/>
        </w:rPr>
      </w:pPr>
    </w:p>
    <w:p w14:paraId="62E110F9">
      <w:pPr>
        <w:spacing w:line="288" w:lineRule="auto"/>
        <w:jc w:val="righ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采购代理机构：广西德承工程项目管理有限公司</w:t>
      </w:r>
    </w:p>
    <w:p w14:paraId="0ACC2E97">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年</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bookmarkEnd w:id="3"/>
    <w:p w14:paraId="5B266588">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14:paraId="58F2F8D1">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14:paraId="090C5A3C">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107932E4">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604BCECC">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6F565F28">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4C1B36CC">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2BB2D04D">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06E41053">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71D06E50">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1312FC88">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2DBC06D2">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64F2B5F9">
      <w:pPr>
        <w:keepNext w:val="0"/>
        <w:keepLines w:val="0"/>
        <w:widowControl/>
        <w:suppressLineNumbers w:val="0"/>
        <w:jc w:val="center"/>
        <w:rPr>
          <w:rFonts w:hint="eastAsia" w:ascii="宋体" w:hAnsi="宋体" w:eastAsia="宋体" w:cs="宋体"/>
          <w:b/>
          <w:bCs/>
          <w:color w:val="auto"/>
          <w:kern w:val="0"/>
          <w:sz w:val="32"/>
          <w:szCs w:val="32"/>
          <w:lang w:val="en-US" w:eastAsia="zh-CN" w:bidi="ar"/>
        </w:rPr>
      </w:pPr>
    </w:p>
    <w:p w14:paraId="68FA4524">
      <w:pPr>
        <w:keepNext w:val="0"/>
        <w:keepLines w:val="0"/>
        <w:widowControl/>
        <w:suppressLineNumbers w:val="0"/>
        <w:ind w:left="0" w:leftChars="0" w:right="0" w:rightChars="0" w:firstLine="0" w:firstLineChars="0"/>
        <w:jc w:val="both"/>
        <w:rPr>
          <w:rFonts w:hint="eastAsia" w:ascii="宋体" w:hAnsi="宋体" w:eastAsia="宋体" w:cs="宋体"/>
          <w:b/>
          <w:bCs/>
          <w:color w:val="auto"/>
          <w:kern w:val="0"/>
          <w:sz w:val="32"/>
          <w:szCs w:val="32"/>
          <w:lang w:val="en-US" w:eastAsia="zh-CN" w:bidi="ar"/>
        </w:rPr>
      </w:pPr>
    </w:p>
    <w:p w14:paraId="3CBFE667">
      <w:pPr>
        <w:keepNext w:val="0"/>
        <w:keepLines w:val="0"/>
        <w:widowControl/>
        <w:suppressLineNumbers w:val="0"/>
        <w:ind w:left="0" w:leftChars="0" w:right="0" w:rightChars="0" w:firstLine="0" w:firstLineChars="0"/>
        <w:jc w:val="center"/>
        <w:rPr>
          <w:rFonts w:hint="eastAsia" w:ascii="宋体" w:hAnsi="宋体" w:eastAsia="宋体" w:cs="宋体"/>
          <w:b/>
          <w:bCs/>
          <w:color w:val="auto"/>
          <w:kern w:val="0"/>
          <w:sz w:val="32"/>
          <w:szCs w:val="32"/>
          <w:lang w:val="en-US" w:eastAsia="zh-CN" w:bidi="ar"/>
        </w:rPr>
      </w:pPr>
    </w:p>
    <w:p w14:paraId="258E576C">
      <w:pPr>
        <w:keepNext w:val="0"/>
        <w:keepLines w:val="0"/>
        <w:widowControl/>
        <w:suppressLineNumbers w:val="0"/>
        <w:ind w:left="0" w:leftChars="0" w:right="0" w:rightChars="0" w:firstLine="0" w:firstLineChars="0"/>
        <w:jc w:val="center"/>
        <w:rPr>
          <w:b/>
          <w:bCs/>
          <w:color w:val="auto"/>
          <w:sz w:val="32"/>
          <w:szCs w:val="32"/>
        </w:rPr>
      </w:pPr>
      <w:r>
        <w:rPr>
          <w:rFonts w:hint="eastAsia" w:ascii="宋体" w:hAnsi="宋体" w:eastAsia="宋体" w:cs="宋体"/>
          <w:b/>
          <w:bCs/>
          <w:color w:val="auto"/>
          <w:kern w:val="0"/>
          <w:sz w:val="32"/>
          <w:szCs w:val="32"/>
          <w:lang w:val="en-US" w:eastAsia="zh-CN" w:bidi="ar"/>
        </w:rPr>
        <w:t>政府采购电子保函</w:t>
      </w:r>
    </w:p>
    <w:p w14:paraId="11B50E08">
      <w:pPr>
        <w:keepNext w:val="0"/>
        <w:keepLines w:val="0"/>
        <w:widowControl/>
        <w:suppressLineNumbers w:val="0"/>
        <w:jc w:val="left"/>
        <w:rPr>
          <w:rFonts w:hint="eastAsia" w:ascii="宋体" w:hAnsi="宋体" w:eastAsia="宋体" w:cs="宋体"/>
          <w:color w:val="auto"/>
          <w:kern w:val="0"/>
          <w:sz w:val="21"/>
          <w:szCs w:val="21"/>
          <w:lang w:val="en-US" w:eastAsia="zh-CN" w:bidi="ar"/>
        </w:rPr>
      </w:pPr>
    </w:p>
    <w:p w14:paraId="66C8F2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各</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 xml:space="preserve">： </w:t>
      </w:r>
    </w:p>
    <w:p w14:paraId="0FBC520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欢迎贵公司参与广西政府采购活动！ </w:t>
      </w:r>
    </w:p>
    <w:p w14:paraId="0C5F59E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政府采购电子保函包括政府采购领域的投标保证金保函、履约保证金保函及预付款保 </w:t>
      </w:r>
    </w:p>
    <w:p w14:paraId="5B5BC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函。 </w:t>
      </w:r>
    </w:p>
    <w:p w14:paraId="29A95D63">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投标保证金保函。</w:t>
      </w:r>
      <w:r>
        <w:rPr>
          <w:rFonts w:hint="eastAsia" w:ascii="宋体" w:hAnsi="宋体" w:eastAsia="宋体" w:cs="宋体"/>
          <w:color w:val="auto"/>
          <w:kern w:val="0"/>
          <w:sz w:val="24"/>
          <w:szCs w:val="24"/>
          <w:lang w:val="en-US" w:eastAsia="zh-CN" w:bidi="ar"/>
        </w:rPr>
        <w:t xml:space="preserve">指政府采购活动中，为防止投标人无故撤销投标文件或中标后无正当理由不签订合同，采购人或代理机构要求投标人在递交投标文件时一并递交的担保机构出具的电子担保凭证。 </w:t>
      </w:r>
    </w:p>
    <w:p w14:paraId="4DCB6BF8">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履约保证金保函。</w:t>
      </w:r>
      <w:r>
        <w:rPr>
          <w:rFonts w:hint="eastAsia" w:ascii="宋体" w:hAnsi="宋体" w:eastAsia="宋体" w:cs="宋体"/>
          <w:color w:val="auto"/>
          <w:kern w:val="0"/>
          <w:sz w:val="24"/>
          <w:szCs w:val="24"/>
          <w:lang w:val="en-US" w:eastAsia="zh-CN" w:bidi="ar"/>
        </w:rPr>
        <w:t>指项目履约过程中，为防止中标</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 xml:space="preserve">不按照合同约定或法律的规定履行义务，采购人要求投保人提供担保机构出具的履约保证承诺电子担保凭证。 </w:t>
      </w:r>
    </w:p>
    <w:p w14:paraId="5AE6924E">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预付款保函。</w:t>
      </w:r>
      <w:r>
        <w:rPr>
          <w:rFonts w:hint="eastAsia" w:ascii="宋体" w:hAnsi="宋体" w:eastAsia="宋体" w:cs="宋体"/>
          <w:color w:val="auto"/>
          <w:kern w:val="0"/>
          <w:sz w:val="24"/>
          <w:szCs w:val="24"/>
          <w:lang w:val="en-US" w:eastAsia="zh-CN" w:bidi="ar"/>
        </w:rPr>
        <w:t>指采购人支付预付款后，为防止中标</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不按照合同约定或法律的规定履行义务，采购人要求中标</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 xml:space="preserve">提供担保机构出具的承担返还预付款的电子担保凭证。 </w:t>
      </w:r>
    </w:p>
    <w:p w14:paraId="6721CA7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利用全区政府采购“一张网”优势，依托“广西政府采购金融服务平台”（https://jinrong.zcygov.cn/finance/gx），</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 xml:space="preserve">可通过在线方式完成保函申请、递交、验收和索赔等全流程电子化操作，进一步提升政府采购融资便利度。 </w:t>
      </w:r>
    </w:p>
    <w:p w14:paraId="2B50F0D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电子保函有关业务操作流程和手册可从“广西政府采购金融服务平台”查阅下载，</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kern w:val="0"/>
          <w:sz w:val="24"/>
          <w:szCs w:val="24"/>
          <w:lang w:val="en-US" w:eastAsia="zh-CN" w:bidi="ar"/>
        </w:rPr>
        <w:t>在电子保函的申请、使用、查看应用过程中遇到问题可咨询技术支撑方：400-903-9583。</w:t>
      </w:r>
    </w:p>
    <w:p w14:paraId="4B7587BA">
      <w:pPr>
        <w:spacing w:line="500" w:lineRule="exact"/>
        <w:ind w:firstLine="13693" w:firstLineChars="3100"/>
        <w:jc w:val="center"/>
        <w:rPr>
          <w:rFonts w:hint="eastAsia"/>
          <w:b/>
          <w:bCs/>
          <w:color w:val="auto"/>
          <w:kern w:val="44"/>
          <w:sz w:val="44"/>
          <w:szCs w:val="44"/>
          <w:highlight w:val="none"/>
        </w:rPr>
      </w:pPr>
      <w:r>
        <w:rPr>
          <w:rFonts w:hint="eastAsia"/>
          <w:b/>
          <w:bCs/>
          <w:color w:val="auto"/>
          <w:kern w:val="44"/>
          <w:sz w:val="44"/>
          <w:szCs w:val="44"/>
          <w:highlight w:val="none"/>
        </w:rPr>
        <w:t>第</w:t>
      </w:r>
    </w:p>
    <w:p w14:paraId="2ADF7D3A">
      <w:pPr>
        <w:spacing w:line="500" w:lineRule="exact"/>
        <w:ind w:firstLine="13693" w:firstLineChars="3100"/>
        <w:jc w:val="center"/>
        <w:rPr>
          <w:rFonts w:hint="eastAsia"/>
          <w:b/>
          <w:bCs/>
          <w:color w:val="auto"/>
          <w:kern w:val="44"/>
          <w:sz w:val="44"/>
          <w:szCs w:val="44"/>
          <w:highlight w:val="none"/>
        </w:rPr>
      </w:pPr>
    </w:p>
    <w:p w14:paraId="02D14F07">
      <w:pPr>
        <w:spacing w:line="500" w:lineRule="exact"/>
        <w:ind w:firstLine="13693" w:firstLineChars="3100"/>
        <w:jc w:val="center"/>
        <w:rPr>
          <w:rFonts w:hint="eastAsia"/>
          <w:b/>
          <w:bCs/>
          <w:color w:val="auto"/>
          <w:kern w:val="44"/>
          <w:sz w:val="44"/>
          <w:szCs w:val="44"/>
          <w:highlight w:val="none"/>
        </w:rPr>
      </w:pPr>
    </w:p>
    <w:p w14:paraId="6A6426FE">
      <w:pPr>
        <w:spacing w:line="500" w:lineRule="exact"/>
        <w:ind w:firstLine="13693" w:firstLineChars="3100"/>
        <w:jc w:val="center"/>
        <w:rPr>
          <w:rFonts w:hint="eastAsia"/>
          <w:b/>
          <w:bCs/>
          <w:color w:val="auto"/>
          <w:kern w:val="44"/>
          <w:sz w:val="44"/>
          <w:szCs w:val="44"/>
          <w:highlight w:val="none"/>
        </w:rPr>
      </w:pPr>
    </w:p>
    <w:p w14:paraId="641AC0A6">
      <w:pPr>
        <w:spacing w:line="500" w:lineRule="exact"/>
        <w:ind w:firstLine="13693" w:firstLineChars="3100"/>
        <w:jc w:val="center"/>
        <w:rPr>
          <w:rFonts w:hint="eastAsia"/>
          <w:b/>
          <w:bCs/>
          <w:color w:val="auto"/>
          <w:kern w:val="44"/>
          <w:sz w:val="44"/>
          <w:szCs w:val="44"/>
          <w:highlight w:val="none"/>
        </w:rPr>
      </w:pPr>
    </w:p>
    <w:p w14:paraId="2E98FDDD">
      <w:pPr>
        <w:spacing w:line="500" w:lineRule="exact"/>
        <w:ind w:firstLine="13693" w:firstLineChars="3100"/>
        <w:jc w:val="center"/>
        <w:rPr>
          <w:rFonts w:hint="eastAsia"/>
          <w:b/>
          <w:bCs/>
          <w:color w:val="auto"/>
          <w:kern w:val="44"/>
          <w:sz w:val="44"/>
          <w:szCs w:val="44"/>
          <w:highlight w:val="none"/>
        </w:rPr>
      </w:pPr>
    </w:p>
    <w:p w14:paraId="67D65834">
      <w:pPr>
        <w:spacing w:line="500" w:lineRule="exact"/>
        <w:ind w:firstLine="13693" w:firstLineChars="3100"/>
        <w:jc w:val="center"/>
        <w:rPr>
          <w:rFonts w:hint="eastAsia"/>
          <w:b/>
          <w:bCs/>
          <w:color w:val="auto"/>
          <w:kern w:val="44"/>
          <w:sz w:val="44"/>
          <w:szCs w:val="44"/>
          <w:highlight w:val="none"/>
        </w:rPr>
      </w:pPr>
    </w:p>
    <w:p w14:paraId="6F706B26">
      <w:pPr>
        <w:spacing w:line="500" w:lineRule="exact"/>
        <w:ind w:firstLine="13693" w:firstLineChars="3100"/>
        <w:jc w:val="center"/>
        <w:rPr>
          <w:rFonts w:hint="eastAsia"/>
          <w:b/>
          <w:bCs/>
          <w:color w:val="auto"/>
          <w:kern w:val="44"/>
          <w:sz w:val="44"/>
          <w:szCs w:val="44"/>
          <w:highlight w:val="none"/>
        </w:rPr>
      </w:pPr>
    </w:p>
    <w:p w14:paraId="0D3E8476">
      <w:pPr>
        <w:spacing w:line="500" w:lineRule="exact"/>
        <w:ind w:firstLine="13693" w:firstLineChars="3100"/>
        <w:jc w:val="center"/>
        <w:rPr>
          <w:rFonts w:hint="eastAsia"/>
          <w:b/>
          <w:bCs/>
          <w:color w:val="auto"/>
          <w:kern w:val="44"/>
          <w:sz w:val="44"/>
          <w:szCs w:val="44"/>
          <w:highlight w:val="none"/>
        </w:rPr>
      </w:pPr>
    </w:p>
    <w:p w14:paraId="3380E9FF">
      <w:pPr>
        <w:spacing w:line="580" w:lineRule="exact"/>
        <w:jc w:val="center"/>
        <w:rPr>
          <w:rFonts w:hint="eastAsia" w:ascii="宋体" w:hAnsi="宋体" w:eastAsia="宋体" w:cs="宋体"/>
          <w:b/>
          <w:bCs/>
          <w:color w:val="auto"/>
          <w:sz w:val="32"/>
          <w:szCs w:val="32"/>
        </w:rPr>
      </w:pPr>
    </w:p>
    <w:p w14:paraId="22A90F0A">
      <w:pPr>
        <w:pStyle w:val="18"/>
        <w:rPr>
          <w:rFonts w:hint="eastAsia"/>
        </w:rPr>
      </w:pPr>
    </w:p>
    <w:p w14:paraId="766CAB3F">
      <w:pPr>
        <w:spacing w:line="580" w:lineRule="exact"/>
        <w:jc w:val="center"/>
        <w:rPr>
          <w:rFonts w:hint="eastAsia" w:ascii="宋体" w:hAnsi="宋体" w:eastAsia="宋体" w:cs="宋体"/>
          <w:b/>
          <w:bCs/>
          <w:color w:val="auto"/>
          <w:sz w:val="32"/>
          <w:szCs w:val="32"/>
        </w:rPr>
      </w:pPr>
    </w:p>
    <w:p w14:paraId="493BF24B">
      <w:pPr>
        <w:spacing w:line="580" w:lineRule="exact"/>
        <w:ind w:left="0" w:leftChars="0" w:right="0" w:rightChars="0" w:firstLine="0" w:firstLineChars="0"/>
        <w:jc w:val="center"/>
        <w:rPr>
          <w:rFonts w:hint="eastAsia" w:ascii="方正小标宋_GBK" w:eastAsia="方正小标宋_GBK"/>
          <w:b/>
          <w:bCs/>
          <w:color w:val="auto"/>
          <w:sz w:val="32"/>
          <w:szCs w:val="32"/>
        </w:rPr>
      </w:pPr>
      <w:r>
        <w:rPr>
          <w:rFonts w:hint="eastAsia" w:ascii="宋体" w:hAnsi="宋体" w:eastAsia="宋体" w:cs="宋体"/>
          <w:b/>
          <w:bCs/>
          <w:color w:val="auto"/>
          <w:sz w:val="32"/>
          <w:szCs w:val="32"/>
        </w:rPr>
        <w:t>广西线上“政采贷”政策告知函</w:t>
      </w:r>
    </w:p>
    <w:p w14:paraId="592254BB">
      <w:pPr>
        <w:spacing w:line="580" w:lineRule="exact"/>
        <w:ind w:firstLine="420" w:firstLineChars="200"/>
        <w:rPr>
          <w:color w:val="auto"/>
          <w:szCs w:val="32"/>
        </w:rPr>
      </w:pPr>
    </w:p>
    <w:p w14:paraId="7F52720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sz w:val="24"/>
          <w:szCs w:val="24"/>
        </w:rPr>
        <w:t>：</w:t>
      </w:r>
    </w:p>
    <w:p w14:paraId="02F8AB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欢迎贵公司参与广西政府采购活动！</w:t>
      </w:r>
    </w:p>
    <w:p w14:paraId="7ABC73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w:t>
      </w:r>
      <w:r>
        <w:rPr>
          <w:rFonts w:hint="eastAsia" w:ascii="宋体" w:hAnsi="宋体" w:cs="宋体"/>
          <w:color w:val="auto"/>
          <w:kern w:val="0"/>
          <w:sz w:val="24"/>
          <w:szCs w:val="24"/>
          <w:lang w:val="en-US" w:eastAsia="zh-CN" w:bidi="ar"/>
        </w:rPr>
        <w:t>投标人</w:t>
      </w:r>
      <w:r>
        <w:rPr>
          <w:rFonts w:hint="eastAsia" w:ascii="宋体" w:hAnsi="宋体" w:eastAsia="宋体" w:cs="宋体"/>
          <w:color w:val="auto"/>
          <w:sz w:val="24"/>
          <w:szCs w:val="24"/>
        </w:rPr>
        <w:t>，可持政府采购合同在线向</w:t>
      </w:r>
      <w:r>
        <w:rPr>
          <w:rFonts w:hint="eastAsia" w:ascii="宋体" w:hAnsi="宋体" w:eastAsia="宋体" w:cs="宋体"/>
          <w:color w:val="auto"/>
          <w:sz w:val="24"/>
          <w:szCs w:val="24"/>
          <w:lang w:val="en-US" w:eastAsia="zh-CN"/>
        </w:rPr>
        <w:t>银行业金融机构</w:t>
      </w:r>
      <w:r>
        <w:rPr>
          <w:rFonts w:hint="eastAsia" w:ascii="宋体" w:hAnsi="宋体" w:eastAsia="宋体" w:cs="宋体"/>
          <w:color w:val="auto"/>
          <w:sz w:val="24"/>
          <w:szCs w:val="24"/>
        </w:rPr>
        <w:t>申请贷款，融资机构将根据《中国人民银行南宁中心支行 广西壮族自治区财政厅关于推广线上“政采贷”融资模式的通知》（南宁银发〔2021〕</w:t>
      </w:r>
      <w:r>
        <w:rPr>
          <w:rFonts w:hint="eastAsia" w:ascii="宋体" w:hAnsi="宋体" w:eastAsia="宋体" w:cs="宋体"/>
          <w:color w:val="auto"/>
          <w:sz w:val="24"/>
          <w:szCs w:val="24"/>
          <w:lang w:val="en-US" w:eastAsia="zh-CN"/>
        </w:rPr>
        <w:t>258</w:t>
      </w:r>
      <w:r>
        <w:rPr>
          <w:rFonts w:hint="eastAsia" w:ascii="宋体" w:hAnsi="宋体" w:eastAsia="宋体" w:cs="宋体"/>
          <w:color w:val="auto"/>
          <w:sz w:val="24"/>
          <w:szCs w:val="24"/>
        </w:rPr>
        <w:t>号），按照双方自愿的原则提供便捷、优惠的贷款服务。</w:t>
      </w:r>
    </w:p>
    <w:p w14:paraId="7D8D56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相关金融产品和</w:t>
      </w:r>
      <w:r>
        <w:rPr>
          <w:rFonts w:hint="eastAsia" w:ascii="宋体" w:hAnsi="宋体" w:eastAsia="宋体" w:cs="宋体"/>
          <w:color w:val="auto"/>
          <w:sz w:val="24"/>
          <w:szCs w:val="24"/>
          <w:lang w:val="en-US" w:eastAsia="zh-CN"/>
        </w:rPr>
        <w:t>银行业金融机构</w:t>
      </w:r>
      <w:r>
        <w:rPr>
          <w:rFonts w:hint="eastAsia" w:ascii="宋体" w:hAnsi="宋体" w:eastAsia="宋体" w:cs="宋体"/>
          <w:color w:val="auto"/>
          <w:sz w:val="24"/>
          <w:szCs w:val="24"/>
          <w:lang w:eastAsia="zh-CN"/>
        </w:rPr>
        <w:t>联系方式，可在中征应收账款融资服务平台查询（网址：</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"https://www.crcrfsp.com/"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https://www.crcrfsp.com/</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，客服电话：</w:t>
      </w:r>
      <w:r>
        <w:rPr>
          <w:rFonts w:hint="eastAsia" w:ascii="宋体" w:hAnsi="宋体" w:eastAsia="宋体" w:cs="宋体"/>
          <w:color w:val="auto"/>
          <w:sz w:val="24"/>
          <w:szCs w:val="24"/>
          <w:lang w:val="en-US" w:eastAsia="zh-CN"/>
        </w:rPr>
        <w:t>400-009-0001</w:t>
      </w:r>
      <w:r>
        <w:rPr>
          <w:rFonts w:hint="eastAsia" w:ascii="宋体" w:hAnsi="宋体" w:eastAsia="宋体" w:cs="宋体"/>
          <w:color w:val="auto"/>
          <w:sz w:val="24"/>
          <w:szCs w:val="24"/>
          <w:lang w:eastAsia="zh-CN"/>
        </w:rPr>
        <w:t>）。</w:t>
      </w:r>
    </w:p>
    <w:p w14:paraId="77C985E6">
      <w:pPr>
        <w:spacing w:line="500" w:lineRule="exact"/>
        <w:ind w:firstLine="7469" w:firstLineChars="3100"/>
        <w:jc w:val="center"/>
        <w:rPr>
          <w:rFonts w:hint="eastAsia"/>
          <w:b/>
          <w:bCs/>
          <w:color w:val="auto"/>
          <w:kern w:val="44"/>
          <w:sz w:val="24"/>
          <w:szCs w:val="24"/>
          <w:highlight w:val="none"/>
        </w:rPr>
      </w:pPr>
    </w:p>
    <w:p w14:paraId="37186311">
      <w:pPr>
        <w:spacing w:line="500" w:lineRule="exact"/>
        <w:ind w:firstLine="13693" w:firstLineChars="3100"/>
        <w:jc w:val="center"/>
        <w:rPr>
          <w:rFonts w:hint="eastAsia"/>
          <w:b/>
          <w:bCs/>
          <w:color w:val="auto"/>
          <w:kern w:val="44"/>
          <w:sz w:val="44"/>
          <w:szCs w:val="44"/>
          <w:highlight w:val="none"/>
        </w:rPr>
      </w:pPr>
    </w:p>
    <w:p w14:paraId="6AC48E7E">
      <w:pPr>
        <w:pStyle w:val="41"/>
        <w:rPr>
          <w:rFonts w:hint="eastAsia" w:ascii="宋体" w:hAnsi="宋体" w:cs="宋体"/>
          <w:color w:val="auto"/>
          <w:sz w:val="24"/>
          <w:szCs w:val="24"/>
          <w:highlight w:val="none"/>
        </w:rPr>
      </w:pPr>
    </w:p>
    <w:p w14:paraId="6AEADFD0">
      <w:pPr>
        <w:rPr>
          <w:rFonts w:hint="eastAsia" w:ascii="宋体" w:hAnsi="宋体" w:cs="宋体"/>
          <w:color w:val="auto"/>
          <w:sz w:val="24"/>
          <w:szCs w:val="24"/>
          <w:highlight w:val="none"/>
        </w:rPr>
      </w:pPr>
    </w:p>
    <w:p w14:paraId="66C00EC7">
      <w:pPr>
        <w:pStyle w:val="84"/>
        <w:rPr>
          <w:rFonts w:hint="eastAsia" w:ascii="宋体" w:hAnsi="宋体" w:cs="宋体"/>
          <w:color w:val="auto"/>
          <w:sz w:val="24"/>
          <w:szCs w:val="24"/>
          <w:highlight w:val="none"/>
        </w:rPr>
      </w:pPr>
    </w:p>
    <w:p w14:paraId="68711FAA">
      <w:pPr>
        <w:pStyle w:val="84"/>
        <w:rPr>
          <w:rFonts w:hint="eastAsia" w:ascii="宋体" w:hAnsi="宋体" w:cs="宋体"/>
          <w:color w:val="auto"/>
          <w:sz w:val="24"/>
          <w:szCs w:val="24"/>
          <w:highlight w:val="none"/>
        </w:rPr>
      </w:pPr>
    </w:p>
    <w:p w14:paraId="4DAF5BFE">
      <w:pPr>
        <w:pStyle w:val="84"/>
        <w:rPr>
          <w:rFonts w:hint="eastAsia" w:ascii="宋体" w:hAnsi="宋体" w:cs="宋体"/>
          <w:color w:val="auto"/>
          <w:sz w:val="24"/>
          <w:szCs w:val="24"/>
          <w:highlight w:val="none"/>
        </w:rPr>
      </w:pPr>
    </w:p>
    <w:p w14:paraId="30D388C2">
      <w:pPr>
        <w:pStyle w:val="84"/>
        <w:rPr>
          <w:rFonts w:hint="eastAsia" w:ascii="宋体" w:hAnsi="宋体" w:cs="宋体"/>
          <w:color w:val="auto"/>
          <w:sz w:val="24"/>
          <w:szCs w:val="24"/>
          <w:highlight w:val="none"/>
        </w:rPr>
      </w:pPr>
    </w:p>
    <w:p w14:paraId="3ED9744B">
      <w:pPr>
        <w:pStyle w:val="84"/>
        <w:rPr>
          <w:rFonts w:hint="eastAsia" w:ascii="宋体" w:hAnsi="宋体" w:cs="宋体"/>
          <w:color w:val="auto"/>
          <w:sz w:val="24"/>
          <w:szCs w:val="24"/>
          <w:highlight w:val="none"/>
        </w:rPr>
      </w:pPr>
    </w:p>
    <w:p w14:paraId="604C03A1">
      <w:pPr>
        <w:pStyle w:val="84"/>
        <w:rPr>
          <w:rFonts w:hint="eastAsia" w:ascii="宋体" w:hAnsi="宋体" w:cs="宋体"/>
          <w:color w:val="auto"/>
          <w:sz w:val="24"/>
          <w:szCs w:val="24"/>
          <w:highlight w:val="none"/>
        </w:rPr>
      </w:pPr>
    </w:p>
    <w:p w14:paraId="57AACEAF">
      <w:pPr>
        <w:pStyle w:val="84"/>
        <w:rPr>
          <w:rFonts w:hint="eastAsia" w:ascii="宋体" w:hAnsi="宋体" w:cs="宋体"/>
          <w:color w:val="auto"/>
          <w:sz w:val="24"/>
          <w:szCs w:val="24"/>
          <w:highlight w:val="none"/>
        </w:rPr>
      </w:pPr>
    </w:p>
    <w:p w14:paraId="66505F9E">
      <w:pPr>
        <w:pStyle w:val="84"/>
        <w:rPr>
          <w:rFonts w:hint="eastAsia" w:ascii="宋体" w:hAnsi="宋体" w:cs="宋体"/>
          <w:color w:val="auto"/>
          <w:sz w:val="24"/>
          <w:szCs w:val="24"/>
          <w:highlight w:val="none"/>
        </w:rPr>
      </w:pPr>
    </w:p>
    <w:p w14:paraId="18E1FBC9">
      <w:pPr>
        <w:pStyle w:val="84"/>
        <w:jc w:val="center"/>
        <w:rPr>
          <w:rFonts w:hint="eastAsia" w:ascii="宋体" w:hAnsi="宋体"/>
          <w:color w:val="auto"/>
          <w:sz w:val="36"/>
          <w:szCs w:val="36"/>
          <w:highlight w:val="none"/>
        </w:rPr>
      </w:pPr>
      <w:r>
        <w:rPr>
          <w:rFonts w:hint="eastAsia" w:ascii="宋体" w:hAnsi="宋体" w:cs="宋体"/>
          <w:color w:val="auto"/>
          <w:highlight w:val="none"/>
        </w:rPr>
        <w:br w:type="page"/>
      </w:r>
      <w:bookmarkStart w:id="33" w:name="_Toc28963"/>
      <w:r>
        <w:rPr>
          <w:rFonts w:hint="eastAsia" w:ascii="宋体" w:hAnsi="宋体" w:eastAsia="宋体" w:cs="宋体"/>
          <w:b/>
          <w:bCs/>
          <w:color w:val="auto"/>
          <w:sz w:val="36"/>
          <w:szCs w:val="36"/>
          <w:highlight w:val="none"/>
        </w:rPr>
        <w:t>第二章  采购需求</w:t>
      </w:r>
      <w:bookmarkEnd w:id="33"/>
    </w:p>
    <w:p w14:paraId="108A7A6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0B474A7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1.为落实政府采购政策需满足的要求</w:t>
      </w:r>
    </w:p>
    <w:p w14:paraId="6768739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本招标文件所称中小企业必须符合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《政府采购促进中小企业发展管理办法》（财库〔2020〕46号）的规定。</w:t>
      </w:r>
    </w:p>
    <w:p w14:paraId="32BC47EA">
      <w:pPr>
        <w:keepNext w:val="0"/>
        <w:keepLines w:val="0"/>
        <w:pageBreakBefore w:val="0"/>
        <w:widowControl w:val="0"/>
        <w:kinsoku/>
        <w:wordWrap/>
        <w:overflowPunct/>
        <w:topLinePunct w:val="0"/>
        <w:autoSpaceDE/>
        <w:autoSpaceDN/>
        <w:bidi w:val="0"/>
        <w:adjustRightInd/>
        <w:snapToGrid/>
        <w:spacing w:line="312" w:lineRule="auto"/>
        <w:ind w:firstLine="487" w:firstLineChars="20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2.“实质性要求”是指招标文件中已经指明不满足则投标无效的条款，或者不能负偏离的条款，或者采购需求中带“▲”的条款。</w:t>
      </w:r>
    </w:p>
    <w:p w14:paraId="7E4FFC2F">
      <w:pPr>
        <w:keepNext w:val="0"/>
        <w:keepLines w:val="0"/>
        <w:pageBreakBefore w:val="0"/>
        <w:widowControl w:val="0"/>
        <w:kinsoku/>
        <w:wordWrap/>
        <w:overflowPunct/>
        <w:topLinePunct w:val="0"/>
        <w:autoSpaceDE/>
        <w:autoSpaceDN/>
        <w:bidi w:val="0"/>
        <w:adjustRightInd/>
        <w:snapToGrid/>
        <w:spacing w:line="312" w:lineRule="auto"/>
        <w:ind w:firstLine="484" w:firstLineChars="202"/>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5EA215F7">
      <w:pPr>
        <w:keepNext w:val="0"/>
        <w:keepLines w:val="0"/>
        <w:pageBreakBefore w:val="0"/>
        <w:widowControl w:val="0"/>
        <w:kinsoku/>
        <w:wordWrap/>
        <w:overflowPunct/>
        <w:topLinePunct w:val="0"/>
        <w:autoSpaceDE/>
        <w:autoSpaceDN/>
        <w:bidi w:val="0"/>
        <w:adjustRightInd/>
        <w:snapToGrid/>
        <w:spacing w:line="312" w:lineRule="auto"/>
        <w:ind w:firstLine="484" w:firstLineChars="202"/>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.投标人应对投标内容所涉及的专利承担法律责任，并负责保护</w:t>
      </w:r>
      <w:r>
        <w:rPr>
          <w:rFonts w:hint="eastAsia" w:ascii="宋体" w:hAnsi="宋体" w:cs="宋体"/>
          <w:color w:val="auto"/>
          <w:sz w:val="24"/>
          <w:szCs w:val="24"/>
          <w:highlight w:val="none"/>
          <w:lang w:eastAsia="zh-CN"/>
        </w:rPr>
        <w:t>采购人</w:t>
      </w:r>
      <w:r>
        <w:rPr>
          <w:rFonts w:ascii="宋体" w:hAnsi="宋体" w:cs="宋体"/>
          <w:color w:val="auto"/>
          <w:sz w:val="24"/>
          <w:szCs w:val="24"/>
          <w:highlight w:val="none"/>
        </w:rPr>
        <w:t>的利益不受任何损害。一切由于文字、商标、技术和软件专利授权引起的法律裁决、诉讼和赔偿费用均由</w:t>
      </w:r>
      <w:r>
        <w:rPr>
          <w:rFonts w:hint="eastAsia" w:ascii="宋体" w:hAnsi="宋体" w:cs="宋体"/>
          <w:color w:val="auto"/>
          <w:sz w:val="24"/>
          <w:szCs w:val="24"/>
          <w:highlight w:val="none"/>
          <w:lang w:eastAsia="zh-CN"/>
        </w:rPr>
        <w:t>中标</w:t>
      </w:r>
      <w:r>
        <w:rPr>
          <w:rFonts w:hint="eastAsia" w:ascii="宋体" w:hAnsi="宋体" w:cs="宋体"/>
          <w:color w:val="auto"/>
          <w:kern w:val="0"/>
          <w:sz w:val="24"/>
          <w:szCs w:val="24"/>
          <w:lang w:val="en-US" w:eastAsia="zh-CN" w:bidi="ar"/>
        </w:rPr>
        <w:t>投标人</w:t>
      </w:r>
      <w:r>
        <w:rPr>
          <w:rFonts w:ascii="宋体" w:hAnsi="宋体" w:cs="宋体"/>
          <w:color w:val="auto"/>
          <w:sz w:val="24"/>
          <w:szCs w:val="24"/>
          <w:highlight w:val="none"/>
        </w:rPr>
        <w:t>负责。</w:t>
      </w:r>
    </w:p>
    <w:p w14:paraId="30F797E5">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olor w:val="auto"/>
          <w:lang w:val="en-US" w:eastAsia="zh-CN"/>
        </w:rPr>
      </w:pPr>
      <w:r>
        <w:rPr>
          <w:rFonts w:hint="eastAsia" w:ascii="宋体" w:hAnsi="宋体" w:cs="宋体"/>
          <w:color w:val="auto"/>
          <w:sz w:val="24"/>
          <w:szCs w:val="24"/>
          <w:highlight w:val="none"/>
          <w:lang w:val="en-US" w:eastAsia="zh-CN"/>
        </w:rPr>
        <w:t>5.本项目所属行业：</w:t>
      </w:r>
      <w:r>
        <w:rPr>
          <w:rFonts w:hint="eastAsia" w:ascii="宋体" w:hAnsi="宋体" w:cs="宋体"/>
          <w:b/>
          <w:bCs/>
          <w:color w:val="auto"/>
          <w:sz w:val="24"/>
          <w:szCs w:val="24"/>
          <w:highlight w:val="none"/>
          <w:u w:val="single"/>
          <w:lang w:val="en-US" w:eastAsia="zh-CN"/>
        </w:rPr>
        <w:t>农、林、牧、渔业</w:t>
      </w:r>
    </w:p>
    <w:tbl>
      <w:tblPr>
        <w:tblStyle w:val="49"/>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1570"/>
        <w:gridCol w:w="60"/>
        <w:gridCol w:w="975"/>
        <w:gridCol w:w="6586"/>
      </w:tblGrid>
      <w:tr w14:paraId="3683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noWrap w:val="0"/>
            <w:vAlign w:val="center"/>
          </w:tcPr>
          <w:p w14:paraId="7D9AD3B7">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序号</w:t>
            </w:r>
          </w:p>
        </w:tc>
        <w:tc>
          <w:tcPr>
            <w:tcW w:w="1630" w:type="dxa"/>
            <w:gridSpan w:val="2"/>
            <w:noWrap w:val="0"/>
            <w:vAlign w:val="center"/>
          </w:tcPr>
          <w:p w14:paraId="072F0D89">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标的的名称</w:t>
            </w:r>
          </w:p>
        </w:tc>
        <w:tc>
          <w:tcPr>
            <w:tcW w:w="975" w:type="dxa"/>
            <w:noWrap w:val="0"/>
            <w:vAlign w:val="center"/>
          </w:tcPr>
          <w:p w14:paraId="6CA95BCB">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数量及</w:t>
            </w:r>
          </w:p>
          <w:p w14:paraId="185570B0">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单位</w:t>
            </w:r>
          </w:p>
        </w:tc>
        <w:tc>
          <w:tcPr>
            <w:tcW w:w="6586" w:type="dxa"/>
            <w:noWrap w:val="0"/>
            <w:vAlign w:val="center"/>
          </w:tcPr>
          <w:p w14:paraId="5E132F68">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val="0"/>
                <w:color w:val="auto"/>
                <w:sz w:val="24"/>
                <w:szCs w:val="24"/>
                <w:highlight w:val="none"/>
              </w:rPr>
              <w:t>技术要求</w:t>
            </w:r>
          </w:p>
        </w:tc>
      </w:tr>
      <w:tr w14:paraId="54392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420" w:type="dxa"/>
            <w:noWrap w:val="0"/>
            <w:vAlign w:val="center"/>
          </w:tcPr>
          <w:p w14:paraId="1386058C">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w:t>
            </w:r>
          </w:p>
        </w:tc>
        <w:tc>
          <w:tcPr>
            <w:tcW w:w="1630" w:type="dxa"/>
            <w:gridSpan w:val="2"/>
            <w:noWrap w:val="0"/>
            <w:vAlign w:val="center"/>
          </w:tcPr>
          <w:p w14:paraId="3FA56556">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default" w:ascii="宋体" w:hAnsi="宋体" w:cs="宋体"/>
                <w:b w:val="0"/>
                <w:bCs/>
                <w:color w:val="auto"/>
                <w:sz w:val="24"/>
                <w:szCs w:val="24"/>
                <w:highlight w:val="none"/>
                <w:lang w:val="en-US"/>
              </w:rPr>
            </w:pPr>
            <w:r>
              <w:rPr>
                <w:rFonts w:hint="eastAsia" w:ascii="宋体" w:hAnsi="宋体" w:eastAsia="宋体" w:cs="宋体"/>
                <w:b w:val="0"/>
                <w:bCs/>
                <w:color w:val="auto"/>
                <w:sz w:val="24"/>
                <w:szCs w:val="24"/>
                <w:highlight w:val="none"/>
                <w:lang w:eastAsia="zh-CN"/>
              </w:rPr>
              <w:t>2026年北流市生产障碍耕地治理项目——采取叶面阻隔+土壤PH调节技术措施及技术宣传</w:t>
            </w:r>
            <w:r>
              <w:rPr>
                <w:rFonts w:hint="eastAsia" w:ascii="宋体" w:hAnsi="宋体" w:eastAsia="宋体" w:cs="宋体"/>
                <w:b w:val="0"/>
                <w:bCs/>
                <w:color w:val="auto"/>
                <w:sz w:val="24"/>
                <w:szCs w:val="24"/>
                <w:highlight w:val="none"/>
                <w:lang w:val="en-US" w:eastAsia="zh-CN"/>
              </w:rPr>
              <w:t>指导</w:t>
            </w:r>
          </w:p>
        </w:tc>
        <w:tc>
          <w:tcPr>
            <w:tcW w:w="975" w:type="dxa"/>
            <w:noWrap w:val="0"/>
            <w:vAlign w:val="center"/>
          </w:tcPr>
          <w:p w14:paraId="1852111E">
            <w:pPr>
              <w:keepNext w:val="0"/>
              <w:keepLines w:val="0"/>
              <w:pageBreakBefore w:val="0"/>
              <w:tabs>
                <w:tab w:val="left" w:pos="180"/>
                <w:tab w:val="left" w:pos="1620"/>
              </w:tabs>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rPr>
              <w:t>1项</w:t>
            </w:r>
          </w:p>
        </w:tc>
        <w:tc>
          <w:tcPr>
            <w:tcW w:w="6586" w:type="dxa"/>
            <w:noWrap w:val="0"/>
            <w:vAlign w:val="center"/>
          </w:tcPr>
          <w:p w14:paraId="748E29F4">
            <w:pPr>
              <w:pStyle w:val="16"/>
              <w:keepNext w:val="0"/>
              <w:keepLines w:val="0"/>
              <w:pageBreakBefore w:val="0"/>
              <w:numPr>
                <w:ilvl w:val="0"/>
                <w:numId w:val="0"/>
              </w:numPr>
              <w:kinsoku/>
              <w:wordWrap/>
              <w:overflowPunct/>
              <w:topLinePunct w:val="0"/>
              <w:bidi w:val="0"/>
              <w:adjustRightInd/>
              <w:snapToGrid/>
              <w:spacing w:line="288" w:lineRule="auto"/>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kern w:val="2"/>
                <w:sz w:val="24"/>
                <w:szCs w:val="24"/>
                <w:highlight w:val="none"/>
                <w:lang w:val="en-US" w:eastAsia="zh-CN" w:bidi="ar-SA"/>
              </w:rPr>
              <w:t>一、项目</w:t>
            </w:r>
            <w:r>
              <w:rPr>
                <w:rFonts w:hint="eastAsia" w:ascii="宋体" w:hAnsi="宋体" w:cs="宋体"/>
                <w:b/>
                <w:bCs w:val="0"/>
                <w:color w:val="auto"/>
                <w:sz w:val="24"/>
                <w:szCs w:val="24"/>
                <w:highlight w:val="none"/>
                <w:lang w:val="en-US" w:eastAsia="zh-CN"/>
              </w:rPr>
              <w:t>实施预期</w:t>
            </w:r>
          </w:p>
          <w:p w14:paraId="156E4438">
            <w:pPr>
              <w:pStyle w:val="16"/>
              <w:keepNext w:val="0"/>
              <w:keepLines w:val="0"/>
              <w:pageBreakBefore w:val="0"/>
              <w:numPr>
                <w:ilvl w:val="0"/>
                <w:numId w:val="0"/>
              </w:numPr>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在安全利用类、严格管控类耕地应用“叶面阻隔+土壤PH调节”技术措施模式，实施面积11000亩，并开展技术宣传指导，有效推动项目区产品（稻谷）质量（重金属）合格率</w:t>
            </w:r>
            <w:r>
              <w:rPr>
                <w:rFonts w:hint="default" w:ascii="Times New Roman" w:hAnsi="Times New Roman" w:eastAsia="仿宋_GB2312" w:cs="Times New Roman"/>
                <w:b w:val="0"/>
                <w:bCs/>
                <w:color w:val="auto"/>
                <w:sz w:val="32"/>
                <w:szCs w:val="32"/>
                <w:highlight w:val="none"/>
                <w:lang w:val="en-US" w:eastAsia="zh-CN"/>
              </w:rPr>
              <w:t>≥</w:t>
            </w:r>
            <w:r>
              <w:rPr>
                <w:rFonts w:hint="eastAsia" w:ascii="宋体" w:hAnsi="宋体" w:cs="宋体"/>
                <w:b w:val="0"/>
                <w:bCs/>
                <w:color w:val="auto"/>
                <w:sz w:val="24"/>
                <w:szCs w:val="24"/>
                <w:highlight w:val="none"/>
                <w:lang w:val="en-US" w:eastAsia="zh-CN"/>
              </w:rPr>
              <w:t>93%。</w:t>
            </w:r>
          </w:p>
          <w:p w14:paraId="43AD9123">
            <w:pPr>
              <w:pStyle w:val="16"/>
              <w:keepNext w:val="0"/>
              <w:keepLines w:val="0"/>
              <w:pageBreakBefore w:val="0"/>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二、实施范围与期限</w:t>
            </w:r>
          </w:p>
          <w:p w14:paraId="3966D0DC">
            <w:pPr>
              <w:keepNext w:val="0"/>
              <w:keepLines w:val="0"/>
              <w:pageBreakBefore w:val="0"/>
              <w:numPr>
                <w:ilvl w:val="0"/>
                <w:numId w:val="0"/>
              </w:numPr>
              <w:kinsoku/>
              <w:wordWrap/>
              <w:overflowPunct/>
              <w:topLinePunct w:val="0"/>
              <w:bidi w:val="0"/>
              <w:adjustRightInd/>
              <w:snapToGrid/>
              <w:spacing w:line="288" w:lineRule="auto"/>
              <w:jc w:val="left"/>
              <w:textAlignment w:val="auto"/>
              <w:rPr>
                <w:rFonts w:hint="eastAsia"/>
                <w:color w:val="auto"/>
                <w:highlight w:val="none"/>
              </w:rPr>
            </w:pP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一</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rPr>
              <w:t>实施范围</w:t>
            </w:r>
          </w:p>
          <w:p w14:paraId="3FEF6730">
            <w:pPr>
              <w:keepNext w:val="0"/>
              <w:keepLines w:val="0"/>
              <w:pageBreakBefore w:val="0"/>
              <w:kinsoku/>
              <w:wordWrap/>
              <w:overflowPunct/>
              <w:topLinePunct w:val="0"/>
              <w:bidi w:val="0"/>
              <w:adjustRightInd/>
              <w:snapToGrid/>
              <w:spacing w:line="288" w:lineRule="auto"/>
              <w:ind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以</w:t>
            </w:r>
            <w:r>
              <w:rPr>
                <w:rFonts w:hint="eastAsia" w:ascii="宋体" w:hAnsi="宋体" w:cs="宋体"/>
                <w:b w:val="0"/>
                <w:bCs/>
                <w:color w:val="auto"/>
                <w:sz w:val="24"/>
                <w:szCs w:val="24"/>
                <w:highlight w:val="none"/>
              </w:rPr>
              <w:t>通过自治区人民政府审定的</w:t>
            </w:r>
            <w:r>
              <w:rPr>
                <w:rFonts w:hint="eastAsia" w:ascii="宋体" w:hAnsi="宋体" w:cs="宋体"/>
                <w:b w:val="0"/>
                <w:bCs/>
                <w:color w:val="auto"/>
                <w:sz w:val="24"/>
                <w:szCs w:val="24"/>
                <w:highlight w:val="none"/>
                <w:lang w:val="en-US" w:eastAsia="zh-CN"/>
              </w:rPr>
              <w:t>第一次</w:t>
            </w:r>
            <w:r>
              <w:rPr>
                <w:rFonts w:hint="eastAsia" w:ascii="宋体" w:hAnsi="宋体" w:cs="宋体"/>
                <w:b w:val="0"/>
                <w:bCs/>
                <w:color w:val="auto"/>
                <w:sz w:val="24"/>
                <w:szCs w:val="24"/>
                <w:highlight w:val="none"/>
              </w:rPr>
              <w:t>耕地土壤环境质量类别划分</w:t>
            </w:r>
            <w:r>
              <w:rPr>
                <w:rFonts w:hint="eastAsia" w:ascii="宋体" w:hAnsi="宋体" w:cs="宋体"/>
                <w:b w:val="0"/>
                <w:bCs/>
                <w:color w:val="auto"/>
                <w:sz w:val="24"/>
                <w:szCs w:val="24"/>
                <w:highlight w:val="none"/>
                <w:lang w:val="en-US" w:eastAsia="zh-CN"/>
              </w:rPr>
              <w:t>动态调整</w:t>
            </w:r>
            <w:r>
              <w:rPr>
                <w:rFonts w:hint="eastAsia" w:ascii="宋体" w:hAnsi="宋体" w:cs="宋体"/>
                <w:b w:val="0"/>
                <w:bCs/>
                <w:color w:val="auto"/>
                <w:sz w:val="24"/>
                <w:szCs w:val="24"/>
                <w:highlight w:val="none"/>
              </w:rPr>
              <w:t>成果数据中安全利用类、严格管控类耕地</w:t>
            </w:r>
            <w:r>
              <w:rPr>
                <w:rFonts w:hint="eastAsia" w:ascii="宋体" w:hAnsi="宋体" w:cs="宋体"/>
                <w:b w:val="0"/>
                <w:bCs/>
                <w:color w:val="auto"/>
                <w:sz w:val="24"/>
                <w:szCs w:val="24"/>
                <w:highlight w:val="none"/>
                <w:lang w:val="en-US" w:eastAsia="zh-CN"/>
              </w:rPr>
              <w:t>为基准</w:t>
            </w:r>
            <w:r>
              <w:rPr>
                <w:rFonts w:hint="eastAsia" w:ascii="宋体" w:hAnsi="宋体" w:cs="宋体"/>
                <w:b w:val="0"/>
                <w:bCs/>
                <w:color w:val="auto"/>
                <w:sz w:val="24"/>
                <w:szCs w:val="24"/>
                <w:highlight w:val="none"/>
              </w:rPr>
              <w:t>，结合</w:t>
            </w:r>
            <w:r>
              <w:rPr>
                <w:rFonts w:hint="eastAsia" w:ascii="宋体" w:hAnsi="宋体" w:cs="宋体"/>
                <w:b w:val="0"/>
                <w:bCs/>
                <w:color w:val="auto"/>
                <w:sz w:val="24"/>
                <w:szCs w:val="24"/>
                <w:highlight w:val="none"/>
                <w:lang w:val="en-US" w:eastAsia="zh-CN"/>
              </w:rPr>
              <w:t>我市项目申报情况和项目实施意向进行</w:t>
            </w:r>
            <w:r>
              <w:rPr>
                <w:rFonts w:hint="eastAsia" w:ascii="宋体" w:hAnsi="宋体" w:cs="宋体"/>
                <w:b w:val="0"/>
                <w:bCs/>
                <w:color w:val="auto"/>
                <w:sz w:val="24"/>
                <w:szCs w:val="24"/>
                <w:highlight w:val="none"/>
              </w:rPr>
              <w:t>项目实施，并把握以下原则：</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优先选择近年来监测发现稻谷重金属超标风险较高的区域进行项目实施。</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二</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优先安排在长时间未实施相关项目</w:t>
            </w:r>
            <w:r>
              <w:rPr>
                <w:rFonts w:hint="eastAsia" w:ascii="宋体" w:hAnsi="宋体" w:cs="宋体"/>
                <w:b w:val="0"/>
                <w:bCs/>
                <w:color w:val="auto"/>
                <w:sz w:val="24"/>
                <w:szCs w:val="24"/>
                <w:highlight w:val="none"/>
                <w:lang w:eastAsia="zh-CN"/>
              </w:rPr>
              <w:t>的</w:t>
            </w:r>
            <w:r>
              <w:rPr>
                <w:rFonts w:hint="eastAsia" w:ascii="宋体" w:hAnsi="宋体" w:cs="宋体"/>
                <w:b w:val="0"/>
                <w:bCs/>
                <w:color w:val="auto"/>
                <w:sz w:val="24"/>
                <w:szCs w:val="24"/>
                <w:highlight w:val="none"/>
              </w:rPr>
              <w:t>区域实施。</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三</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如实施面积不足可考虑在粮食和储备部门等近</w:t>
            </w:r>
            <w:r>
              <w:rPr>
                <w:rFonts w:hint="eastAsia" w:ascii="宋体" w:hAnsi="宋体" w:cs="宋体"/>
                <w:b w:val="0"/>
                <w:bCs/>
                <w:color w:val="auto"/>
                <w:sz w:val="24"/>
                <w:szCs w:val="24"/>
                <w:highlight w:val="none"/>
                <w:lang w:eastAsia="zh-CN"/>
              </w:rPr>
              <w:t>年来</w:t>
            </w:r>
            <w:r>
              <w:rPr>
                <w:rFonts w:hint="eastAsia" w:ascii="宋体" w:hAnsi="宋体" w:cs="宋体"/>
                <w:b w:val="0"/>
                <w:bCs/>
                <w:color w:val="auto"/>
                <w:sz w:val="24"/>
                <w:szCs w:val="24"/>
                <w:highlight w:val="none"/>
              </w:rPr>
              <w:t>监测发现存在</w:t>
            </w:r>
            <w:r>
              <w:rPr>
                <w:rFonts w:hint="eastAsia" w:ascii="宋体" w:hAnsi="宋体" w:cs="宋体"/>
                <w:b w:val="0"/>
                <w:bCs/>
                <w:color w:val="auto"/>
                <w:sz w:val="24"/>
                <w:szCs w:val="24"/>
                <w:highlight w:val="none"/>
                <w:lang w:val="en-US" w:eastAsia="zh-CN"/>
              </w:rPr>
              <w:t>重金属</w:t>
            </w:r>
            <w:r>
              <w:rPr>
                <w:rFonts w:hint="eastAsia" w:ascii="宋体" w:hAnsi="宋体" w:cs="宋体"/>
                <w:b w:val="0"/>
                <w:bCs/>
                <w:color w:val="auto"/>
                <w:sz w:val="24"/>
                <w:szCs w:val="24"/>
                <w:highlight w:val="none"/>
              </w:rPr>
              <w:t>超标的区域实施。</w:t>
            </w:r>
            <w:r>
              <w:rPr>
                <w:rFonts w:hint="eastAsia" w:ascii="宋体" w:hAnsi="宋体" w:cs="宋体"/>
                <w:b w:val="0"/>
                <w:bCs/>
                <w:color w:val="auto"/>
                <w:sz w:val="24"/>
                <w:szCs w:val="24"/>
                <w:highlight w:val="none"/>
                <w:lang w:val="en-US" w:eastAsia="zh-CN"/>
              </w:rPr>
              <w:t>项目选择在2026年晚稻种植区域实施，项目区实施地点及面积如下：</w:t>
            </w:r>
          </w:p>
          <w:p w14:paraId="0C9A9CFE">
            <w:pPr>
              <w:pStyle w:val="10"/>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1.新荣镇新荣村、振新村、毓山村、扶中村、大同村共实施2900亩；</w:t>
            </w:r>
          </w:p>
          <w:p w14:paraId="665502F1">
            <w:pPr>
              <w:pStyle w:val="10"/>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2.民安镇民安村、六感村、松石村、才旺村、高车村、丰村村共实施3200亩；</w:t>
            </w:r>
          </w:p>
          <w:p w14:paraId="164D909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3.塘岸镇</w:t>
            </w:r>
            <w:r>
              <w:rPr>
                <w:rFonts w:hint="default" w:ascii="宋体" w:hAnsi="宋体" w:eastAsia="宋体" w:cs="宋体"/>
                <w:b w:val="0"/>
                <w:bCs/>
                <w:color w:val="auto"/>
                <w:kern w:val="2"/>
                <w:sz w:val="24"/>
                <w:szCs w:val="24"/>
                <w:highlight w:val="none"/>
                <w:lang w:val="en-US" w:eastAsia="zh-CN" w:bidi="ar-SA"/>
              </w:rPr>
              <w:t>塘岸村、利民村、金城村、凉亭村、塘肚村、蟠龙村</w:t>
            </w:r>
            <w:r>
              <w:rPr>
                <w:rFonts w:hint="eastAsia" w:ascii="宋体" w:hAnsi="宋体" w:eastAsia="宋体" w:cs="宋体"/>
                <w:b w:val="0"/>
                <w:bCs/>
                <w:color w:val="auto"/>
                <w:kern w:val="2"/>
                <w:sz w:val="24"/>
                <w:szCs w:val="24"/>
                <w:highlight w:val="none"/>
                <w:lang w:val="en-US" w:eastAsia="zh-CN" w:bidi="ar-SA"/>
              </w:rPr>
              <w:t>共实施4900亩。</w:t>
            </w:r>
          </w:p>
          <w:p w14:paraId="688BF836">
            <w:pPr>
              <w:pStyle w:val="10"/>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注：如上述区域晚稻实际种植面积不足，选择符合条件的其它地块补足。</w:t>
            </w:r>
          </w:p>
          <w:p w14:paraId="6F78B42B">
            <w:pPr>
              <w:keepNext w:val="0"/>
              <w:keepLines w:val="0"/>
              <w:pageBreakBefore w:val="0"/>
              <w:kinsoku/>
              <w:wordWrap/>
              <w:overflowPunct/>
              <w:topLinePunct w:val="0"/>
              <w:bidi w:val="0"/>
              <w:adjustRightInd/>
              <w:snapToGrid/>
              <w:spacing w:line="288" w:lineRule="auto"/>
              <w:jc w:val="left"/>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二</w:t>
            </w:r>
            <w:r>
              <w:rPr>
                <w:rFonts w:hint="eastAsia" w:ascii="宋体" w:hAnsi="宋体" w:cs="宋体"/>
                <w:b/>
                <w:bCs w:val="0"/>
                <w:color w:val="auto"/>
                <w:sz w:val="24"/>
                <w:szCs w:val="24"/>
                <w:highlight w:val="none"/>
              </w:rPr>
              <w:t>）实施期限</w:t>
            </w:r>
          </w:p>
          <w:p w14:paraId="68EDDE8B">
            <w:pPr>
              <w:keepNext w:val="0"/>
              <w:keepLines w:val="0"/>
              <w:pageBreakBefore w:val="0"/>
              <w:kinsoku/>
              <w:wordWrap/>
              <w:overflowPunct/>
              <w:topLinePunct w:val="0"/>
              <w:bidi w:val="0"/>
              <w:adjustRightInd/>
              <w:snapToGrid/>
              <w:spacing w:line="288" w:lineRule="auto"/>
              <w:ind w:firstLine="480" w:firstLineChars="200"/>
              <w:jc w:val="left"/>
              <w:textAlignment w:val="auto"/>
              <w:rPr>
                <w:rFonts w:hint="eastAsia" w:ascii="宋体" w:hAnsi="宋体" w:cs="宋体"/>
                <w:b w:val="0"/>
                <w:bCs/>
                <w:color w:val="auto"/>
                <w:sz w:val="24"/>
                <w:szCs w:val="24"/>
                <w:highlight w:val="none"/>
              </w:rPr>
            </w:pPr>
            <w:r>
              <w:rPr>
                <w:rFonts w:hint="eastAsia" w:ascii="宋体" w:hAnsi="宋体" w:eastAsia="宋体" w:cs="宋体"/>
                <w:color w:val="auto"/>
                <w:sz w:val="24"/>
                <w:szCs w:val="24"/>
                <w:highlight w:val="none"/>
                <w:lang w:val="en-US" w:eastAsia="zh-CN"/>
              </w:rPr>
              <w:t>2026年12月20日前，完成项目验收资料备案工作报玉林市农业农村局（玉林市农业生态和耕地质量保护中心）</w:t>
            </w:r>
            <w:r>
              <w:rPr>
                <w:rFonts w:hint="eastAsia" w:ascii="宋体" w:hAnsi="宋体" w:cs="宋体"/>
                <w:b w:val="0"/>
                <w:bCs/>
                <w:color w:val="auto"/>
                <w:sz w:val="24"/>
                <w:szCs w:val="24"/>
                <w:highlight w:val="none"/>
              </w:rPr>
              <w:t>。</w:t>
            </w:r>
          </w:p>
          <w:p w14:paraId="1D55024C">
            <w:pPr>
              <w:pStyle w:val="16"/>
              <w:keepNext w:val="0"/>
              <w:keepLines w:val="0"/>
              <w:pageBreakBefore w:val="0"/>
              <w:kinsoku/>
              <w:wordWrap/>
              <w:overflowPunct/>
              <w:topLinePunct w:val="0"/>
              <w:bidi w:val="0"/>
              <w:adjustRightInd/>
              <w:snapToGrid/>
              <w:spacing w:line="288" w:lineRule="auto"/>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三、项目实施内容及措施</w:t>
            </w:r>
          </w:p>
          <w:p w14:paraId="3E392CFF">
            <w:pPr>
              <w:pStyle w:val="16"/>
              <w:keepNext w:val="0"/>
              <w:keepLines w:val="0"/>
              <w:pageBreakBefore w:val="0"/>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（一）实施内容</w:t>
            </w:r>
          </w:p>
          <w:p w14:paraId="0B43FFE8">
            <w:pPr>
              <w:pStyle w:val="16"/>
              <w:keepNext w:val="0"/>
              <w:keepLines w:val="0"/>
              <w:pageBreakBefore w:val="0"/>
              <w:numPr>
                <w:ilvl w:val="0"/>
                <w:numId w:val="0"/>
              </w:numPr>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根据《耕地土壤污染治理规范》（NY/T 4600—2025）、《农业农村部办公厅关于印发〈轻中度污染耕地安全利用与治理修复推荐技术名录（2019年版）〉的通知》（农办科〔2019〕14号），结合广西水稻产地安全利用“GTP+”技术模式，因地制宜选取“叶面阻隔+”技术措施模式来进行项目实施，实施面积1.1万亩。</w:t>
            </w:r>
          </w:p>
          <w:p w14:paraId="538CBC3C">
            <w:pPr>
              <w:pStyle w:val="16"/>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（二）实施措施：“叶面阻隔+”技术措施模式</w:t>
            </w:r>
          </w:p>
          <w:p w14:paraId="46388FEC">
            <w:pPr>
              <w:pStyle w:val="16"/>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1.叶面阻隔：喷施两次及以上叶面阻隔剂（获得相应肥料登记的产品）。根据项目实施区域当地稻谷重金属超标程度，参照国家标准文件《稻田重金属治理 第3部分：生理阻隔》（GB/T 43419.3—2023）规范要求选择适配产品[含非金属元素型（主要有硅Si、硒Se、磷P等）、金属元素型（主要有锌Zn、铁Fe、锰Mn、铜Cu、硼B、钼Mo等）、有机型（主要有脯氨酸、谷氨酸、半胱氨酸等氨基酸）等，且是获得相应肥料登记的产品，按照各厂家产品说明书推荐的每亩用量和稀释倍数使用。建议在分蘖盛期至齐穗期前喷施，时间间隔至少7天，选择在下午4:00后喷施效果最佳，如果扬花期喷施则必须在下午进行，切忌中午喷施，喷施后如在4小时内遇雨则需重新喷施。</w:t>
            </w:r>
          </w:p>
          <w:p w14:paraId="49DEB104">
            <w:pPr>
              <w:pStyle w:val="16"/>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2.土壤pH调节：在pH值低于6.5的区域应采取施用</w:t>
            </w:r>
          </w:p>
          <w:p w14:paraId="4295D5AD">
            <w:pPr>
              <w:pStyle w:val="16"/>
              <w:keepNext w:val="0"/>
              <w:keepLines w:val="0"/>
              <w:pageBreakBefore w:val="0"/>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碱性肥料或土壤调理剂等方式开展土壤pH调节。施用获得登记的颗粒型的硅钙肥调节土壤pH（优先选择在犁耙田前结合基肥撒施，确因客观因素无法在犁耙田前施用的，也可在孕穗期前施用），每亩撒施50公斤。</w:t>
            </w:r>
          </w:p>
          <w:p w14:paraId="2B34679C">
            <w:pPr>
              <w:pStyle w:val="16"/>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技术宣传指导：依托农用地安全利用村级服务站加强对项目实施区域内及周边安全利用类、严格管控类耕地区域涉及的农户进行技术宣传指导，有针对性的为农业生产从业者提供农用地安全利用技术落地需要的指导、宣传及物资等服务。项目实施区域内涉及的水稻生产经营主体基本要接受技术指导，项目区域外的优先对科技示范户、种植大户、家庭农场等人员进行指导，重点指导水稻种植户推广低积累品种替代、土壤调理、水分管理、叶面阻隔等农用地安全利用技术，使农业生产者掌握技术并能自行实施，对接受指导的农户要进行登记造册。同时，根据项目实施进度合理安排在水稻生产各个环节采取相应技术措施的时间，相应时间节点需在现场设置专人讲解采取措施的作用和意义，保证有一定数量的农民群众到现场学习实操。</w:t>
            </w:r>
          </w:p>
          <w:p w14:paraId="46767728">
            <w:pPr>
              <w:pStyle w:val="16"/>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4.做好稻谷测产</w:t>
            </w:r>
          </w:p>
          <w:p w14:paraId="321866B9">
            <w:pPr>
              <w:pStyle w:val="16"/>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将在水稻成熟后进行田间测产，调查亩有效穗数、每穗实粒数、千粒重等产量构成因素并计算实际亩产，同时要求详细记录数据并与对照区对比分析，形成完整的测产报告。</w:t>
            </w:r>
          </w:p>
          <w:p w14:paraId="0C412C3A">
            <w:pPr>
              <w:pStyle w:val="16"/>
              <w:keepNext w:val="0"/>
              <w:keepLines w:val="0"/>
              <w:pageBreakBefore w:val="0"/>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四、项目验收、费用支付及资料报备</w:t>
            </w:r>
          </w:p>
          <w:p w14:paraId="65F17788">
            <w:pPr>
              <w:pStyle w:val="84"/>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（一）项目验收</w:t>
            </w:r>
          </w:p>
          <w:p w14:paraId="77DF2ED4">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1.实施面积验收</w:t>
            </w:r>
          </w:p>
          <w:p w14:paraId="495CE0C5">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由监理单位确认“叶面阻隔”+技术措施实际实施的具体地块及面积，在玉林市农业农村局监督指导下，做好项目实施所到具体地块及面积与受污染耕地比对符合度核验确认有关工作。</w:t>
            </w:r>
          </w:p>
          <w:p w14:paraId="56B5771F">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a.面积核验确认办法</w:t>
            </w:r>
          </w:p>
          <w:p w14:paraId="034039F5">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对措施实际实施的具体地块及面积进行确认，即采取的技术措施覆盖到的地块（属于受污染耕地范围且目前继续种植水稻的地块，才能算为实施所到地块）及面积，即为核验确认面积。</w:t>
            </w:r>
          </w:p>
          <w:p w14:paraId="2E9F3A92">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b.符合度核验办法</w:t>
            </w:r>
          </w:p>
          <w:p w14:paraId="76448EFB">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实施方通过技术措施落实过程中，由监理方确认的地块，并对确认地块的信息数据进行矢量化（大地2000坐标系）。在玉林市农业农村局的指导监督下，北流市农业农村局做好项目实施矢量数据与受污染耕地矢量数据进行叠加分析，计算确认符合要求的地块并统计面积。</w:t>
            </w:r>
          </w:p>
          <w:p w14:paraId="281B3012">
            <w:pPr>
              <w:pStyle w:val="42"/>
              <w:keepNext w:val="0"/>
              <w:keepLines w:val="0"/>
              <w:pageBreakBefore w:val="0"/>
              <w:widowControl/>
              <w:suppressLineNumbers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2.水稻产量测定</w:t>
            </w:r>
          </w:p>
          <w:p w14:paraId="19FF0F0D">
            <w:pPr>
              <w:pStyle w:val="42"/>
              <w:keepNext w:val="0"/>
              <w:keepLines w:val="0"/>
              <w:pageBreakBefore w:val="0"/>
              <w:widowControl/>
              <w:suppressLineNumbers w:val="0"/>
              <w:kinsoku/>
              <w:wordWrap/>
              <w:overflowPunct/>
              <w:topLinePunct w:val="0"/>
              <w:bidi w:val="0"/>
              <w:adjustRightInd/>
              <w:snapToGrid/>
              <w:spacing w:line="288" w:lineRule="auto"/>
              <w:ind w:firstLine="480"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项目区应开展稻谷产量测定工作，掌握项目区水稻特别是镉低积累水稻产量水平和质量状况。水稻测产方法参照《全国粮食高产创建测产验收办法（试行）》（农办农〔</w:t>
            </w:r>
            <w:r>
              <w:rPr>
                <w:rFonts w:hint="default" w:ascii="宋体" w:hAnsi="宋体" w:eastAsia="宋体" w:cs="宋体"/>
                <w:b w:val="0"/>
                <w:bCs/>
                <w:color w:val="auto"/>
                <w:kern w:val="2"/>
                <w:sz w:val="24"/>
                <w:szCs w:val="24"/>
                <w:highlight w:val="none"/>
                <w:lang w:val="en-US" w:eastAsia="zh-CN" w:bidi="ar-SA"/>
              </w:rPr>
              <w:t>2008</w:t>
            </w:r>
            <w:r>
              <w:rPr>
                <w:rFonts w:hint="eastAsia" w:ascii="宋体" w:hAnsi="宋体" w:eastAsia="宋体" w:cs="宋体"/>
                <w:b w:val="0"/>
                <w:bCs/>
                <w:color w:val="auto"/>
                <w:kern w:val="2"/>
                <w:sz w:val="24"/>
                <w:szCs w:val="24"/>
                <w:highlight w:val="none"/>
                <w:lang w:val="en-US" w:eastAsia="zh-CN" w:bidi="ar-SA"/>
              </w:rPr>
              <w:t>〕</w:t>
            </w:r>
            <w:r>
              <w:rPr>
                <w:rFonts w:hint="default" w:ascii="宋体" w:hAnsi="宋体" w:eastAsia="宋体" w:cs="宋体"/>
                <w:b w:val="0"/>
                <w:bCs/>
                <w:color w:val="auto"/>
                <w:kern w:val="2"/>
                <w:sz w:val="24"/>
                <w:szCs w:val="24"/>
                <w:highlight w:val="none"/>
                <w:lang w:val="en-US" w:eastAsia="zh-CN" w:bidi="ar-SA"/>
              </w:rPr>
              <w:t>82</w:t>
            </w:r>
            <w:r>
              <w:rPr>
                <w:rFonts w:hint="eastAsia" w:ascii="宋体" w:hAnsi="宋体" w:eastAsia="宋体" w:cs="宋体"/>
                <w:b w:val="0"/>
                <w:bCs/>
                <w:color w:val="auto"/>
                <w:kern w:val="2"/>
                <w:sz w:val="24"/>
                <w:szCs w:val="24"/>
                <w:highlight w:val="none"/>
                <w:lang w:val="en-US" w:eastAsia="zh-CN" w:bidi="ar-SA"/>
              </w:rPr>
              <w:t>号）实收测产方法进行。</w:t>
            </w:r>
          </w:p>
          <w:p w14:paraId="1459AD19">
            <w:pPr>
              <w:pStyle w:val="84"/>
              <w:keepNext w:val="0"/>
              <w:keepLines w:val="0"/>
              <w:pageBreakBefore w:val="0"/>
              <w:kinsoku/>
              <w:wordWrap/>
              <w:overflowPunct/>
              <w:topLinePunct w:val="0"/>
              <w:bidi w:val="0"/>
              <w:adjustRightInd/>
              <w:snapToGrid/>
              <w:spacing w:line="288" w:lineRule="auto"/>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（二）项目整体验收</w:t>
            </w:r>
          </w:p>
          <w:p w14:paraId="3478CA60">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完成规模验收后，由北流市农业农村局组织经玉林市农业农村局审核同意的相关单位或者专家，召开合同（工作）验收会，核验检测结果，确认项目实施面积和培训人员数量造册情况，照合同逐个指标进行验收。</w:t>
            </w:r>
          </w:p>
          <w:p w14:paraId="521C9E06">
            <w:pPr>
              <w:pStyle w:val="84"/>
              <w:keepNext w:val="0"/>
              <w:keepLines w:val="0"/>
              <w:pageBreakBefore w:val="0"/>
              <w:kinsoku/>
              <w:wordWrap/>
              <w:overflowPunct/>
              <w:topLinePunct w:val="0"/>
              <w:bidi w:val="0"/>
              <w:adjustRightInd/>
              <w:snapToGrid/>
              <w:spacing w:line="288" w:lineRule="auto"/>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（三）项目款结算办法</w:t>
            </w:r>
          </w:p>
          <w:p w14:paraId="16F3F9B5">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按照《广西壮族自治区财政厅关于持续优化政府采购营商环境推动高质量发展的通知》（桂财采〔2024〕55号）精神要求，项目款结算可采取拨付预付款（在签订委托合同（协议）并进场实际开工后，可拨付不超过合同金额30%的预付款）及分段验收、分批支付的方式，加快资金拨付。</w:t>
            </w:r>
          </w:p>
          <w:p w14:paraId="44F8C630">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按合同完成各项措施落地及面积确认和宣传指导目标任务，并完成阶段性验收核验的，可拨付至项目中标金额的70%。</w:t>
            </w:r>
          </w:p>
          <w:p w14:paraId="5B66F614">
            <w:pPr>
              <w:pStyle w:val="84"/>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项目区产品（稻谷）质量（重金属）合格率结果出来后，并完成项目整体验收，按以下规则拨付剩余项目资金：</w:t>
            </w:r>
          </w:p>
          <w:p w14:paraId="0AC2ED67">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（1）产品合格率：≥93%，可以结算全部剩余项目资金（项目中标金额的30%）。</w:t>
            </w:r>
          </w:p>
          <w:p w14:paraId="74DAAC2A">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（2）产品合格率：60%（含）—93%（不含），可以结算30%项目中标金额×实际产品合格率÷93%的款项。</w:t>
            </w:r>
          </w:p>
          <w:p w14:paraId="371613EF">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（3）产品合格率：小于60%（不含），不再支付剩余款额。</w:t>
            </w:r>
          </w:p>
          <w:p w14:paraId="0E802CA5">
            <w:pPr>
              <w:pStyle w:val="84"/>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（四）验收资料备案</w:t>
            </w:r>
          </w:p>
          <w:p w14:paraId="1AA61ECE">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项目合同验收结束后，北流市农业农村局及时收集整理项目合同验收材料、支付凭证复印件、北流市农业农村局与实施方的项目工作总结（含技术总结）报玉林市农业农村局（玉林市农业生态和耕地质量保护中心）。</w:t>
            </w:r>
          </w:p>
        </w:tc>
      </w:tr>
      <w:tr w14:paraId="1C828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top"/>
          </w:tcPr>
          <w:p w14:paraId="330ECF4B">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lang w:eastAsia="zh-CN"/>
              </w:rPr>
              <w:t>一、商务要求▲</w:t>
            </w:r>
          </w:p>
        </w:tc>
      </w:tr>
      <w:tr w14:paraId="64242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0DF01454">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实施的期限和</w:t>
            </w:r>
          </w:p>
          <w:p w14:paraId="366DADEC">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地点</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7E4C6D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rPr>
              <w:t>实施的期限：</w:t>
            </w:r>
            <w:r>
              <w:rPr>
                <w:rFonts w:hint="eastAsia" w:ascii="宋体" w:hAnsi="宋体" w:cs="宋体"/>
                <w:b w:val="0"/>
                <w:bCs/>
                <w:color w:val="auto"/>
                <w:sz w:val="24"/>
                <w:szCs w:val="24"/>
                <w:highlight w:val="none"/>
                <w:lang w:val="en-US" w:eastAsia="zh-CN"/>
              </w:rPr>
              <w:t>2026年12月20日前，完成项目验收资料备案工作报玉林市农业农村局（玉林市农业生态和耕地质量保护中心）</w:t>
            </w:r>
            <w:r>
              <w:rPr>
                <w:rFonts w:hint="eastAsia" w:ascii="宋体" w:hAnsi="宋体" w:cs="宋体"/>
                <w:b w:val="0"/>
                <w:bCs/>
                <w:color w:val="auto"/>
                <w:sz w:val="24"/>
                <w:szCs w:val="24"/>
                <w:highlight w:val="none"/>
              </w:rPr>
              <w:t>。</w:t>
            </w:r>
          </w:p>
          <w:p w14:paraId="3FEE907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bCs w:val="0"/>
                <w:color w:val="auto"/>
                <w:sz w:val="24"/>
                <w:szCs w:val="24"/>
                <w:highlight w:val="none"/>
              </w:rPr>
            </w:pPr>
            <w:r>
              <w:rPr>
                <w:rFonts w:hint="eastAsia" w:ascii="宋体" w:hAnsi="宋体" w:cs="宋体"/>
                <w:b w:val="0"/>
                <w:bCs/>
                <w:color w:val="auto"/>
                <w:sz w:val="24"/>
                <w:szCs w:val="24"/>
                <w:highlight w:val="none"/>
              </w:rPr>
              <w:t>2</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rPr>
              <w:t>实施的地点：</w:t>
            </w:r>
            <w:r>
              <w:rPr>
                <w:rFonts w:hint="eastAsia" w:ascii="宋体" w:hAnsi="宋体" w:cs="宋体"/>
                <w:b w:val="0"/>
                <w:bCs/>
                <w:color w:val="auto"/>
                <w:sz w:val="24"/>
                <w:szCs w:val="24"/>
                <w:highlight w:val="none"/>
                <w:lang w:eastAsia="zh-CN"/>
              </w:rPr>
              <w:t>采购人</w:t>
            </w:r>
            <w:r>
              <w:rPr>
                <w:rFonts w:hint="eastAsia" w:ascii="宋体" w:hAnsi="宋体" w:cs="宋体"/>
                <w:b w:val="0"/>
                <w:bCs/>
                <w:color w:val="auto"/>
                <w:sz w:val="24"/>
                <w:szCs w:val="24"/>
                <w:highlight w:val="none"/>
              </w:rPr>
              <w:t>指定地点。</w:t>
            </w:r>
          </w:p>
        </w:tc>
      </w:tr>
      <w:tr w14:paraId="5F1BB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3EA34A26">
            <w:pPr>
              <w:keepNext w:val="0"/>
              <w:keepLines w:val="0"/>
              <w:pageBreakBefore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CAFB1B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val="0"/>
                <w:color w:val="auto"/>
                <w:sz w:val="24"/>
                <w:szCs w:val="24"/>
                <w:highlight w:val="none"/>
              </w:rPr>
            </w:pPr>
            <w:r>
              <w:rPr>
                <w:rFonts w:hint="eastAsia" w:ascii="宋体" w:hAnsi="宋体" w:cs="宋体"/>
                <w:b w:val="0"/>
                <w:bCs/>
                <w:color w:val="auto"/>
                <w:sz w:val="24"/>
                <w:szCs w:val="24"/>
                <w:highlight w:val="none"/>
              </w:rPr>
              <w:t xml:space="preserve">自中标通知书发出之日起 </w:t>
            </w:r>
            <w:r>
              <w:rPr>
                <w:rFonts w:hint="eastAsia" w:ascii="宋体" w:hAnsi="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25</w:t>
            </w:r>
            <w:r>
              <w:rPr>
                <w:rFonts w:hint="eastAsia" w:ascii="宋体" w:hAnsi="宋体" w:cs="宋体"/>
                <w:b w:val="0"/>
                <w:bCs/>
                <w:color w:val="auto"/>
                <w:sz w:val="24"/>
                <w:szCs w:val="24"/>
                <w:highlight w:val="none"/>
                <w:u w:val="single"/>
              </w:rPr>
              <w:t xml:space="preserve"> </w:t>
            </w:r>
            <w:r>
              <w:rPr>
                <w:rFonts w:hint="eastAsia" w:ascii="宋体" w:hAnsi="宋体" w:cs="宋体"/>
                <w:b w:val="0"/>
                <w:bCs/>
                <w:color w:val="auto"/>
                <w:sz w:val="24"/>
                <w:szCs w:val="24"/>
                <w:highlight w:val="none"/>
              </w:rPr>
              <w:t>日内</w:t>
            </w:r>
          </w:p>
        </w:tc>
      </w:tr>
      <w:tr w14:paraId="67C46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7EDC62B8">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付款条件</w:t>
            </w:r>
          </w:p>
          <w:p w14:paraId="1CAEA263">
            <w:pPr>
              <w:keepNext w:val="0"/>
              <w:keepLines w:val="0"/>
              <w:pageBreakBefore w:val="0"/>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（进度和方式）</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72EBD5E9">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按照《广西壮族自治区财政厅关于持续优化政府采购营商环境推动高质量发展的通知》（桂财采〔2024〕55号）精神要求，项目款结算可采取拨付预付款（在签订委托合同（协议）并进场实际开工后，可拨付不超过合同金额30%的预付款）及分段验收、分批支付的方式，加快资金拨付。</w:t>
            </w:r>
          </w:p>
          <w:p w14:paraId="068AA856">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按合同完成各项措施落地及面积确认和宣传指导目标任务，并完成阶段性验收核验的，可拨付至项目中标金额的70%。</w:t>
            </w:r>
          </w:p>
          <w:p w14:paraId="2047055D">
            <w:pPr>
              <w:pStyle w:val="84"/>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项目区产品（稻谷）质量（重金属）合格率结果出来后，并完成项目整体验收，按以下规则拨付剩余项目资金：</w:t>
            </w:r>
          </w:p>
          <w:p w14:paraId="111DCDC1">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（1）产品合格率：≥93%，可以结算全部剩余项目资金（项目中标金额的30%）。</w:t>
            </w:r>
          </w:p>
          <w:p w14:paraId="2DF6FE6D">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（2）产品合格率：60%（含）—93%（不含），可以结算30%项目中标金额×实际产品合格率÷93%的款项。</w:t>
            </w:r>
          </w:p>
          <w:p w14:paraId="4CA7472A">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（3）产品合格率：小于60%（不含），不再支付剩余款额</w:t>
            </w:r>
            <w:r>
              <w:rPr>
                <w:rFonts w:hint="eastAsia" w:ascii="宋体" w:hAnsi="宋体" w:eastAsia="宋体" w:cs="宋体"/>
                <w:b w:val="0"/>
                <w:bCs/>
                <w:color w:val="auto"/>
                <w:sz w:val="24"/>
                <w:szCs w:val="24"/>
                <w:highlight w:val="none"/>
                <w:lang w:val="en-US" w:eastAsia="zh-CN"/>
              </w:rPr>
              <w:t>。</w:t>
            </w:r>
          </w:p>
        </w:tc>
      </w:tr>
      <w:tr w14:paraId="5FDFF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327F9951">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售后技术服务</w:t>
            </w:r>
          </w:p>
          <w:p w14:paraId="768097C5">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B145F6B">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kern w:val="2"/>
                <w:sz w:val="24"/>
                <w:szCs w:val="24"/>
                <w:highlight w:val="none"/>
                <w:lang w:val="en-US" w:eastAsia="zh-CN" w:bidi="ar-SA"/>
              </w:rPr>
              <w:t>1.</w:t>
            </w:r>
            <w:r>
              <w:rPr>
                <w:rFonts w:hint="eastAsia" w:ascii="宋体" w:hAnsi="宋体" w:cs="宋体"/>
                <w:b w:val="0"/>
                <w:bCs/>
                <w:color w:val="auto"/>
                <w:sz w:val="24"/>
                <w:szCs w:val="24"/>
                <w:highlight w:val="none"/>
              </w:rPr>
              <w:t>中标人应严格按</w:t>
            </w:r>
            <w:r>
              <w:rPr>
                <w:rFonts w:hint="eastAsia" w:ascii="宋体" w:hAnsi="宋体" w:cs="宋体"/>
                <w:b w:val="0"/>
                <w:bCs/>
                <w:color w:val="auto"/>
                <w:sz w:val="24"/>
                <w:szCs w:val="24"/>
                <w:highlight w:val="none"/>
                <w:lang w:eastAsia="zh-CN"/>
              </w:rPr>
              <w:t>照投标文件要求做好项目售后服务，直至项目整体验收完毕为止</w:t>
            </w:r>
            <w:r>
              <w:rPr>
                <w:rFonts w:hint="eastAsia" w:ascii="宋体" w:hAnsi="宋体" w:cs="宋体"/>
                <w:b w:val="0"/>
                <w:bCs/>
                <w:color w:val="auto"/>
                <w:sz w:val="24"/>
                <w:szCs w:val="24"/>
                <w:highlight w:val="none"/>
              </w:rPr>
              <w:t>，由此产生的一切费用由</w:t>
            </w:r>
            <w:r>
              <w:rPr>
                <w:rFonts w:hint="eastAsia" w:ascii="宋体" w:hAnsi="宋体" w:cs="宋体"/>
                <w:b w:val="0"/>
                <w:bCs/>
                <w:color w:val="auto"/>
                <w:sz w:val="24"/>
                <w:szCs w:val="24"/>
                <w:highlight w:val="none"/>
                <w:lang w:eastAsia="zh-CN"/>
              </w:rPr>
              <w:t>中标人</w:t>
            </w:r>
            <w:r>
              <w:rPr>
                <w:rFonts w:hint="eastAsia" w:ascii="宋体" w:hAnsi="宋体" w:cs="宋体"/>
                <w:b w:val="0"/>
                <w:bCs/>
                <w:color w:val="auto"/>
                <w:sz w:val="24"/>
                <w:szCs w:val="24"/>
                <w:highlight w:val="none"/>
              </w:rPr>
              <w:t xml:space="preserve">负责。 </w:t>
            </w:r>
          </w:p>
          <w:p w14:paraId="2A9E5F97">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kern w:val="2"/>
                <w:sz w:val="24"/>
                <w:szCs w:val="24"/>
                <w:highlight w:val="none"/>
                <w:lang w:val="en-US" w:eastAsia="zh-CN" w:bidi="ar-SA"/>
              </w:rPr>
              <w:t>2.</w:t>
            </w:r>
            <w:r>
              <w:rPr>
                <w:rFonts w:hint="eastAsia" w:ascii="宋体" w:hAnsi="宋体" w:cs="宋体"/>
                <w:b w:val="0"/>
                <w:bCs/>
                <w:color w:val="auto"/>
                <w:sz w:val="24"/>
                <w:szCs w:val="24"/>
                <w:highlight w:val="none"/>
              </w:rPr>
              <w:t>处理问题响应时间：接到采购人处理问题通知后24小时内到达采购人指定现场。</w:t>
            </w:r>
          </w:p>
          <w:p w14:paraId="63D846B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rPr>
              <w:t>中标人必须配合采购人完成整体项目的验收。</w:t>
            </w:r>
          </w:p>
        </w:tc>
      </w:tr>
      <w:tr w14:paraId="688DE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5884D859">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服务标准</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28FE990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b w:val="0"/>
                <w:bCs/>
                <w:color w:val="auto"/>
                <w:sz w:val="24"/>
                <w:szCs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75CF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607CE264">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b/>
                <w:bCs w:val="0"/>
                <w:color w:val="auto"/>
                <w:kern w:val="2"/>
                <w:sz w:val="24"/>
                <w:szCs w:val="24"/>
                <w:highlight w:val="none"/>
                <w:lang w:val="en-US" w:eastAsia="zh-CN" w:bidi="ar-SA"/>
              </w:rPr>
            </w:pPr>
            <w:r>
              <w:rPr>
                <w:rFonts w:hint="eastAsia" w:ascii="宋体" w:hAnsi="宋体"/>
                <w:b/>
                <w:bCs w:val="0"/>
                <w:color w:val="auto"/>
                <w:sz w:val="24"/>
                <w:szCs w:val="24"/>
                <w:highlight w:val="none"/>
              </w:rPr>
              <w:t>验收标准及要</w:t>
            </w:r>
            <w:r>
              <w:rPr>
                <w:rFonts w:hint="eastAsia" w:ascii="宋体" w:hAnsi="宋体"/>
                <w:b/>
                <w:bCs w:val="0"/>
                <w:color w:val="auto"/>
                <w:sz w:val="24"/>
                <w:szCs w:val="24"/>
                <w:highlight w:val="none"/>
                <w:lang w:eastAsia="zh-CN"/>
              </w:rPr>
              <w:t>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0EA56C9F">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val="0"/>
                <w:bCs/>
                <w:color w:val="auto"/>
                <w:sz w:val="24"/>
                <w:szCs w:val="24"/>
                <w:highlight w:val="none"/>
              </w:rPr>
            </w:pPr>
            <w:r>
              <w:rPr>
                <w:rFonts w:hint="eastAsia" w:ascii="宋体" w:hAnsi="宋体"/>
                <w:b w:val="0"/>
                <w:bCs/>
                <w:color w:val="auto"/>
                <w:sz w:val="24"/>
                <w:szCs w:val="24"/>
                <w:highlight w:val="none"/>
              </w:rPr>
              <w:t>1</w:t>
            </w:r>
            <w:r>
              <w:rPr>
                <w:rFonts w:ascii="宋体" w:hAnsi="宋体"/>
                <w:b w:val="0"/>
                <w:bCs/>
                <w:color w:val="auto"/>
                <w:sz w:val="24"/>
                <w:szCs w:val="24"/>
                <w:highlight w:val="none"/>
              </w:rPr>
              <w:t>.</w:t>
            </w:r>
            <w:r>
              <w:rPr>
                <w:rFonts w:hint="eastAsia" w:ascii="宋体" w:hAnsi="宋体" w:cs="宋体"/>
                <w:b w:val="0"/>
                <w:bCs/>
                <w:color w:val="auto"/>
                <w:sz w:val="24"/>
                <w:szCs w:val="24"/>
                <w:highlight w:val="none"/>
              </w:rPr>
              <w:t>中标</w:t>
            </w:r>
            <w:r>
              <w:rPr>
                <w:rFonts w:hint="eastAsia" w:ascii="宋体" w:hAnsi="宋体" w:cs="宋体"/>
                <w:b w:val="0"/>
                <w:bCs/>
                <w:color w:val="auto"/>
                <w:sz w:val="24"/>
                <w:szCs w:val="24"/>
                <w:highlight w:val="none"/>
                <w:lang w:eastAsia="zh-CN"/>
              </w:rPr>
              <w:t>人</w:t>
            </w:r>
            <w:r>
              <w:rPr>
                <w:rFonts w:hint="eastAsia" w:ascii="宋体" w:hAnsi="宋体" w:cs="宋体"/>
                <w:b w:val="0"/>
                <w:bCs/>
                <w:color w:val="auto"/>
                <w:sz w:val="24"/>
                <w:szCs w:val="24"/>
                <w:highlight w:val="none"/>
              </w:rPr>
              <w:t>向采购人提供的所有涉及成果资料必须符合国家、广西</w:t>
            </w:r>
            <w:r>
              <w:rPr>
                <w:rFonts w:hint="eastAsia" w:ascii="宋体" w:hAnsi="宋体" w:cs="宋体"/>
                <w:b w:val="0"/>
                <w:bCs/>
                <w:color w:val="auto"/>
                <w:sz w:val="24"/>
                <w:szCs w:val="24"/>
                <w:highlight w:val="none"/>
                <w:lang w:val="en-US" w:eastAsia="zh-CN"/>
              </w:rPr>
              <w:t>玉林</w:t>
            </w:r>
            <w:r>
              <w:rPr>
                <w:rFonts w:hint="eastAsia" w:ascii="宋体" w:hAnsi="宋体" w:cs="宋体"/>
                <w:b w:val="0"/>
                <w:bCs/>
                <w:color w:val="auto"/>
                <w:sz w:val="24"/>
                <w:szCs w:val="24"/>
                <w:highlight w:val="none"/>
              </w:rPr>
              <w:t>市的最新规范及要求</w:t>
            </w:r>
            <w:r>
              <w:rPr>
                <w:rFonts w:hint="eastAsia" w:ascii="宋体" w:hAnsi="宋体"/>
                <w:b w:val="0"/>
                <w:bCs/>
                <w:color w:val="auto"/>
                <w:sz w:val="24"/>
                <w:szCs w:val="24"/>
                <w:highlight w:val="none"/>
              </w:rPr>
              <w:t>。</w:t>
            </w:r>
          </w:p>
          <w:p w14:paraId="2C77978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 w:val="0"/>
                <w:bCs/>
                <w:color w:val="auto"/>
                <w:sz w:val="24"/>
                <w:szCs w:val="24"/>
                <w:highlight w:val="none"/>
              </w:rPr>
            </w:pPr>
            <w:r>
              <w:rPr>
                <w:rFonts w:ascii="宋体" w:hAnsi="宋体"/>
                <w:b w:val="0"/>
                <w:bCs/>
                <w:color w:val="auto"/>
                <w:sz w:val="24"/>
                <w:szCs w:val="24"/>
                <w:highlight w:val="none"/>
              </w:rPr>
              <w:t>2</w:t>
            </w:r>
            <w:r>
              <w:rPr>
                <w:rFonts w:hint="eastAsia" w:ascii="宋体" w:hAnsi="宋体"/>
                <w:b w:val="0"/>
                <w:bCs/>
                <w:color w:val="auto"/>
                <w:sz w:val="24"/>
                <w:szCs w:val="24"/>
                <w:highlight w:val="none"/>
              </w:rPr>
              <w:t>.验收过程中所产生的一切费用均由中标人承担。报价时应考虑相关费用。</w:t>
            </w:r>
          </w:p>
          <w:p w14:paraId="22A6664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 w:val="0"/>
                <w:bCs/>
                <w:color w:val="auto"/>
                <w:sz w:val="24"/>
                <w:szCs w:val="24"/>
                <w:highlight w:val="none"/>
              </w:rPr>
            </w:pPr>
            <w:r>
              <w:rPr>
                <w:rFonts w:ascii="宋体" w:hAnsi="宋体"/>
                <w:b w:val="0"/>
                <w:bCs/>
                <w:color w:val="auto"/>
                <w:sz w:val="24"/>
                <w:szCs w:val="24"/>
                <w:highlight w:val="none"/>
              </w:rPr>
              <w:t>3</w:t>
            </w:r>
            <w:r>
              <w:rPr>
                <w:rFonts w:hint="eastAsia" w:ascii="宋体" w:hAnsi="宋体"/>
                <w:b w:val="0"/>
                <w:bCs/>
                <w:color w:val="auto"/>
                <w:sz w:val="24"/>
                <w:szCs w:val="24"/>
                <w:highlight w:val="none"/>
              </w:rPr>
              <w:t>.采购人根据工作实际所需环节组织验收，中标人必须到场配合，验收合格后双方签署验收合格凭证。</w:t>
            </w:r>
          </w:p>
          <w:p w14:paraId="68CE1A3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b w:val="0"/>
                <w:bCs/>
                <w:color w:val="auto"/>
                <w:sz w:val="24"/>
                <w:szCs w:val="24"/>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85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14:paraId="0E6DBC88">
            <w:pPr>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bCs w:val="0"/>
                <w:color w:val="auto"/>
                <w:sz w:val="24"/>
                <w:szCs w:val="24"/>
                <w:highlight w:val="none"/>
              </w:rPr>
              <w:t>二、与实现项目目标相关的其他要求</w:t>
            </w:r>
          </w:p>
        </w:tc>
      </w:tr>
      <w:tr w14:paraId="57A1E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14:paraId="7EA1088D">
            <w:pPr>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bCs w:val="0"/>
                <w:color w:val="auto"/>
                <w:sz w:val="24"/>
                <w:szCs w:val="24"/>
                <w:highlight w:val="none"/>
              </w:rPr>
              <w:t>（一）投标人的履约能力要求</w:t>
            </w:r>
          </w:p>
        </w:tc>
      </w:tr>
      <w:tr w14:paraId="79B0D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45304D36">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39B2C397">
            <w:pPr>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见本采购文件第四章“评标方法及评标标准”。</w:t>
            </w:r>
          </w:p>
        </w:tc>
      </w:tr>
      <w:tr w14:paraId="55EE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14D62015">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质量管理体系</w:t>
            </w:r>
          </w:p>
          <w:p w14:paraId="2A27A634">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58A01462">
            <w:pPr>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如有，请于投标文件中自行提供。</w:t>
            </w:r>
          </w:p>
        </w:tc>
      </w:tr>
      <w:tr w14:paraId="073D1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7F9EA04F">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noWrap w:val="0"/>
            <w:vAlign w:val="center"/>
          </w:tcPr>
          <w:p w14:paraId="6CFB3500">
            <w:pPr>
              <w:keepNext w:val="0"/>
              <w:keepLines w:val="0"/>
              <w:pageBreakBefore w:val="0"/>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olor w:val="auto"/>
                <w:sz w:val="24"/>
                <w:szCs w:val="24"/>
                <w:highlight w:val="none"/>
              </w:rPr>
              <w:t>如有，请于投标文件中自行提供。</w:t>
            </w:r>
          </w:p>
        </w:tc>
      </w:tr>
      <w:tr w14:paraId="3053A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14:paraId="73F6652C">
            <w:pPr>
              <w:keepNext w:val="0"/>
              <w:keepLines w:val="0"/>
              <w:pageBreakBefore w:val="0"/>
              <w:numPr>
                <w:ilvl w:val="0"/>
                <w:numId w:val="7"/>
              </w:numPr>
              <w:kinsoku/>
              <w:wordWrap/>
              <w:overflowPunct/>
              <w:topLinePunct w:val="0"/>
              <w:bidi w:val="0"/>
              <w:adjustRightInd/>
              <w:snapToGrid/>
              <w:spacing w:line="288" w:lineRule="auto"/>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其他要求：</w:t>
            </w:r>
          </w:p>
          <w:p w14:paraId="4D8C636B">
            <w:pPr>
              <w:keepNext w:val="0"/>
              <w:keepLines w:val="0"/>
              <w:pageBreakBefore w:val="0"/>
              <w:numPr>
                <w:ilvl w:val="0"/>
                <w:numId w:val="0"/>
              </w:numPr>
              <w:kinsoku/>
              <w:wordWrap/>
              <w:overflowPunct/>
              <w:topLinePunct w:val="0"/>
              <w:bidi w:val="0"/>
              <w:adjustRightInd/>
              <w:snapToGrid/>
              <w:spacing w:line="288" w:lineRule="auto"/>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rPr>
              <w:t>投标人</w:t>
            </w:r>
            <w:r>
              <w:rPr>
                <w:rFonts w:hint="eastAsia" w:ascii="宋体" w:hAnsi="宋体" w:cs="宋体"/>
                <w:b w:val="0"/>
                <w:bCs/>
                <w:color w:val="auto"/>
                <w:sz w:val="24"/>
                <w:szCs w:val="24"/>
                <w:highlight w:val="none"/>
                <w:lang w:eastAsia="zh-CN"/>
              </w:rPr>
              <w:t>在投标文件中必须提供针对本项目的技术方案（可包括但不限于项目需求分析</w:t>
            </w:r>
            <w:r>
              <w:rPr>
                <w:rFonts w:hint="eastAsia" w:ascii="宋体" w:hAnsi="宋体" w:cs="宋体"/>
                <w:b w:val="0"/>
                <w:bCs/>
                <w:color w:val="auto"/>
                <w:sz w:val="24"/>
                <w:szCs w:val="24"/>
                <w:highlight w:val="none"/>
              </w:rPr>
              <w:t>、质量保障措施、项目实施方案及对本工作的合理化建议等内容）及服务承诺。</w:t>
            </w:r>
          </w:p>
          <w:p w14:paraId="2A6785D5">
            <w:pPr>
              <w:pStyle w:val="84"/>
              <w:keepNext w:val="0"/>
              <w:keepLines w:val="0"/>
              <w:pageBreakBefore w:val="0"/>
              <w:numPr>
                <w:ilvl w:val="0"/>
                <w:numId w:val="0"/>
              </w:numPr>
              <w:kinsoku/>
              <w:wordWrap/>
              <w:overflowPunct/>
              <w:topLinePunct w:val="0"/>
              <w:bidi w:val="0"/>
              <w:adjustRightInd/>
              <w:snapToGrid/>
              <w:spacing w:line="288" w:lineRule="auto"/>
              <w:textAlignment w:val="auto"/>
              <w:rPr>
                <w:rFonts w:hint="eastAsia"/>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如有，请提供</w:t>
            </w:r>
            <w:r>
              <w:rPr>
                <w:rFonts w:hint="eastAsia" w:ascii="宋体" w:hAnsi="宋体"/>
                <w:color w:val="auto"/>
                <w:sz w:val="24"/>
                <w:szCs w:val="24"/>
                <w:highlight w:val="none"/>
                <w:lang w:eastAsia="zh-CN"/>
              </w:rPr>
              <w:t>主要人员配备情况</w:t>
            </w:r>
            <w:r>
              <w:rPr>
                <w:rFonts w:hint="eastAsia" w:ascii="宋体" w:hAnsi="宋体"/>
                <w:color w:val="auto"/>
                <w:sz w:val="24"/>
                <w:szCs w:val="24"/>
                <w:highlight w:val="none"/>
              </w:rPr>
              <w:t>或业绩证明。</w:t>
            </w:r>
          </w:p>
        </w:tc>
      </w:tr>
    </w:tbl>
    <w:p w14:paraId="3EB51823">
      <w:pPr>
        <w:widowControl/>
        <w:jc w:val="left"/>
        <w:rPr>
          <w:rFonts w:hint="eastAsia" w:ascii="黑体" w:hAnsi="黑体" w:eastAsia="黑体" w:cs="黑体"/>
          <w:color w:val="auto"/>
          <w:sz w:val="32"/>
          <w:szCs w:val="32"/>
          <w:highlight w:val="none"/>
        </w:rPr>
      </w:pPr>
      <w:bookmarkStart w:id="34" w:name="_Toc15498"/>
    </w:p>
    <w:p w14:paraId="4E6BE4B3">
      <w:pPr>
        <w:widowControl/>
        <w:jc w:val="left"/>
        <w:rPr>
          <w:rFonts w:hint="eastAsia" w:ascii="黑体" w:hAnsi="黑体" w:eastAsia="黑体" w:cs="黑体"/>
          <w:color w:val="auto"/>
          <w:sz w:val="32"/>
          <w:szCs w:val="32"/>
          <w:highlight w:val="none"/>
        </w:rPr>
      </w:pPr>
    </w:p>
    <w:p w14:paraId="07470A3E">
      <w:pPr>
        <w:widowControl/>
        <w:jc w:val="left"/>
        <w:rPr>
          <w:rFonts w:hint="eastAsia" w:ascii="黑体" w:hAnsi="黑体" w:eastAsia="黑体" w:cs="黑体"/>
          <w:color w:val="auto"/>
          <w:sz w:val="32"/>
          <w:szCs w:val="32"/>
          <w:highlight w:val="none"/>
        </w:rPr>
      </w:pPr>
    </w:p>
    <w:p w14:paraId="488C87F6">
      <w:pPr>
        <w:widowControl/>
        <w:jc w:val="left"/>
        <w:rPr>
          <w:rFonts w:hint="eastAsia" w:ascii="黑体" w:hAnsi="黑体" w:eastAsia="黑体" w:cs="黑体"/>
          <w:color w:val="auto"/>
          <w:sz w:val="32"/>
          <w:szCs w:val="32"/>
          <w:highlight w:val="none"/>
        </w:rPr>
      </w:pPr>
    </w:p>
    <w:p w14:paraId="36028AC8">
      <w:pPr>
        <w:widowControl/>
        <w:jc w:val="left"/>
        <w:rPr>
          <w:rFonts w:hint="eastAsia" w:ascii="黑体" w:hAnsi="黑体" w:eastAsia="黑体" w:cs="黑体"/>
          <w:color w:val="auto"/>
          <w:sz w:val="32"/>
          <w:szCs w:val="32"/>
          <w:highlight w:val="none"/>
        </w:rPr>
      </w:pPr>
    </w:p>
    <w:p w14:paraId="5082CB3C">
      <w:pPr>
        <w:widowControl/>
        <w:jc w:val="left"/>
        <w:rPr>
          <w:rFonts w:hint="eastAsia" w:ascii="黑体" w:hAnsi="黑体" w:eastAsia="黑体" w:cs="黑体"/>
          <w:color w:val="auto"/>
          <w:sz w:val="32"/>
          <w:szCs w:val="32"/>
          <w:highlight w:val="none"/>
        </w:rPr>
      </w:pPr>
    </w:p>
    <w:p w14:paraId="2E438F05">
      <w:pPr>
        <w:widowControl/>
        <w:jc w:val="left"/>
        <w:rPr>
          <w:rFonts w:hint="eastAsia" w:ascii="黑体" w:hAnsi="黑体" w:eastAsia="黑体" w:cs="黑体"/>
          <w:color w:val="auto"/>
          <w:sz w:val="32"/>
          <w:szCs w:val="32"/>
          <w:highlight w:val="none"/>
        </w:rPr>
      </w:pPr>
    </w:p>
    <w:p w14:paraId="3B1D442A">
      <w:pPr>
        <w:widowControl/>
        <w:jc w:val="left"/>
        <w:rPr>
          <w:rFonts w:hint="eastAsia" w:ascii="黑体" w:hAnsi="黑体" w:eastAsia="黑体" w:cs="黑体"/>
          <w:color w:val="auto"/>
          <w:sz w:val="32"/>
          <w:szCs w:val="32"/>
          <w:highlight w:val="none"/>
        </w:rPr>
      </w:pPr>
    </w:p>
    <w:p w14:paraId="5BB03EAE">
      <w:pPr>
        <w:widowControl/>
        <w:jc w:val="left"/>
        <w:rPr>
          <w:rFonts w:hint="eastAsia" w:ascii="黑体" w:hAnsi="黑体" w:eastAsia="黑体" w:cs="黑体"/>
          <w:color w:val="auto"/>
          <w:sz w:val="32"/>
          <w:szCs w:val="32"/>
          <w:highlight w:val="none"/>
        </w:rPr>
      </w:pPr>
    </w:p>
    <w:p w14:paraId="15B1CD11">
      <w:pPr>
        <w:widowControl/>
        <w:jc w:val="left"/>
        <w:rPr>
          <w:rFonts w:hint="eastAsia" w:ascii="黑体" w:hAnsi="黑体" w:eastAsia="黑体" w:cs="黑体"/>
          <w:color w:val="auto"/>
          <w:sz w:val="32"/>
          <w:szCs w:val="32"/>
          <w:highlight w:val="none"/>
        </w:rPr>
      </w:pPr>
    </w:p>
    <w:p w14:paraId="4507EC97">
      <w:pPr>
        <w:widowControl/>
        <w:jc w:val="left"/>
        <w:rPr>
          <w:rFonts w:hint="eastAsia" w:ascii="黑体" w:hAnsi="黑体" w:eastAsia="黑体" w:cs="黑体"/>
          <w:color w:val="auto"/>
          <w:sz w:val="32"/>
          <w:szCs w:val="32"/>
          <w:highlight w:val="none"/>
        </w:rPr>
      </w:pPr>
    </w:p>
    <w:p w14:paraId="703FD469">
      <w:pPr>
        <w:widowControl/>
        <w:jc w:val="left"/>
        <w:rPr>
          <w:rFonts w:hint="eastAsia" w:ascii="黑体" w:hAnsi="黑体" w:eastAsia="黑体" w:cs="黑体"/>
          <w:color w:val="auto"/>
          <w:sz w:val="32"/>
          <w:szCs w:val="32"/>
          <w:highlight w:val="none"/>
        </w:rPr>
      </w:pPr>
    </w:p>
    <w:p w14:paraId="7B31A23E">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71F3D84D">
      <w:pPr>
        <w:pStyle w:val="18"/>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中小企业划型标准规定</w:t>
      </w:r>
    </w:p>
    <w:p w14:paraId="735CDB04">
      <w:pPr>
        <w:pStyle w:val="18"/>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工信部联企业[2011]300号</w:t>
      </w:r>
    </w:p>
    <w:p w14:paraId="1C62643F">
      <w:pPr>
        <w:pStyle w:val="18"/>
        <w:rPr>
          <w:rFonts w:hint="eastAsia" w:ascii="宋体" w:hAnsi="宋体" w:eastAsia="宋体" w:cs="宋体"/>
          <w:color w:val="auto"/>
          <w:szCs w:val="21"/>
          <w:highlight w:val="none"/>
        </w:rPr>
      </w:pPr>
    </w:p>
    <w:p w14:paraId="272B8208">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一、根据《中华人民共和国中小企业促进法》和《国务院关于进一步促进中小企业发展的若干意见》(国发[2009]36号)，制定本规定。</w:t>
      </w:r>
    </w:p>
    <w:p w14:paraId="05D0AE82">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二、中小企业划分为</w:t>
      </w:r>
      <w:r>
        <w:rPr>
          <w:rFonts w:hint="eastAsia" w:ascii="宋体" w:hAnsi="宋体" w:eastAsia="宋体" w:cs="宋体"/>
          <w:b/>
          <w:bCs/>
          <w:color w:val="auto"/>
          <w:szCs w:val="21"/>
          <w:highlight w:val="none"/>
          <w:u w:val="single"/>
        </w:rPr>
        <w:t>中型、小型、微型</w:t>
      </w:r>
      <w:r>
        <w:rPr>
          <w:rFonts w:hint="eastAsia" w:ascii="宋体" w:hAnsi="宋体" w:eastAsia="宋体" w:cs="宋体"/>
          <w:color w:val="auto"/>
          <w:szCs w:val="21"/>
          <w:highlight w:val="none"/>
        </w:rPr>
        <w:t>三种类型，具体标准根据企业从业人员、营业收入、资产总额等指标，结合行业特点制定。</w:t>
      </w:r>
    </w:p>
    <w:p w14:paraId="386D32BA">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44E9C">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四、各行业划型标准为：</w:t>
      </w:r>
    </w:p>
    <w:tbl>
      <w:tblPr>
        <w:tblStyle w:val="49"/>
        <w:tblpPr w:leftFromText="180" w:rightFromText="180" w:vertAnchor="text" w:horzAnchor="page" w:tblpX="1270" w:tblpY="461"/>
        <w:tblOverlap w:val="never"/>
        <w:tblW w:w="9497" w:type="dxa"/>
        <w:tblInd w:w="0" w:type="dxa"/>
        <w:tblLayout w:type="fixed"/>
        <w:tblCellMar>
          <w:top w:w="0" w:type="dxa"/>
          <w:left w:w="108" w:type="dxa"/>
          <w:bottom w:w="0" w:type="dxa"/>
          <w:right w:w="108" w:type="dxa"/>
        </w:tblCellMar>
      </w:tblPr>
      <w:tblGrid>
        <w:gridCol w:w="1985"/>
        <w:gridCol w:w="1700"/>
        <w:gridCol w:w="1135"/>
        <w:gridCol w:w="1842"/>
        <w:gridCol w:w="1701"/>
        <w:gridCol w:w="1134"/>
      </w:tblGrid>
      <w:tr w14:paraId="082936B0">
        <w:tblPrEx>
          <w:tblCellMar>
            <w:top w:w="0" w:type="dxa"/>
            <w:left w:w="108" w:type="dxa"/>
            <w:bottom w:w="0" w:type="dxa"/>
            <w:right w:w="108" w:type="dxa"/>
          </w:tblCellMar>
        </w:tblPrEx>
        <w:trPr>
          <w:trHeight w:val="501" w:hRule="atLeast"/>
        </w:trPr>
        <w:tc>
          <w:tcPr>
            <w:tcW w:w="1985" w:type="dxa"/>
            <w:tcBorders>
              <w:top w:val="single" w:color="auto" w:sz="4" w:space="0"/>
              <w:left w:val="single" w:color="auto" w:sz="4" w:space="0"/>
              <w:bottom w:val="single" w:color="auto" w:sz="4" w:space="0"/>
              <w:right w:val="single" w:color="auto" w:sz="4" w:space="0"/>
            </w:tcBorders>
            <w:vAlign w:val="center"/>
          </w:tcPr>
          <w:p w14:paraId="575E97AE">
            <w:pPr>
              <w:pStyle w:val="18"/>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　　</w:t>
            </w:r>
            <w:r>
              <w:rPr>
                <w:rFonts w:hint="eastAsia" w:ascii="宋体" w:hAnsi="宋体" w:eastAsia="宋体" w:cs="宋体"/>
                <w:b/>
                <w:color w:val="auto"/>
                <w:kern w:val="0"/>
                <w:szCs w:val="21"/>
                <w:highlight w:val="none"/>
              </w:rPr>
              <w:t>行业名称</w:t>
            </w:r>
          </w:p>
        </w:tc>
        <w:tc>
          <w:tcPr>
            <w:tcW w:w="1700" w:type="dxa"/>
            <w:tcBorders>
              <w:top w:val="single" w:color="auto" w:sz="4" w:space="0"/>
              <w:left w:val="nil"/>
              <w:bottom w:val="single" w:color="auto" w:sz="4" w:space="0"/>
              <w:right w:val="single" w:color="auto" w:sz="4" w:space="0"/>
            </w:tcBorders>
            <w:vAlign w:val="center"/>
          </w:tcPr>
          <w:p w14:paraId="73D52D0E">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1135" w:type="dxa"/>
            <w:tcBorders>
              <w:top w:val="single" w:color="auto" w:sz="4" w:space="0"/>
              <w:left w:val="nil"/>
              <w:bottom w:val="single" w:color="auto" w:sz="4" w:space="0"/>
              <w:right w:val="single" w:color="auto" w:sz="4" w:space="0"/>
            </w:tcBorders>
            <w:vAlign w:val="center"/>
          </w:tcPr>
          <w:p w14:paraId="0D8BFCAE">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AE74D01">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19397F66">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27FADFCC">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14:paraId="13707E7D">
        <w:tblPrEx>
          <w:tblCellMar>
            <w:top w:w="0" w:type="dxa"/>
            <w:left w:w="108" w:type="dxa"/>
            <w:bottom w:w="0" w:type="dxa"/>
            <w:right w:w="108" w:type="dxa"/>
          </w:tblCellMar>
        </w:tblPrEx>
        <w:trPr>
          <w:trHeight w:val="454" w:hRule="exact"/>
        </w:trPr>
        <w:tc>
          <w:tcPr>
            <w:tcW w:w="1985" w:type="dxa"/>
            <w:tcBorders>
              <w:top w:val="nil"/>
              <w:left w:val="single" w:color="auto" w:sz="4" w:space="0"/>
              <w:bottom w:val="single" w:color="auto" w:sz="4" w:space="0"/>
              <w:right w:val="single" w:color="auto" w:sz="4" w:space="0"/>
            </w:tcBorders>
            <w:vAlign w:val="center"/>
          </w:tcPr>
          <w:p w14:paraId="79396C73">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700" w:type="dxa"/>
            <w:tcBorders>
              <w:top w:val="nil"/>
              <w:left w:val="nil"/>
              <w:bottom w:val="single" w:color="auto" w:sz="4" w:space="0"/>
              <w:right w:val="single" w:color="auto" w:sz="4" w:space="0"/>
            </w:tcBorders>
            <w:vAlign w:val="center"/>
          </w:tcPr>
          <w:p w14:paraId="3941727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0B6D34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A6BF1B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40BEC63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63D359A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3580BECC">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7E1AD92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700" w:type="dxa"/>
            <w:tcBorders>
              <w:top w:val="nil"/>
              <w:left w:val="nil"/>
              <w:bottom w:val="single" w:color="auto" w:sz="4" w:space="0"/>
              <w:right w:val="single" w:color="auto" w:sz="4" w:space="0"/>
            </w:tcBorders>
            <w:vAlign w:val="center"/>
          </w:tcPr>
          <w:p w14:paraId="721F344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5879D9C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0B39D5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38B875C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92FFF2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492EB22">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7959A815">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77659B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6B8AE9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0F67C9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71BF28B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00F298F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1646B40D">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3640BED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700" w:type="dxa"/>
            <w:tcBorders>
              <w:top w:val="nil"/>
              <w:left w:val="nil"/>
              <w:bottom w:val="single" w:color="auto" w:sz="4" w:space="0"/>
              <w:right w:val="single" w:color="auto" w:sz="4" w:space="0"/>
            </w:tcBorders>
            <w:vAlign w:val="center"/>
          </w:tcPr>
          <w:p w14:paraId="1E5B253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2488DF1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E0A3F6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4C7D248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53F1AFE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57E69085">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453D295F">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7B23EC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35" w:type="dxa"/>
            <w:tcBorders>
              <w:top w:val="nil"/>
              <w:left w:val="nil"/>
              <w:bottom w:val="single" w:color="auto" w:sz="4" w:space="0"/>
              <w:right w:val="single" w:color="auto" w:sz="4" w:space="0"/>
            </w:tcBorders>
            <w:vAlign w:val="center"/>
          </w:tcPr>
          <w:p w14:paraId="3A220A1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2699D1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2DB4F8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3804559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7D9206EF">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212A650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700" w:type="dxa"/>
            <w:tcBorders>
              <w:top w:val="nil"/>
              <w:left w:val="nil"/>
              <w:bottom w:val="single" w:color="auto" w:sz="4" w:space="0"/>
              <w:right w:val="single" w:color="auto" w:sz="4" w:space="0"/>
            </w:tcBorders>
            <w:vAlign w:val="center"/>
          </w:tcPr>
          <w:p w14:paraId="0654FE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46139FC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1BE580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6D4B45E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253EC87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0840673D">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6C113F7F">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13CF5D5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185AB41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99B81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6BD2C22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111CE3B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667BCE44">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69F0E4F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700" w:type="dxa"/>
            <w:tcBorders>
              <w:top w:val="nil"/>
              <w:left w:val="nil"/>
              <w:bottom w:val="single" w:color="auto" w:sz="4" w:space="0"/>
              <w:right w:val="single" w:color="auto" w:sz="4" w:space="0"/>
            </w:tcBorders>
            <w:vAlign w:val="center"/>
          </w:tcPr>
          <w:p w14:paraId="309EAE8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4CC822E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ABE6B4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323D9AD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24201B1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49AFC5A9">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5171D785">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64CB130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02AC0C4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E3F464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4D2C09C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2801000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D56372C">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417FC18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700" w:type="dxa"/>
            <w:tcBorders>
              <w:top w:val="nil"/>
              <w:left w:val="nil"/>
              <w:bottom w:val="single" w:color="auto" w:sz="4" w:space="0"/>
              <w:right w:val="single" w:color="auto" w:sz="4" w:space="0"/>
            </w:tcBorders>
            <w:vAlign w:val="center"/>
          </w:tcPr>
          <w:p w14:paraId="04957F3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7280E3B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73232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75FBAB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3E1B1BA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085E6F25">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3B88EFA6">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134AFF6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70184F6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67F4D4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43413C7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53445F4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51F5EE76">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638D7CE9">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700" w:type="dxa"/>
            <w:tcBorders>
              <w:top w:val="nil"/>
              <w:left w:val="nil"/>
              <w:bottom w:val="single" w:color="auto" w:sz="4" w:space="0"/>
              <w:right w:val="single" w:color="auto" w:sz="4" w:space="0"/>
            </w:tcBorders>
            <w:vAlign w:val="center"/>
          </w:tcPr>
          <w:p w14:paraId="60B0026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5B7AAF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BEF0E3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15CBE73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2A8ACED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33F3C0B9">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7E926C35">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7A22D91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2E9AA2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DC00E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02AB36C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1549DB1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10756CAB">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0A0C3F8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700" w:type="dxa"/>
            <w:tcBorders>
              <w:top w:val="nil"/>
              <w:left w:val="nil"/>
              <w:bottom w:val="single" w:color="auto" w:sz="4" w:space="0"/>
              <w:right w:val="single" w:color="auto" w:sz="4" w:space="0"/>
            </w:tcBorders>
            <w:vAlign w:val="center"/>
          </w:tcPr>
          <w:p w14:paraId="764B226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420914D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2F6437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249B340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4A54F4E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D57F825">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483B11E4">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0DDC448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6485E68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0085D7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30D7F98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6707A0F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687229B">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1537F49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700" w:type="dxa"/>
            <w:tcBorders>
              <w:top w:val="nil"/>
              <w:left w:val="nil"/>
              <w:bottom w:val="single" w:color="auto" w:sz="4" w:space="0"/>
              <w:right w:val="single" w:color="auto" w:sz="4" w:space="0"/>
            </w:tcBorders>
            <w:vAlign w:val="center"/>
          </w:tcPr>
          <w:p w14:paraId="6A363DE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6896051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CFDE0F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B61BD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086AC41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43AB16CC">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11BA0B35">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4495096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56F02B7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F283D2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1BCD7C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AB8E8D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E17AA6A">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1C0E0A3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700" w:type="dxa"/>
            <w:tcBorders>
              <w:top w:val="nil"/>
              <w:left w:val="nil"/>
              <w:bottom w:val="single" w:color="auto" w:sz="4" w:space="0"/>
              <w:right w:val="single" w:color="auto" w:sz="4" w:space="0"/>
            </w:tcBorders>
            <w:vAlign w:val="center"/>
          </w:tcPr>
          <w:p w14:paraId="792B68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648FA20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70C60A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6F28A3E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106CE37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ABBFF6D">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2DD184FA">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27EBA12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1233D30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8B217D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750038B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7440C2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8AF558C">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21D5E22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700" w:type="dxa"/>
            <w:tcBorders>
              <w:top w:val="nil"/>
              <w:left w:val="nil"/>
              <w:bottom w:val="single" w:color="auto" w:sz="4" w:space="0"/>
              <w:right w:val="single" w:color="auto" w:sz="4" w:space="0"/>
            </w:tcBorders>
            <w:vAlign w:val="center"/>
          </w:tcPr>
          <w:p w14:paraId="5C94CF0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62767E6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04F794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29FC103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7021009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F6D67FB">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451D3F67">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29B220B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2D02A40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1379A7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7EE0555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7E720B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79142E8">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7457693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700" w:type="dxa"/>
            <w:tcBorders>
              <w:top w:val="nil"/>
              <w:left w:val="nil"/>
              <w:bottom w:val="single" w:color="auto" w:sz="4" w:space="0"/>
              <w:right w:val="single" w:color="auto" w:sz="4" w:space="0"/>
            </w:tcBorders>
            <w:vAlign w:val="center"/>
          </w:tcPr>
          <w:p w14:paraId="59EA436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2FD9DA2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808936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62D04C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1B8790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20E29E1">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350CE9C9">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0A55D4D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6039913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731F4A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2EF8EA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45B9E8E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17090AAE">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6359B637">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700" w:type="dxa"/>
            <w:tcBorders>
              <w:top w:val="nil"/>
              <w:left w:val="nil"/>
              <w:bottom w:val="single" w:color="auto" w:sz="4" w:space="0"/>
              <w:right w:val="single" w:color="auto" w:sz="4" w:space="0"/>
            </w:tcBorders>
            <w:vAlign w:val="center"/>
          </w:tcPr>
          <w:p w14:paraId="175142A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43D1917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3ED050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43FD439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74BD1E2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519BC6AA">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6FCDB10B">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16D330B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35" w:type="dxa"/>
            <w:tcBorders>
              <w:top w:val="nil"/>
              <w:left w:val="nil"/>
              <w:bottom w:val="single" w:color="auto" w:sz="4" w:space="0"/>
              <w:right w:val="single" w:color="auto" w:sz="4" w:space="0"/>
            </w:tcBorders>
            <w:vAlign w:val="center"/>
          </w:tcPr>
          <w:p w14:paraId="2A90427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5741D1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349ACEC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3179940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5BEE35A6">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3781A2B8">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700" w:type="dxa"/>
            <w:tcBorders>
              <w:top w:val="nil"/>
              <w:left w:val="nil"/>
              <w:bottom w:val="single" w:color="auto" w:sz="4" w:space="0"/>
              <w:right w:val="single" w:color="auto" w:sz="4" w:space="0"/>
            </w:tcBorders>
            <w:vAlign w:val="center"/>
          </w:tcPr>
          <w:p w14:paraId="0718C28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50790A2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B16C0F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02A819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3754AF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15D2F591">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2777C4E7">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1325DE9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35" w:type="dxa"/>
            <w:tcBorders>
              <w:top w:val="nil"/>
              <w:left w:val="nil"/>
              <w:bottom w:val="single" w:color="auto" w:sz="4" w:space="0"/>
              <w:right w:val="single" w:color="auto" w:sz="4" w:space="0"/>
            </w:tcBorders>
            <w:vAlign w:val="center"/>
          </w:tcPr>
          <w:p w14:paraId="5C2C63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675AD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1814872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29589F0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3755BD7F">
        <w:tblPrEx>
          <w:tblCellMar>
            <w:top w:w="0" w:type="dxa"/>
            <w:left w:w="108" w:type="dxa"/>
            <w:bottom w:w="0" w:type="dxa"/>
            <w:right w:w="108" w:type="dxa"/>
          </w:tblCellMar>
        </w:tblPrEx>
        <w:trPr>
          <w:trHeight w:val="454" w:hRule="exact"/>
        </w:trPr>
        <w:tc>
          <w:tcPr>
            <w:tcW w:w="1985" w:type="dxa"/>
            <w:vMerge w:val="restart"/>
            <w:tcBorders>
              <w:top w:val="nil"/>
              <w:left w:val="single" w:color="auto" w:sz="4" w:space="0"/>
              <w:bottom w:val="single" w:color="auto" w:sz="4" w:space="0"/>
              <w:right w:val="single" w:color="auto" w:sz="4" w:space="0"/>
            </w:tcBorders>
            <w:vAlign w:val="center"/>
          </w:tcPr>
          <w:p w14:paraId="3F0778B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700" w:type="dxa"/>
            <w:tcBorders>
              <w:top w:val="nil"/>
              <w:left w:val="nil"/>
              <w:bottom w:val="single" w:color="auto" w:sz="4" w:space="0"/>
              <w:right w:val="single" w:color="auto" w:sz="4" w:space="0"/>
            </w:tcBorders>
            <w:vAlign w:val="center"/>
          </w:tcPr>
          <w:p w14:paraId="018402C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690C2F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7DECE1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9C7B38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9560F1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D3626D8">
        <w:tblPrEx>
          <w:tblCellMar>
            <w:top w:w="0" w:type="dxa"/>
            <w:left w:w="108" w:type="dxa"/>
            <w:bottom w:w="0" w:type="dxa"/>
            <w:right w:w="108" w:type="dxa"/>
          </w:tblCellMar>
        </w:tblPrEx>
        <w:trPr>
          <w:trHeight w:val="454" w:hRule="exact"/>
        </w:trPr>
        <w:tc>
          <w:tcPr>
            <w:tcW w:w="1985" w:type="dxa"/>
            <w:vMerge w:val="continue"/>
            <w:tcBorders>
              <w:top w:val="nil"/>
              <w:left w:val="single" w:color="auto" w:sz="4" w:space="0"/>
              <w:bottom w:val="single" w:color="auto" w:sz="4" w:space="0"/>
              <w:right w:val="single" w:color="auto" w:sz="4" w:space="0"/>
            </w:tcBorders>
            <w:vAlign w:val="center"/>
          </w:tcPr>
          <w:p w14:paraId="1D798463">
            <w:pPr>
              <w:widowControl/>
              <w:jc w:val="center"/>
              <w:rPr>
                <w:rFonts w:hint="eastAsia" w:ascii="宋体" w:hAnsi="宋体" w:eastAsia="宋体" w:cs="宋体"/>
                <w:b/>
                <w:bCs/>
                <w:color w:val="auto"/>
                <w:kern w:val="0"/>
                <w:szCs w:val="21"/>
                <w:highlight w:val="none"/>
              </w:rPr>
            </w:pPr>
          </w:p>
        </w:tc>
        <w:tc>
          <w:tcPr>
            <w:tcW w:w="1700" w:type="dxa"/>
            <w:tcBorders>
              <w:top w:val="nil"/>
              <w:left w:val="nil"/>
              <w:bottom w:val="single" w:color="auto" w:sz="4" w:space="0"/>
              <w:right w:val="single" w:color="auto" w:sz="4" w:space="0"/>
            </w:tcBorders>
            <w:vAlign w:val="center"/>
          </w:tcPr>
          <w:p w14:paraId="21C050E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35" w:type="dxa"/>
            <w:tcBorders>
              <w:top w:val="nil"/>
              <w:left w:val="nil"/>
              <w:bottom w:val="single" w:color="auto" w:sz="4" w:space="0"/>
              <w:right w:val="single" w:color="auto" w:sz="4" w:space="0"/>
            </w:tcBorders>
            <w:vAlign w:val="center"/>
          </w:tcPr>
          <w:p w14:paraId="14D469F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4A9F60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7F17966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51CB765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34E6E8B">
        <w:tblPrEx>
          <w:tblCellMar>
            <w:top w:w="0" w:type="dxa"/>
            <w:left w:w="108" w:type="dxa"/>
            <w:bottom w:w="0" w:type="dxa"/>
            <w:right w:w="108" w:type="dxa"/>
          </w:tblCellMar>
        </w:tblPrEx>
        <w:trPr>
          <w:trHeight w:val="454" w:hRule="exact"/>
        </w:trPr>
        <w:tc>
          <w:tcPr>
            <w:tcW w:w="1985" w:type="dxa"/>
            <w:tcBorders>
              <w:top w:val="nil"/>
              <w:left w:val="single" w:color="auto" w:sz="4" w:space="0"/>
              <w:bottom w:val="single" w:color="auto" w:sz="4" w:space="0"/>
              <w:right w:val="single" w:color="auto" w:sz="4" w:space="0"/>
            </w:tcBorders>
            <w:vAlign w:val="center"/>
          </w:tcPr>
          <w:p w14:paraId="3300EAD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700" w:type="dxa"/>
            <w:tcBorders>
              <w:top w:val="nil"/>
              <w:left w:val="nil"/>
              <w:bottom w:val="single" w:color="auto" w:sz="4" w:space="0"/>
              <w:right w:val="single" w:color="auto" w:sz="4" w:space="0"/>
            </w:tcBorders>
            <w:vAlign w:val="center"/>
          </w:tcPr>
          <w:p w14:paraId="3B69E3E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35" w:type="dxa"/>
            <w:tcBorders>
              <w:top w:val="nil"/>
              <w:left w:val="nil"/>
              <w:bottom w:val="single" w:color="auto" w:sz="4" w:space="0"/>
              <w:right w:val="single" w:color="auto" w:sz="4" w:space="0"/>
            </w:tcBorders>
            <w:vAlign w:val="center"/>
          </w:tcPr>
          <w:p w14:paraId="330CD7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C91BCF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31B2CD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543D30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417FC6B5">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五、企业类型的划分以统计部门的统计数据为依据。</w:t>
      </w:r>
    </w:p>
    <w:p w14:paraId="5DC26C25">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六、本规定适用于在中华人民共和国境内依法设立的各类所有制和各种组织形式的企业。个体工商户和本规定以外的行业，参照本规定进行划型。</w:t>
      </w:r>
    </w:p>
    <w:p w14:paraId="01CCF985">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B1BE805">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八、本规定由工业和信息化部、国家统计局会同有关部门根据《国民经济行业分类》修订情况和企业发展变化情况适时修订。</w:t>
      </w:r>
    </w:p>
    <w:p w14:paraId="7F57907D">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九、本规定由工业和信息化部、国家统计局会同有关部门负责解释。</w:t>
      </w:r>
    </w:p>
    <w:p w14:paraId="45A3176D">
      <w:pPr>
        <w:pStyle w:val="18"/>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十、本规定自发布之日起执行，原国家经贸委、原国家计委、财政部和国家统计局2003年颁布的《中小企业标准暂行规定》同时废止。</w:t>
      </w:r>
    </w:p>
    <w:p w14:paraId="6ADB24F4">
      <w:pPr>
        <w:rPr>
          <w:rFonts w:hint="eastAsia" w:ascii="宋体" w:hAnsi="宋体" w:eastAsia="宋体" w:cs="宋体"/>
          <w:color w:val="auto"/>
          <w:szCs w:val="21"/>
          <w:highlight w:val="none"/>
        </w:rPr>
      </w:pPr>
    </w:p>
    <w:p w14:paraId="02233765">
      <w:pPr>
        <w:ind w:firstLine="480" w:firstLineChars="200"/>
        <w:rPr>
          <w:rFonts w:hint="eastAsia" w:ascii="宋体" w:hAnsi="宋体" w:cs="宋体"/>
          <w:b w:val="0"/>
          <w:bCs w:val="0"/>
          <w:color w:val="auto"/>
          <w:sz w:val="24"/>
          <w:szCs w:val="24"/>
          <w:highlight w:val="none"/>
        </w:rPr>
      </w:pPr>
    </w:p>
    <w:p w14:paraId="0697E77B">
      <w:pPr>
        <w:ind w:firstLine="480" w:firstLineChars="200"/>
        <w:rPr>
          <w:rFonts w:hint="eastAsia" w:eastAsia="宋体"/>
          <w:lang w:val="en-US" w:eastAsia="zh-CN"/>
        </w:rPr>
        <w:sectPr>
          <w:headerReference r:id="rId9" w:type="default"/>
          <w:footerReference r:id="rId10" w:type="default"/>
          <w:pgSz w:w="11906" w:h="16838"/>
          <w:pgMar w:top="1134" w:right="892" w:bottom="1134" w:left="1134" w:header="720" w:footer="720" w:gutter="0"/>
          <w:pgNumType w:start="1"/>
          <w:cols w:space="720" w:num="1"/>
          <w:docGrid w:type="lines" w:linePitch="331" w:charSpace="0"/>
        </w:sectPr>
      </w:pPr>
      <w:r>
        <w:rPr>
          <w:rFonts w:hint="eastAsia" w:ascii="宋体" w:hAnsi="宋体" w:cs="宋体"/>
          <w:b w:val="0"/>
          <w:bCs w:val="0"/>
          <w:color w:val="auto"/>
          <w:sz w:val="24"/>
          <w:szCs w:val="24"/>
          <w:highlight w:val="none"/>
        </w:rPr>
        <w:t>说明：上述标准参照《关于印发中小企业划型标准规定的通知》（工信部联企业[2011]300号），</w:t>
      </w:r>
      <w:r>
        <w:rPr>
          <w:rFonts w:hint="eastAsia" w:ascii="宋体" w:hAnsi="宋体" w:cs="宋体"/>
          <w:b w:val="0"/>
          <w:bCs w:val="0"/>
          <w:color w:val="auto"/>
          <w:sz w:val="24"/>
          <w:szCs w:val="24"/>
          <w:highlight w:val="none"/>
          <w:u w:val="single"/>
        </w:rPr>
        <w:t>大型、中型和小型企业</w:t>
      </w:r>
      <w:r>
        <w:rPr>
          <w:rFonts w:hint="eastAsia" w:ascii="宋体" w:hAnsi="宋体" w:cs="宋体"/>
          <w:b w:val="0"/>
          <w:bCs w:val="0"/>
          <w:color w:val="auto"/>
          <w:sz w:val="24"/>
          <w:szCs w:val="24"/>
          <w:highlight w:val="none"/>
        </w:rPr>
        <w:t>须同时满足所列指标的下限，否则下划一档；微型企业只须满足所列指标中的一项即可</w:t>
      </w:r>
      <w:r>
        <w:rPr>
          <w:rFonts w:hint="eastAsia" w:ascii="宋体" w:hAnsi="宋体" w:cs="宋体"/>
          <w:b w:val="0"/>
          <w:bCs w:val="0"/>
          <w:color w:val="auto"/>
          <w:sz w:val="24"/>
          <w:szCs w:val="24"/>
          <w:highlight w:val="none"/>
          <w:lang w:eastAsia="zh-CN"/>
        </w:rPr>
        <w:t>。</w:t>
      </w:r>
    </w:p>
    <w:p w14:paraId="56691128">
      <w:pPr>
        <w:pStyle w:val="4"/>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投标人须知</w:t>
      </w:r>
      <w:bookmarkEnd w:id="34"/>
    </w:p>
    <w:p w14:paraId="4C1B27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投标人须知前附表</w:t>
      </w:r>
    </w:p>
    <w:tbl>
      <w:tblPr>
        <w:tblStyle w:val="49"/>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080E0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0A703D05">
            <w:pPr>
              <w:snapToGrid w:val="0"/>
              <w:jc w:val="center"/>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条款号</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02D1D9D">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编列内容</w:t>
            </w:r>
          </w:p>
        </w:tc>
      </w:tr>
      <w:tr w14:paraId="33DB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318086B">
            <w:pPr>
              <w:jc w:val="center"/>
              <w:rPr>
                <w:rFonts w:hint="eastAsia" w:ascii="宋体" w:hAnsi="宋体" w:cs="宋体"/>
                <w:color w:val="auto"/>
                <w:sz w:val="24"/>
                <w:szCs w:val="24"/>
                <w:highlight w:val="none"/>
              </w:rPr>
            </w:pPr>
            <w:bookmarkStart w:id="35" w:name="_5"/>
            <w:bookmarkEnd w:id="35"/>
            <w:r>
              <w:rPr>
                <w:rFonts w:hint="eastAsia" w:ascii="宋体" w:hAnsi="宋体" w:cs="宋体"/>
                <w:color w:val="auto"/>
                <w:sz w:val="24"/>
                <w:szCs w:val="24"/>
                <w:highlight w:val="none"/>
              </w:rPr>
              <w:t>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6AF3E5A">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1.投标人的资格要求详见招标公告。</w:t>
            </w:r>
          </w:p>
          <w:p w14:paraId="552D641B">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2.投标人出现下列情形之一的，不得参加政府采购活动：</w:t>
            </w:r>
          </w:p>
          <w:p w14:paraId="025C1003">
            <w:pPr>
              <w:keepNext w:val="0"/>
              <w:keepLines w:val="0"/>
              <w:pageBreakBefore w:val="0"/>
              <w:widowControl w:val="0"/>
              <w:kinsoku/>
              <w:wordWrap/>
              <w:overflowPunct/>
              <w:topLinePunct w:val="0"/>
              <w:bidi w:val="0"/>
              <w:snapToGrid w:val="0"/>
              <w:spacing w:line="288"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2.1单位负责人为同一人或者存在直接控股、管理关系的不同</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，不得参加同一合同项下的政府采购活动。为本项目提供过整体设计、规范编制或者项目管理、监理、检测等服务的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，不得再参加本项目上述服务以外的其他采购活动。</w:t>
            </w:r>
          </w:p>
          <w:p w14:paraId="17D5DCB8">
            <w:pPr>
              <w:keepNext w:val="0"/>
              <w:keepLines w:val="0"/>
              <w:pageBreakBefore w:val="0"/>
              <w:widowControl w:val="0"/>
              <w:kinsoku/>
              <w:wordWrap/>
              <w:overflowPunct/>
              <w:topLinePunct w:val="0"/>
              <w:bidi w:val="0"/>
              <w:snapToGrid w:val="0"/>
              <w:spacing w:line="288"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，不得参与政府采购活动。</w:t>
            </w:r>
          </w:p>
        </w:tc>
      </w:tr>
      <w:tr w14:paraId="432B4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5BD29614">
            <w:pPr>
              <w:jc w:val="center"/>
              <w:rPr>
                <w:rFonts w:hint="eastAsia" w:ascii="宋体" w:hAnsi="宋体" w:cs="宋体"/>
                <w:color w:val="auto"/>
                <w:sz w:val="24"/>
                <w:szCs w:val="24"/>
                <w:highlight w:val="none"/>
              </w:rPr>
            </w:pPr>
            <w:bookmarkStart w:id="36" w:name="_8.1"/>
            <w:bookmarkEnd w:id="36"/>
            <w:bookmarkStart w:id="37" w:name="_9.2"/>
            <w:bookmarkEnd w:id="37"/>
            <w:r>
              <w:rPr>
                <w:rFonts w:hint="eastAsia" w:ascii="宋体" w:hAnsi="宋体" w:cs="宋体"/>
                <w:color w:val="auto"/>
                <w:sz w:val="24"/>
                <w:szCs w:val="24"/>
                <w:highlight w:val="none"/>
              </w:rPr>
              <w:t>6.1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61DDD5F7">
            <w:pPr>
              <w:pStyle w:val="16"/>
              <w:keepNext w:val="0"/>
              <w:keepLines w:val="0"/>
              <w:pageBreakBefore w:val="0"/>
              <w:widowControl w:val="0"/>
              <w:kinsoku/>
              <w:wordWrap/>
              <w:overflowPunct/>
              <w:topLinePunct w:val="0"/>
              <w:bidi w:val="0"/>
              <w:spacing w:line="288"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本项目是否接受联合体投标：详见招标公告。</w:t>
            </w:r>
          </w:p>
        </w:tc>
      </w:tr>
      <w:tr w14:paraId="21173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40AB62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6106D0EB">
            <w:pPr>
              <w:pStyle w:val="16"/>
              <w:keepNext w:val="0"/>
              <w:keepLines w:val="0"/>
              <w:pageBreakBefore w:val="0"/>
              <w:widowControl w:val="0"/>
              <w:kinsoku/>
              <w:wordWrap/>
              <w:overflowPunct/>
              <w:topLinePunct w:val="0"/>
              <w:bidi w:val="0"/>
              <w:spacing w:line="288"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联合体投标要求：无。</w:t>
            </w:r>
          </w:p>
        </w:tc>
      </w:tr>
      <w:tr w14:paraId="1C464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41B60C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358FA3E">
            <w:pPr>
              <w:pStyle w:val="16"/>
              <w:keepNext w:val="0"/>
              <w:keepLines w:val="0"/>
              <w:pageBreakBefore w:val="0"/>
              <w:widowControl w:val="0"/>
              <w:kinsoku/>
              <w:wordWrap/>
              <w:overflowPunct/>
              <w:topLinePunct w:val="0"/>
              <w:bidi w:val="0"/>
              <w:spacing w:line="24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允许分包</w:t>
            </w:r>
          </w:p>
          <w:p w14:paraId="367A09FC">
            <w:pPr>
              <w:pStyle w:val="16"/>
              <w:keepNext w:val="0"/>
              <w:keepLines w:val="0"/>
              <w:pageBreakBefore w:val="0"/>
              <w:widowControl w:val="0"/>
              <w:kinsoku/>
              <w:wordWrap/>
              <w:overflowPunct/>
              <w:topLinePunct w:val="0"/>
              <w:bidi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不允许分包</w:t>
            </w:r>
          </w:p>
        </w:tc>
      </w:tr>
      <w:tr w14:paraId="417DD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D8191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9FFA5A0">
            <w:pPr>
              <w:keepNext w:val="0"/>
              <w:keepLines w:val="0"/>
              <w:pageBreakBefore w:val="0"/>
              <w:widowControl w:val="0"/>
              <w:kinsoku/>
              <w:wordWrap/>
              <w:overflowPunct/>
              <w:topLinePunct w:val="0"/>
              <w:bidi w:val="0"/>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组织现场考察</w:t>
            </w:r>
          </w:p>
          <w:p w14:paraId="7DD0B32B">
            <w:pPr>
              <w:pStyle w:val="47"/>
              <w:spacing w:line="240" w:lineRule="auto"/>
              <w:ind w:left="0" w:leftChars="0" w:firstLine="0" w:firstLineChars="0"/>
              <w:rPr>
                <w:rFonts w:hint="eastAsia"/>
                <w:color w:val="auto"/>
              </w:rPr>
            </w:pPr>
            <w:r>
              <w:rPr>
                <w:rFonts w:hint="eastAsia" w:ascii="宋体" w:hAnsi="宋体" w:eastAsia="宋体" w:cs="宋体"/>
                <w:color w:val="auto"/>
                <w:sz w:val="24"/>
                <w:szCs w:val="24"/>
              </w:rPr>
              <w:t>☑不组织现场考察</w:t>
            </w:r>
          </w:p>
        </w:tc>
      </w:tr>
      <w:tr w14:paraId="4FC1A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noWrap w:val="0"/>
            <w:vAlign w:val="center"/>
          </w:tcPr>
          <w:p w14:paraId="32D69DE4">
            <w:pPr>
              <w:jc w:val="center"/>
              <w:rPr>
                <w:rFonts w:hint="eastAsia" w:ascii="宋体" w:hAnsi="宋体" w:cs="宋体"/>
                <w:color w:val="auto"/>
                <w:sz w:val="24"/>
                <w:szCs w:val="24"/>
                <w:highlight w:val="none"/>
              </w:rPr>
            </w:pPr>
            <w:bookmarkStart w:id="38" w:name="_13.1"/>
            <w:bookmarkEnd w:id="38"/>
            <w:r>
              <w:rPr>
                <w:rFonts w:hint="eastAsia" w:ascii="宋体" w:hAnsi="宋体" w:cs="宋体"/>
                <w:color w:val="auto"/>
                <w:sz w:val="24"/>
                <w:szCs w:val="24"/>
                <w:highlight w:val="none"/>
              </w:rPr>
              <w:t>13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534B1959">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报价文件：</w:t>
            </w:r>
          </w:p>
          <w:p w14:paraId="420BB53F">
            <w:pPr>
              <w:keepNext w:val="0"/>
              <w:keepLines w:val="0"/>
              <w:pageBreakBefore w:val="0"/>
              <w:widowControl w:val="0"/>
              <w:numPr>
                <w:ilvl w:val="0"/>
                <w:numId w:val="0"/>
              </w:numPr>
              <w:tabs>
                <w:tab w:val="left" w:pos="459"/>
              </w:tabs>
              <w:kinsoku/>
              <w:wordWrap/>
              <w:overflowPunct/>
              <w:topLinePunct w:val="0"/>
              <w:autoSpaceDE/>
              <w:autoSpaceDN/>
              <w:bidi w:val="0"/>
              <w:adjustRightInd/>
              <w:snapToGrid w:val="0"/>
              <w:spacing w:line="288" w:lineRule="auto"/>
              <w:ind w:left="420" w:left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投标函（格式后附）；</w:t>
            </w:r>
            <w:r>
              <w:rPr>
                <w:rFonts w:hint="eastAsia" w:ascii="宋体" w:hAnsi="宋体" w:cs="宋体"/>
                <w:b/>
                <w:color w:val="auto"/>
                <w:sz w:val="24"/>
                <w:szCs w:val="24"/>
                <w:highlight w:val="none"/>
              </w:rPr>
              <w:t>（必须提供，否则作无效投标处理）</w:t>
            </w:r>
          </w:p>
          <w:p w14:paraId="70F56268">
            <w:pPr>
              <w:keepNext w:val="0"/>
              <w:keepLines w:val="0"/>
              <w:pageBreakBefore w:val="0"/>
              <w:widowControl w:val="0"/>
              <w:numPr>
                <w:ilvl w:val="0"/>
                <w:numId w:val="0"/>
              </w:numPr>
              <w:tabs>
                <w:tab w:val="left" w:pos="459"/>
              </w:tabs>
              <w:kinsoku/>
              <w:wordWrap/>
              <w:overflowPunct/>
              <w:topLinePunct w:val="0"/>
              <w:autoSpaceDE/>
              <w:autoSpaceDN/>
              <w:bidi w:val="0"/>
              <w:adjustRightInd/>
              <w:snapToGrid w:val="0"/>
              <w:spacing w:line="288" w:lineRule="auto"/>
              <w:ind w:left="420" w:left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开标一览表（格式后附）；（</w:t>
            </w:r>
            <w:r>
              <w:rPr>
                <w:rFonts w:hint="eastAsia" w:ascii="宋体" w:hAnsi="宋体" w:cs="宋体"/>
                <w:b/>
                <w:color w:val="auto"/>
                <w:sz w:val="24"/>
                <w:szCs w:val="24"/>
                <w:highlight w:val="none"/>
              </w:rPr>
              <w:t>必须提供，否则作无效投标处理</w:t>
            </w:r>
            <w:r>
              <w:rPr>
                <w:rFonts w:hint="eastAsia" w:ascii="宋体" w:hAnsi="宋体" w:cs="宋体"/>
                <w:color w:val="auto"/>
                <w:sz w:val="24"/>
                <w:szCs w:val="24"/>
                <w:highlight w:val="none"/>
              </w:rPr>
              <w:t>）</w:t>
            </w:r>
          </w:p>
          <w:p w14:paraId="58F51A8B">
            <w:pPr>
              <w:keepNext w:val="0"/>
              <w:keepLines w:val="0"/>
              <w:pageBreakBefore w:val="0"/>
              <w:widowControl w:val="0"/>
              <w:numPr>
                <w:ilvl w:val="0"/>
                <w:numId w:val="0"/>
              </w:numPr>
              <w:tabs>
                <w:tab w:val="left" w:pos="459"/>
              </w:tabs>
              <w:kinsoku/>
              <w:wordWrap/>
              <w:overflowPunct/>
              <w:topLinePunct w:val="0"/>
              <w:autoSpaceDE/>
              <w:autoSpaceDN/>
              <w:bidi w:val="0"/>
              <w:adjustRightInd/>
              <w:snapToGrid w:val="0"/>
              <w:spacing w:line="288" w:lineRule="auto"/>
              <w:ind w:left="420" w:left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投标人针对报价需要说明的其他文件和说明（格式自拟）。</w:t>
            </w:r>
          </w:p>
          <w:p w14:paraId="43869D7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注：以上标明“必须提供”的，必须加盖投标人电子签章，否则按无效投标处理。</w:t>
            </w:r>
          </w:p>
        </w:tc>
      </w:tr>
      <w:tr w14:paraId="52FE0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noWrap w:val="0"/>
            <w:vAlign w:val="center"/>
          </w:tcPr>
          <w:p w14:paraId="5D4D4E97">
            <w:pPr>
              <w:jc w:val="center"/>
              <w:rPr>
                <w:rFonts w:hint="eastAsia" w:ascii="宋体" w:hAnsi="宋体" w:cs="宋体"/>
                <w:color w:val="auto"/>
                <w:sz w:val="24"/>
                <w:szCs w:val="24"/>
                <w:highlight w:val="none"/>
              </w:rPr>
            </w:pPr>
            <w:bookmarkStart w:id="39" w:name="_13.2"/>
            <w:bookmarkEnd w:id="39"/>
          </w:p>
        </w:tc>
        <w:tc>
          <w:tcPr>
            <w:tcW w:w="8160" w:type="dxa"/>
            <w:tcBorders>
              <w:top w:val="single" w:color="auto" w:sz="4" w:space="0"/>
              <w:left w:val="single" w:color="auto" w:sz="4" w:space="0"/>
              <w:bottom w:val="single" w:color="auto" w:sz="4" w:space="0"/>
              <w:right w:val="single" w:color="auto" w:sz="4" w:space="0"/>
            </w:tcBorders>
            <w:noWrap w:val="0"/>
            <w:vAlign w:val="center"/>
          </w:tcPr>
          <w:p w14:paraId="6F5E77C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资格证明文件</w:t>
            </w:r>
            <w:r>
              <w:rPr>
                <w:rFonts w:hint="eastAsia" w:ascii="宋体" w:hAnsi="宋体" w:cs="宋体"/>
                <w:b/>
                <w:bCs/>
                <w:color w:val="auto"/>
                <w:sz w:val="24"/>
                <w:szCs w:val="24"/>
                <w:highlight w:val="none"/>
                <w:lang w:val="en-US" w:eastAsia="zh-CN"/>
              </w:rPr>
              <w:t>:</w:t>
            </w:r>
          </w:p>
          <w:p w14:paraId="27AD318B">
            <w:pPr>
              <w:numPr>
                <w:ilvl w:val="0"/>
                <w:numId w:val="8"/>
              </w:numPr>
              <w:snapToGrid w:val="0"/>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highlight w:val="none"/>
              </w:rPr>
              <w:t>为法人或者其他组织的，提供营业执照等证明文件（如营业执照或者事业单位法人证书或者</w:t>
            </w:r>
            <w:r>
              <w:rPr>
                <w:rStyle w:val="130"/>
                <w:rFonts w:hint="eastAsia"/>
                <w:color w:val="auto"/>
                <w:sz w:val="24"/>
                <w:szCs w:val="24"/>
                <w:highlight w:val="none"/>
              </w:rPr>
              <w:t>执业许可证</w:t>
            </w:r>
            <w:r>
              <w:rPr>
                <w:rFonts w:hint="eastAsia" w:ascii="宋体" w:hAnsi="宋体" w:cs="宋体"/>
                <w:color w:val="auto"/>
                <w:sz w:val="24"/>
                <w:highlight w:val="none"/>
              </w:rPr>
              <w:t>或者登记证书等），</w:t>
            </w:r>
            <w:r>
              <w:rPr>
                <w:rFonts w:hint="eastAsia" w:ascii="宋体" w:hAnsi="宋体" w:cs="宋体"/>
                <w:color w:val="auto"/>
                <w:kern w:val="0"/>
                <w:sz w:val="24"/>
                <w:szCs w:val="24"/>
                <w:lang w:val="en-US" w:eastAsia="zh-CN" w:bidi="ar"/>
              </w:rPr>
              <w:t>投标人</w:t>
            </w:r>
            <w:r>
              <w:rPr>
                <w:rFonts w:hint="eastAsia" w:ascii="宋体" w:hAnsi="宋体" w:cs="宋体"/>
                <w:color w:val="auto"/>
                <w:sz w:val="24"/>
                <w:highlight w:val="none"/>
              </w:rPr>
              <w:t>为自然人的，提供身份证复印件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必须提供，否则按无效竞标处理</w:t>
            </w:r>
            <w:r>
              <w:rPr>
                <w:rFonts w:hint="eastAsia" w:ascii="宋体" w:hAnsi="宋体" w:cs="宋体"/>
                <w:color w:val="auto"/>
                <w:sz w:val="24"/>
                <w:highlight w:val="none"/>
              </w:rPr>
              <w:t>）</w:t>
            </w:r>
          </w:p>
          <w:p w14:paraId="53C89034">
            <w:pPr>
              <w:numPr>
                <w:ilvl w:val="0"/>
                <w:numId w:val="0"/>
              </w:numPr>
              <w:snapToGrid w:val="0"/>
              <w:spacing w:line="28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2.投标人</w:t>
            </w:r>
            <w:r>
              <w:rPr>
                <w:rFonts w:hint="eastAsia" w:ascii="宋体" w:hAnsi="宋体" w:cs="宋体"/>
                <w:color w:val="auto"/>
                <w:sz w:val="24"/>
                <w:highlight w:val="none"/>
              </w:rPr>
              <w:t>依法缴纳税收的相关材料</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2026年1月至竞标截止之日前连续</w:t>
            </w:r>
            <w:r>
              <w:rPr>
                <w:rFonts w:hint="eastAsia" w:ascii="宋体" w:hAnsi="宋体" w:cs="宋体"/>
                <w:color w:val="auto"/>
                <w:sz w:val="24"/>
                <w:highlight w:val="none"/>
                <w:u w:val="single"/>
              </w:rPr>
              <w:t>3</w:t>
            </w:r>
            <w:r>
              <w:rPr>
                <w:rFonts w:hint="eastAsia" w:ascii="宋体" w:hAnsi="宋体" w:cs="宋体"/>
                <w:color w:val="auto"/>
                <w:sz w:val="24"/>
                <w:highlight w:val="none"/>
              </w:rPr>
              <w:t>个月</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的依法缴纳税收的凭据复印件；依法免税的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highlight w:val="none"/>
              </w:rPr>
              <w:t>，必须提供相应文件证明其依法免税。从成立之日起到响应文件提交截止时间止不足要求月数的，只需提供从成立之日起的依法缴纳税收相应证明文件）；（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 w:val="24"/>
                <w:highlight w:val="none"/>
              </w:rPr>
              <w:t>必须提供，否则按无效竞标处理</w:t>
            </w:r>
            <w:r>
              <w:rPr>
                <w:rFonts w:hint="eastAsia" w:ascii="宋体" w:hAnsi="宋体" w:cs="宋体"/>
                <w:color w:val="auto"/>
                <w:sz w:val="24"/>
                <w:highlight w:val="none"/>
              </w:rPr>
              <w:t xml:space="preserve">） </w:t>
            </w:r>
          </w:p>
          <w:p w14:paraId="507B382A">
            <w:pPr>
              <w:numPr>
                <w:ilvl w:val="0"/>
                <w:numId w:val="0"/>
              </w:numPr>
              <w:snapToGrid w:val="0"/>
              <w:spacing w:line="28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3.投标人</w:t>
            </w:r>
            <w:r>
              <w:rPr>
                <w:rFonts w:hint="eastAsia" w:ascii="宋体" w:hAnsi="宋体" w:cs="宋体"/>
                <w:color w:val="auto"/>
                <w:sz w:val="24"/>
                <w:highlight w:val="none"/>
              </w:rPr>
              <w:t>依法缴纳社会保障资金的相关材料[2026年1月至竞标截止之日前连续</w:t>
            </w:r>
            <w:r>
              <w:rPr>
                <w:rFonts w:hint="eastAsia" w:ascii="宋体" w:hAnsi="宋体" w:cs="宋体"/>
                <w:color w:val="auto"/>
                <w:sz w:val="24"/>
                <w:highlight w:val="none"/>
                <w:u w:val="single"/>
              </w:rPr>
              <w:t>3</w:t>
            </w:r>
            <w:r>
              <w:rPr>
                <w:rFonts w:hint="eastAsia" w:ascii="宋体" w:hAnsi="宋体" w:cs="宋体"/>
                <w:color w:val="auto"/>
                <w:sz w:val="24"/>
                <w:highlight w:val="none"/>
              </w:rPr>
              <w:t>个月</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的依法缴纳社会保障资金的缴费凭证复印件；依法不需要缴纳社会保障资金的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highlight w:val="none"/>
              </w:rPr>
              <w:t>，必须提供相应文件证明不需要缴纳社会保障资金。从成立之日起到响应文件提交截止时间止不足要求月数的只需提供从成立之日起的依法缴纳社会保障资金的相应证明文件]；（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 w:val="24"/>
                <w:highlight w:val="none"/>
              </w:rPr>
              <w:t>必须提供，否则按无效竞标处理</w:t>
            </w:r>
            <w:r>
              <w:rPr>
                <w:rFonts w:hint="eastAsia" w:ascii="宋体" w:hAnsi="宋体" w:cs="宋体"/>
                <w:color w:val="auto"/>
                <w:sz w:val="24"/>
                <w:highlight w:val="none"/>
              </w:rPr>
              <w:t>）</w:t>
            </w:r>
          </w:p>
          <w:p w14:paraId="44C15ABE">
            <w:pPr>
              <w:numPr>
                <w:ilvl w:val="0"/>
                <w:numId w:val="0"/>
              </w:numPr>
              <w:snapToGrid w:val="0"/>
              <w:spacing w:line="28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4.投标人</w:t>
            </w:r>
            <w:r>
              <w:rPr>
                <w:rFonts w:hint="eastAsia" w:ascii="宋体" w:hAnsi="宋体" w:cs="宋体"/>
                <w:color w:val="auto"/>
                <w:sz w:val="24"/>
                <w:highlight w:val="none"/>
              </w:rPr>
              <w:t>财务状况报告（</w:t>
            </w:r>
            <w:r>
              <w:rPr>
                <w:rFonts w:hint="eastAsia" w:ascii="宋体" w:hAnsi="宋体" w:cs="宋体"/>
                <w:b w:val="0"/>
                <w:bCs w:val="0"/>
                <w:color w:val="auto"/>
                <w:sz w:val="24"/>
                <w:highlight w:val="none"/>
                <w:u w:val="single"/>
              </w:rPr>
              <w:t>202</w:t>
            </w:r>
            <w:r>
              <w:rPr>
                <w:rFonts w:hint="eastAsia" w:ascii="宋体" w:hAnsi="宋体" w:cs="宋体"/>
                <w:b w:val="0"/>
                <w:bCs w:val="0"/>
                <w:color w:val="auto"/>
                <w:sz w:val="24"/>
                <w:highlight w:val="none"/>
                <w:u w:val="single"/>
                <w:lang w:val="en-US" w:eastAsia="zh-CN"/>
              </w:rPr>
              <w:t>4</w:t>
            </w:r>
            <w:r>
              <w:rPr>
                <w:rFonts w:hint="eastAsia" w:ascii="宋体" w:hAnsi="宋体" w:cs="宋体"/>
                <w:b w:val="0"/>
                <w:bCs w:val="0"/>
                <w:color w:val="auto"/>
                <w:sz w:val="24"/>
                <w:highlight w:val="none"/>
                <w:u w:val="single"/>
              </w:rPr>
              <w:t>和202</w:t>
            </w:r>
            <w:r>
              <w:rPr>
                <w:rFonts w:hint="eastAsia" w:ascii="宋体" w:hAnsi="宋体" w:cs="宋体"/>
                <w:b w:val="0"/>
                <w:bCs w:val="0"/>
                <w:color w:val="auto"/>
                <w:sz w:val="24"/>
                <w:highlight w:val="none"/>
                <w:u w:val="single"/>
                <w:lang w:val="en-US" w:eastAsia="zh-CN"/>
              </w:rPr>
              <w:t>5</w:t>
            </w:r>
            <w:r>
              <w:rPr>
                <w:rFonts w:hint="eastAsia" w:ascii="宋体" w:hAnsi="宋体" w:cs="宋体"/>
                <w:b w:val="0"/>
                <w:bCs w:val="0"/>
                <w:color w:val="auto"/>
                <w:sz w:val="24"/>
                <w:highlight w:val="none"/>
              </w:rPr>
              <w:t>年</w:t>
            </w:r>
            <w:r>
              <w:rPr>
                <w:rFonts w:hint="eastAsia" w:ascii="宋体" w:hAnsi="宋体" w:cs="宋体"/>
                <w:color w:val="auto"/>
                <w:sz w:val="24"/>
                <w:highlight w:val="none"/>
              </w:rPr>
              <w:t>度财务报表复印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对于2025年新成立的企业，只需提交企业成立日之后次月起至响应文件递交截止前一个月的财务报表复印件）；（</w:t>
            </w:r>
            <w:r>
              <w:rPr>
                <w:rFonts w:hint="eastAsia" w:ascii="宋体" w:hAnsi="宋体" w:cs="宋体"/>
                <w:b/>
                <w:color w:val="auto"/>
                <w:sz w:val="24"/>
                <w:highlight w:val="none"/>
              </w:rPr>
              <w:t>必须提供，否则按无效竞标处理</w:t>
            </w:r>
            <w:r>
              <w:rPr>
                <w:rFonts w:hint="eastAsia" w:ascii="宋体" w:hAnsi="宋体" w:cs="宋体"/>
                <w:color w:val="auto"/>
                <w:sz w:val="24"/>
                <w:highlight w:val="none"/>
              </w:rPr>
              <w:t>）</w:t>
            </w:r>
          </w:p>
          <w:p w14:paraId="2800D999">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《政府采购项目投标资格承诺函》（详见附件）；（</w:t>
            </w:r>
            <w:r>
              <w:rPr>
                <w:rFonts w:hint="eastAsia" w:ascii="宋体" w:hAnsi="宋体" w:cs="宋体"/>
                <w:b/>
                <w:bCs/>
                <w:color w:val="auto"/>
                <w:sz w:val="24"/>
                <w:szCs w:val="24"/>
                <w:highlight w:val="none"/>
              </w:rPr>
              <w:t>必须提供，否则作无效投标处理</w:t>
            </w:r>
            <w:r>
              <w:rPr>
                <w:rFonts w:hint="eastAsia" w:ascii="宋体" w:hAnsi="宋体" w:cs="宋体"/>
                <w:color w:val="auto"/>
                <w:sz w:val="24"/>
                <w:szCs w:val="24"/>
                <w:highlight w:val="none"/>
              </w:rPr>
              <w:t>）</w:t>
            </w:r>
          </w:p>
          <w:p w14:paraId="1237DF6F">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投标声明（格式后附）；（</w:t>
            </w:r>
            <w:r>
              <w:rPr>
                <w:rFonts w:hint="eastAsia" w:ascii="宋体" w:hAnsi="宋体" w:cs="宋体"/>
                <w:b/>
                <w:bCs/>
                <w:color w:val="auto"/>
                <w:sz w:val="24"/>
                <w:szCs w:val="24"/>
                <w:highlight w:val="none"/>
              </w:rPr>
              <w:t>必须提供，否则作无效投标处理</w:t>
            </w:r>
            <w:r>
              <w:rPr>
                <w:rFonts w:hint="eastAsia" w:ascii="宋体" w:hAnsi="宋体" w:cs="宋体"/>
                <w:color w:val="auto"/>
                <w:sz w:val="24"/>
                <w:szCs w:val="24"/>
                <w:highlight w:val="none"/>
              </w:rPr>
              <w:t>）</w:t>
            </w:r>
          </w:p>
          <w:p w14:paraId="101452A6">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投标人直接控股、管理关系信息表（格式后附）；（</w:t>
            </w:r>
            <w:r>
              <w:rPr>
                <w:rFonts w:hint="eastAsia" w:ascii="宋体" w:hAnsi="宋体" w:cs="宋体"/>
                <w:b/>
                <w:bCs/>
                <w:color w:val="auto"/>
                <w:sz w:val="24"/>
                <w:szCs w:val="24"/>
                <w:highlight w:val="none"/>
              </w:rPr>
              <w:t>必须提供，否则作无效投标处理</w:t>
            </w:r>
            <w:r>
              <w:rPr>
                <w:rFonts w:hint="eastAsia" w:ascii="宋体" w:hAnsi="宋体" w:cs="宋体"/>
                <w:color w:val="auto"/>
                <w:sz w:val="24"/>
                <w:szCs w:val="24"/>
                <w:highlight w:val="none"/>
              </w:rPr>
              <w:t>）</w:t>
            </w:r>
          </w:p>
          <w:p w14:paraId="13410954">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8.中小企业声明函（格式后附）或残疾人福利性单位声明函（格式后附）或监狱企业的证明文件；</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否则作无效投标处理</w:t>
            </w:r>
            <w:r>
              <w:rPr>
                <w:rFonts w:hint="eastAsia" w:ascii="宋体" w:hAnsi="宋体" w:cs="宋体"/>
                <w:b/>
                <w:bCs/>
                <w:color w:val="auto"/>
                <w:sz w:val="24"/>
                <w:szCs w:val="24"/>
                <w:highlight w:val="none"/>
                <w:lang w:val="en-US" w:eastAsia="zh-CN"/>
              </w:rPr>
              <w:t>）</w:t>
            </w:r>
          </w:p>
          <w:p w14:paraId="0B97D639">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除招标文件规定必须提供以外，投标人认为需要提供的其他证明材料。</w:t>
            </w:r>
          </w:p>
          <w:p w14:paraId="33CE18A4">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注：以上标明“必须</w:t>
            </w:r>
            <w:r>
              <w:rPr>
                <w:rFonts w:hint="eastAsia" w:ascii="宋体" w:hAnsi="宋体"/>
                <w:b/>
                <w:bCs/>
                <w:color w:val="auto"/>
                <w:sz w:val="24"/>
                <w:szCs w:val="24"/>
                <w:highlight w:val="none"/>
              </w:rPr>
              <w:t>提供”的材料的，必须加盖投标人电子签章，否则按无效投标</w:t>
            </w:r>
            <w:r>
              <w:rPr>
                <w:rFonts w:hint="eastAsia" w:ascii="宋体" w:hAnsi="宋体" w:cs="Courier New"/>
                <w:b/>
                <w:color w:val="auto"/>
                <w:sz w:val="24"/>
                <w:szCs w:val="24"/>
                <w:highlight w:val="none"/>
              </w:rPr>
              <w:t>处理。</w:t>
            </w:r>
          </w:p>
        </w:tc>
      </w:tr>
      <w:tr w14:paraId="3AA97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noWrap w:val="0"/>
            <w:vAlign w:val="center"/>
          </w:tcPr>
          <w:p w14:paraId="565097A5">
            <w:pPr>
              <w:jc w:val="center"/>
              <w:rPr>
                <w:rFonts w:hint="eastAsia" w:ascii="宋体" w:hAnsi="宋体" w:cs="宋体"/>
                <w:color w:val="auto"/>
                <w:sz w:val="24"/>
                <w:szCs w:val="24"/>
                <w:highlight w:val="none"/>
              </w:rPr>
            </w:pPr>
            <w:bookmarkStart w:id="40" w:name="_13.3"/>
            <w:bookmarkEnd w:id="40"/>
          </w:p>
        </w:tc>
        <w:tc>
          <w:tcPr>
            <w:tcW w:w="8160" w:type="dxa"/>
            <w:tcBorders>
              <w:top w:val="single" w:color="auto" w:sz="4" w:space="0"/>
              <w:left w:val="single" w:color="auto" w:sz="4" w:space="0"/>
              <w:bottom w:val="single" w:color="auto" w:sz="4" w:space="0"/>
              <w:right w:val="single" w:color="auto" w:sz="4" w:space="0"/>
            </w:tcBorders>
            <w:noWrap w:val="0"/>
            <w:vAlign w:val="center"/>
          </w:tcPr>
          <w:p w14:paraId="227420E4">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商务文件：</w:t>
            </w:r>
          </w:p>
          <w:p w14:paraId="7D2A8B69">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1.投标人参加本项目无围标串标行为的承诺（格式后附）；（</w:t>
            </w:r>
            <w:r>
              <w:rPr>
                <w:rFonts w:hint="eastAsia" w:ascii="宋体" w:hAnsi="宋体"/>
                <w:b/>
                <w:bCs/>
                <w:color w:val="auto"/>
                <w:sz w:val="24"/>
                <w:szCs w:val="24"/>
                <w:highlight w:val="none"/>
              </w:rPr>
              <w:t>必须提供，否则作无效投标处理</w:t>
            </w:r>
            <w:r>
              <w:rPr>
                <w:rFonts w:hint="eastAsia" w:ascii="宋体" w:hAnsi="宋体"/>
                <w:color w:val="auto"/>
                <w:sz w:val="24"/>
                <w:szCs w:val="24"/>
                <w:highlight w:val="none"/>
              </w:rPr>
              <w:t>）</w:t>
            </w:r>
          </w:p>
          <w:p w14:paraId="43432A90">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2.商务要求偏离表（格式后附）；（</w:t>
            </w:r>
            <w:r>
              <w:rPr>
                <w:rFonts w:hint="eastAsia" w:ascii="宋体" w:hAnsi="宋体"/>
                <w:b/>
                <w:color w:val="auto"/>
                <w:sz w:val="24"/>
                <w:szCs w:val="24"/>
                <w:highlight w:val="none"/>
              </w:rPr>
              <w:t>必须提供，否则作无效投标处理</w:t>
            </w:r>
            <w:r>
              <w:rPr>
                <w:rFonts w:hint="eastAsia" w:ascii="宋体" w:hAnsi="宋体"/>
                <w:color w:val="auto"/>
                <w:sz w:val="24"/>
                <w:szCs w:val="24"/>
                <w:highlight w:val="none"/>
              </w:rPr>
              <w:t>）</w:t>
            </w:r>
          </w:p>
          <w:p w14:paraId="068EB24F">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color w:val="auto"/>
                <w:sz w:val="24"/>
                <w:szCs w:val="24"/>
                <w:highlight w:val="none"/>
              </w:rPr>
            </w:pPr>
            <w:r>
              <w:rPr>
                <w:rFonts w:hint="eastAsia" w:ascii="宋体" w:hAnsi="宋体"/>
                <w:color w:val="auto"/>
                <w:sz w:val="24"/>
                <w:szCs w:val="24"/>
                <w:highlight w:val="none"/>
              </w:rPr>
              <w:t>3.法定代表人身份证明及法定代表人有效身份证正反面复印件（格式后附）；（</w:t>
            </w:r>
            <w:r>
              <w:rPr>
                <w:rFonts w:hint="eastAsia" w:ascii="宋体" w:hAnsi="宋体"/>
                <w:b/>
                <w:color w:val="auto"/>
                <w:sz w:val="24"/>
                <w:szCs w:val="24"/>
                <w:highlight w:val="none"/>
              </w:rPr>
              <w:t>必须提供，否则作无效投标处理</w:t>
            </w:r>
            <w:r>
              <w:rPr>
                <w:rFonts w:hint="eastAsia" w:ascii="宋体" w:hAnsi="宋体"/>
                <w:color w:val="auto"/>
                <w:sz w:val="24"/>
                <w:szCs w:val="24"/>
                <w:highlight w:val="none"/>
              </w:rPr>
              <w:t>）</w:t>
            </w:r>
          </w:p>
          <w:p w14:paraId="4D5F93A4">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4.法定代表人授权委托书及委托代理人有效身份证正反面复印件（格式后附）；（</w:t>
            </w:r>
            <w:r>
              <w:rPr>
                <w:rFonts w:hint="eastAsia" w:ascii="宋体" w:hAnsi="宋体"/>
                <w:b/>
                <w:color w:val="auto"/>
                <w:sz w:val="24"/>
                <w:szCs w:val="24"/>
                <w:highlight w:val="none"/>
              </w:rPr>
              <w:t>委托时必须提供，否则作无效投标处理</w:t>
            </w:r>
            <w:r>
              <w:rPr>
                <w:rFonts w:hint="eastAsia" w:ascii="宋体" w:hAnsi="宋体"/>
                <w:color w:val="auto"/>
                <w:sz w:val="24"/>
                <w:szCs w:val="24"/>
                <w:highlight w:val="none"/>
              </w:rPr>
              <w:t>）</w:t>
            </w:r>
          </w:p>
          <w:p w14:paraId="096333BD">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5.投标人情况介绍（格式自拟）；</w:t>
            </w:r>
          </w:p>
          <w:p w14:paraId="62CDC925">
            <w:pPr>
              <w:keepNext w:val="0"/>
              <w:keepLines w:val="0"/>
              <w:pageBreakBefore w:val="0"/>
              <w:widowControl w:val="0"/>
              <w:kinsoku/>
              <w:wordWrap/>
              <w:overflowPunct/>
              <w:topLinePunct w:val="0"/>
              <w:autoSpaceDE/>
              <w:autoSpaceDN/>
              <w:bidi w:val="0"/>
              <w:adjustRightInd/>
              <w:snapToGrid w:val="0"/>
              <w:spacing w:line="288" w:lineRule="auto"/>
              <w:ind w:left="413"/>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6.除招标文件规定必须提供以外，投标人认为需要提供的其他证明材料（格式自拟）。</w:t>
            </w:r>
          </w:p>
          <w:p w14:paraId="58151F6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 1.法定代表人授权委托书必须由法定代表人委托代理人签字（或电子签名），并加盖投标人电子签章，否则作无效投标处理。</w:t>
            </w:r>
          </w:p>
          <w:p w14:paraId="452C4A4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2.以上材料属于复印件的，必须加盖投标人电子签章，否则作无效投标处理。</w:t>
            </w:r>
          </w:p>
          <w:p w14:paraId="3BB59C0C">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3.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3A477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noWrap w:val="0"/>
            <w:vAlign w:val="center"/>
          </w:tcPr>
          <w:p w14:paraId="752E6F51">
            <w:pPr>
              <w:jc w:val="center"/>
              <w:rPr>
                <w:rFonts w:hint="eastAsia" w:ascii="宋体" w:hAnsi="宋体" w:cs="宋体"/>
                <w:color w:val="auto"/>
                <w:sz w:val="24"/>
                <w:szCs w:val="24"/>
                <w:highlight w:val="none"/>
              </w:rPr>
            </w:pPr>
            <w:bookmarkStart w:id="41" w:name="_13.4"/>
            <w:bookmarkEnd w:id="41"/>
          </w:p>
        </w:tc>
        <w:tc>
          <w:tcPr>
            <w:tcW w:w="8160" w:type="dxa"/>
            <w:tcBorders>
              <w:top w:val="single" w:color="auto" w:sz="4" w:space="0"/>
              <w:left w:val="single" w:color="auto" w:sz="4" w:space="0"/>
              <w:bottom w:val="single" w:color="auto" w:sz="4" w:space="0"/>
              <w:right w:val="single" w:color="auto" w:sz="4" w:space="0"/>
            </w:tcBorders>
            <w:noWrap w:val="0"/>
            <w:vAlign w:val="center"/>
          </w:tcPr>
          <w:p w14:paraId="77EC4BEE">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技术文件：</w:t>
            </w:r>
          </w:p>
          <w:p w14:paraId="0B099589">
            <w:pPr>
              <w:keepNext w:val="0"/>
              <w:keepLines w:val="0"/>
              <w:pageBreakBefore w:val="0"/>
              <w:widowControl w:val="0"/>
              <w:kinsoku/>
              <w:wordWrap/>
              <w:overflowPunct/>
              <w:topLinePunct w:val="0"/>
              <w:autoSpaceDE/>
              <w:autoSpaceDN/>
              <w:bidi w:val="0"/>
              <w:adjustRightInd/>
              <w:snapToGrid w:val="0"/>
              <w:spacing w:line="288" w:lineRule="auto"/>
              <w:ind w:left="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color w:val="auto"/>
                <w:sz w:val="24"/>
                <w:szCs w:val="24"/>
                <w:highlight w:val="none"/>
              </w:rPr>
              <w:t xml:space="preserve"> </w:t>
            </w:r>
            <w:r>
              <w:rPr>
                <w:rFonts w:hint="eastAsia" w:ascii="宋体" w:hAnsi="宋体"/>
                <w:color w:val="auto"/>
                <w:sz w:val="24"/>
                <w:szCs w:val="24"/>
                <w:highlight w:val="none"/>
              </w:rPr>
              <w:t>技术要求偏离表；（</w:t>
            </w:r>
            <w:r>
              <w:rPr>
                <w:rFonts w:hint="eastAsia" w:ascii="宋体" w:hAnsi="宋体"/>
                <w:b/>
                <w:color w:val="auto"/>
                <w:sz w:val="24"/>
                <w:szCs w:val="24"/>
                <w:highlight w:val="none"/>
              </w:rPr>
              <w:t>必须提供，否则作无效投标处理</w:t>
            </w:r>
            <w:r>
              <w:rPr>
                <w:rFonts w:hint="eastAsia" w:ascii="宋体" w:hAnsi="宋体"/>
                <w:color w:val="auto"/>
                <w:sz w:val="24"/>
                <w:szCs w:val="24"/>
                <w:highlight w:val="none"/>
              </w:rPr>
              <w:t>）</w:t>
            </w:r>
          </w:p>
          <w:p w14:paraId="30AC3B8D">
            <w:pPr>
              <w:keepNext w:val="0"/>
              <w:keepLines w:val="0"/>
              <w:pageBreakBefore w:val="0"/>
              <w:widowControl w:val="0"/>
              <w:kinsoku/>
              <w:wordWrap/>
              <w:overflowPunct/>
              <w:topLinePunct w:val="0"/>
              <w:autoSpaceDE/>
              <w:autoSpaceDN/>
              <w:bidi w:val="0"/>
              <w:adjustRightInd/>
              <w:snapToGrid w:val="0"/>
              <w:spacing w:line="288" w:lineRule="auto"/>
              <w:ind w:left="420"/>
              <w:jc w:val="left"/>
              <w:textAlignment w:val="auto"/>
              <w:rPr>
                <w:color w:val="auto"/>
                <w:sz w:val="24"/>
                <w:szCs w:val="24"/>
                <w:highlight w:val="none"/>
              </w:rPr>
            </w:pPr>
            <w:r>
              <w:rPr>
                <w:rFonts w:hint="eastAsia" w:ascii="宋体" w:hAnsi="宋体"/>
                <w:color w:val="auto"/>
                <w:sz w:val="24"/>
                <w:szCs w:val="24"/>
                <w:highlight w:val="none"/>
              </w:rPr>
              <w:t>2.</w:t>
            </w:r>
            <w:r>
              <w:rPr>
                <w:rFonts w:hint="eastAsia"/>
                <w:color w:val="auto"/>
                <w:sz w:val="24"/>
                <w:szCs w:val="24"/>
                <w:highlight w:val="none"/>
              </w:rPr>
              <w:t xml:space="preserve"> </w:t>
            </w:r>
            <w:r>
              <w:rPr>
                <w:rFonts w:hint="eastAsia"/>
                <w:color w:val="auto"/>
                <w:sz w:val="24"/>
                <w:szCs w:val="24"/>
                <w:highlight w:val="none"/>
                <w:lang w:eastAsia="zh-CN"/>
              </w:rPr>
              <w:t>技术方案（包括但不限于项目需求分析、质量保障措施、项目实施方案及对本工作的合理化建议等内容</w:t>
            </w:r>
            <w:r>
              <w:rPr>
                <w:rFonts w:hint="eastAsia"/>
                <w:color w:val="auto"/>
                <w:sz w:val="24"/>
                <w:szCs w:val="24"/>
                <w:highlight w:val="none"/>
                <w:lang w:val="en-US" w:eastAsia="zh-CN"/>
              </w:rPr>
              <w:t>)</w:t>
            </w:r>
            <w:r>
              <w:rPr>
                <w:rFonts w:hint="eastAsia"/>
                <w:color w:val="auto"/>
                <w:sz w:val="24"/>
                <w:szCs w:val="24"/>
                <w:highlight w:val="none"/>
              </w:rPr>
              <w:t>；（</w:t>
            </w:r>
            <w:r>
              <w:rPr>
                <w:rFonts w:hint="eastAsia"/>
                <w:b/>
                <w:bCs/>
                <w:color w:val="auto"/>
                <w:sz w:val="24"/>
                <w:szCs w:val="24"/>
                <w:highlight w:val="none"/>
              </w:rPr>
              <w:t>必须提供，否则作无效投标处理</w:t>
            </w:r>
            <w:r>
              <w:rPr>
                <w:rFonts w:hint="eastAsia"/>
                <w:color w:val="auto"/>
                <w:sz w:val="24"/>
                <w:szCs w:val="24"/>
                <w:highlight w:val="none"/>
              </w:rPr>
              <w:t>）</w:t>
            </w:r>
          </w:p>
          <w:p w14:paraId="69F65FEE">
            <w:pPr>
              <w:keepNext w:val="0"/>
              <w:keepLines w:val="0"/>
              <w:pageBreakBefore w:val="0"/>
              <w:widowControl w:val="0"/>
              <w:kinsoku/>
              <w:wordWrap/>
              <w:overflowPunct/>
              <w:topLinePunct w:val="0"/>
              <w:autoSpaceDE/>
              <w:autoSpaceDN/>
              <w:bidi w:val="0"/>
              <w:adjustRightInd/>
              <w:snapToGrid w:val="0"/>
              <w:spacing w:line="288" w:lineRule="auto"/>
              <w:ind w:left="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 对本项目总体要求的理解、合理化建议和改进措施；</w:t>
            </w:r>
          </w:p>
          <w:p w14:paraId="6235B3B0">
            <w:pPr>
              <w:keepNext w:val="0"/>
              <w:keepLines w:val="0"/>
              <w:pageBreakBefore w:val="0"/>
              <w:widowControl w:val="0"/>
              <w:kinsoku/>
              <w:wordWrap/>
              <w:overflowPunct/>
              <w:topLinePunct w:val="0"/>
              <w:autoSpaceDE/>
              <w:autoSpaceDN/>
              <w:bidi w:val="0"/>
              <w:adjustRightInd/>
              <w:snapToGrid w:val="0"/>
              <w:spacing w:line="288" w:lineRule="auto"/>
              <w:ind w:left="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 投标人需要说明的其他文件和说明（格式略）。</w:t>
            </w:r>
          </w:p>
          <w:p w14:paraId="2C47C106">
            <w:pPr>
              <w:keepNext w:val="0"/>
              <w:keepLines w:val="0"/>
              <w:pageBreakBefore w:val="0"/>
              <w:widowControl w:val="0"/>
              <w:kinsoku/>
              <w:wordWrap/>
              <w:overflowPunct/>
              <w:topLinePunct w:val="0"/>
              <w:autoSpaceDE/>
              <w:autoSpaceDN/>
              <w:bidi w:val="0"/>
              <w:adjustRightInd/>
              <w:snapToGrid w:val="0"/>
              <w:spacing w:line="288" w:lineRule="auto"/>
              <w:ind w:left="420"/>
              <w:jc w:val="left"/>
              <w:textAlignment w:val="auto"/>
              <w:rPr>
                <w:rFonts w:hint="eastAsia" w:ascii="宋体" w:hAnsi="宋体" w:cs="宋体"/>
                <w:color w:val="auto"/>
                <w:sz w:val="24"/>
                <w:szCs w:val="24"/>
                <w:highlight w:val="none"/>
              </w:rPr>
            </w:pPr>
            <w:r>
              <w:rPr>
                <w:rFonts w:hint="eastAsia" w:ascii="宋体" w:hAnsi="宋体"/>
                <w:color w:val="auto"/>
                <w:sz w:val="24"/>
                <w:szCs w:val="24"/>
                <w:highlight w:val="none"/>
              </w:rPr>
              <w:t>5. 除招标文件规定必须提供以外，投标人需要说明的其他文件和说明（格式自拟）。</w:t>
            </w:r>
          </w:p>
          <w:p w14:paraId="1B76CC2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 1.以上材料属于复印件的，必须加盖投标人电子签章，否则作无效投标处理。</w:t>
            </w:r>
          </w:p>
          <w:p w14:paraId="1264EA34">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2.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5AF03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B9813A">
            <w:pPr>
              <w:jc w:val="center"/>
              <w:rPr>
                <w:rFonts w:hint="eastAsia" w:ascii="宋体" w:hAnsi="宋体" w:cs="宋体"/>
                <w:color w:val="auto"/>
                <w:sz w:val="24"/>
                <w:szCs w:val="24"/>
                <w:highlight w:val="none"/>
              </w:rPr>
            </w:pPr>
            <w:bookmarkStart w:id="42" w:name="_16.2"/>
            <w:bookmarkEnd w:id="42"/>
            <w:bookmarkStart w:id="43" w:name="_13.5"/>
            <w:bookmarkEnd w:id="43"/>
            <w:r>
              <w:rPr>
                <w:rFonts w:hint="eastAsia" w:ascii="宋体" w:hAnsi="宋体" w:cs="宋体"/>
                <w:color w:val="auto"/>
                <w:sz w:val="24"/>
                <w:szCs w:val="24"/>
                <w:highlight w:val="none"/>
              </w:rPr>
              <w:t>16</w:t>
            </w:r>
            <w:bookmarkStart w:id="44" w:name="_Hlt19693758"/>
            <w:bookmarkStart w:id="45" w:name="_Hlt19693759"/>
            <w:bookmarkStart w:id="46" w:name="_Hlt19194067"/>
            <w:bookmarkStart w:id="47" w:name="_Hlt19194066"/>
            <w:r>
              <w:rPr>
                <w:rFonts w:hint="eastAsia" w:ascii="宋体" w:hAnsi="宋体" w:cs="宋体"/>
                <w:color w:val="auto"/>
                <w:sz w:val="24"/>
                <w:szCs w:val="24"/>
                <w:highlight w:val="none"/>
              </w:rPr>
              <w:t>.</w:t>
            </w:r>
            <w:bookmarkEnd w:id="44"/>
            <w:bookmarkEnd w:id="45"/>
            <w:bookmarkEnd w:id="46"/>
            <w:bookmarkEnd w:id="47"/>
            <w:r>
              <w:rPr>
                <w:rFonts w:hint="eastAsia" w:ascii="宋体" w:hAnsi="宋体" w:cs="宋体"/>
                <w:color w:val="auto"/>
                <w:sz w:val="24"/>
                <w:szCs w:val="24"/>
                <w:highlight w:val="none"/>
              </w:rPr>
              <w:t>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114211C1">
            <w:pPr>
              <w:keepNext w:val="0"/>
              <w:keepLines w:val="0"/>
              <w:pageBreakBefore w:val="0"/>
              <w:widowControl w:val="0"/>
              <w:kinsoku/>
              <w:wordWrap/>
              <w:overflowPunct/>
              <w:topLinePunct w:val="0"/>
              <w:bidi w:val="0"/>
              <w:snapToGrid w:val="0"/>
              <w:spacing w:line="288"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投标报价是履行合同的最终价格，投标报价包含实施和完成本项目全部工作所需的服务期内所需的一切费用，包括但不限于</w:t>
            </w:r>
            <w:r>
              <w:rPr>
                <w:rFonts w:hint="eastAsia" w:ascii="宋体" w:hAnsi="宋体" w:cs="宋体"/>
                <w:color w:val="auto"/>
                <w:sz w:val="24"/>
                <w:szCs w:val="24"/>
                <w:highlight w:val="none"/>
                <w:lang w:eastAsia="zh-CN"/>
              </w:rPr>
              <w:t>人员工资、社会保险、劳务、人工、伴随货物、培训、技术支持、售后服务、验收、保险、税金</w:t>
            </w:r>
            <w:r>
              <w:rPr>
                <w:rFonts w:hint="eastAsia" w:ascii="宋体" w:hAnsi="宋体" w:cs="宋体"/>
                <w:color w:val="auto"/>
                <w:sz w:val="24"/>
                <w:szCs w:val="24"/>
                <w:highlight w:val="none"/>
              </w:rPr>
              <w:t>等所有服</w:t>
            </w:r>
            <w:r>
              <w:rPr>
                <w:rFonts w:hint="eastAsia" w:ascii="宋体" w:hAnsi="宋体" w:cs="宋体"/>
                <w:color w:val="auto"/>
                <w:sz w:val="24"/>
                <w:szCs w:val="24"/>
                <w:highlight w:val="none"/>
                <w:lang w:eastAsia="zh-CN"/>
              </w:rPr>
              <w:t>务过程产生的费</w:t>
            </w:r>
            <w:r>
              <w:rPr>
                <w:rFonts w:hint="eastAsia" w:ascii="宋体" w:hAnsi="宋体" w:cs="宋体"/>
                <w:b w:val="0"/>
                <w:bCs w:val="0"/>
                <w:color w:val="auto"/>
                <w:sz w:val="24"/>
                <w:szCs w:val="24"/>
                <w:highlight w:val="none"/>
                <w:lang w:eastAsia="zh-CN"/>
              </w:rPr>
              <w:t>用</w:t>
            </w:r>
            <w:r>
              <w:rPr>
                <w:rFonts w:hint="eastAsia" w:ascii="宋体" w:hAnsi="宋体" w:cs="宋体"/>
                <w:b w:val="0"/>
                <w:bCs w:val="0"/>
                <w:color w:val="auto"/>
                <w:sz w:val="24"/>
                <w:szCs w:val="24"/>
                <w:highlight w:val="none"/>
              </w:rPr>
              <w:t>。</w:t>
            </w:r>
          </w:p>
        </w:tc>
      </w:tr>
      <w:tr w14:paraId="6A0D6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000C9B0">
            <w:pPr>
              <w:jc w:val="center"/>
              <w:rPr>
                <w:rFonts w:hint="eastAsia" w:ascii="宋体" w:hAnsi="宋体" w:cs="宋体"/>
                <w:color w:val="auto"/>
                <w:sz w:val="24"/>
                <w:szCs w:val="24"/>
                <w:highlight w:val="none"/>
              </w:rPr>
            </w:pPr>
            <w:bookmarkStart w:id="48" w:name="_17.1"/>
            <w:bookmarkEnd w:id="48"/>
            <w:r>
              <w:rPr>
                <w:rFonts w:hint="eastAsia" w:ascii="宋体" w:hAnsi="宋体" w:cs="宋体"/>
                <w:color w:val="auto"/>
                <w:sz w:val="24"/>
                <w:szCs w:val="24"/>
                <w:highlight w:val="none"/>
              </w:rPr>
              <w:t>17.1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F262898">
            <w:pPr>
              <w:pStyle w:val="16"/>
              <w:keepNext w:val="0"/>
              <w:keepLines w:val="0"/>
              <w:pageBreakBefore w:val="0"/>
              <w:widowControl w:val="0"/>
              <w:kinsoku/>
              <w:wordWrap/>
              <w:overflowPunct/>
              <w:topLinePunct w:val="0"/>
              <w:bidi w:val="0"/>
              <w:spacing w:line="288"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投标有效期： 自投标截止之日起120日。</w:t>
            </w:r>
          </w:p>
        </w:tc>
      </w:tr>
      <w:tr w14:paraId="5985D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46D397">
            <w:pPr>
              <w:jc w:val="center"/>
              <w:rPr>
                <w:rFonts w:hint="eastAsia" w:ascii="宋体" w:hAnsi="宋体" w:cs="宋体"/>
                <w:color w:val="auto"/>
                <w:sz w:val="24"/>
                <w:szCs w:val="24"/>
                <w:highlight w:val="none"/>
              </w:rPr>
            </w:pPr>
            <w:bookmarkStart w:id="49" w:name="_18"/>
            <w:bookmarkEnd w:id="49"/>
            <w:r>
              <w:rPr>
                <w:rFonts w:hint="eastAsia" w:ascii="宋体" w:hAnsi="宋体" w:cs="宋体"/>
                <w:color w:val="auto"/>
                <w:sz w:val="24"/>
                <w:szCs w:val="24"/>
                <w:highlight w:val="none"/>
              </w:rPr>
              <w:t>18.1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2607981">
            <w:pPr>
              <w:keepNext w:val="0"/>
              <w:keepLines w:val="0"/>
              <w:pageBreakBefore w:val="0"/>
              <w:widowControl w:val="0"/>
              <w:kinsoku/>
              <w:wordWrap/>
              <w:overflowPunct/>
              <w:topLinePunct w:val="0"/>
              <w:bidi w:val="0"/>
              <w:snapToGrid w:val="0"/>
              <w:spacing w:line="288" w:lineRule="auto"/>
              <w:rPr>
                <w:rFonts w:hint="eastAsia" w:ascii="宋体" w:hAnsi="宋体" w:cs="宋体"/>
                <w:b/>
                <w:color w:val="auto"/>
                <w:sz w:val="24"/>
                <w:szCs w:val="24"/>
                <w:highlight w:val="none"/>
              </w:rPr>
            </w:pPr>
            <w:r>
              <w:rPr>
                <w:rFonts w:hint="eastAsia" w:ascii="宋体" w:hAnsi="宋体"/>
                <w:color w:val="auto"/>
                <w:sz w:val="24"/>
                <w:szCs w:val="24"/>
                <w:highlight w:val="none"/>
              </w:rPr>
              <w:t>本项目不收取投标保证金</w:t>
            </w:r>
            <w:r>
              <w:rPr>
                <w:rFonts w:hint="eastAsia" w:ascii="宋体" w:hAnsi="宋体" w:cs="宋体"/>
                <w:color w:val="auto"/>
                <w:sz w:val="24"/>
                <w:szCs w:val="24"/>
                <w:highlight w:val="none"/>
              </w:rPr>
              <w:t>。</w:t>
            </w:r>
          </w:p>
        </w:tc>
      </w:tr>
      <w:tr w14:paraId="5E21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7EC8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A02910E">
            <w:pPr>
              <w:keepNext w:val="0"/>
              <w:keepLines w:val="0"/>
              <w:pageBreakBefore w:val="0"/>
              <w:widowControl w:val="0"/>
              <w:kinsoku/>
              <w:wordWrap/>
              <w:overflowPunct/>
              <w:topLinePunct w:val="0"/>
              <w:autoSpaceDE w:val="0"/>
              <w:autoSpaceDN w:val="0"/>
              <w:bidi w:val="0"/>
              <w:adjustRightInd w:val="0"/>
              <w:spacing w:line="288" w:lineRule="auto"/>
              <w:textAlignment w:val="bottom"/>
              <w:rPr>
                <w:rFonts w:hint="eastAsia" w:ascii="宋体" w:hAnsi="宋体" w:cs="宋体"/>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不</w:t>
            </w:r>
            <w:r>
              <w:rPr>
                <w:rFonts w:hint="eastAsia"/>
                <w:color w:val="auto"/>
                <w:sz w:val="24"/>
                <w:szCs w:val="24"/>
                <w:highlight w:val="none"/>
              </w:rPr>
              <w:t>接受电子备份投标文件。</w:t>
            </w:r>
          </w:p>
        </w:tc>
      </w:tr>
      <w:tr w14:paraId="6683A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D473609">
            <w:pPr>
              <w:spacing w:line="360" w:lineRule="auto"/>
              <w:jc w:val="center"/>
              <w:rPr>
                <w:rFonts w:hint="eastAsia" w:ascii="宋体" w:hAnsi="宋体" w:cs="宋体"/>
                <w:color w:val="auto"/>
                <w:sz w:val="24"/>
                <w:szCs w:val="24"/>
                <w:highlight w:val="none"/>
              </w:rPr>
            </w:pPr>
            <w:bookmarkStart w:id="50" w:name="_21.1"/>
            <w:bookmarkEnd w:id="50"/>
            <w:bookmarkStart w:id="51" w:name="_19.2"/>
            <w:bookmarkEnd w:id="51"/>
            <w:r>
              <w:rPr>
                <w:rFonts w:hint="eastAsia" w:ascii="宋体" w:hAnsi="宋体" w:cs="宋体"/>
                <w:color w:val="auto"/>
                <w:sz w:val="24"/>
                <w:szCs w:val="24"/>
                <w:highlight w:val="none"/>
              </w:rPr>
              <w:t>21.1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5D3CC4A9">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1.投标文件提交截止时间：详见招标公告</w:t>
            </w:r>
          </w:p>
          <w:p w14:paraId="5FB553AA">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2.投标地点：详见招标公告</w:t>
            </w:r>
          </w:p>
        </w:tc>
      </w:tr>
      <w:tr w14:paraId="09642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BA3ABA">
            <w:pPr>
              <w:spacing w:line="360" w:lineRule="auto"/>
              <w:jc w:val="center"/>
              <w:rPr>
                <w:rFonts w:hint="eastAsia" w:ascii="宋体" w:hAnsi="宋体" w:cs="宋体"/>
                <w:color w:val="auto"/>
                <w:sz w:val="24"/>
                <w:szCs w:val="24"/>
                <w:highlight w:val="none"/>
              </w:rPr>
            </w:pPr>
            <w:bookmarkStart w:id="52" w:name="_23"/>
            <w:bookmarkEnd w:id="52"/>
            <w:r>
              <w:rPr>
                <w:rFonts w:hint="eastAsia" w:ascii="宋体" w:hAnsi="宋体" w:cs="宋体"/>
                <w:color w:val="auto"/>
                <w:sz w:val="24"/>
                <w:szCs w:val="24"/>
                <w:highlight w:val="none"/>
              </w:rPr>
              <w:t>23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BD1E4A0">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1.开标时间：详见招标公告</w:t>
            </w:r>
          </w:p>
          <w:p w14:paraId="6D651BDE">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2.开标地点：详见招标公告</w:t>
            </w:r>
          </w:p>
        </w:tc>
      </w:tr>
      <w:tr w14:paraId="00ECA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12FCE360">
            <w:pPr>
              <w:spacing w:line="240" w:lineRule="auto"/>
              <w:jc w:val="center"/>
              <w:rPr>
                <w:rFonts w:hint="eastAsia" w:ascii="宋体" w:hAnsi="宋体" w:cs="宋体"/>
                <w:color w:val="auto"/>
                <w:sz w:val="24"/>
                <w:szCs w:val="24"/>
                <w:highlight w:val="none"/>
              </w:rPr>
            </w:pPr>
            <w:bookmarkStart w:id="53" w:name="_25.3"/>
            <w:bookmarkEnd w:id="53"/>
            <w:r>
              <w:rPr>
                <w:rFonts w:hint="eastAsia" w:ascii="宋体" w:hAnsi="宋体" w:cs="宋体"/>
                <w:color w:val="auto"/>
                <w:sz w:val="24"/>
                <w:szCs w:val="24"/>
                <w:highlight w:val="none"/>
              </w:rPr>
              <w:t>24.3（1）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0403B8FD">
            <w:pPr>
              <w:keepNext w:val="0"/>
              <w:keepLines w:val="0"/>
              <w:pageBreakBefore w:val="0"/>
              <w:widowControl w:val="0"/>
              <w:kinsoku/>
              <w:wordWrap/>
              <w:overflowPunct/>
              <w:topLinePunct w:val="0"/>
              <w:bidi w:val="0"/>
              <w:snapToGrid w:val="0"/>
              <w:spacing w:line="288"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电子投标文件解密时间：</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分钟</w:t>
            </w:r>
          </w:p>
        </w:tc>
      </w:tr>
      <w:tr w14:paraId="072F1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0805ACF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25.3（3）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A3E577B">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采购人或者采购代理机构在资格审查结束前，对投标人进行信用查询。</w:t>
            </w:r>
          </w:p>
          <w:p w14:paraId="7A5360DD">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查询渠道：“信用中国”网站（www.creditchina.gov.cn） 、中国政府采购网（www.ccgp.gov.cn）。</w:t>
            </w:r>
          </w:p>
          <w:p w14:paraId="4BE2CA1F">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信用查询截止时点：资格审查结束前</w:t>
            </w:r>
          </w:p>
          <w:p w14:paraId="2C297C6A">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查询记录和证据留存方式：在查询网站中直接截图查询记录，截图作为在广西政府采购云平台作为附件上传保存。</w:t>
            </w:r>
          </w:p>
          <w:p w14:paraId="193F630D">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，采购人或者采购代理机构应当拒绝其参与政府采购活动。两个以上的自然人、法人或者其他组织组成一个联合体，以一个</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w:t>
            </w:r>
            <w:r>
              <w:rPr>
                <w:rFonts w:hint="eastAsia" w:ascii="宋体" w:hAnsi="宋体" w:cs="宋体"/>
                <w:color w:val="auto"/>
                <w:kern w:val="0"/>
                <w:sz w:val="24"/>
                <w:szCs w:val="24"/>
                <w:lang w:val="en-US" w:eastAsia="zh-CN" w:bidi="ar"/>
              </w:rPr>
              <w:t>投标人</w:t>
            </w:r>
            <w:r>
              <w:rPr>
                <w:rFonts w:hint="eastAsia" w:ascii="宋体" w:hAnsi="宋体" w:cs="宋体"/>
                <w:color w:val="auto"/>
                <w:sz w:val="24"/>
                <w:szCs w:val="24"/>
                <w:highlight w:val="none"/>
              </w:rPr>
              <w:t>）的，视同联合体存在不良信用记录。</w:t>
            </w:r>
          </w:p>
        </w:tc>
      </w:tr>
      <w:tr w14:paraId="3D483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2A2C2CC">
            <w:pPr>
              <w:jc w:val="center"/>
              <w:rPr>
                <w:rFonts w:hint="eastAsia" w:ascii="宋体" w:hAnsi="宋体" w:cs="宋体"/>
                <w:color w:val="auto"/>
                <w:sz w:val="24"/>
                <w:szCs w:val="24"/>
                <w:highlight w:val="none"/>
              </w:rPr>
            </w:pPr>
            <w:bookmarkStart w:id="54" w:name="_26"/>
            <w:bookmarkEnd w:id="54"/>
            <w:r>
              <w:rPr>
                <w:rFonts w:hint="eastAsia" w:ascii="宋体" w:hAnsi="宋体" w:cs="宋体"/>
                <w:color w:val="auto"/>
                <w:sz w:val="24"/>
                <w:szCs w:val="24"/>
                <w:highlight w:val="none"/>
              </w:rPr>
              <w:t>26</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A403CC6">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评标委员会的人数：</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w:t>
            </w:r>
          </w:p>
        </w:tc>
      </w:tr>
      <w:tr w14:paraId="42DFA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52DEC0C9">
            <w:pPr>
              <w:jc w:val="center"/>
              <w:rPr>
                <w:rFonts w:hint="eastAsia" w:ascii="宋体" w:hAnsi="宋体" w:cs="宋体"/>
                <w:color w:val="auto"/>
                <w:sz w:val="24"/>
                <w:szCs w:val="24"/>
                <w:highlight w:val="none"/>
              </w:rPr>
            </w:pPr>
            <w:bookmarkStart w:id="55" w:name="_28.3"/>
            <w:bookmarkEnd w:id="55"/>
            <w:r>
              <w:rPr>
                <w:rFonts w:hint="eastAsia" w:ascii="宋体" w:hAnsi="宋体" w:cs="宋体"/>
                <w:color w:val="auto"/>
                <w:sz w:val="24"/>
                <w:szCs w:val="24"/>
                <w:highlight w:val="none"/>
              </w:rPr>
              <w:t>29.1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AE92406">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评标方法：</w:t>
            </w:r>
          </w:p>
          <w:p w14:paraId="191EA520">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综合评分法</w:t>
            </w:r>
          </w:p>
          <w:p w14:paraId="03C1077C">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□最低评标价法</w:t>
            </w:r>
          </w:p>
        </w:tc>
      </w:tr>
      <w:tr w14:paraId="6471F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7DC3D41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29.2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4C41BFA">
            <w:pPr>
              <w:keepNext w:val="0"/>
              <w:keepLines w:val="0"/>
              <w:pageBreakBefore w:val="0"/>
              <w:widowControl w:val="0"/>
              <w:kinsoku/>
              <w:wordWrap/>
              <w:overflowPunct/>
              <w:topLinePunct w:val="0"/>
              <w:bidi w:val="0"/>
              <w:snapToGrid w:val="0"/>
              <w:spacing w:line="288"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商务条款评审中允许负偏离的条款数为</w:t>
            </w:r>
            <w:r>
              <w:rPr>
                <w:rFonts w:hint="eastAsia" w:ascii="宋体" w:hAnsi="宋体" w:cs="宋体"/>
                <w:b/>
                <w:bCs/>
                <w:color w:val="auto"/>
                <w:sz w:val="24"/>
                <w:szCs w:val="24"/>
                <w:highlight w:val="none"/>
                <w:u w:val="single"/>
              </w:rPr>
              <w:t xml:space="preserve"> 0 </w:t>
            </w:r>
            <w:r>
              <w:rPr>
                <w:rFonts w:hint="eastAsia" w:ascii="宋体" w:hAnsi="宋体" w:cs="宋体"/>
                <w:b/>
                <w:bCs/>
                <w:color w:val="auto"/>
                <w:sz w:val="24"/>
                <w:szCs w:val="24"/>
                <w:highlight w:val="none"/>
              </w:rPr>
              <w:t>项。</w:t>
            </w:r>
          </w:p>
          <w:p w14:paraId="14261D50">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服务需求评审中允许负偏离的条款数为</w:t>
            </w:r>
            <w:r>
              <w:rPr>
                <w:rFonts w:hint="eastAsia" w:ascii="宋体" w:hAnsi="宋体" w:cs="宋体"/>
                <w:b/>
                <w:bCs/>
                <w:color w:val="auto"/>
                <w:sz w:val="24"/>
                <w:szCs w:val="24"/>
                <w:highlight w:val="none"/>
                <w:u w:val="single"/>
              </w:rPr>
              <w:t xml:space="preserve"> 0</w:t>
            </w:r>
            <w:r>
              <w:rPr>
                <w:rFonts w:hint="eastAsia" w:ascii="宋体" w:hAnsi="宋体" w:cs="宋体"/>
                <w:b/>
                <w:bCs/>
                <w:color w:val="auto"/>
                <w:sz w:val="24"/>
                <w:szCs w:val="24"/>
                <w:highlight w:val="none"/>
              </w:rPr>
              <w:t>项。</w:t>
            </w:r>
          </w:p>
        </w:tc>
      </w:tr>
      <w:tr w14:paraId="2E894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213EAA9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29.3</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2BABCA8">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中标候选人推荐数量：</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名</w:t>
            </w:r>
          </w:p>
        </w:tc>
      </w:tr>
      <w:tr w14:paraId="41B44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982D8D6">
            <w:pPr>
              <w:jc w:val="center"/>
              <w:rPr>
                <w:rFonts w:hint="eastAsia" w:ascii="宋体" w:hAnsi="宋体" w:cs="宋体"/>
                <w:color w:val="auto"/>
                <w:sz w:val="24"/>
                <w:szCs w:val="24"/>
                <w:highlight w:val="none"/>
              </w:rPr>
            </w:pPr>
            <w:bookmarkStart w:id="56" w:name="_29.2.2（2）"/>
            <w:bookmarkEnd w:id="56"/>
            <w:r>
              <w:rPr>
                <w:rFonts w:hint="eastAsia" w:ascii="宋体" w:hAnsi="宋体" w:cs="宋体"/>
                <w:color w:val="auto"/>
                <w:sz w:val="24"/>
                <w:szCs w:val="24"/>
                <w:highlight w:val="none"/>
              </w:rPr>
              <w:t>30</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68580022">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采购人确定中标</w:t>
            </w:r>
            <w:r>
              <w:rPr>
                <w:rFonts w:hint="eastAsia" w:ascii="宋体" w:hAnsi="宋体" w:cs="宋体"/>
                <w:color w:val="auto"/>
                <w:kern w:val="0"/>
                <w:sz w:val="24"/>
                <w:szCs w:val="24"/>
                <w:lang w:val="en-US" w:eastAsia="zh-CN" w:bidi="ar"/>
              </w:rPr>
              <w:t>人</w:t>
            </w:r>
            <w:r>
              <w:rPr>
                <w:rFonts w:hint="eastAsia" w:ascii="宋体" w:hAnsi="宋体" w:cs="宋体"/>
                <w:color w:val="auto"/>
                <w:sz w:val="24"/>
                <w:szCs w:val="24"/>
                <w:highlight w:val="none"/>
              </w:rPr>
              <w:t>时，出现中标候选人并列的情形，采购人按以下的方式确定中标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p>
          <w:p w14:paraId="49CB6A6E">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投标报价低优先、</w:t>
            </w:r>
            <w:r>
              <w:rPr>
                <w:rFonts w:hint="eastAsia" w:ascii="宋体" w:hAnsi="宋体" w:cs="宋体"/>
                <w:color w:val="auto"/>
                <w:sz w:val="24"/>
                <w:szCs w:val="24"/>
                <w:highlight w:val="none"/>
                <w:lang w:eastAsia="zh-CN"/>
              </w:rPr>
              <w:t>技术方案</w:t>
            </w:r>
            <w:r>
              <w:rPr>
                <w:rFonts w:hint="eastAsia" w:ascii="宋体" w:hAnsi="宋体" w:cs="宋体"/>
                <w:color w:val="auto"/>
                <w:sz w:val="24"/>
                <w:szCs w:val="24"/>
                <w:highlight w:val="none"/>
              </w:rPr>
              <w:t xml:space="preserve">评分高的优先的顺序； </w:t>
            </w:r>
          </w:p>
          <w:p w14:paraId="7759BB58">
            <w:pPr>
              <w:keepNext w:val="0"/>
              <w:keepLines w:val="0"/>
              <w:pageBreakBefore w:val="0"/>
              <w:widowControl w:val="0"/>
              <w:kinsoku/>
              <w:wordWrap/>
              <w:overflowPunct/>
              <w:topLinePunct w:val="0"/>
              <w:bidi w:val="0"/>
              <w:snapToGrid w:val="0"/>
              <w:spacing w:line="288" w:lineRule="auto"/>
              <w:rPr>
                <w:rFonts w:hint="eastAsia" w:ascii="宋体" w:hAnsi="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随机抽取</w:t>
            </w:r>
          </w:p>
        </w:tc>
      </w:tr>
      <w:tr w14:paraId="57ED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61A1BEC">
            <w:pPr>
              <w:jc w:val="center"/>
              <w:rPr>
                <w:rFonts w:hint="eastAsia" w:ascii="宋体" w:hAnsi="宋体" w:cs="宋体"/>
                <w:color w:val="auto"/>
                <w:sz w:val="24"/>
                <w:szCs w:val="24"/>
                <w:highlight w:val="none"/>
              </w:rPr>
            </w:pPr>
            <w:bookmarkStart w:id="57" w:name="_39.1"/>
            <w:bookmarkEnd w:id="57"/>
            <w:r>
              <w:rPr>
                <w:rFonts w:hint="eastAsia" w:ascii="宋体" w:hAnsi="宋体" w:cs="宋体"/>
                <w:color w:val="auto"/>
                <w:sz w:val="24"/>
                <w:szCs w:val="24"/>
                <w:highlight w:val="none"/>
              </w:rPr>
              <w:t>35.1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7435E216">
            <w:pPr>
              <w:keepNext w:val="0"/>
              <w:keepLines w:val="0"/>
              <w:pageBreakBefore w:val="0"/>
              <w:widowControl w:val="0"/>
              <w:kinsoku/>
              <w:wordWrap/>
              <w:overflowPunct/>
              <w:topLinePunct w:val="0"/>
              <w:autoSpaceDE w:val="0"/>
              <w:autoSpaceDN w:val="0"/>
              <w:bidi w:val="0"/>
              <w:snapToGrid w:val="0"/>
              <w:spacing w:line="288" w:lineRule="auto"/>
              <w:ind w:firstLine="240" w:firstLineChars="1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履约保证金：无</w:t>
            </w:r>
            <w:r>
              <w:rPr>
                <w:rFonts w:hint="eastAsia" w:ascii="宋体" w:hAnsi="宋体"/>
                <w:b/>
                <w:color w:val="auto"/>
                <w:sz w:val="24"/>
                <w:szCs w:val="24"/>
                <w:highlight w:val="none"/>
              </w:rPr>
              <w:t>。</w:t>
            </w:r>
          </w:p>
        </w:tc>
      </w:tr>
      <w:tr w14:paraId="35A3D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62F3084C">
            <w:pPr>
              <w:jc w:val="center"/>
              <w:rPr>
                <w:rFonts w:hint="eastAsia" w:ascii="宋体" w:hAnsi="宋体" w:cs="宋体"/>
                <w:color w:val="auto"/>
                <w:sz w:val="24"/>
                <w:szCs w:val="24"/>
                <w:highlight w:val="none"/>
              </w:rPr>
            </w:pPr>
            <w:bookmarkStart w:id="58" w:name="_40.1"/>
            <w:bookmarkEnd w:id="58"/>
            <w:r>
              <w:rPr>
                <w:rFonts w:hint="eastAsia" w:ascii="宋体" w:hAnsi="宋体" w:cs="宋体"/>
                <w:color w:val="auto"/>
                <w:sz w:val="24"/>
                <w:szCs w:val="24"/>
                <w:highlight w:val="none"/>
              </w:rPr>
              <w:t>36.1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D43A1A4">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签订合同携带的资格证件： </w:t>
            </w:r>
          </w:p>
          <w:p w14:paraId="7CB86F66">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委托代理人负责签订合同的，须携带授权委托书及委托代理人身份证原件等其它资格证件。</w:t>
            </w:r>
          </w:p>
          <w:p w14:paraId="38900221">
            <w:pPr>
              <w:keepNext w:val="0"/>
              <w:keepLines w:val="0"/>
              <w:pageBreakBefore w:val="0"/>
              <w:widowControl w:val="0"/>
              <w:kinsoku/>
              <w:wordWrap/>
              <w:overflowPunct/>
              <w:topLinePunct w:val="0"/>
              <w:autoSpaceDE w:val="0"/>
              <w:autoSpaceDN w:val="0"/>
              <w:bidi w:val="0"/>
              <w:snapToGrid w:val="0"/>
              <w:spacing w:line="288" w:lineRule="auto"/>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法定代表人负责签订合同的，须携带法定代表人身份证明原件及身份证原件等其它资格证件。</w:t>
            </w:r>
          </w:p>
        </w:tc>
      </w:tr>
      <w:tr w14:paraId="1BDA3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760B5EB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38.2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4A2FB8BA">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接收质疑函方式：以书面形式</w:t>
            </w:r>
          </w:p>
          <w:p w14:paraId="4C4F23E8">
            <w:pPr>
              <w:keepNext w:val="0"/>
              <w:keepLines w:val="0"/>
              <w:pageBreakBefore w:val="0"/>
              <w:widowControl w:val="0"/>
              <w:kinsoku/>
              <w:wordWrap/>
              <w:overflowPunct/>
              <w:topLinePunct w:val="0"/>
              <w:bidi w:val="0"/>
              <w:snapToGrid w:val="0"/>
              <w:spacing w:line="288"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质疑联系部门及联系方式：广西德承工程项目管理有限公司招标部，联系电话：0775-</w:t>
            </w:r>
            <w:r>
              <w:rPr>
                <w:rFonts w:hint="eastAsia" w:ascii="宋体" w:hAnsi="宋体" w:cs="宋体"/>
                <w:color w:val="auto"/>
                <w:sz w:val="24"/>
                <w:szCs w:val="24"/>
                <w:highlight w:val="none"/>
                <w:lang w:val="en-US" w:eastAsia="zh-CN"/>
              </w:rPr>
              <w:t>6351368</w:t>
            </w: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lang w:val="en-US" w:eastAsia="zh-CN"/>
              </w:rPr>
              <w:t>北流市永顺六区191号</w:t>
            </w:r>
            <w:r>
              <w:rPr>
                <w:rFonts w:hint="eastAsia" w:ascii="宋体" w:hAnsi="宋体" w:cs="宋体"/>
                <w:color w:val="auto"/>
                <w:sz w:val="24"/>
                <w:szCs w:val="24"/>
                <w:highlight w:val="none"/>
              </w:rPr>
              <w:t>。</w:t>
            </w:r>
          </w:p>
          <w:p w14:paraId="5B7B29CE">
            <w:pPr>
              <w:keepNext w:val="0"/>
              <w:keepLines w:val="0"/>
              <w:pageBreakBefore w:val="0"/>
              <w:widowControl w:val="0"/>
              <w:kinsoku/>
              <w:wordWrap/>
              <w:overflowPunct/>
              <w:topLinePunct w:val="0"/>
              <w:autoSpaceDE w:val="0"/>
              <w:autoSpaceDN w:val="0"/>
              <w:bidi w:val="0"/>
              <w:snapToGrid w:val="0"/>
              <w:spacing w:line="288" w:lineRule="auto"/>
              <w:ind w:firstLine="42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业务时间：工作日每天上午8时00分到12时00分，下午3时00分到6时00分。</w:t>
            </w:r>
          </w:p>
        </w:tc>
      </w:tr>
      <w:tr w14:paraId="0898D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ACA7711">
            <w:pPr>
              <w:jc w:val="center"/>
              <w:rPr>
                <w:rFonts w:hint="eastAsia" w:ascii="宋体" w:hAnsi="宋体" w:cs="宋体"/>
                <w:color w:val="auto"/>
                <w:sz w:val="24"/>
                <w:szCs w:val="24"/>
                <w:highlight w:val="none"/>
              </w:rPr>
            </w:pPr>
            <w:bookmarkStart w:id="59" w:name="_41"/>
            <w:bookmarkEnd w:id="59"/>
            <w:bookmarkStart w:id="60" w:name="_42"/>
            <w:bookmarkEnd w:id="60"/>
            <w:r>
              <w:rPr>
                <w:rFonts w:hint="eastAsia" w:ascii="宋体" w:hAnsi="宋体" w:cs="宋体"/>
                <w:color w:val="auto"/>
                <w:sz w:val="24"/>
                <w:szCs w:val="24"/>
                <w:highlight w:val="none"/>
              </w:rPr>
              <w:t>39.1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399AF620">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1.采购代理费支付方式：</w:t>
            </w:r>
          </w:p>
          <w:p w14:paraId="577DF959">
            <w:pPr>
              <w:keepNext w:val="0"/>
              <w:keepLines w:val="0"/>
              <w:pageBreakBefore w:val="0"/>
              <w:widowControl w:val="0"/>
              <w:kinsoku/>
              <w:wordWrap/>
              <w:overflowPunct/>
              <w:topLinePunct w:val="0"/>
              <w:bidi w:val="0"/>
              <w:snapToGrid w:val="0"/>
              <w:spacing w:line="288" w:lineRule="auto"/>
              <w:ind w:firstLine="42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□招标人支付；</w:t>
            </w:r>
          </w:p>
          <w:p w14:paraId="418B1F67">
            <w:pPr>
              <w:keepNext w:val="0"/>
              <w:keepLines w:val="0"/>
              <w:pageBreakBefore w:val="0"/>
              <w:widowControl w:val="0"/>
              <w:kinsoku/>
              <w:wordWrap/>
              <w:overflowPunct/>
              <w:topLinePunct w:val="0"/>
              <w:bidi w:val="0"/>
              <w:snapToGrid w:val="0"/>
              <w:spacing w:line="288"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中标人支付。</w:t>
            </w:r>
          </w:p>
          <w:p w14:paraId="6BDC85CD">
            <w:pPr>
              <w:keepNext w:val="0"/>
              <w:keepLines w:val="0"/>
              <w:pageBreakBefore w:val="0"/>
              <w:widowControl w:val="0"/>
              <w:kinsoku/>
              <w:wordWrap/>
              <w:overflowPunct/>
              <w:topLinePunct w:val="0"/>
              <w:bidi w:val="0"/>
              <w:snapToGrid w:val="0"/>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2.采购代理费收取标准：</w:t>
            </w:r>
          </w:p>
          <w:p w14:paraId="2984F392">
            <w:pPr>
              <w:pStyle w:val="24"/>
              <w:keepNext w:val="0"/>
              <w:keepLines w:val="0"/>
              <w:pageBreakBefore w:val="0"/>
              <w:widowControl w:val="0"/>
              <w:kinsoku/>
              <w:wordWrap/>
              <w:overflowPunct/>
              <w:topLinePunct w:val="0"/>
              <w:bidi w:val="0"/>
              <w:snapToGrid w:val="0"/>
              <w:spacing w:line="288" w:lineRule="auto"/>
              <w:ind w:firstLine="480" w:firstLineChars="200"/>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u w:val="single"/>
                <w:lang w:val="en-US" w:eastAsia="zh-CN"/>
              </w:rPr>
              <w:t>采购代理服务费由中标人支付，按照《关于进一步放开建设项目专业服务价格的通知》 (发改价格2015)299号的规定实行市场调节价，收费比例按照</w:t>
            </w:r>
            <w:r>
              <w:rPr>
                <w:rFonts w:hint="eastAsia" w:ascii="宋体" w:hAnsi="宋体"/>
                <w:b w:val="0"/>
                <w:bCs w:val="0"/>
                <w:color w:val="auto"/>
                <w:sz w:val="24"/>
                <w:szCs w:val="24"/>
                <w:highlight w:val="none"/>
                <w:u w:val="single"/>
                <w:lang w:val="en-US" w:eastAsia="zh-CN"/>
              </w:rPr>
              <w:t>招标文件代理服务收费标准</w:t>
            </w:r>
            <w:r>
              <w:rPr>
                <w:rFonts w:hint="eastAsia" w:ascii="宋体" w:hAnsi="宋体"/>
                <w:b w:val="0"/>
                <w:bCs w:val="0"/>
                <w:color w:val="auto"/>
                <w:sz w:val="24"/>
                <w:szCs w:val="24"/>
                <w:highlight w:val="none"/>
                <w:u w:val="single"/>
              </w:rPr>
              <w:t>“服务类”采用差额定率累进法计算</w:t>
            </w:r>
            <w:r>
              <w:rPr>
                <w:rFonts w:hint="eastAsia" w:ascii="宋体" w:hAnsi="宋体"/>
                <w:b w:val="0"/>
                <w:bCs w:val="0"/>
                <w:color w:val="auto"/>
                <w:sz w:val="24"/>
                <w:szCs w:val="24"/>
                <w:highlight w:val="none"/>
                <w:u w:val="single"/>
                <w:lang w:eastAsia="zh-CN"/>
              </w:rPr>
              <w:t>，</w:t>
            </w:r>
            <w:r>
              <w:rPr>
                <w:rFonts w:hint="eastAsia" w:hAnsi="宋体" w:cs="宋体"/>
                <w:color w:val="auto"/>
                <w:kern w:val="2"/>
                <w:sz w:val="24"/>
                <w:szCs w:val="24"/>
                <w:highlight w:val="none"/>
                <w:u w:val="single"/>
                <w:lang w:val="en-US" w:eastAsia="zh-CN"/>
              </w:rPr>
              <w:t>由中标人在领取中标通知书前一次性向代理机构支付</w:t>
            </w:r>
            <w:r>
              <w:rPr>
                <w:rFonts w:hint="eastAsia" w:hAnsi="宋体" w:cs="宋体"/>
                <w:color w:val="auto"/>
                <w:kern w:val="2"/>
                <w:sz w:val="24"/>
                <w:szCs w:val="24"/>
                <w:highlight w:val="none"/>
                <w:lang w:val="en-US" w:eastAsia="zh-CN"/>
              </w:rPr>
              <w:t>。</w:t>
            </w:r>
          </w:p>
          <w:p w14:paraId="56031E2A">
            <w:pPr>
              <w:pStyle w:val="24"/>
              <w:keepNext w:val="0"/>
              <w:keepLines w:val="0"/>
              <w:pageBreakBefore w:val="0"/>
              <w:widowControl w:val="0"/>
              <w:kinsoku/>
              <w:wordWrap/>
              <w:overflowPunct/>
              <w:topLinePunct w:val="0"/>
              <w:bidi w:val="0"/>
              <w:snapToGrid w:val="0"/>
              <w:spacing w:line="288" w:lineRule="auto"/>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3.采购代理机构的银行账户：</w:t>
            </w:r>
          </w:p>
          <w:p w14:paraId="35A9AF96">
            <w:pPr>
              <w:pStyle w:val="24"/>
              <w:keepNext w:val="0"/>
              <w:keepLines w:val="0"/>
              <w:pageBreakBefore w:val="0"/>
              <w:widowControl w:val="0"/>
              <w:kinsoku/>
              <w:wordWrap/>
              <w:overflowPunct/>
              <w:topLinePunct w:val="0"/>
              <w:bidi w:val="0"/>
              <w:snapToGrid w:val="0"/>
              <w:spacing w:line="288"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开户名称：广西德承工程项目管理有限公司</w:t>
            </w:r>
          </w:p>
          <w:p w14:paraId="505AFD86">
            <w:pPr>
              <w:pStyle w:val="24"/>
              <w:keepNext w:val="0"/>
              <w:keepLines w:val="0"/>
              <w:pageBreakBefore w:val="0"/>
              <w:widowControl w:val="0"/>
              <w:kinsoku/>
              <w:wordWrap/>
              <w:overflowPunct/>
              <w:topLinePunct w:val="0"/>
              <w:bidi w:val="0"/>
              <w:snapToGrid w:val="0"/>
              <w:spacing w:line="288"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开户银行：中国建设银行股份有限公司北流支行</w:t>
            </w:r>
          </w:p>
          <w:p w14:paraId="5A41562D">
            <w:pPr>
              <w:pStyle w:val="24"/>
              <w:keepNext w:val="0"/>
              <w:keepLines w:val="0"/>
              <w:pageBreakBefore w:val="0"/>
              <w:widowControl w:val="0"/>
              <w:kinsoku/>
              <w:wordWrap/>
              <w:overflowPunct/>
              <w:topLinePunct w:val="0"/>
              <w:bidi w:val="0"/>
              <w:snapToGrid w:val="0"/>
              <w:spacing w:line="288"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开户账号: 4505 0166 4145 0000 0035</w:t>
            </w:r>
          </w:p>
        </w:tc>
      </w:tr>
      <w:tr w14:paraId="52771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33D5E8FF">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40.1</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95F0F78">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宋体" w:hAnsi="宋体" w:cs="宋体"/>
                <w:color w:val="auto"/>
                <w:sz w:val="24"/>
                <w:szCs w:val="24"/>
                <w:highlight w:val="none"/>
              </w:rPr>
            </w:pPr>
            <w:r>
              <w:rPr>
                <w:rFonts w:hint="eastAsia" w:ascii="宋体" w:hAnsi="宋体" w:cs="宋体"/>
                <w:bCs/>
                <w:color w:val="auto"/>
                <w:kern w:val="0"/>
                <w:sz w:val="24"/>
                <w:szCs w:val="24"/>
                <w:highlight w:val="none"/>
              </w:rPr>
              <w:t>解释：构成本招标文件的各个组成文件应互为解释，互为说明；除招标文件中有特别规定外，仅适用于招标投标阶段的规定，按更正公告（澄清公告）</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BD48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noWrap w:val="0"/>
            <w:vAlign w:val="center"/>
          </w:tcPr>
          <w:p w14:paraId="74A49682">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40.2</w:t>
            </w:r>
          </w:p>
        </w:tc>
        <w:tc>
          <w:tcPr>
            <w:tcW w:w="8160" w:type="dxa"/>
            <w:tcBorders>
              <w:top w:val="single" w:color="auto" w:sz="4" w:space="0"/>
              <w:left w:val="single" w:color="auto" w:sz="4" w:space="0"/>
              <w:bottom w:val="single" w:color="auto" w:sz="4" w:space="0"/>
              <w:right w:val="single" w:color="auto" w:sz="4" w:space="0"/>
            </w:tcBorders>
            <w:noWrap w:val="0"/>
            <w:vAlign w:val="center"/>
          </w:tcPr>
          <w:p w14:paraId="2B7376C2">
            <w:pPr>
              <w:pStyle w:val="24"/>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2F22D06">
            <w:pPr>
              <w:pStyle w:val="24"/>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2.本招标文件所称的“</w:t>
            </w:r>
            <w:r>
              <w:rPr>
                <w:rFonts w:hint="eastAsia" w:hAnsi="宋体" w:cs="宋体"/>
                <w:color w:val="auto"/>
                <w:sz w:val="24"/>
                <w:szCs w:val="24"/>
                <w:highlight w:val="none"/>
                <w:lang w:val="en-US" w:eastAsia="zh-CN"/>
              </w:rPr>
              <w:t>电子签章</w:t>
            </w:r>
            <w:r>
              <w:rPr>
                <w:rFonts w:hint="eastAsia" w:hAnsi="宋体" w:cs="宋体"/>
                <w:bCs/>
                <w:color w:val="auto"/>
                <w:sz w:val="24"/>
                <w:szCs w:val="24"/>
                <w:highlight w:val="none"/>
                <w:lang w:val="en-US" w:eastAsia="zh-CN"/>
              </w:rPr>
              <w:t>”、“电子签名”</w:t>
            </w:r>
            <w:r>
              <w:rPr>
                <w:rFonts w:hint="eastAsia" w:hAnsi="宋体" w:cs="宋体"/>
                <w:color w:val="auto"/>
                <w:sz w:val="24"/>
                <w:szCs w:val="24"/>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859BCCC">
            <w:pPr>
              <w:pStyle w:val="24"/>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3.投标人为其他组织或者自然人时，本招标文件规定的</w:t>
            </w:r>
            <w:r>
              <w:rPr>
                <w:rFonts w:hint="eastAsia" w:hAnsi="宋体" w:cs="宋体"/>
                <w:b/>
                <w:bCs w:val="0"/>
                <w:color w:val="auto"/>
                <w:sz w:val="24"/>
                <w:szCs w:val="24"/>
                <w:highlight w:val="none"/>
                <w:lang w:val="en-US" w:eastAsia="zh-CN"/>
              </w:rPr>
              <w:t>法定代表人指负责人或者自然人</w:t>
            </w:r>
            <w:r>
              <w:rPr>
                <w:rFonts w:hint="eastAsia" w:hAnsi="宋体" w:cs="宋体"/>
                <w:bCs/>
                <w:color w:val="auto"/>
                <w:sz w:val="24"/>
                <w:szCs w:val="24"/>
                <w:highlight w:val="none"/>
                <w:lang w:val="en-US" w:eastAsia="zh-CN"/>
              </w:rPr>
              <w:t>。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E2292B9">
            <w:pPr>
              <w:pStyle w:val="24"/>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5C57B59D">
            <w:pPr>
              <w:keepNext w:val="0"/>
              <w:keepLines w:val="0"/>
              <w:pageBreakBefore w:val="0"/>
              <w:widowControl w:val="0"/>
              <w:kinsoku/>
              <w:wordWrap/>
              <w:overflowPunct/>
              <w:topLinePunct w:val="0"/>
              <w:autoSpaceDE/>
              <w:autoSpaceDN/>
              <w:bidi w:val="0"/>
              <w:adjustRightInd/>
              <w:spacing w:line="264" w:lineRule="auto"/>
              <w:ind w:firstLine="42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5.</w:t>
            </w:r>
            <w:r>
              <w:rPr>
                <w:rFonts w:hint="eastAsia" w:ascii="宋体" w:hAnsi="宋体" w:cs="宋体"/>
                <w:bCs/>
                <w:color w:val="auto"/>
                <w:kern w:val="0"/>
                <w:sz w:val="24"/>
                <w:szCs w:val="24"/>
                <w:highlight w:val="none"/>
              </w:rPr>
              <w:t>本招标文件所称的“以上”“以下”“以内”“届满”，包括本数；所称的“不满”“超过”“以外”，不包括本数。</w:t>
            </w:r>
          </w:p>
        </w:tc>
      </w:tr>
    </w:tbl>
    <w:p w14:paraId="3985C902">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宋体" w:hAnsi="宋体" w:cs="宋体"/>
          <w:color w:val="auto"/>
          <w:sz w:val="24"/>
          <w:szCs w:val="20"/>
          <w:highlight w:val="none"/>
        </w:rPr>
      </w:pPr>
    </w:p>
    <w:p w14:paraId="344C51F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cs="宋体"/>
          <w:color w:val="auto"/>
          <w:highlight w:val="none"/>
        </w:rPr>
      </w:pPr>
      <w:r>
        <w:rPr>
          <w:rFonts w:hint="eastAsia" w:ascii="宋体" w:hAnsi="宋体" w:cs="宋体"/>
          <w:color w:val="auto"/>
          <w:sz w:val="24"/>
          <w:szCs w:val="20"/>
          <w:highlight w:val="none"/>
        </w:rPr>
        <w:br w:type="page"/>
      </w:r>
      <w:r>
        <w:rPr>
          <w:rFonts w:hint="eastAsia" w:ascii="宋体" w:hAnsi="宋体" w:cs="宋体"/>
          <w:b/>
          <w:bCs/>
          <w:color w:val="auto"/>
          <w:sz w:val="32"/>
          <w:szCs w:val="32"/>
          <w:highlight w:val="none"/>
        </w:rPr>
        <w:t>投标人须知正文</w:t>
      </w:r>
    </w:p>
    <w:p w14:paraId="1DA70C63">
      <w:pPr>
        <w:pStyle w:val="5"/>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color w:val="auto"/>
          <w:highlight w:val="none"/>
        </w:rPr>
      </w:pPr>
      <w:r>
        <w:rPr>
          <w:rFonts w:hint="eastAsia" w:ascii="宋体" w:hAnsi="宋体" w:cs="宋体"/>
          <w:color w:val="auto"/>
          <w:highlight w:val="none"/>
        </w:rPr>
        <w:t>一、总  则</w:t>
      </w:r>
    </w:p>
    <w:p w14:paraId="202C5186">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61" w:name="_Toc254970668"/>
      <w:bookmarkStart w:id="62" w:name="_Toc254970527"/>
      <w:r>
        <w:rPr>
          <w:rFonts w:hint="eastAsia" w:ascii="宋体" w:hAnsi="宋体" w:cs="宋体"/>
          <w:color w:val="auto"/>
          <w:sz w:val="24"/>
          <w:szCs w:val="24"/>
          <w:highlight w:val="none"/>
        </w:rPr>
        <w:t>1.适用范围</w:t>
      </w:r>
      <w:bookmarkEnd w:id="61"/>
      <w:bookmarkEnd w:id="62"/>
    </w:p>
    <w:p w14:paraId="6ACEFA68">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C3B16F">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1.2本招标文件</w:t>
      </w:r>
      <w:r>
        <w:rPr>
          <w:rFonts w:hint="eastAsia" w:ascii="宋体" w:hAnsi="宋体" w:cs="宋体"/>
          <w:color w:val="auto"/>
          <w:spacing w:val="-6"/>
          <w:sz w:val="24"/>
          <w:szCs w:val="24"/>
          <w:highlight w:val="none"/>
        </w:rPr>
        <w:t>适用于本项目的所有采购程序和环节（法律、法规另有规定的，从其规定）。</w:t>
      </w:r>
    </w:p>
    <w:p w14:paraId="21E15335">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63" w:name="_Toc254970669"/>
      <w:bookmarkStart w:id="64" w:name="_Toc254970528"/>
      <w:r>
        <w:rPr>
          <w:rFonts w:hint="eastAsia" w:ascii="宋体" w:hAnsi="宋体" w:cs="宋体"/>
          <w:color w:val="auto"/>
          <w:sz w:val="24"/>
          <w:szCs w:val="24"/>
          <w:highlight w:val="none"/>
        </w:rPr>
        <w:t>2.定义</w:t>
      </w:r>
      <w:bookmarkEnd w:id="63"/>
      <w:bookmarkEnd w:id="64"/>
    </w:p>
    <w:p w14:paraId="32A9C5E3">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2.1“采购人”是指依法进行政府采购的国家机关、事业单位、团体组织。</w:t>
      </w:r>
    </w:p>
    <w:p w14:paraId="142B493B">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2.2“采购代理机构”是指政府采购集中采购机构和集中采购机构以外的采购代理机构。</w:t>
      </w:r>
    </w:p>
    <w:p w14:paraId="3F50EA3D">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2.3“</w:t>
      </w:r>
      <w:r>
        <w:rPr>
          <w:rFonts w:hint="eastAsia" w:ascii="宋体" w:hAnsi="宋体" w:cs="宋体"/>
          <w:b w:val="0"/>
          <w:color w:val="auto"/>
          <w:sz w:val="24"/>
          <w:szCs w:val="24"/>
          <w:highlight w:val="none"/>
          <w:lang w:eastAsia="zh-CN"/>
        </w:rPr>
        <w:t>供应商人</w:t>
      </w:r>
      <w:r>
        <w:rPr>
          <w:rFonts w:hint="eastAsia" w:ascii="宋体" w:hAnsi="宋体" w:cs="宋体"/>
          <w:b w:val="0"/>
          <w:color w:val="auto"/>
          <w:sz w:val="24"/>
          <w:szCs w:val="24"/>
          <w:highlight w:val="none"/>
        </w:rPr>
        <w:t>”是指向采购人提供货物、工程或者服务的法人、其他组织或者自然人。</w:t>
      </w:r>
    </w:p>
    <w:p w14:paraId="12F21E6B">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2.4“投标人”是指响应招标、参加投标竞争的法人、非法人组织或者自然人。</w:t>
      </w:r>
    </w:p>
    <w:p w14:paraId="62F64686">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2.5“服务”是指除货物和工程以外的其他政府采购对象。</w:t>
      </w:r>
    </w:p>
    <w:p w14:paraId="1BF9B393">
      <w:pPr>
        <w:pStyle w:val="7"/>
        <w:keepNext w:val="0"/>
        <w:keepLines w:val="0"/>
        <w:spacing w:before="0" w:after="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2.6“书面形式”是指合同书、信件和数据电文（包括电报、电传、传真、电子数据交换和电子邮件）等可以有形地表现所载内容的形式。</w:t>
      </w:r>
    </w:p>
    <w:p w14:paraId="56511F5A">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2.7“实质性要求”是指招标文件中已经指明不满足则投标无效的条款，或者不能负偏离的条款，或者采购需求中带“▲”的条款。</w:t>
      </w:r>
    </w:p>
    <w:p w14:paraId="44C42E3E">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2.8“正偏离”，是指投标文件对招标文件“采购需求”中有关条款作出的响应优于条款要求并有利于采购人的情形。</w:t>
      </w:r>
    </w:p>
    <w:p w14:paraId="79A8B41B">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2.9“负偏离”，是指投标文件对招标文件“采购需求”中有关条款作出的响应不满足条款要求，导致采购人要求不能得到满足的情形。</w:t>
      </w:r>
    </w:p>
    <w:p w14:paraId="1845EF0B">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2.10“允许负偏离的条款”是指采购需求中的不属于“实质性要求”的条款。</w:t>
      </w:r>
      <w:bookmarkStart w:id="65" w:name="_Toc254970670"/>
      <w:bookmarkStart w:id="66" w:name="_Toc254970529"/>
    </w:p>
    <w:p w14:paraId="067CAD1B">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bookmarkEnd w:id="65"/>
      <w:bookmarkEnd w:id="66"/>
      <w:r>
        <w:rPr>
          <w:rFonts w:hint="eastAsia" w:ascii="宋体" w:hAnsi="宋体" w:cs="宋体"/>
          <w:color w:val="auto"/>
          <w:sz w:val="24"/>
          <w:szCs w:val="24"/>
          <w:highlight w:val="none"/>
        </w:rPr>
        <w:t>投标人的资格要求</w:t>
      </w:r>
    </w:p>
    <w:p w14:paraId="486804EC">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投标人的资格要求详见“投标人须知前附表”。</w:t>
      </w:r>
    </w:p>
    <w:p w14:paraId="25D7C129">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67" w:name="_Toc254970530"/>
      <w:bookmarkStart w:id="68" w:name="_Toc254970671"/>
      <w:r>
        <w:rPr>
          <w:rFonts w:hint="eastAsia" w:ascii="宋体" w:hAnsi="宋体" w:cs="宋体"/>
          <w:color w:val="auto"/>
          <w:sz w:val="24"/>
          <w:szCs w:val="24"/>
          <w:highlight w:val="none"/>
        </w:rPr>
        <w:t>4.投标委托</w:t>
      </w:r>
      <w:bookmarkEnd w:id="67"/>
      <w:bookmarkEnd w:id="68"/>
    </w:p>
    <w:p w14:paraId="18C40463">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投标人代表参加投标活动过程中必须携带个人有效身份证件。如投标人代表不是法定代表人，须持有法定代表人授权委托书（按第六章要求格式填写）。</w:t>
      </w:r>
    </w:p>
    <w:p w14:paraId="6E5EC75A">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69" w:name="_5.投标费用"/>
      <w:bookmarkEnd w:id="69"/>
      <w:bookmarkStart w:id="70" w:name="_Toc254970672"/>
      <w:bookmarkStart w:id="71" w:name="_Toc254970531"/>
      <w:r>
        <w:rPr>
          <w:rFonts w:hint="eastAsia" w:ascii="宋体" w:hAnsi="宋体" w:cs="宋体"/>
          <w:color w:val="auto"/>
          <w:sz w:val="24"/>
          <w:szCs w:val="24"/>
          <w:highlight w:val="none"/>
        </w:rPr>
        <w:t>5.投标费用</w:t>
      </w:r>
      <w:bookmarkEnd w:id="70"/>
      <w:bookmarkEnd w:id="71"/>
    </w:p>
    <w:p w14:paraId="3AD74619">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44885E8A">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6.联合体投标</w:t>
      </w:r>
    </w:p>
    <w:p w14:paraId="38650340">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6.1本项目不接受联合体投标，详见“投标人须知前附表”。</w:t>
      </w:r>
    </w:p>
    <w:p w14:paraId="11DD3DA7">
      <w:pPr>
        <w:snapToGrid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6.2如接受联合体投标，联合体投标要求详见“投标人须知前附表”。</w:t>
      </w:r>
    </w:p>
    <w:p w14:paraId="2161A383">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6.3</w:t>
      </w:r>
      <w:r>
        <w:rPr>
          <w:rFonts w:hint="eastAsia" w:ascii="宋体" w:hAnsi="宋体" w:cs="宋体"/>
          <w:color w:val="auto"/>
          <w:sz w:val="24"/>
          <w:szCs w:val="24"/>
          <w:highlight w:val="none"/>
        </w:rPr>
        <w:t>根据《政府采购促进中小企业发展管理办法》（财库〔2020〕46号）第九条第二款及</w:t>
      </w:r>
      <w:r>
        <w:rPr>
          <w:rFonts w:hint="eastAsia" w:ascii="宋体" w:hAnsi="宋体"/>
          <w:b w:val="0"/>
          <w:bCs/>
          <w:color w:val="auto"/>
          <w:sz w:val="24"/>
          <w:szCs w:val="24"/>
          <w:highlight w:val="none"/>
          <w:lang w:val="en-US"/>
        </w:rPr>
        <w:t>《广西壮族自治区财政厅关于持续优化政府采购营商环境推动高质量发展的通知》（桂财采〔2024〕55号）</w:t>
      </w:r>
      <w:r>
        <w:rPr>
          <w:rFonts w:hint="eastAsia" w:ascii="宋体" w:hAnsi="宋体" w:cs="宋体"/>
          <w:color w:val="auto"/>
          <w:sz w:val="24"/>
          <w:szCs w:val="24"/>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C0161F6">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7.转包与分包             </w:t>
      </w:r>
    </w:p>
    <w:p w14:paraId="1F783FC9">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72" w:name="_Toc254970532"/>
      <w:bookmarkStart w:id="73" w:name="_Toc254970673"/>
      <w:r>
        <w:rPr>
          <w:rFonts w:hint="eastAsia" w:ascii="宋体" w:hAnsi="宋体" w:cs="宋体"/>
          <w:b w:val="0"/>
          <w:color w:val="auto"/>
          <w:sz w:val="24"/>
          <w:szCs w:val="24"/>
          <w:highlight w:val="none"/>
        </w:rPr>
        <w:t>7.1本项目不允许转包。</w:t>
      </w:r>
    </w:p>
    <w:p w14:paraId="475A114C">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D8BEA8D">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b w:val="0"/>
          <w:color w:val="auto"/>
          <w:sz w:val="24"/>
          <w:szCs w:val="24"/>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E755998">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8.特别说明</w:t>
      </w:r>
      <w:bookmarkEnd w:id="72"/>
      <w:bookmarkEnd w:id="73"/>
    </w:p>
    <w:p w14:paraId="3E7DCFAB">
      <w:pPr>
        <w:pStyle w:val="7"/>
        <w:keepNext w:val="0"/>
        <w:keepLines w:val="0"/>
        <w:spacing w:before="0" w:after="0" w:line="360" w:lineRule="auto"/>
        <w:ind w:firstLine="420" w:firstLineChars="175"/>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8.1如果本招标文件要求提供投标人或制造商的资格、信誉、荣誉、业绩与企业认证等材料的，资格、信誉、荣誉、业绩与企业认证等必须为投标人或者制造商所拥有或自身获得 。</w:t>
      </w:r>
    </w:p>
    <w:p w14:paraId="36942AE7">
      <w:pPr>
        <w:pStyle w:val="7"/>
        <w:keepNext w:val="0"/>
        <w:keepLines w:val="0"/>
        <w:spacing w:before="0" w:after="0" w:line="360" w:lineRule="auto"/>
        <w:ind w:firstLine="420" w:firstLineChars="175"/>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8.2投标人应仔细阅读招标文件的所有内容，按照招标文件的要求提交投标文件，并对所提供的全部资料的真实性承担法律责任。</w:t>
      </w:r>
    </w:p>
    <w:p w14:paraId="6ABDA407">
      <w:pPr>
        <w:pStyle w:val="7"/>
        <w:keepNext w:val="0"/>
        <w:keepLines w:val="0"/>
        <w:spacing w:before="0" w:after="0" w:line="360" w:lineRule="auto"/>
        <w:ind w:firstLine="420" w:firstLineChars="175"/>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A96AA69">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9.回避与串通投标</w:t>
      </w:r>
    </w:p>
    <w:p w14:paraId="34495F1D">
      <w:pPr>
        <w:pStyle w:val="7"/>
        <w:keepNext w:val="0"/>
        <w:keepLines w:val="0"/>
        <w:spacing w:before="0" w:after="0" w:line="360" w:lineRule="auto"/>
        <w:ind w:firstLine="420" w:firstLineChars="175"/>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9.1在政府采购活动中，采购人员及相关人员与</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有下列利害关系之一的，应当回避：</w:t>
      </w:r>
    </w:p>
    <w:p w14:paraId="47DE1BB6">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（1）参加采购活动前3年内与</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存在劳动关系；</w:t>
      </w:r>
    </w:p>
    <w:p w14:paraId="67FBEB15">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（2）参加采购活动前3年内担任</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的董事、监事；</w:t>
      </w:r>
    </w:p>
    <w:p w14:paraId="4BA76587">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（3）参加采购活动前3年内是</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的控股股东或者实际控制人；</w:t>
      </w:r>
    </w:p>
    <w:p w14:paraId="45CCD2CB">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（4）与</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的法定代表人或者负责人有夫妻、直系血亲、三代以内旁系血亲或者近姻亲关系；</w:t>
      </w:r>
    </w:p>
    <w:p w14:paraId="355284A5">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（5）与</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有其他可能影响政府采购活动公平、公正进行的关系。</w:t>
      </w:r>
    </w:p>
    <w:p w14:paraId="2F496C01">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认为采购人员及相关人员与其他</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14:paraId="6A747119">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9.2有下列情形之一的视为投标人相互串通投标，投标文件将被视为无效：</w:t>
      </w:r>
    </w:p>
    <w:p w14:paraId="2C5C47C9">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（1）不同投标人的投标文件由同一单位或者个人编制或不同</w:t>
      </w:r>
      <w:r>
        <w:rPr>
          <w:rFonts w:hint="eastAsia" w:hAnsi="宋体" w:cs="宋体"/>
          <w:b/>
          <w:color w:val="auto"/>
          <w:kern w:val="2"/>
          <w:sz w:val="24"/>
          <w:szCs w:val="24"/>
          <w:highlight w:val="none"/>
          <w:lang w:eastAsia="zh-CN"/>
        </w:rPr>
        <w:t>投标人</w:t>
      </w:r>
      <w:r>
        <w:rPr>
          <w:rFonts w:hint="eastAsia" w:hAnsi="宋体" w:cs="宋体"/>
          <w:b/>
          <w:color w:val="auto"/>
          <w:kern w:val="2"/>
          <w:sz w:val="24"/>
          <w:szCs w:val="24"/>
          <w:highlight w:val="none"/>
        </w:rPr>
        <w:t xml:space="preserve">报名的IP地址一致的；  </w:t>
      </w:r>
    </w:p>
    <w:p w14:paraId="0C52B7E6">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1F13F567">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49335E0F">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090A9DD0">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07B45393">
      <w:pPr>
        <w:pStyle w:val="24"/>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3A505C72">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9.3</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有下列情形之一的，属于恶意串通行为，将报同级监督管理部门：</w:t>
      </w:r>
    </w:p>
    <w:p w14:paraId="69B47404">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ascii="宋体" w:hAnsi="宋体" w:cs="宋体"/>
          <w:b w:val="0"/>
          <w:color w:val="auto"/>
          <w:sz w:val="24"/>
          <w:szCs w:val="24"/>
          <w:highlight w:val="none"/>
          <w:lang w:eastAsia="zh-CN"/>
        </w:rPr>
        <w:t>投标人</w:t>
      </w:r>
      <w:r>
        <w:rPr>
          <w:rFonts w:hint="eastAsia" w:hAnsi="宋体" w:cs="宋体"/>
          <w:color w:val="auto"/>
          <w:kern w:val="2"/>
          <w:sz w:val="24"/>
          <w:szCs w:val="24"/>
          <w:highlight w:val="none"/>
        </w:rPr>
        <w:t>直接或者间接从采购人或者采购代理机构处获得其他</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的相关信息并修改其投标文件或者投标文件；</w:t>
      </w:r>
    </w:p>
    <w:p w14:paraId="403D4969">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w:t>
      </w:r>
      <w:r>
        <w:rPr>
          <w:rFonts w:hint="eastAsia" w:ascii="宋体" w:hAnsi="宋体" w:cs="宋体"/>
          <w:b w:val="0"/>
          <w:color w:val="auto"/>
          <w:sz w:val="24"/>
          <w:szCs w:val="24"/>
          <w:highlight w:val="none"/>
          <w:lang w:eastAsia="zh-CN"/>
        </w:rPr>
        <w:t>投标人</w:t>
      </w:r>
      <w:r>
        <w:rPr>
          <w:rFonts w:hint="eastAsia" w:hAnsi="宋体" w:cs="宋体"/>
          <w:color w:val="auto"/>
          <w:kern w:val="2"/>
          <w:sz w:val="24"/>
          <w:szCs w:val="24"/>
          <w:highlight w:val="none"/>
        </w:rPr>
        <w:t>按照采购人或者采购代理机构的授意撤换、修改投标文件或者投标文件；</w:t>
      </w:r>
    </w:p>
    <w:p w14:paraId="68125A06">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之间协商报价、技术方案等投标文件或者投标文件的实质性内容；</w:t>
      </w:r>
    </w:p>
    <w:p w14:paraId="1202F0CD">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按照该组织要求协同参加政府采购活动；</w:t>
      </w:r>
    </w:p>
    <w:p w14:paraId="19EF5DD9">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（5）</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之间事先约定一致抬高或者压低投标报价，或者在招标项目中事先约定轮流以高价位或者低价位中标，或者事先约定由某一特定</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中标，然后再参加投标；</w:t>
      </w:r>
    </w:p>
    <w:p w14:paraId="31CE967B">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（6）</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之间商定部分</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放弃参加政府采购活动或者放弃中标；</w:t>
      </w:r>
    </w:p>
    <w:p w14:paraId="64964CFB">
      <w:pPr>
        <w:pStyle w:val="24"/>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（7）</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与采购人或者采购代理机构之间、</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相互之间，为谋求特定</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中标或者排斥其他</w:t>
      </w:r>
      <w:r>
        <w:rPr>
          <w:rFonts w:hint="eastAsia" w:hAnsi="宋体" w:cs="宋体"/>
          <w:color w:val="auto"/>
          <w:kern w:val="2"/>
          <w:sz w:val="24"/>
          <w:szCs w:val="24"/>
          <w:highlight w:val="none"/>
          <w:lang w:eastAsia="zh-CN"/>
        </w:rPr>
        <w:t>投标人</w:t>
      </w:r>
      <w:r>
        <w:rPr>
          <w:rFonts w:hint="eastAsia" w:hAnsi="宋体" w:cs="宋体"/>
          <w:color w:val="auto"/>
          <w:kern w:val="2"/>
          <w:sz w:val="24"/>
          <w:szCs w:val="24"/>
          <w:highlight w:val="none"/>
        </w:rPr>
        <w:t>的其他串通行为。</w:t>
      </w:r>
    </w:p>
    <w:p w14:paraId="70D76A38">
      <w:pPr>
        <w:pStyle w:val="5"/>
        <w:keepNext w:val="0"/>
        <w:keepLines w:val="0"/>
        <w:jc w:val="center"/>
        <w:rPr>
          <w:rFonts w:hint="eastAsia" w:ascii="宋体" w:hAnsi="宋体" w:cs="宋体"/>
          <w:color w:val="auto"/>
          <w:sz w:val="32"/>
          <w:szCs w:val="32"/>
          <w:highlight w:val="none"/>
        </w:rPr>
      </w:pPr>
      <w:bookmarkStart w:id="74" w:name="_Toc254970534"/>
      <w:bookmarkStart w:id="75" w:name="_Toc254970675"/>
      <w:r>
        <w:rPr>
          <w:rFonts w:hint="eastAsia" w:ascii="宋体" w:hAnsi="宋体" w:cs="宋体"/>
          <w:color w:val="auto"/>
          <w:sz w:val="32"/>
          <w:szCs w:val="32"/>
          <w:highlight w:val="none"/>
        </w:rPr>
        <w:t>二、招标文件</w:t>
      </w:r>
      <w:bookmarkEnd w:id="74"/>
      <w:bookmarkEnd w:id="75"/>
    </w:p>
    <w:p w14:paraId="3DAEF3E8">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10.招标文件的组成</w:t>
      </w:r>
    </w:p>
    <w:p w14:paraId="4D2AE224">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（1）招标公告；</w:t>
      </w:r>
    </w:p>
    <w:p w14:paraId="238DB9D7">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（2）采购需求； </w:t>
      </w:r>
    </w:p>
    <w:p w14:paraId="1DD3EE29">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（3）投标人须知；</w:t>
      </w:r>
    </w:p>
    <w:p w14:paraId="14EE76C5">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（4）评标方法及评标标准；</w:t>
      </w:r>
    </w:p>
    <w:p w14:paraId="55733045">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（5）拟签订的合同文本；</w:t>
      </w:r>
    </w:p>
    <w:p w14:paraId="32D911A7">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470DFDF8">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11.招标文件的澄清、修改 、现场考察和答疑会</w:t>
      </w:r>
    </w:p>
    <w:p w14:paraId="1C3883CC">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EB9A48D">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6DDCCAB1">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11.2</w:t>
      </w:r>
      <w:bookmarkStart w:id="76" w:name="_Hlk53134511"/>
      <w:r>
        <w:rPr>
          <w:rFonts w:hint="eastAsia" w:hAnsi="宋体" w:cs="宋体"/>
          <w:color w:val="auto"/>
          <w:sz w:val="24"/>
          <w:szCs w:val="24"/>
          <w:highlight w:val="none"/>
        </w:rPr>
        <w:t>采购人或者采购代理机构可以在招标文件提供期限截止后，组织已获取招标文件的潜在投标人现场考察或者召开开标前答疑会，具体详见“投标人须知前附表”。</w:t>
      </w:r>
    </w:p>
    <w:bookmarkEnd w:id="76"/>
    <w:p w14:paraId="51C942E1">
      <w:pPr>
        <w:pStyle w:val="5"/>
        <w:keepNext w:val="0"/>
        <w:keepLines w:val="0"/>
        <w:jc w:val="center"/>
        <w:rPr>
          <w:rFonts w:hint="eastAsia" w:ascii="宋体" w:hAnsi="宋体" w:cs="宋体"/>
          <w:color w:val="auto"/>
          <w:highlight w:val="none"/>
        </w:rPr>
      </w:pPr>
      <w:bookmarkStart w:id="77" w:name="_Toc254970535"/>
      <w:bookmarkStart w:id="78" w:name="_Toc254970676"/>
      <w:r>
        <w:rPr>
          <w:rFonts w:hint="eastAsia" w:ascii="宋体" w:hAnsi="宋体" w:cs="宋体"/>
          <w:color w:val="auto"/>
          <w:highlight w:val="none"/>
        </w:rPr>
        <w:t>三、投标文件的编制</w:t>
      </w:r>
      <w:bookmarkEnd w:id="77"/>
      <w:bookmarkEnd w:id="78"/>
    </w:p>
    <w:p w14:paraId="796EB9A4">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79" w:name="_Toc254970536"/>
      <w:bookmarkStart w:id="80" w:name="_Toc254970677"/>
      <w:r>
        <w:rPr>
          <w:rFonts w:hint="eastAsia" w:ascii="宋体" w:hAnsi="宋体" w:cs="宋体"/>
          <w:color w:val="auto"/>
          <w:sz w:val="24"/>
          <w:szCs w:val="24"/>
          <w:highlight w:val="none"/>
        </w:rPr>
        <w:t>12.投标文件的编制原则</w:t>
      </w:r>
    </w:p>
    <w:p w14:paraId="2331392C">
      <w:pPr>
        <w:snapToGrid w:val="0"/>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投标人必须按照招标文件的要求编制投标文件。投标文件必须对招标文件提出的要求和条件作出明确响应。</w:t>
      </w:r>
    </w:p>
    <w:p w14:paraId="6489DCDA">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13.投标文件的组成</w:t>
      </w:r>
      <w:bookmarkEnd w:id="79"/>
      <w:bookmarkEnd w:id="80"/>
    </w:p>
    <w:p w14:paraId="4D761FAF">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13.1投标文件由报价文件、资格证明文件、商务文件、技术文件四部分组成。</w:t>
      </w:r>
    </w:p>
    <w:p w14:paraId="7FEDB98C">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81" w:name="_13.1报价文件:_具体材料见“投标人须知前附表”。"/>
      <w:bookmarkEnd w:id="81"/>
      <w:r>
        <w:rPr>
          <w:rFonts w:hint="eastAsia" w:ascii="宋体" w:hAnsi="宋体" w:cs="宋体"/>
          <w:b w:val="0"/>
          <w:color w:val="auto"/>
          <w:sz w:val="24"/>
          <w:szCs w:val="24"/>
          <w:highlight w:val="none"/>
        </w:rPr>
        <w:t>（1）报价文件： 具体材料见“投标人须知前附表”。</w:t>
      </w:r>
    </w:p>
    <w:p w14:paraId="39EB612A">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82" w:name="_13.2资格证明文件：具体材料见“投标人须知前附表”。"/>
      <w:bookmarkEnd w:id="82"/>
      <w:r>
        <w:rPr>
          <w:rFonts w:hint="eastAsia" w:ascii="宋体" w:hAnsi="宋体" w:cs="宋体"/>
          <w:b w:val="0"/>
          <w:color w:val="auto"/>
          <w:sz w:val="24"/>
          <w:szCs w:val="24"/>
          <w:highlight w:val="none"/>
        </w:rPr>
        <w:t>（2）资格证明文件：具体材料见“投标人须知前附表”。</w:t>
      </w:r>
    </w:p>
    <w:p w14:paraId="0283D7DD">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83" w:name="_13.3商务文件:_具体材料见“投标人须知前附表”。"/>
      <w:bookmarkEnd w:id="83"/>
      <w:r>
        <w:rPr>
          <w:rFonts w:hint="eastAsia" w:ascii="宋体" w:hAnsi="宋体" w:cs="宋体"/>
          <w:b w:val="0"/>
          <w:color w:val="auto"/>
          <w:sz w:val="24"/>
          <w:szCs w:val="24"/>
          <w:highlight w:val="none"/>
        </w:rPr>
        <w:t>（3）商务文件：具体材料见“投标人须知前附表”。</w:t>
      </w:r>
    </w:p>
    <w:p w14:paraId="44DB6F3C">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84" w:name="_13.4技术文件：具体材料见“投标人须知前附表”。"/>
      <w:bookmarkEnd w:id="84"/>
      <w:r>
        <w:rPr>
          <w:rFonts w:hint="eastAsia" w:ascii="宋体" w:hAnsi="宋体" w:cs="宋体"/>
          <w:b w:val="0"/>
          <w:color w:val="auto"/>
          <w:sz w:val="24"/>
          <w:szCs w:val="24"/>
          <w:highlight w:val="none"/>
        </w:rPr>
        <w:t>（4）技术文件：具体材料见“投标人须知前附表”。</w:t>
      </w:r>
    </w:p>
    <w:p w14:paraId="670AE13D">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85" w:name="_13.5投标文件电子版：具体材料见“投标人须知前附表”。"/>
      <w:bookmarkEnd w:id="85"/>
      <w:r>
        <w:rPr>
          <w:rFonts w:hint="eastAsia" w:ascii="宋体" w:hAnsi="宋体" w:cs="宋体"/>
          <w:b w:val="0"/>
          <w:color w:val="auto"/>
          <w:sz w:val="24"/>
          <w:szCs w:val="24"/>
          <w:highlight w:val="none"/>
        </w:rPr>
        <w:t>13.2投标文件电子版：具体要求见“投标人须知前附表”。</w:t>
      </w:r>
    </w:p>
    <w:p w14:paraId="16F699A3">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86" w:name="_Toc254970537"/>
      <w:bookmarkStart w:id="87" w:name="_Toc254970678"/>
      <w:r>
        <w:rPr>
          <w:rFonts w:hint="eastAsia" w:ascii="宋体" w:hAnsi="宋体" w:cs="宋体"/>
          <w:color w:val="auto"/>
          <w:sz w:val="24"/>
          <w:szCs w:val="24"/>
          <w:highlight w:val="none"/>
        </w:rPr>
        <w:t>14.投标文件的语言及计量</w:t>
      </w:r>
      <w:bookmarkEnd w:id="86"/>
      <w:bookmarkEnd w:id="87"/>
    </w:p>
    <w:p w14:paraId="2D5AF51A">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14.1语言文字</w:t>
      </w:r>
    </w:p>
    <w:p w14:paraId="39089766">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052F6E1">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14.2投标计量单位</w:t>
      </w:r>
    </w:p>
    <w:p w14:paraId="22885C82">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招标文件已有明确规定的，使用招标文件规定的计量单位；招标文件没有规定的，应采用中华人民共和国法定计量单位，货币种类为人民币，否则视同未响应。</w:t>
      </w:r>
    </w:p>
    <w:p w14:paraId="076D8DC0">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15.投标的风险</w:t>
      </w:r>
    </w:p>
    <w:p w14:paraId="33651068">
      <w:pPr>
        <w:pStyle w:val="24"/>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4EC768E8">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88" w:name="_Toc254970679"/>
      <w:bookmarkStart w:id="89" w:name="_Toc254970538"/>
      <w:r>
        <w:rPr>
          <w:rFonts w:hint="eastAsia" w:ascii="宋体" w:hAnsi="宋体" w:cs="宋体"/>
          <w:color w:val="auto"/>
          <w:sz w:val="24"/>
          <w:szCs w:val="24"/>
          <w:highlight w:val="none"/>
        </w:rPr>
        <w:t>16.投标报价</w:t>
      </w:r>
      <w:bookmarkEnd w:id="88"/>
      <w:bookmarkEnd w:id="89"/>
    </w:p>
    <w:p w14:paraId="396DEB28">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16.1投标报价应按“第六章　投标文件格式”中“开标一览表”和广西政府采购云平台系统中“开标一览表”格式填写。</w:t>
      </w:r>
    </w:p>
    <w:p w14:paraId="2425DD95">
      <w:pPr>
        <w:pStyle w:val="7"/>
        <w:keepNext w:val="0"/>
        <w:keepLines w:val="0"/>
        <w:spacing w:before="0" w:after="0" w:line="360" w:lineRule="auto"/>
        <w:ind w:left="420" w:leftChars="200"/>
        <w:rPr>
          <w:rFonts w:hint="eastAsia" w:ascii="宋体" w:hAnsi="宋体" w:cs="宋体"/>
          <w:b w:val="0"/>
          <w:color w:val="auto"/>
          <w:sz w:val="24"/>
          <w:szCs w:val="24"/>
          <w:highlight w:val="none"/>
        </w:rPr>
      </w:pPr>
      <w:bookmarkStart w:id="90" w:name="_16.2投标报价具体定义见投标人须知前附表。"/>
      <w:bookmarkEnd w:id="90"/>
      <w:r>
        <w:rPr>
          <w:rFonts w:hint="eastAsia" w:ascii="宋体" w:hAnsi="宋体" w:cs="宋体"/>
          <w:b w:val="0"/>
          <w:color w:val="auto"/>
          <w:sz w:val="24"/>
          <w:szCs w:val="24"/>
          <w:highlight w:val="none"/>
        </w:rPr>
        <w:t>16.2投标报价具体包括内容详见“投标人须知前附表”。</w:t>
      </w:r>
    </w:p>
    <w:p w14:paraId="371F629C">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16.3投标人必须就所投全部内容分别作完整唯一总价报价，不得存在漏项报价；投标人必须就所投单项内容作唯一报价。</w:t>
      </w:r>
    </w:p>
    <w:p w14:paraId="5B54BED2">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17.投标有效期</w:t>
      </w:r>
    </w:p>
    <w:p w14:paraId="0A0BA4E3">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bookmarkStart w:id="91" w:name="_17.1投标有效期应按“投标人须知中的前附表”规定的期限。"/>
      <w:bookmarkEnd w:id="91"/>
      <w:r>
        <w:rPr>
          <w:rFonts w:hint="eastAsia" w:ascii="宋体" w:hAnsi="宋体" w:cs="宋体"/>
          <w:b w:val="0"/>
          <w:color w:val="auto"/>
          <w:sz w:val="24"/>
          <w:szCs w:val="24"/>
          <w:highlight w:val="none"/>
        </w:rPr>
        <w:t>17.1投标有效期是指为保证采购人有足够的时间在开标后完成评标、定标、合同签订等工作而要求投标人提交的投标文件在一定时间内保持有效的期限。</w:t>
      </w:r>
    </w:p>
    <w:p w14:paraId="22B81AFF">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17.2</w:t>
      </w:r>
      <w:bookmarkStart w:id="92" w:name="_Toc254970681"/>
      <w:bookmarkStart w:id="93" w:name="_Toc254970540"/>
      <w:r>
        <w:rPr>
          <w:rFonts w:hint="eastAsia" w:ascii="宋体" w:hAnsi="宋体" w:cs="宋体"/>
          <w:b w:val="0"/>
          <w:color w:val="auto"/>
          <w:sz w:val="24"/>
          <w:szCs w:val="24"/>
          <w:highlight w:val="none"/>
        </w:rPr>
        <w:t xml:space="preserve"> 投标有效期应按规定的期限作出承诺，具体详见“投标人须知前附表”。</w:t>
      </w:r>
    </w:p>
    <w:p w14:paraId="12877C55">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17.3投标人的投标文件在投标有效期内均保持有效。</w:t>
      </w:r>
      <w:bookmarkEnd w:id="92"/>
      <w:bookmarkEnd w:id="93"/>
    </w:p>
    <w:p w14:paraId="630EDC02">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94" w:name="_18.投标保证金"/>
      <w:bookmarkEnd w:id="94"/>
      <w:bookmarkStart w:id="95" w:name="_Toc254970682"/>
      <w:bookmarkStart w:id="96" w:name="_Toc254970541"/>
      <w:r>
        <w:rPr>
          <w:rFonts w:hint="eastAsia" w:ascii="宋体" w:hAnsi="宋体" w:cs="宋体"/>
          <w:color w:val="auto"/>
          <w:sz w:val="24"/>
          <w:szCs w:val="24"/>
          <w:highlight w:val="none"/>
        </w:rPr>
        <w:t>18.投标保证金</w:t>
      </w:r>
      <w:bookmarkEnd w:id="95"/>
      <w:bookmarkEnd w:id="96"/>
    </w:p>
    <w:p w14:paraId="37ECEC5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bookmarkStart w:id="97" w:name="_Toc254970542"/>
      <w:bookmarkStart w:id="98" w:name="_Toc254970683"/>
      <w:r>
        <w:rPr>
          <w:rFonts w:hint="eastAsia" w:ascii="宋体" w:hAnsi="宋体" w:cs="宋体"/>
          <w:color w:val="auto"/>
          <w:sz w:val="24"/>
          <w:szCs w:val="24"/>
          <w:highlight w:val="none"/>
        </w:rPr>
        <w:t>：无。</w:t>
      </w:r>
    </w:p>
    <w:p w14:paraId="16950349">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19.投标文件的</w:t>
      </w:r>
      <w:bookmarkEnd w:id="97"/>
      <w:bookmarkEnd w:id="98"/>
      <w:r>
        <w:rPr>
          <w:rFonts w:hint="eastAsia" w:ascii="宋体" w:hAnsi="宋体" w:cs="宋体"/>
          <w:color w:val="auto"/>
          <w:sz w:val="24"/>
          <w:szCs w:val="24"/>
          <w:highlight w:val="none"/>
        </w:rPr>
        <w:t>编制</w:t>
      </w:r>
    </w:p>
    <w:p w14:paraId="5B195430">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3D2AB200">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bookmarkStart w:id="99" w:name="_19.2投标文件应按报价文件、资格证明文件、商务文件、技术文件分别编制"/>
      <w:bookmarkEnd w:id="99"/>
      <w:r>
        <w:rPr>
          <w:rFonts w:hint="eastAsia" w:ascii="宋体" w:hAnsi="宋体" w:cs="宋体"/>
          <w:b w:val="0"/>
          <w:color w:val="auto"/>
          <w:sz w:val="24"/>
          <w:szCs w:val="24"/>
          <w:highlight w:val="none"/>
        </w:rPr>
        <w:t>19.2为确保网上操作合法、有效和安全，投标人应当在投标截止时间前完成在广西政府采购云平台的身份认证，确保在电子投标过程中能够对相关数据电文进行加密和使用电子签章。</w:t>
      </w:r>
    </w:p>
    <w:p w14:paraId="73562B7B">
      <w:pPr>
        <w:pStyle w:val="7"/>
        <w:keepNext w:val="0"/>
        <w:keepLines w:val="0"/>
        <w:spacing w:before="0" w:after="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4"/>
          <w:szCs w:val="24"/>
          <w:highlight w:val="none"/>
        </w:rPr>
        <w:t>否则按无效投标处理</w:t>
      </w:r>
      <w:r>
        <w:rPr>
          <w:rFonts w:hint="eastAsia" w:ascii="宋体" w:hAnsi="宋体" w:cs="宋体"/>
          <w:b w:val="0"/>
          <w:color w:val="auto"/>
          <w:sz w:val="24"/>
          <w:szCs w:val="24"/>
          <w:highlight w:val="none"/>
        </w:rPr>
        <w:t>。</w:t>
      </w:r>
    </w:p>
    <w:p w14:paraId="2BCE4BF0">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4"/>
          <w:szCs w:val="24"/>
          <w:highlight w:val="none"/>
        </w:rPr>
        <w:t>否则按无效投标处理</w:t>
      </w:r>
      <w:r>
        <w:rPr>
          <w:rFonts w:hint="eastAsia" w:ascii="宋体" w:hAnsi="宋体" w:cs="宋体"/>
          <w:b w:val="0"/>
          <w:color w:val="auto"/>
          <w:sz w:val="24"/>
          <w:szCs w:val="24"/>
          <w:highlight w:val="none"/>
        </w:rPr>
        <w:t>。</w:t>
      </w:r>
    </w:p>
    <w:p w14:paraId="040BCD71">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7DAD4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20.电子备份投标文件</w:t>
      </w:r>
    </w:p>
    <w:p w14:paraId="491E481A">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电子备份投标文件是指通过在线编制生成且后缀名为“bfbs”的文件，是否接受电子备份投标文件详见“投标人须知前附表”。</w:t>
      </w:r>
    </w:p>
    <w:p w14:paraId="2A2A6807">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21.投标文件的提交</w:t>
      </w:r>
    </w:p>
    <w:p w14:paraId="2DE25579">
      <w:pPr>
        <w:spacing w:line="360" w:lineRule="auto"/>
        <w:ind w:firstLine="480" w:firstLineChars="200"/>
        <w:rPr>
          <w:rFonts w:hint="eastAsia" w:ascii="宋体" w:hAnsi="宋体" w:cs="宋体"/>
          <w:b/>
          <w:color w:val="auto"/>
          <w:sz w:val="24"/>
          <w:szCs w:val="24"/>
          <w:highlight w:val="none"/>
        </w:rPr>
      </w:pPr>
      <w:bookmarkStart w:id="100" w:name="_21.1投标人必须在“投标人须知中的前附表”规定的投标文件接收时间和投"/>
      <w:bookmarkEnd w:id="100"/>
      <w:r>
        <w:rPr>
          <w:rFonts w:hint="eastAsia" w:ascii="宋体" w:hAnsi="宋体" w:cs="宋体"/>
          <w:bCs/>
          <w:color w:val="auto"/>
          <w:sz w:val="24"/>
          <w:szCs w:val="24"/>
          <w:highlight w:val="none"/>
        </w:rPr>
        <w:t>21.1投标人必须在“投标人须知前附表”规定的</w:t>
      </w:r>
      <w:r>
        <w:rPr>
          <w:rFonts w:hint="eastAsia" w:ascii="宋体" w:hAnsi="宋体" w:cs="宋体"/>
          <w:color w:val="auto"/>
          <w:sz w:val="24"/>
          <w:szCs w:val="24"/>
          <w:highlight w:val="none"/>
        </w:rPr>
        <w:t>投标文件提交截止时间前将</w:t>
      </w:r>
      <w:r>
        <w:rPr>
          <w:rFonts w:hint="eastAsia" w:ascii="宋体" w:hAnsi="宋体" w:cs="宋体"/>
          <w:bCs/>
          <w:color w:val="auto"/>
          <w:sz w:val="24"/>
          <w:szCs w:val="24"/>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 w:val="24"/>
          <w:szCs w:val="24"/>
          <w:highlight w:val="none"/>
        </w:rPr>
        <w:t>广西政府采购云平台</w:t>
      </w:r>
      <w:r>
        <w:rPr>
          <w:rFonts w:hint="eastAsia" w:ascii="宋体" w:hAnsi="宋体" w:cs="宋体"/>
          <w:bCs/>
          <w:color w:val="auto"/>
          <w:sz w:val="24"/>
          <w:szCs w:val="24"/>
          <w:highlight w:val="none"/>
        </w:rPr>
        <w:t xml:space="preserve">。 </w:t>
      </w:r>
      <w:r>
        <w:rPr>
          <w:rFonts w:hint="eastAsia" w:ascii="宋体" w:hAnsi="宋体" w:cs="宋体"/>
          <w:b/>
          <w:color w:val="auto"/>
          <w:sz w:val="24"/>
          <w:szCs w:val="24"/>
          <w:highlight w:val="none"/>
        </w:rPr>
        <w:t xml:space="preserve"> </w:t>
      </w:r>
    </w:p>
    <w:p w14:paraId="1C0B5A6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21.2未在规定时间内提交或者未按照招标文件要求加密的电子投标文件，广西政府采购云平台将拒收。</w:t>
      </w:r>
    </w:p>
    <w:p w14:paraId="75639C40">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22. 投标文件的补充、修改、撤回与退回</w:t>
      </w:r>
    </w:p>
    <w:p w14:paraId="416F370B">
      <w:pPr>
        <w:snapToGrid w:val="0"/>
        <w:spacing w:line="360" w:lineRule="auto"/>
        <w:ind w:firstLine="420"/>
        <w:jc w:val="left"/>
        <w:rPr>
          <w:rFonts w:hint="eastAsia" w:ascii="宋体" w:hAnsi="宋体" w:cs="宋体"/>
          <w:color w:val="auto"/>
          <w:sz w:val="24"/>
          <w:szCs w:val="24"/>
          <w:highlight w:val="none"/>
        </w:rPr>
      </w:pPr>
      <w:bookmarkStart w:id="101" w:name="_Toc254970684"/>
      <w:bookmarkStart w:id="102" w:name="_Toc254970543"/>
      <w:r>
        <w:rPr>
          <w:rFonts w:hint="eastAsia" w:ascii="宋体" w:hAnsi="宋体" w:cs="宋体"/>
          <w:color w:val="auto"/>
          <w:sz w:val="24"/>
          <w:szCs w:val="24"/>
          <w:highlight w:val="none"/>
        </w:rPr>
        <w:t>22.1</w:t>
      </w:r>
      <w:r>
        <w:rPr>
          <w:rFonts w:hint="eastAsia" w:ascii="宋体" w:hAnsi="宋体" w:cs="宋体"/>
          <w:bCs/>
          <w:color w:val="auto"/>
          <w:sz w:val="24"/>
          <w:szCs w:val="24"/>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 w:val="24"/>
          <w:szCs w:val="24"/>
          <w:highlight w:val="none"/>
        </w:rPr>
        <w:t>（补充、修改或者撤回方式可登录</w:t>
      </w:r>
      <w:r>
        <w:rPr>
          <w:rFonts w:hint="eastAsia" w:ascii="宋体" w:hAnsi="宋体" w:cs="宋体"/>
          <w:color w:val="auto"/>
          <w:kern w:val="0"/>
          <w:sz w:val="24"/>
          <w:szCs w:val="24"/>
          <w:highlight w:val="none"/>
        </w:rPr>
        <w:t>广西政府采购云平台，</w:t>
      </w:r>
      <w:r>
        <w:rPr>
          <w:rFonts w:hint="eastAsia" w:ascii="宋体" w:hAnsi="宋体" w:cs="宋体"/>
          <w:color w:val="auto"/>
          <w:sz w:val="24"/>
          <w:szCs w:val="24"/>
          <w:highlight w:val="none"/>
        </w:rPr>
        <w:t>依次进入“服务中心”中查看 “电子投标文件制作与投送教程”）</w:t>
      </w:r>
    </w:p>
    <w:bookmarkEnd w:id="101"/>
    <w:bookmarkEnd w:id="102"/>
    <w:p w14:paraId="5E3FEC03">
      <w:pPr>
        <w:pStyle w:val="115"/>
        <w:spacing w:before="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22.2广西政府采购云平台收到投标文件后向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发出确认回执通知。在投标截止时间前，除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补充、修改或者撤回投标文件外，任何单位和个人不得解密或提取投标文件。</w:t>
      </w:r>
    </w:p>
    <w:p w14:paraId="7E5B51B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22.3在投标截止时间后，采购人和采购代理机构对已提交的投标文件概不退回。</w:t>
      </w:r>
    </w:p>
    <w:p w14:paraId="02D79369">
      <w:pPr>
        <w:pStyle w:val="5"/>
        <w:keepNext w:val="0"/>
        <w:keepLines w:val="0"/>
        <w:ind w:left="0" w:leftChars="0" w:right="0" w:rightChars="0" w:firstLine="0" w:firstLineChars="0"/>
        <w:jc w:val="center"/>
        <w:rPr>
          <w:rFonts w:hint="eastAsia" w:ascii="宋体" w:hAnsi="宋体" w:cs="宋体"/>
          <w:color w:val="auto"/>
          <w:highlight w:val="none"/>
        </w:rPr>
      </w:pPr>
      <w:bookmarkStart w:id="103" w:name="_Toc254970544"/>
      <w:bookmarkStart w:id="104" w:name="_Toc254970685"/>
      <w:r>
        <w:rPr>
          <w:rFonts w:hint="eastAsia" w:ascii="宋体" w:hAnsi="宋体" w:cs="宋体"/>
          <w:color w:val="auto"/>
          <w:highlight w:val="none"/>
        </w:rPr>
        <w:t>四、开    标</w:t>
      </w:r>
      <w:bookmarkEnd w:id="103"/>
      <w:bookmarkEnd w:id="104"/>
    </w:p>
    <w:p w14:paraId="7076E378">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105" w:name="_23.开标时间和地点"/>
      <w:bookmarkEnd w:id="105"/>
      <w:r>
        <w:rPr>
          <w:rFonts w:hint="eastAsia" w:ascii="宋体" w:hAnsi="宋体" w:cs="宋体"/>
          <w:color w:val="auto"/>
          <w:sz w:val="24"/>
          <w:szCs w:val="24"/>
          <w:highlight w:val="none"/>
        </w:rPr>
        <w:t>23.开标时间和地点</w:t>
      </w:r>
    </w:p>
    <w:p w14:paraId="6138072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开标时间及地点详见“投标人须知前附表”</w:t>
      </w:r>
    </w:p>
    <w:p w14:paraId="6E2D99D7">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24.开标程序</w:t>
      </w:r>
    </w:p>
    <w:p w14:paraId="4C9A8F37">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24.1提交投标文件截止时间止，投标人不足3家的，不得开标。</w:t>
      </w:r>
    </w:p>
    <w:p w14:paraId="0CC4D995">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24.2采购代理机构将按照招标文件规定的时间通过广西政府采购云平台组织线上开标活动，所有</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均应当准时在线参加，投标人因未在线参加开标而导致投标文件无法按时解密等一切后果由投标人自己承担。</w:t>
      </w:r>
    </w:p>
    <w:p w14:paraId="01D84E6C">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24.3开标程序</w:t>
      </w:r>
    </w:p>
    <w:p w14:paraId="182BC7CC">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 w:val="24"/>
          <w:szCs w:val="24"/>
          <w:highlight w:val="none"/>
        </w:rPr>
        <w:t>“投标人须知前附表”</w:t>
      </w:r>
      <w:r>
        <w:rPr>
          <w:rFonts w:hint="eastAsia" w:ascii="宋体" w:hAnsi="宋体" w:cs="宋体"/>
          <w:color w:val="auto"/>
          <w:sz w:val="24"/>
          <w:szCs w:val="24"/>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sz w:val="24"/>
          <w:szCs w:val="24"/>
          <w:highlight w:val="none"/>
        </w:rPr>
        <w:t>投标人未在规定的时间内解密投标文件或者解密失败的，投标人的投标文件作无效处理。</w:t>
      </w:r>
    </w:p>
    <w:p w14:paraId="3AAAB756">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（2）电子唱标。投标文件解密结束，宣布的内容均在广西政府采购云平台远程开标大厅展示，具体详见</w:t>
      </w:r>
      <w:r>
        <w:rPr>
          <w:rFonts w:hint="eastAsia" w:ascii="宋体" w:hAnsi="宋体" w:cs="宋体"/>
          <w:bCs/>
          <w:color w:val="auto"/>
          <w:sz w:val="24"/>
          <w:szCs w:val="24"/>
          <w:highlight w:val="none"/>
        </w:rPr>
        <w:t>“投标人须知前附表”</w:t>
      </w:r>
      <w:r>
        <w:rPr>
          <w:rFonts w:hint="eastAsia" w:ascii="宋体" w:hAnsi="宋体" w:cs="宋体"/>
          <w:color w:val="auto"/>
          <w:sz w:val="24"/>
          <w:szCs w:val="24"/>
          <w:highlight w:val="none"/>
        </w:rPr>
        <w:t>；</w:t>
      </w:r>
    </w:p>
    <w:p w14:paraId="55420B36">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F5D020F">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DAFBC">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（5）开标结束。</w:t>
      </w:r>
    </w:p>
    <w:p w14:paraId="0C2ED844">
      <w:pPr>
        <w:pStyle w:val="24"/>
        <w:snapToGrid w:val="0"/>
        <w:spacing w:line="360" w:lineRule="auto"/>
        <w:ind w:firstLine="480" w:firstLineChars="200"/>
        <w:rPr>
          <w:rFonts w:hint="eastAsia" w:hAnsi="宋体" w:cs="宋体"/>
          <w:color w:val="auto"/>
          <w:sz w:val="21"/>
          <w:highlight w:val="none"/>
        </w:rPr>
      </w:pPr>
      <w:r>
        <w:rPr>
          <w:rFonts w:hint="eastAsia" w:hAnsi="宋体" w:cs="宋体"/>
          <w:color w:val="auto"/>
          <w:sz w:val="24"/>
          <w:szCs w:val="24"/>
          <w:highlight w:val="none"/>
        </w:rPr>
        <w:t>特别说明：如遇广西政府采购云平台电子化开标或评审程序调整的，按调整后执行。</w:t>
      </w:r>
    </w:p>
    <w:p w14:paraId="463A5F57">
      <w:pPr>
        <w:pStyle w:val="5"/>
        <w:keepNext w:val="0"/>
        <w:keepLines w:val="0"/>
        <w:jc w:val="center"/>
        <w:rPr>
          <w:rFonts w:hint="eastAsia" w:ascii="宋体" w:hAnsi="宋体" w:cs="宋体"/>
          <w:color w:val="auto"/>
          <w:highlight w:val="none"/>
        </w:rPr>
      </w:pPr>
      <w:r>
        <w:rPr>
          <w:rFonts w:hint="eastAsia" w:ascii="宋体" w:hAnsi="宋体" w:cs="宋体"/>
          <w:color w:val="auto"/>
          <w:highlight w:val="none"/>
        </w:rPr>
        <w:t>五、资格审查</w:t>
      </w:r>
    </w:p>
    <w:p w14:paraId="4E43BA1D">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25.资格审查</w:t>
      </w:r>
    </w:p>
    <w:p w14:paraId="42CE030E">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25.1开标结束后，采购人或者采购代理机构通过电子开评标系统依据招标文件对电子投标文件进行线上资格审查。</w:t>
      </w:r>
    </w:p>
    <w:p w14:paraId="39C7F636">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25.2资格审查标准为本招标文件中载明对投标人资格要求的条件。本项目资格审查采用合格制，凡符合招标文件规定的投标人资格要求的投标人均通过资格审查。</w:t>
      </w:r>
    </w:p>
    <w:p w14:paraId="305AE976">
      <w:pPr>
        <w:pStyle w:val="7"/>
        <w:keepNext w:val="0"/>
        <w:keepLines w:val="0"/>
        <w:numPr>
          <w:ilvl w:val="0"/>
          <w:numId w:val="0"/>
        </w:numPr>
        <w:spacing w:before="0" w:after="0" w:line="360" w:lineRule="auto"/>
        <w:ind w:firstLine="482" w:firstLineChars="200"/>
        <w:rPr>
          <w:rFonts w:hint="eastAsia" w:ascii="宋体" w:hAnsi="宋体" w:cs="宋体"/>
          <w:color w:val="auto"/>
          <w:sz w:val="24"/>
          <w:szCs w:val="24"/>
          <w:highlight w:val="none"/>
        </w:rPr>
      </w:pPr>
      <w:bookmarkStart w:id="106" w:name="_25.3_投标人有下列情形之一的，资格审查不通过而导致其投标无效："/>
      <w:bookmarkEnd w:id="106"/>
      <w:r>
        <w:rPr>
          <w:rFonts w:hint="eastAsia" w:ascii="宋体" w:hAnsi="宋体" w:cs="宋体"/>
          <w:color w:val="auto"/>
          <w:sz w:val="24"/>
          <w:szCs w:val="24"/>
          <w:highlight w:val="none"/>
        </w:rPr>
        <w:t>25.3 投标人有下列情形之一的，资格审查不通过，作无效投标处理：</w:t>
      </w:r>
    </w:p>
    <w:p w14:paraId="7C665A24">
      <w:pPr>
        <w:pStyle w:val="24"/>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（1）不具备招标文件中规定的资格要求的；</w:t>
      </w:r>
    </w:p>
    <w:p w14:paraId="450E1366">
      <w:pPr>
        <w:pStyle w:val="24"/>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651D6C09">
      <w:pPr>
        <w:pStyle w:val="24"/>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（3）同一合同项下的不同投标人，单位负责人为同一人或者存在直接控股、管理关系的；为本项目提供过整体设计、规范编制或者项目管理、监理、检测等服务的</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，再参加该采购项目的其他采购活动的；</w:t>
      </w:r>
    </w:p>
    <w:p w14:paraId="538701DF">
      <w:pPr>
        <w:pStyle w:val="24"/>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（4）投标文件中的资格证明文件缺少任一项“投标人须知前附表”资格证明文件规定“必须提供”的文件资料的；</w:t>
      </w:r>
    </w:p>
    <w:p w14:paraId="129DE12E">
      <w:pPr>
        <w:pStyle w:val="24"/>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（5）投标文件中的资格证明文件出现任一项不符合“投标人须知前附表”资格证明文件规定“必须提供”的文件资料要求或者无效的。</w:t>
      </w:r>
    </w:p>
    <w:p w14:paraId="14F73FE8">
      <w:pPr>
        <w:pStyle w:val="7"/>
        <w:keepNext w:val="0"/>
        <w:keepLines w:val="0"/>
        <w:spacing w:before="0" w:after="0" w:line="360" w:lineRule="auto"/>
        <w:ind w:left="420" w:leftChars="200"/>
        <w:rPr>
          <w:rFonts w:hint="eastAsia" w:hAnsi="宋体" w:cs="宋体"/>
          <w:color w:val="auto"/>
          <w:sz w:val="21"/>
          <w:highlight w:val="none"/>
        </w:rPr>
      </w:pPr>
      <w:r>
        <w:rPr>
          <w:rFonts w:hint="eastAsia" w:ascii="宋体" w:hAnsi="宋体" w:cs="宋体"/>
          <w:color w:val="auto"/>
          <w:sz w:val="24"/>
          <w:szCs w:val="24"/>
          <w:highlight w:val="none"/>
        </w:rPr>
        <w:t>25.4合格投标人不足3家的，不得评标。</w:t>
      </w:r>
    </w:p>
    <w:p w14:paraId="0EFE5B52">
      <w:pPr>
        <w:pStyle w:val="5"/>
        <w:keepNext w:val="0"/>
        <w:keepLines w:val="0"/>
        <w:jc w:val="center"/>
        <w:rPr>
          <w:rFonts w:hint="eastAsia" w:ascii="宋体" w:hAnsi="宋体" w:cs="宋体"/>
          <w:color w:val="auto"/>
          <w:highlight w:val="none"/>
        </w:rPr>
      </w:pPr>
      <w:r>
        <w:rPr>
          <w:rFonts w:hint="eastAsia" w:ascii="宋体" w:hAnsi="宋体" w:cs="宋体"/>
          <w:color w:val="auto"/>
          <w:highlight w:val="none"/>
        </w:rPr>
        <w:t>六、评   标</w:t>
      </w:r>
    </w:p>
    <w:p w14:paraId="6AC8C42C">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107" w:name="_26.组建评标委员会"/>
      <w:bookmarkEnd w:id="107"/>
      <w:r>
        <w:rPr>
          <w:rFonts w:hint="eastAsia" w:ascii="宋体" w:hAnsi="宋体" w:cs="宋体"/>
          <w:color w:val="auto"/>
          <w:sz w:val="24"/>
          <w:szCs w:val="24"/>
          <w:highlight w:val="none"/>
        </w:rPr>
        <w:t>26.组建评标委员会</w:t>
      </w:r>
    </w:p>
    <w:p w14:paraId="2D61DD94">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26.1评标委员会由采购人代表和评审专家组成，具体人数详见“投标人须知前附表”，其中评审专家不得少于成员总数的三分之二。</w:t>
      </w:r>
    </w:p>
    <w:p w14:paraId="6B9B8F51">
      <w:pPr>
        <w:pStyle w:val="24"/>
        <w:snapToGrid w:val="0"/>
        <w:spacing w:line="360" w:lineRule="auto"/>
        <w:ind w:left="2" w:leftChars="1" w:firstLine="480" w:firstLineChars="200"/>
        <w:rPr>
          <w:rFonts w:hint="eastAsia" w:hAnsi="宋体" w:cs="宋体"/>
          <w:color w:val="auto"/>
          <w:sz w:val="24"/>
          <w:szCs w:val="24"/>
          <w:highlight w:val="none"/>
        </w:rPr>
      </w:pPr>
      <w:r>
        <w:rPr>
          <w:rFonts w:hint="eastAsia" w:hAnsi="宋体" w:cs="宋体"/>
          <w:color w:val="auto"/>
          <w:sz w:val="24"/>
          <w:szCs w:val="24"/>
          <w:highlight w:val="none"/>
        </w:rPr>
        <w:t>26.2参加过采购项目前期咨询论证的专家，不得参加该采购项目的评审活动。</w:t>
      </w:r>
    </w:p>
    <w:p w14:paraId="48F33818">
      <w:pPr>
        <w:pStyle w:val="24"/>
        <w:snapToGrid w:val="0"/>
        <w:spacing w:line="360" w:lineRule="auto"/>
        <w:ind w:left="2" w:leftChars="1" w:firstLine="480" w:firstLineChars="200"/>
        <w:rPr>
          <w:rFonts w:hint="eastAsia" w:hAnsi="宋体" w:cs="宋体"/>
          <w:color w:val="auto"/>
          <w:sz w:val="24"/>
          <w:szCs w:val="24"/>
          <w:highlight w:val="none"/>
        </w:rPr>
      </w:pPr>
      <w:r>
        <w:rPr>
          <w:rFonts w:hint="eastAsia" w:hAnsi="宋体" w:cs="宋体"/>
          <w:color w:val="auto"/>
          <w:sz w:val="24"/>
          <w:szCs w:val="24"/>
          <w:highlight w:val="none"/>
        </w:rPr>
        <w:t>26.3</w:t>
      </w:r>
      <w:r>
        <w:rPr>
          <w:rFonts w:hint="eastAsia" w:hAnsi="宋体" w:cs="宋体"/>
          <w:bCs/>
          <w:color w:val="auto"/>
          <w:sz w:val="24"/>
          <w:szCs w:val="24"/>
          <w:highlight w:val="none"/>
        </w:rPr>
        <w:t>采购代理机构应当基于广西政府采购云平台抽（选）取评审专家。</w:t>
      </w:r>
    </w:p>
    <w:p w14:paraId="545CF1AF">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27.评标的依据</w:t>
      </w:r>
    </w:p>
    <w:p w14:paraId="1DC1FB69">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7FCBF121">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28.评标原则</w:t>
      </w:r>
    </w:p>
    <w:p w14:paraId="06FE49ED">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678A94">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28.2</w:t>
      </w:r>
      <w:bookmarkStart w:id="108" w:name="_28.3评标方法。本项目将按须知前附表规定的评标办法进行评标，具体评标"/>
      <w:bookmarkEnd w:id="108"/>
      <w:r>
        <w:rPr>
          <w:rFonts w:hint="eastAsia" w:hAnsi="宋体" w:cs="宋体"/>
          <w:color w:val="auto"/>
          <w:sz w:val="24"/>
          <w:szCs w:val="24"/>
          <w:highlight w:val="none"/>
        </w:rPr>
        <w:t>评委表决。评标委员会成员对需要共同认定的事项存在争议的，应当按照少数服从多数的原则作出结论。</w:t>
      </w:r>
    </w:p>
    <w:p w14:paraId="469D0F46">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6C6067C">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28.4评标过程的监控。本项目电子评标过程实行网上留痕、全程录音、录像监控，</w:t>
      </w:r>
      <w:r>
        <w:rPr>
          <w:rFonts w:hint="eastAsia" w:hAnsi="宋体" w:cs="宋体"/>
          <w:b/>
          <w:color w:val="auto"/>
          <w:sz w:val="24"/>
          <w:szCs w:val="24"/>
          <w:highlight w:val="none"/>
        </w:rPr>
        <w:t>投标人在评标过程中所进行的试图影响评标结果的不公正活动，可能导致其投标按无效处理。</w:t>
      </w:r>
    </w:p>
    <w:p w14:paraId="00BEF4D4">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29.评标方法及中标候选人推荐</w:t>
      </w:r>
    </w:p>
    <w:p w14:paraId="2BC9DE46">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3F7EEDF1">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29.2 商务/技术要求允许负偏离的条款数详见“投标人须知前附表”。</w:t>
      </w:r>
    </w:p>
    <w:p w14:paraId="419F9DC7">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29.3 中标候选人推荐数量详见“投标人须知前附表”。</w:t>
      </w:r>
    </w:p>
    <w:p w14:paraId="7BDF8A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 电子交易活动的中止。采购过程中出现以下情形，导致电子交易平台无法正常运行，或者无法保证电子交易的公平、公正和安全时，采购代理机构可以中止电子交易活动：</w:t>
      </w:r>
    </w:p>
    <w:p w14:paraId="019DDFE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（1）电子交易平台发生故障而无法登录访问的； </w:t>
      </w:r>
    </w:p>
    <w:p w14:paraId="382A6E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（2）电子交易平台应用或数据库出现错误，不能进行正常操作的；</w:t>
      </w:r>
    </w:p>
    <w:p w14:paraId="122A07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（3）电子交易平台发现严重安全漏洞，有潜在泄密危险的；</w:t>
      </w:r>
    </w:p>
    <w:p w14:paraId="15E923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（4）病毒发作导致不能进行正常操作的； </w:t>
      </w:r>
    </w:p>
    <w:p w14:paraId="2426F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（5）其他无法保证电子交易的公平、公正和安全的情况。</w:t>
      </w:r>
    </w:p>
    <w:p w14:paraId="18700D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A3F03EA">
      <w:pPr>
        <w:pStyle w:val="5"/>
        <w:keepNext w:val="0"/>
        <w:keepLines w:val="0"/>
        <w:ind w:left="0" w:leftChars="0" w:right="0" w:rightChars="0" w:firstLine="0" w:firstLineChars="0"/>
        <w:jc w:val="center"/>
        <w:rPr>
          <w:rFonts w:hint="eastAsia" w:ascii="宋体" w:hAnsi="宋体" w:cs="宋体"/>
          <w:color w:val="auto"/>
          <w:highlight w:val="none"/>
        </w:rPr>
      </w:pPr>
      <w:bookmarkStart w:id="109" w:name="_Toc254970546"/>
      <w:bookmarkStart w:id="110" w:name="_Toc254970687"/>
      <w:r>
        <w:rPr>
          <w:rFonts w:hint="eastAsia" w:ascii="宋体" w:hAnsi="宋体" w:cs="宋体"/>
          <w:color w:val="auto"/>
          <w:highlight w:val="none"/>
        </w:rPr>
        <w:t>七、</w:t>
      </w:r>
      <w:bookmarkEnd w:id="109"/>
      <w:bookmarkEnd w:id="110"/>
      <w:r>
        <w:rPr>
          <w:rFonts w:hint="eastAsia" w:ascii="宋体" w:hAnsi="宋体" w:cs="宋体"/>
          <w:color w:val="auto"/>
          <w:highlight w:val="none"/>
        </w:rPr>
        <w:t>中标和合同</w:t>
      </w:r>
    </w:p>
    <w:p w14:paraId="667E5BA0">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30 确定中标人</w:t>
      </w:r>
    </w:p>
    <w:p w14:paraId="2533DDA7">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bookmarkStart w:id="111" w:name="_八、其他事项"/>
      <w:bookmarkEnd w:id="111"/>
      <w:r>
        <w:rPr>
          <w:rFonts w:hint="eastAsia" w:ascii="宋体" w:hAnsi="宋体" w:cs="宋体"/>
          <w:b w:val="0"/>
          <w:color w:val="auto"/>
          <w:sz w:val="24"/>
          <w:szCs w:val="24"/>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6273104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30.2采购人在收到评标报告2个工作日内未按评标报告推荐的中标候选人顺序确定中标人，又不能说明合法理由的，视同按评标报告推荐的顺序确定排名第一的中标候选人为中标人。</w:t>
      </w:r>
    </w:p>
    <w:p w14:paraId="341F284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30.3出现下列情形之一的，应予废标：</w:t>
      </w:r>
    </w:p>
    <w:p w14:paraId="09692E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（1）符合专业条件的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或者对招标文件作实质响应的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不足三家的；</w:t>
      </w:r>
    </w:p>
    <w:p w14:paraId="330DDFE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AE37A0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（3）投标人的报价均超过了采购预算，采购人不能支付的；</w:t>
      </w:r>
    </w:p>
    <w:p w14:paraId="0BCEB94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3E15A92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废标后，采购人应当将废标理由通知所有投标人。</w:t>
      </w:r>
    </w:p>
    <w:p w14:paraId="26DD8BE7">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31. 结果公告</w:t>
      </w:r>
    </w:p>
    <w:p w14:paraId="7AEBDA36">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E75CAC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以上信息查询记录及相关证据与采购文件一并保存。</w:t>
      </w:r>
    </w:p>
    <w:p w14:paraId="40BF8844">
      <w:pPr>
        <w:pStyle w:val="7"/>
        <w:keepNext w:val="0"/>
        <w:keepLines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31.2中标</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享受《政府采购促进中小企业发展管理办法》（财库〔2020〕46号）规定的中小企业扶持政策的，采购人、采购代理机构应当随中标结果公开中标</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的《中小企业声明函》。</w:t>
      </w:r>
    </w:p>
    <w:p w14:paraId="6FB46A8C">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32.发出中标通知书</w:t>
      </w:r>
    </w:p>
    <w:p w14:paraId="1718D251">
      <w:pPr>
        <w:pStyle w:val="7"/>
        <w:keepNext w:val="0"/>
        <w:keepLines w:val="0"/>
        <w:spacing w:before="0" w:after="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2985B6D">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33. 无义务解释未中标原因</w:t>
      </w:r>
    </w:p>
    <w:p w14:paraId="1279F873">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采购代理机构无义务向未中标的投标人解释未中标原因。</w:t>
      </w:r>
    </w:p>
    <w:p w14:paraId="4AD2421C">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34.合同授予标准</w:t>
      </w:r>
    </w:p>
    <w:p w14:paraId="1542B21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合同将授予被确定实质上响应招标文件要求，具备履行合同能力的中标人。</w:t>
      </w:r>
    </w:p>
    <w:p w14:paraId="1C62A4E9">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35.履约保证金</w:t>
      </w:r>
    </w:p>
    <w:p w14:paraId="4A9109EF">
      <w:pPr>
        <w:pStyle w:val="7"/>
        <w:keepNext w:val="0"/>
        <w:keepLines w:val="0"/>
        <w:spacing w:before="0" w:after="0" w:line="360" w:lineRule="auto"/>
        <w:ind w:firstLine="360" w:firstLineChars="150"/>
        <w:rPr>
          <w:rFonts w:hint="eastAsia" w:ascii="宋体" w:hAnsi="宋体" w:cs="宋体"/>
          <w:color w:val="auto"/>
          <w:sz w:val="24"/>
          <w:szCs w:val="24"/>
          <w:highlight w:val="none"/>
        </w:rPr>
      </w:pPr>
      <w:bookmarkStart w:id="112" w:name="_39.1中标人须于签订合同前按本须知前附表规定的金额转账或电汇到指定账"/>
      <w:bookmarkEnd w:id="112"/>
      <w:r>
        <w:rPr>
          <w:rFonts w:hint="eastAsia" w:ascii="宋体" w:hAnsi="宋体" w:cs="宋体"/>
          <w:b w:val="0"/>
          <w:color w:val="auto"/>
          <w:sz w:val="24"/>
          <w:szCs w:val="24"/>
          <w:highlight w:val="none"/>
        </w:rPr>
        <w:t xml:space="preserve"> </w:t>
      </w:r>
      <w:r>
        <w:rPr>
          <w:rFonts w:hint="eastAsia" w:ascii="宋体" w:hAnsi="宋体" w:cs="宋体"/>
          <w:b w:val="0"/>
          <w:bCs/>
          <w:color w:val="auto"/>
          <w:sz w:val="24"/>
          <w:szCs w:val="24"/>
          <w:highlight w:val="none"/>
        </w:rPr>
        <w:t>履约保证金：</w:t>
      </w:r>
      <w:r>
        <w:rPr>
          <w:rFonts w:hint="eastAsia" w:ascii="宋体" w:hAnsi="宋体" w:cs="宋体"/>
          <w:b w:val="0"/>
          <w:bCs/>
          <w:color w:val="auto"/>
          <w:sz w:val="24"/>
          <w:szCs w:val="24"/>
          <w:highlight w:val="none"/>
          <w:lang w:eastAsia="zh-CN"/>
        </w:rPr>
        <w:t>按投标人须知前附表中执行</w:t>
      </w:r>
      <w:r>
        <w:rPr>
          <w:rFonts w:hint="eastAsia" w:ascii="宋体" w:hAnsi="宋体" w:cs="宋体"/>
          <w:b w:val="0"/>
          <w:bCs/>
          <w:color w:val="auto"/>
          <w:sz w:val="24"/>
          <w:szCs w:val="24"/>
          <w:highlight w:val="none"/>
        </w:rPr>
        <w:t>。</w:t>
      </w:r>
    </w:p>
    <w:p w14:paraId="0202D233">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36.签订合同</w:t>
      </w:r>
    </w:p>
    <w:p w14:paraId="0459F4A6">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bookmarkStart w:id="113" w:name="_40.1投标人接到中标通知书后，按须知前附表规定向采购人出示相关资格证"/>
      <w:bookmarkEnd w:id="113"/>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36.1签订电子采购合同：中标人领取电子中标通知书后，</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F5DBF55">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线下签订纸质合同：投标人领取中标通知书后，按“投标人须知前附表”规定向采购人出示相关证明材料，经采购人核验合格后方可签订合同。</w:t>
      </w:r>
    </w:p>
    <w:p w14:paraId="78146CE4">
      <w:pPr>
        <w:pStyle w:val="7"/>
        <w:keepNext w:val="0"/>
        <w:keepLines w:val="0"/>
        <w:numPr>
          <w:ilvl w:val="0"/>
          <w:numId w:val="0"/>
        </w:numPr>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36.2签订合同时间：中标通知书发出后</w:t>
      </w:r>
      <w:r>
        <w:rPr>
          <w:rFonts w:hint="eastAsia" w:ascii="宋体" w:hAnsi="宋体" w:cs="宋体"/>
          <w:b w:val="0"/>
          <w:color w:val="auto"/>
          <w:sz w:val="24"/>
          <w:szCs w:val="24"/>
          <w:highlight w:val="none"/>
          <w:lang w:val="en-US" w:eastAsia="zh-CN"/>
        </w:rPr>
        <w:t>20</w:t>
      </w:r>
      <w:r>
        <w:rPr>
          <w:rFonts w:hint="eastAsia" w:ascii="宋体" w:hAnsi="宋体" w:cs="宋体"/>
          <w:b w:val="0"/>
          <w:color w:val="auto"/>
          <w:sz w:val="24"/>
          <w:szCs w:val="24"/>
          <w:highlight w:val="none"/>
        </w:rPr>
        <w:t>个日历日内与采购人签订合同。</w:t>
      </w:r>
    </w:p>
    <w:p w14:paraId="7EF3C4E3">
      <w:pPr>
        <w:pStyle w:val="7"/>
        <w:keepNext w:val="0"/>
        <w:keepLines w:val="0"/>
        <w:spacing w:before="0" w:after="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36.3中标人拒绝签订政府采购合同（包括但不限于放弃中标、因不可抗力不能履行合同而放弃签订合同），采购人可以按照评审报告推荐的中标候选人名单排序，确定下一候选人为中标</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，也可以重新开展政府采购活动。如采购人无正当理由拒签合同的，给中标</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造成损失的，中标</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可追究采购人承担相应的法律责任。</w:t>
      </w:r>
    </w:p>
    <w:p w14:paraId="2863F1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36.4政府采购合同是政府采购项目验收的依据，中标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D31E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36.5采购人或中标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不得单方面向合同另一方提出任何招标文件没有约定的条件或不合理的要求，作为签订合同的条件；也不得协商另行订立背离招标文件和合同实质性内容的协议。</w:t>
      </w:r>
    </w:p>
    <w:p w14:paraId="0D56EC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36.6如签订合同并生效后，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无故拒绝或延期，除按照合同条款处理外，将承担相应的法律责任。</w:t>
      </w:r>
    </w:p>
    <w:p w14:paraId="532D0C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36.7政府采购合同履行中，采购人需追加与合同标的相同的货物、工程或者服务的，在不改变合同其他条款的前提下，可以与</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协商签订补充合同，但所有补充合同的采购金额不得超过原合同采购金额的10%。</w:t>
      </w:r>
    </w:p>
    <w:p w14:paraId="5A55AB31">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114" w:name="_41.政府采购合同公告"/>
      <w:bookmarkEnd w:id="114"/>
      <w:r>
        <w:rPr>
          <w:rFonts w:hint="eastAsia" w:ascii="宋体" w:hAnsi="宋体" w:cs="宋体"/>
          <w:color w:val="auto"/>
          <w:sz w:val="24"/>
          <w:szCs w:val="24"/>
          <w:highlight w:val="none"/>
        </w:rPr>
        <w:t>37.政府采购合同公告</w:t>
      </w:r>
    </w:p>
    <w:p w14:paraId="4CD69062">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BF41BD6">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38. 询问、质疑和投诉</w:t>
      </w:r>
    </w:p>
    <w:p w14:paraId="56B240CA">
      <w:pPr>
        <w:pStyle w:val="1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38.1</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对政府采购活动事项有疑问的，可以向采购人提出询问，采购人或者采购代理机构应当在3个工作日内对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依法提出的询问作出答复，但答复的内容不得涉及商业秘密。</w:t>
      </w:r>
    </w:p>
    <w:p w14:paraId="2AE5B7DC">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38.2</w:t>
      </w:r>
      <w:r>
        <w:rPr>
          <w:rFonts w:hint="eastAsia" w:ascii="宋体" w:hAnsi="宋体" w:cs="宋体"/>
          <w:b w:val="0"/>
          <w:color w:val="auto"/>
          <w:sz w:val="24"/>
          <w:szCs w:val="24"/>
          <w:highlight w:val="none"/>
          <w:lang w:eastAsia="zh-CN"/>
        </w:rPr>
        <w:t>投标人</w:t>
      </w:r>
      <w:r>
        <w:rPr>
          <w:rFonts w:hint="eastAsia" w:ascii="宋体" w:hAnsi="宋体" w:cs="宋体"/>
          <w:b w:val="0"/>
          <w:color w:val="auto"/>
          <w:sz w:val="24"/>
          <w:szCs w:val="24"/>
          <w:highlight w:val="none"/>
        </w:rPr>
        <w:t xml:space="preserve">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2780C05">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66FB312F">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5632F6B2">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4DAD88FC">
      <w:pPr>
        <w:pStyle w:val="7"/>
        <w:keepNext w:val="0"/>
        <w:keepLines w:val="0"/>
        <w:spacing w:before="0" w:after="0" w:line="360" w:lineRule="auto"/>
        <w:ind w:firstLine="360" w:firstLineChars="150"/>
        <w:rPr>
          <w:rFonts w:hint="eastAsia" w:ascii="宋体" w:hAnsi="宋体" w:cs="宋体"/>
          <w:b w:val="0"/>
          <w:color w:val="auto"/>
          <w:sz w:val="24"/>
          <w:szCs w:val="24"/>
          <w:highlight w:val="none"/>
        </w:rPr>
      </w:pPr>
      <w:bookmarkStart w:id="115" w:name="_9.2质疑、投诉应当采用书面形式，质疑函、投诉书均应明确阐述招标文件、"/>
      <w:bookmarkEnd w:id="115"/>
      <w:r>
        <w:rPr>
          <w:rFonts w:hint="eastAsia" w:ascii="宋体" w:hAnsi="宋体" w:cs="宋体"/>
          <w:b w:val="0"/>
          <w:color w:val="auto"/>
          <w:sz w:val="24"/>
          <w:szCs w:val="24"/>
          <w:highlight w:val="none"/>
        </w:rPr>
        <w:t xml:space="preserve"> 38.3 </w:t>
      </w:r>
      <w:r>
        <w:rPr>
          <w:rFonts w:hint="eastAsia" w:ascii="宋体" w:hAnsi="宋体" w:cs="宋体"/>
          <w:b w:val="0"/>
          <w:bCs/>
          <w:color w:val="auto"/>
          <w:sz w:val="24"/>
          <w:szCs w:val="24"/>
          <w:highlight w:val="none"/>
          <w:lang w:eastAsia="zh-CN"/>
        </w:rPr>
        <w:t>投标人</w:t>
      </w:r>
      <w:r>
        <w:rPr>
          <w:rFonts w:hint="eastAsia" w:ascii="宋体" w:hAnsi="宋体" w:cs="宋体"/>
          <w:b w:val="0"/>
          <w:bCs/>
          <w:color w:val="auto"/>
          <w:sz w:val="24"/>
          <w:szCs w:val="24"/>
          <w:highlight w:val="none"/>
        </w:rPr>
        <w:t>提出质疑应当提交质疑函和必要的证明材料，针对同一采购程序环节的质疑必须在法定质疑期内一次性提出。质疑函应当包括下列内容（质疑函格式后附）：</w:t>
      </w:r>
    </w:p>
    <w:p w14:paraId="6BD570FD">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的姓名或者名称、地址、邮编、联系人及联系电话；</w:t>
      </w:r>
    </w:p>
    <w:p w14:paraId="3E8E885C">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（2）质疑项目的名称、编号；</w:t>
      </w:r>
    </w:p>
    <w:p w14:paraId="69F73862">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24C45E5D">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（4）事实依据；</w:t>
      </w:r>
    </w:p>
    <w:p w14:paraId="3FA291D9">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（5）必要的法律依据；</w:t>
      </w:r>
    </w:p>
    <w:p w14:paraId="5A6FB135">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（6）提出质疑的日期。</w:t>
      </w:r>
    </w:p>
    <w:p w14:paraId="1E60E495">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为自然人的，应当由本人签字；</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为法人或者其他组织的，应当由法定代表人、主要负责人，或者其委托代理人签字或者盖章，并加盖公章。</w:t>
      </w:r>
    </w:p>
    <w:p w14:paraId="6458385A">
      <w:pPr>
        <w:pStyle w:val="7"/>
        <w:keepNext w:val="0"/>
        <w:keepLines w:val="0"/>
        <w:snapToGrid w:val="0"/>
        <w:spacing w:before="0" w:after="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color w:val="auto"/>
          <w:sz w:val="24"/>
          <w:szCs w:val="24"/>
          <w:highlight w:val="none"/>
        </w:rPr>
        <w:t>3</w:t>
      </w:r>
      <w:r>
        <w:rPr>
          <w:rFonts w:hint="eastAsia" w:ascii="宋体" w:hAnsi="宋体" w:cs="宋体"/>
          <w:b w:val="0"/>
          <w:bCs/>
          <w:color w:val="auto"/>
          <w:sz w:val="24"/>
          <w:szCs w:val="24"/>
          <w:highlight w:val="none"/>
        </w:rPr>
        <w:t>8.4采购人、采购代理机构认为</w:t>
      </w:r>
      <w:r>
        <w:rPr>
          <w:rFonts w:hint="eastAsia" w:ascii="宋体" w:hAnsi="宋体" w:cs="宋体"/>
          <w:b w:val="0"/>
          <w:bCs/>
          <w:color w:val="auto"/>
          <w:sz w:val="24"/>
          <w:szCs w:val="24"/>
          <w:highlight w:val="none"/>
          <w:lang w:eastAsia="zh-CN"/>
        </w:rPr>
        <w:t>投标人</w:t>
      </w:r>
      <w:r>
        <w:rPr>
          <w:rFonts w:hint="eastAsia" w:ascii="宋体" w:hAnsi="宋体" w:cs="宋体"/>
          <w:b w:val="0"/>
          <w:bCs/>
          <w:color w:val="auto"/>
          <w:sz w:val="24"/>
          <w:szCs w:val="24"/>
          <w:highlight w:val="none"/>
        </w:rPr>
        <w:t>质疑不成立，或者成立但未对中标结果构成影响的，继续开展采购活动；认为</w:t>
      </w:r>
      <w:r>
        <w:rPr>
          <w:rFonts w:hint="eastAsia" w:ascii="宋体" w:hAnsi="宋体" w:cs="宋体"/>
          <w:b w:val="0"/>
          <w:bCs/>
          <w:color w:val="auto"/>
          <w:sz w:val="24"/>
          <w:szCs w:val="24"/>
          <w:highlight w:val="none"/>
          <w:lang w:eastAsia="zh-CN"/>
        </w:rPr>
        <w:t>投标人</w:t>
      </w:r>
      <w:r>
        <w:rPr>
          <w:rFonts w:hint="eastAsia" w:ascii="宋体" w:hAnsi="宋体" w:cs="宋体"/>
          <w:b w:val="0"/>
          <w:bCs/>
          <w:color w:val="auto"/>
          <w:sz w:val="24"/>
          <w:szCs w:val="24"/>
          <w:highlight w:val="none"/>
        </w:rPr>
        <w:t>质疑成立且影响或者可能影响中标结果的，按照下列情况处理：</w:t>
      </w:r>
    </w:p>
    <w:p w14:paraId="07D6AB46">
      <w:pPr>
        <w:pStyle w:val="24"/>
        <w:snapToGrid w:val="0"/>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5B2F7722">
      <w:pPr>
        <w:pStyle w:val="24"/>
        <w:snapToGrid w:val="0"/>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　　（二）对采购过程、中标结果提出的质疑，合格</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符合法定数量时，可以从合格的中标候选人中另行确定中标</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的，应当依法另行确定中标</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；否则应当重新开展采购活动。</w:t>
      </w:r>
    </w:p>
    <w:p w14:paraId="279C4E32">
      <w:pPr>
        <w:pStyle w:val="24"/>
        <w:snapToGrid w:val="0"/>
        <w:spacing w:line="360" w:lineRule="auto"/>
        <w:ind w:firstLine="420"/>
        <w:rPr>
          <w:rFonts w:hint="eastAsia"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03C2D2FC">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38.5质疑</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5BD380F">
      <w:pPr>
        <w:pStyle w:val="5"/>
        <w:keepNext w:val="0"/>
        <w:keepLines w:val="0"/>
        <w:spacing w:before="240" w:after="240" w:line="415" w:lineRule="auto"/>
        <w:jc w:val="center"/>
        <w:rPr>
          <w:rFonts w:hint="eastAsia" w:ascii="宋体" w:hAnsi="宋体" w:cs="宋体"/>
          <w:color w:val="auto"/>
          <w:highlight w:val="none"/>
        </w:rPr>
      </w:pPr>
      <w:r>
        <w:rPr>
          <w:rFonts w:hint="eastAsia" w:ascii="宋体" w:hAnsi="宋体" w:cs="宋体"/>
          <w:color w:val="auto"/>
          <w:highlight w:val="none"/>
        </w:rPr>
        <w:t>八、其他事项</w:t>
      </w:r>
    </w:p>
    <w:p w14:paraId="390037DA">
      <w:pPr>
        <w:pStyle w:val="7"/>
        <w:keepNext w:val="0"/>
        <w:keepLines w:val="0"/>
        <w:spacing w:before="0" w:after="0" w:line="360" w:lineRule="auto"/>
        <w:ind w:left="420" w:leftChars="200"/>
        <w:rPr>
          <w:rFonts w:hint="eastAsia" w:ascii="宋体" w:hAnsi="宋体" w:cs="宋体"/>
          <w:color w:val="auto"/>
          <w:sz w:val="24"/>
          <w:szCs w:val="24"/>
          <w:highlight w:val="none"/>
        </w:rPr>
      </w:pPr>
      <w:bookmarkStart w:id="116" w:name="_42.代理服务费"/>
      <w:bookmarkEnd w:id="116"/>
      <w:r>
        <w:rPr>
          <w:rFonts w:hint="eastAsia" w:ascii="宋体" w:hAnsi="宋体" w:cs="宋体"/>
          <w:color w:val="auto"/>
          <w:sz w:val="24"/>
          <w:szCs w:val="24"/>
          <w:highlight w:val="none"/>
        </w:rPr>
        <w:t>39.代理服务费</w:t>
      </w:r>
    </w:p>
    <w:p w14:paraId="5167ADB3">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39.1代理服务收费标准及缴费账户详见“投标人须知前附表”，投标人为联合体的，可以由联合体中的一方或者多方共同交纳代理服务费。</w:t>
      </w:r>
    </w:p>
    <w:p w14:paraId="29BC26EA">
      <w:pPr>
        <w:pStyle w:val="7"/>
        <w:keepNext w:val="0"/>
        <w:keepLines w:val="0"/>
        <w:spacing w:before="0" w:after="0" w:line="360" w:lineRule="auto"/>
        <w:ind w:left="420" w:leftChars="200"/>
        <w:rPr>
          <w:rFonts w:ascii="宋体" w:hAnsi="宋体"/>
          <w:color w:val="auto"/>
          <w:sz w:val="24"/>
          <w:szCs w:val="24"/>
          <w:highlight w:val="none"/>
        </w:rPr>
      </w:pPr>
      <w:r>
        <w:rPr>
          <w:rFonts w:hint="eastAsia" w:ascii="宋体" w:hAnsi="宋体"/>
          <w:b w:val="0"/>
          <w:color w:val="auto"/>
          <w:sz w:val="24"/>
          <w:szCs w:val="24"/>
          <w:highlight w:val="none"/>
        </w:rPr>
        <w:t>3</w:t>
      </w:r>
      <w:r>
        <w:rPr>
          <w:rFonts w:ascii="宋体" w:hAnsi="宋体"/>
          <w:b w:val="0"/>
          <w:color w:val="auto"/>
          <w:sz w:val="24"/>
          <w:szCs w:val="24"/>
          <w:highlight w:val="none"/>
        </w:rPr>
        <w:t>9</w:t>
      </w:r>
      <w:r>
        <w:rPr>
          <w:rFonts w:hint="eastAsia" w:ascii="宋体" w:hAnsi="宋体"/>
          <w:b w:val="0"/>
          <w:color w:val="auto"/>
          <w:sz w:val="24"/>
          <w:szCs w:val="24"/>
          <w:highlight w:val="none"/>
        </w:rPr>
        <w:t>.2代理服务收费标准：</w:t>
      </w:r>
    </w:p>
    <w:tbl>
      <w:tblPr>
        <w:tblStyle w:val="49"/>
        <w:tblW w:w="8653"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1800"/>
        <w:gridCol w:w="1815"/>
        <w:gridCol w:w="1785"/>
      </w:tblGrid>
      <w:tr w14:paraId="5E61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253" w:type="dxa"/>
            <w:tcBorders>
              <w:tl2br w:val="single" w:color="auto" w:sz="4" w:space="0"/>
            </w:tcBorders>
          </w:tcPr>
          <w:p w14:paraId="1AC9FEE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费率</w:t>
            </w:r>
          </w:p>
          <w:p w14:paraId="6F24767C">
            <w:pPr>
              <w:spacing w:line="360" w:lineRule="auto"/>
              <w:rPr>
                <w:rFonts w:ascii="宋体" w:hAnsi="宋体"/>
                <w:color w:val="auto"/>
                <w:sz w:val="24"/>
                <w:szCs w:val="24"/>
                <w:highlight w:val="none"/>
              </w:rPr>
            </w:pPr>
            <w:r>
              <w:rPr>
                <w:rFonts w:hint="eastAsia" w:ascii="宋体" w:hAnsi="宋体"/>
                <w:color w:val="auto"/>
                <w:sz w:val="24"/>
                <w:szCs w:val="24"/>
                <w:highlight w:val="none"/>
              </w:rPr>
              <w:t>中标金额</w:t>
            </w:r>
          </w:p>
        </w:tc>
        <w:tc>
          <w:tcPr>
            <w:tcW w:w="1800" w:type="dxa"/>
            <w:vAlign w:val="center"/>
          </w:tcPr>
          <w:p w14:paraId="354EDA37">
            <w:pPr>
              <w:spacing w:line="360" w:lineRule="auto"/>
              <w:ind w:firstLine="120" w:firstLineChars="5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货物</w:t>
            </w:r>
            <w:r>
              <w:rPr>
                <w:rFonts w:hint="eastAsia" w:ascii="宋体" w:hAnsi="宋体"/>
                <w:color w:val="auto"/>
                <w:sz w:val="24"/>
                <w:szCs w:val="24"/>
                <w:highlight w:val="none"/>
                <w:lang w:eastAsia="zh-CN"/>
              </w:rPr>
              <w:t>类</w:t>
            </w:r>
          </w:p>
        </w:tc>
        <w:tc>
          <w:tcPr>
            <w:tcW w:w="1815" w:type="dxa"/>
            <w:vAlign w:val="center"/>
          </w:tcPr>
          <w:p w14:paraId="75FBFCEC">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服务</w:t>
            </w:r>
            <w:r>
              <w:rPr>
                <w:rFonts w:hint="eastAsia" w:ascii="宋体" w:hAnsi="宋体"/>
                <w:color w:val="auto"/>
                <w:sz w:val="24"/>
                <w:szCs w:val="24"/>
                <w:highlight w:val="none"/>
                <w:lang w:eastAsia="zh-CN"/>
              </w:rPr>
              <w:t>类</w:t>
            </w:r>
          </w:p>
        </w:tc>
        <w:tc>
          <w:tcPr>
            <w:tcW w:w="1785" w:type="dxa"/>
            <w:vAlign w:val="center"/>
          </w:tcPr>
          <w:p w14:paraId="2A59709C">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工程</w:t>
            </w:r>
            <w:r>
              <w:rPr>
                <w:rFonts w:hint="eastAsia" w:ascii="宋体" w:hAnsi="宋体"/>
                <w:color w:val="auto"/>
                <w:sz w:val="24"/>
                <w:szCs w:val="24"/>
                <w:highlight w:val="none"/>
                <w:lang w:eastAsia="zh-CN"/>
              </w:rPr>
              <w:t>类</w:t>
            </w:r>
          </w:p>
        </w:tc>
      </w:tr>
      <w:tr w14:paraId="48A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74731A43">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100万元以下</w:t>
            </w:r>
          </w:p>
        </w:tc>
        <w:tc>
          <w:tcPr>
            <w:tcW w:w="1800" w:type="dxa"/>
            <w:vAlign w:val="center"/>
          </w:tcPr>
          <w:p w14:paraId="1B39FD09">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1.5% </w:t>
            </w:r>
          </w:p>
        </w:tc>
        <w:tc>
          <w:tcPr>
            <w:tcW w:w="1815" w:type="dxa"/>
            <w:vAlign w:val="center"/>
          </w:tcPr>
          <w:p w14:paraId="0577B048">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1.5%</w:t>
            </w:r>
          </w:p>
        </w:tc>
        <w:tc>
          <w:tcPr>
            <w:tcW w:w="1785" w:type="dxa"/>
            <w:vAlign w:val="center"/>
          </w:tcPr>
          <w:p w14:paraId="58659AB1">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1.0% </w:t>
            </w:r>
          </w:p>
        </w:tc>
      </w:tr>
      <w:tr w14:paraId="2DB8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01772D06">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100～500万元</w:t>
            </w:r>
          </w:p>
        </w:tc>
        <w:tc>
          <w:tcPr>
            <w:tcW w:w="1800" w:type="dxa"/>
            <w:vAlign w:val="center"/>
          </w:tcPr>
          <w:p w14:paraId="40E61772">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1.1% </w:t>
            </w:r>
          </w:p>
        </w:tc>
        <w:tc>
          <w:tcPr>
            <w:tcW w:w="1815" w:type="dxa"/>
            <w:vAlign w:val="center"/>
          </w:tcPr>
          <w:p w14:paraId="5496029B">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0.8%</w:t>
            </w:r>
          </w:p>
        </w:tc>
        <w:tc>
          <w:tcPr>
            <w:tcW w:w="1785" w:type="dxa"/>
            <w:vAlign w:val="center"/>
          </w:tcPr>
          <w:p w14:paraId="55161FD1">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0.7% </w:t>
            </w:r>
          </w:p>
        </w:tc>
      </w:tr>
      <w:tr w14:paraId="50A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5716A09C">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500～1000万元</w:t>
            </w:r>
          </w:p>
        </w:tc>
        <w:tc>
          <w:tcPr>
            <w:tcW w:w="1800" w:type="dxa"/>
            <w:vAlign w:val="center"/>
          </w:tcPr>
          <w:p w14:paraId="7555FDE4">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0.8%</w:t>
            </w:r>
          </w:p>
        </w:tc>
        <w:tc>
          <w:tcPr>
            <w:tcW w:w="1815" w:type="dxa"/>
            <w:vAlign w:val="center"/>
          </w:tcPr>
          <w:p w14:paraId="0BC859B7">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0.45%</w:t>
            </w:r>
          </w:p>
        </w:tc>
        <w:tc>
          <w:tcPr>
            <w:tcW w:w="1785" w:type="dxa"/>
            <w:vAlign w:val="center"/>
          </w:tcPr>
          <w:p w14:paraId="64BA4904">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0.55%</w:t>
            </w:r>
          </w:p>
        </w:tc>
      </w:tr>
      <w:tr w14:paraId="1AFE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0B52257E">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1000～5000万元</w:t>
            </w:r>
          </w:p>
        </w:tc>
        <w:tc>
          <w:tcPr>
            <w:tcW w:w="1800" w:type="dxa"/>
            <w:vAlign w:val="center"/>
          </w:tcPr>
          <w:p w14:paraId="6BE2B507">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0.5% </w:t>
            </w:r>
          </w:p>
        </w:tc>
        <w:tc>
          <w:tcPr>
            <w:tcW w:w="1815" w:type="dxa"/>
            <w:vAlign w:val="center"/>
          </w:tcPr>
          <w:p w14:paraId="2E573D28">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0.25%</w:t>
            </w:r>
          </w:p>
        </w:tc>
        <w:tc>
          <w:tcPr>
            <w:tcW w:w="1785" w:type="dxa"/>
            <w:vAlign w:val="center"/>
          </w:tcPr>
          <w:p w14:paraId="1271EB0B">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0.35% </w:t>
            </w:r>
          </w:p>
        </w:tc>
      </w:tr>
      <w:tr w14:paraId="031F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7CF3F2E8">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5000万元～1亿元</w:t>
            </w:r>
          </w:p>
        </w:tc>
        <w:tc>
          <w:tcPr>
            <w:tcW w:w="1800" w:type="dxa"/>
            <w:vAlign w:val="center"/>
          </w:tcPr>
          <w:p w14:paraId="17201374">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 xml:space="preserve">0.25% </w:t>
            </w:r>
          </w:p>
        </w:tc>
        <w:tc>
          <w:tcPr>
            <w:tcW w:w="1815" w:type="dxa"/>
            <w:vAlign w:val="center"/>
          </w:tcPr>
          <w:p w14:paraId="654E6790">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0.1%</w:t>
            </w:r>
          </w:p>
        </w:tc>
        <w:tc>
          <w:tcPr>
            <w:tcW w:w="1785" w:type="dxa"/>
            <w:vAlign w:val="center"/>
          </w:tcPr>
          <w:p w14:paraId="51E39ECB">
            <w:pPr>
              <w:spacing w:line="360" w:lineRule="auto"/>
              <w:ind w:firstLine="240" w:firstLineChars="100"/>
              <w:jc w:val="both"/>
              <w:rPr>
                <w:rFonts w:ascii="宋体" w:hAnsi="宋体"/>
                <w:color w:val="auto"/>
                <w:sz w:val="24"/>
                <w:szCs w:val="24"/>
                <w:highlight w:val="none"/>
              </w:rPr>
            </w:pPr>
            <w:r>
              <w:rPr>
                <w:rFonts w:ascii="宋体" w:hAnsi="宋体" w:cs="宋体"/>
                <w:color w:val="auto"/>
                <w:kern w:val="0"/>
                <w:sz w:val="24"/>
                <w:szCs w:val="24"/>
                <w:highlight w:val="none"/>
              </w:rPr>
              <w:t>0.2%</w:t>
            </w:r>
          </w:p>
        </w:tc>
      </w:tr>
      <w:tr w14:paraId="5F62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3191475B">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1～5亿元</w:t>
            </w:r>
          </w:p>
        </w:tc>
        <w:tc>
          <w:tcPr>
            <w:tcW w:w="1800" w:type="dxa"/>
            <w:vAlign w:val="center"/>
          </w:tcPr>
          <w:p w14:paraId="294C6332">
            <w:pPr>
              <w:spacing w:line="360" w:lineRule="auto"/>
              <w:ind w:firstLine="240" w:firstLineChars="100"/>
              <w:jc w:val="both"/>
              <w:rPr>
                <w:rFonts w:ascii="宋体" w:hAnsi="宋体"/>
                <w:color w:val="auto"/>
                <w:sz w:val="24"/>
                <w:szCs w:val="24"/>
                <w:highlight w:val="none"/>
              </w:rPr>
            </w:pPr>
            <w:r>
              <w:rPr>
                <w:rFonts w:hint="eastAsia" w:ascii="宋体" w:hAnsi="宋体"/>
                <w:color w:val="auto"/>
                <w:sz w:val="24"/>
                <w:szCs w:val="24"/>
                <w:highlight w:val="none"/>
              </w:rPr>
              <w:t>0.05%</w:t>
            </w:r>
          </w:p>
        </w:tc>
        <w:tc>
          <w:tcPr>
            <w:tcW w:w="1815" w:type="dxa"/>
            <w:vAlign w:val="center"/>
          </w:tcPr>
          <w:p w14:paraId="6F0F4281">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0.05%</w:t>
            </w:r>
          </w:p>
        </w:tc>
        <w:tc>
          <w:tcPr>
            <w:tcW w:w="1785" w:type="dxa"/>
            <w:vAlign w:val="center"/>
          </w:tcPr>
          <w:p w14:paraId="44A28FCE">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0.05%</w:t>
            </w:r>
          </w:p>
        </w:tc>
      </w:tr>
      <w:tr w14:paraId="4664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5C61CDF1">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5～10亿元</w:t>
            </w:r>
          </w:p>
        </w:tc>
        <w:tc>
          <w:tcPr>
            <w:tcW w:w="1800" w:type="dxa"/>
            <w:vAlign w:val="center"/>
          </w:tcPr>
          <w:p w14:paraId="16A251F5">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0.035%</w:t>
            </w:r>
          </w:p>
        </w:tc>
        <w:tc>
          <w:tcPr>
            <w:tcW w:w="1815" w:type="dxa"/>
            <w:vAlign w:val="center"/>
          </w:tcPr>
          <w:p w14:paraId="56F147EB">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0.035%</w:t>
            </w:r>
          </w:p>
        </w:tc>
        <w:tc>
          <w:tcPr>
            <w:tcW w:w="1785" w:type="dxa"/>
            <w:vAlign w:val="center"/>
          </w:tcPr>
          <w:p w14:paraId="0E02B04C">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0.035%</w:t>
            </w:r>
          </w:p>
        </w:tc>
      </w:tr>
      <w:tr w14:paraId="7ED9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315B88EB">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10～50亿元</w:t>
            </w:r>
          </w:p>
        </w:tc>
        <w:tc>
          <w:tcPr>
            <w:tcW w:w="1800" w:type="dxa"/>
            <w:vAlign w:val="center"/>
          </w:tcPr>
          <w:p w14:paraId="73FEF6EA">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0.008%</w:t>
            </w:r>
          </w:p>
        </w:tc>
        <w:tc>
          <w:tcPr>
            <w:tcW w:w="1815" w:type="dxa"/>
            <w:vAlign w:val="center"/>
          </w:tcPr>
          <w:p w14:paraId="67D23CE7">
            <w:pPr>
              <w:spacing w:line="360" w:lineRule="auto"/>
              <w:ind w:firstLine="240" w:firstLineChars="100"/>
              <w:jc w:val="both"/>
              <w:rPr>
                <w:rFonts w:ascii="宋体" w:hAnsi="宋体"/>
                <w:color w:val="auto"/>
                <w:sz w:val="24"/>
                <w:szCs w:val="24"/>
                <w:highlight w:val="none"/>
              </w:rPr>
            </w:pPr>
            <w:r>
              <w:rPr>
                <w:rFonts w:hint="eastAsia" w:ascii="宋体" w:hAnsi="宋体"/>
                <w:color w:val="auto"/>
                <w:sz w:val="24"/>
                <w:szCs w:val="24"/>
                <w:highlight w:val="none"/>
              </w:rPr>
              <w:t>0.008%</w:t>
            </w:r>
          </w:p>
        </w:tc>
        <w:tc>
          <w:tcPr>
            <w:tcW w:w="1785" w:type="dxa"/>
            <w:vAlign w:val="center"/>
          </w:tcPr>
          <w:p w14:paraId="40C0FD0F">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0.008%</w:t>
            </w:r>
          </w:p>
        </w:tc>
      </w:tr>
      <w:tr w14:paraId="354D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4E638934">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50～100亿元</w:t>
            </w:r>
          </w:p>
        </w:tc>
        <w:tc>
          <w:tcPr>
            <w:tcW w:w="1800" w:type="dxa"/>
            <w:vAlign w:val="center"/>
          </w:tcPr>
          <w:p w14:paraId="38022678">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0.006%</w:t>
            </w:r>
          </w:p>
        </w:tc>
        <w:tc>
          <w:tcPr>
            <w:tcW w:w="1815" w:type="dxa"/>
            <w:vAlign w:val="center"/>
          </w:tcPr>
          <w:p w14:paraId="472928F6">
            <w:pPr>
              <w:spacing w:line="360" w:lineRule="auto"/>
              <w:ind w:firstLine="240" w:firstLineChars="100"/>
              <w:jc w:val="both"/>
              <w:rPr>
                <w:rFonts w:ascii="宋体" w:hAnsi="宋体"/>
                <w:color w:val="auto"/>
                <w:sz w:val="24"/>
                <w:szCs w:val="24"/>
                <w:highlight w:val="none"/>
              </w:rPr>
            </w:pPr>
            <w:r>
              <w:rPr>
                <w:rFonts w:hint="eastAsia" w:ascii="宋体" w:hAnsi="宋体"/>
                <w:color w:val="auto"/>
                <w:sz w:val="24"/>
                <w:szCs w:val="24"/>
                <w:highlight w:val="none"/>
              </w:rPr>
              <w:t>0.006%</w:t>
            </w:r>
          </w:p>
        </w:tc>
        <w:tc>
          <w:tcPr>
            <w:tcW w:w="1785" w:type="dxa"/>
            <w:vAlign w:val="center"/>
          </w:tcPr>
          <w:p w14:paraId="5654BA4E">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0.006%</w:t>
            </w:r>
          </w:p>
        </w:tc>
      </w:tr>
      <w:tr w14:paraId="6384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53" w:type="dxa"/>
            <w:vAlign w:val="center"/>
          </w:tcPr>
          <w:p w14:paraId="477C19B2">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100亿以上</w:t>
            </w:r>
          </w:p>
        </w:tc>
        <w:tc>
          <w:tcPr>
            <w:tcW w:w="1800" w:type="dxa"/>
            <w:vAlign w:val="center"/>
          </w:tcPr>
          <w:p w14:paraId="57CD4CC6">
            <w:pPr>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0.004%</w:t>
            </w:r>
          </w:p>
        </w:tc>
        <w:tc>
          <w:tcPr>
            <w:tcW w:w="1815" w:type="dxa"/>
            <w:vAlign w:val="center"/>
          </w:tcPr>
          <w:p w14:paraId="7A388010">
            <w:pPr>
              <w:spacing w:line="360" w:lineRule="auto"/>
              <w:ind w:firstLine="240" w:firstLineChars="100"/>
              <w:jc w:val="both"/>
              <w:rPr>
                <w:rFonts w:ascii="宋体" w:hAnsi="宋体"/>
                <w:color w:val="auto"/>
                <w:sz w:val="24"/>
                <w:szCs w:val="24"/>
                <w:highlight w:val="none"/>
              </w:rPr>
            </w:pPr>
            <w:r>
              <w:rPr>
                <w:rFonts w:hint="eastAsia" w:ascii="宋体" w:hAnsi="宋体"/>
                <w:color w:val="auto"/>
                <w:sz w:val="24"/>
                <w:szCs w:val="24"/>
                <w:highlight w:val="none"/>
              </w:rPr>
              <w:t>0.004%</w:t>
            </w:r>
          </w:p>
        </w:tc>
        <w:tc>
          <w:tcPr>
            <w:tcW w:w="1785" w:type="dxa"/>
            <w:vAlign w:val="center"/>
          </w:tcPr>
          <w:p w14:paraId="45790C40">
            <w:pPr>
              <w:spacing w:line="360" w:lineRule="auto"/>
              <w:ind w:firstLine="120" w:firstLineChars="50"/>
              <w:jc w:val="both"/>
              <w:rPr>
                <w:rFonts w:ascii="宋体" w:hAnsi="宋体"/>
                <w:color w:val="auto"/>
                <w:sz w:val="24"/>
                <w:szCs w:val="24"/>
                <w:highlight w:val="none"/>
              </w:rPr>
            </w:pPr>
            <w:r>
              <w:rPr>
                <w:rFonts w:hint="eastAsia" w:ascii="宋体" w:hAnsi="宋体"/>
                <w:color w:val="auto"/>
                <w:sz w:val="24"/>
                <w:szCs w:val="24"/>
                <w:highlight w:val="none"/>
              </w:rPr>
              <w:t>0.004%</w:t>
            </w:r>
          </w:p>
        </w:tc>
      </w:tr>
    </w:tbl>
    <w:p w14:paraId="168831D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hint="eastAsia" w:ascii="宋体" w:hAnsi="宋体"/>
          <w:color w:val="auto"/>
          <w:sz w:val="24"/>
          <w:szCs w:val="24"/>
          <w:highlight w:val="none"/>
        </w:rPr>
        <w:t>注:</w:t>
      </w:r>
    </w:p>
    <w:p w14:paraId="2AA9EC8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按本表费率计算的收费为</w:t>
      </w:r>
      <w:r>
        <w:rPr>
          <w:rFonts w:hint="eastAsia" w:ascii="宋体" w:hAnsi="宋体" w:cs="宋体"/>
          <w:color w:val="auto"/>
          <w:sz w:val="24"/>
          <w:szCs w:val="24"/>
          <w:highlight w:val="none"/>
        </w:rPr>
        <w:t>采购</w:t>
      </w:r>
      <w:r>
        <w:rPr>
          <w:rFonts w:ascii="宋体" w:hAnsi="宋体" w:cs="宋体"/>
          <w:color w:val="auto"/>
          <w:sz w:val="24"/>
          <w:szCs w:val="24"/>
          <w:highlight w:val="none"/>
        </w:rPr>
        <w:t>代理的收费基准价格</w:t>
      </w:r>
      <w:r>
        <w:rPr>
          <w:rFonts w:hint="eastAsia" w:ascii="宋体" w:hAnsi="宋体" w:cs="宋体"/>
          <w:color w:val="auto"/>
          <w:sz w:val="24"/>
          <w:szCs w:val="24"/>
          <w:highlight w:val="none"/>
        </w:rPr>
        <w:t>；</w:t>
      </w:r>
    </w:p>
    <w:p w14:paraId="218161D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（2）采购</w:t>
      </w:r>
      <w:r>
        <w:rPr>
          <w:rFonts w:ascii="宋体" w:hAnsi="宋体" w:cs="宋体"/>
          <w:color w:val="auto"/>
          <w:sz w:val="24"/>
          <w:szCs w:val="24"/>
          <w:highlight w:val="none"/>
        </w:rPr>
        <w:t>代理收费按差额定率累进法计算。</w:t>
      </w:r>
    </w:p>
    <w:p w14:paraId="761F94D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例如：某</w:t>
      </w:r>
      <w:r>
        <w:rPr>
          <w:rFonts w:hint="eastAsia" w:ascii="宋体" w:hAnsi="宋体" w:cs="宋体"/>
          <w:color w:val="auto"/>
          <w:sz w:val="24"/>
          <w:szCs w:val="24"/>
          <w:highlight w:val="none"/>
        </w:rPr>
        <w:t>货物采购</w:t>
      </w:r>
      <w:r>
        <w:rPr>
          <w:rFonts w:ascii="宋体" w:hAnsi="宋体" w:cs="宋体"/>
          <w:color w:val="auto"/>
          <w:sz w:val="24"/>
          <w:szCs w:val="24"/>
          <w:highlight w:val="none"/>
        </w:rPr>
        <w:t>代理业务</w:t>
      </w:r>
      <w:r>
        <w:rPr>
          <w:rFonts w:hint="eastAsia" w:ascii="宋体" w:hAnsi="宋体" w:cs="宋体"/>
          <w:color w:val="auto"/>
          <w:sz w:val="24"/>
          <w:szCs w:val="24"/>
          <w:highlight w:val="none"/>
        </w:rPr>
        <w:t>中标</w:t>
      </w:r>
      <w:r>
        <w:rPr>
          <w:rFonts w:ascii="宋体" w:hAnsi="宋体" w:cs="宋体"/>
          <w:color w:val="auto"/>
          <w:sz w:val="24"/>
          <w:szCs w:val="24"/>
          <w:highlight w:val="none"/>
        </w:rPr>
        <w:t>金额</w:t>
      </w:r>
      <w:r>
        <w:rPr>
          <w:rFonts w:hint="eastAsia" w:ascii="宋体" w:hAnsi="宋体" w:cs="宋体"/>
          <w:color w:val="auto"/>
          <w:sz w:val="24"/>
          <w:szCs w:val="24"/>
          <w:highlight w:val="none"/>
        </w:rPr>
        <w:t>或者暂定价</w:t>
      </w:r>
      <w:r>
        <w:rPr>
          <w:rFonts w:ascii="宋体" w:hAnsi="宋体" w:cs="宋体"/>
          <w:color w:val="auto"/>
          <w:sz w:val="24"/>
          <w:szCs w:val="24"/>
          <w:highlight w:val="none"/>
        </w:rPr>
        <w:t>为200万元，计算</w:t>
      </w:r>
      <w:r>
        <w:rPr>
          <w:rFonts w:hint="eastAsia" w:ascii="宋体" w:hAnsi="宋体" w:cs="宋体"/>
          <w:color w:val="auto"/>
          <w:sz w:val="24"/>
          <w:szCs w:val="24"/>
          <w:highlight w:val="none"/>
        </w:rPr>
        <w:t>采购</w:t>
      </w:r>
      <w:r>
        <w:rPr>
          <w:rFonts w:ascii="宋体" w:hAnsi="宋体" w:cs="宋体"/>
          <w:color w:val="auto"/>
          <w:sz w:val="24"/>
          <w:szCs w:val="24"/>
          <w:highlight w:val="none"/>
        </w:rPr>
        <w:t>代理收费额如下：</w:t>
      </w:r>
    </w:p>
    <w:p w14:paraId="7DD21344">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100 万元×l.5 ％＝ 1.5 万元</w:t>
      </w:r>
    </w:p>
    <w:p w14:paraId="31758C5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200 － 100 ）万元 ×1.1％＝1.1万元</w:t>
      </w:r>
    </w:p>
    <w:p w14:paraId="49D5D6A3">
      <w:pPr>
        <w:pStyle w:val="24"/>
        <w:keepNext w:val="0"/>
        <w:keepLines w:val="0"/>
        <w:pageBreakBefore w:val="0"/>
        <w:widowControl w:val="0"/>
        <w:kinsoku/>
        <w:wordWrap/>
        <w:overflowPunct/>
        <w:topLinePunct w:val="0"/>
        <w:autoSpaceDE/>
        <w:autoSpaceDN/>
        <w:bidi w:val="0"/>
        <w:adjustRightInd/>
        <w:snapToGrid w:val="0"/>
        <w:spacing w:before="120" w:after="120" w:line="312" w:lineRule="auto"/>
        <w:ind w:firstLine="480" w:firstLineChars="200"/>
        <w:textAlignment w:val="auto"/>
        <w:rPr>
          <w:rFonts w:hint="eastAsia"/>
          <w:color w:val="auto"/>
        </w:rPr>
      </w:pPr>
      <w:r>
        <w:rPr>
          <w:rFonts w:hAnsi="宋体" w:cs="宋体"/>
          <w:color w:val="auto"/>
          <w:sz w:val="24"/>
          <w:szCs w:val="24"/>
          <w:highlight w:val="none"/>
        </w:rPr>
        <w:t>合计收费＝ 1.5</w:t>
      </w:r>
      <w:r>
        <w:rPr>
          <w:rFonts w:hint="eastAsia" w:hAnsi="宋体" w:cs="宋体"/>
          <w:color w:val="auto"/>
          <w:sz w:val="24"/>
          <w:szCs w:val="24"/>
          <w:highlight w:val="none"/>
        </w:rPr>
        <w:t>+</w:t>
      </w:r>
      <w:r>
        <w:rPr>
          <w:rFonts w:hAnsi="宋体" w:cs="宋体"/>
          <w:color w:val="auto"/>
          <w:sz w:val="24"/>
          <w:szCs w:val="24"/>
          <w:highlight w:val="none"/>
        </w:rPr>
        <w:t>1.1＝ 2.6 （万元）</w:t>
      </w:r>
    </w:p>
    <w:p w14:paraId="205B5C76">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40. 需要补充的其他内容</w:t>
      </w:r>
    </w:p>
    <w:p w14:paraId="02C13449">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6E92F41C">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5584E2F2">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提供的货物、工程或者服务符合下列情形的，享受本文件规定的中小企业扶持政策：</w:t>
      </w:r>
    </w:p>
    <w:p w14:paraId="72788051">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2828C45B">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7E769B77">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w:t>
      </w:r>
      <w:r>
        <w:rPr>
          <w:rFonts w:hint="eastAsia" w:hAnsi="宋体" w:cs="宋体"/>
          <w:color w:val="auto"/>
          <w:sz w:val="24"/>
          <w:szCs w:val="24"/>
          <w:highlight w:val="none"/>
          <w:lang w:eastAsia="zh-CN"/>
        </w:rPr>
        <w:t>劳动合同法</w:t>
      </w:r>
      <w:r>
        <w:rPr>
          <w:rFonts w:hint="eastAsia" w:hAnsi="宋体" w:cs="宋体"/>
          <w:color w:val="auto"/>
          <w:sz w:val="24"/>
          <w:szCs w:val="24"/>
          <w:highlight w:val="none"/>
        </w:rPr>
        <w:t>》订立劳动合同的从业人员，不对其中涉及的货物的制造商和工程承建商作出要求。</w:t>
      </w:r>
    </w:p>
    <w:p w14:paraId="1ADF01B4">
      <w:pPr>
        <w:pStyle w:val="2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在货物采购项目中，</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ACAD02D">
      <w:pPr>
        <w:pStyle w:val="24"/>
        <w:snapToGrid w:val="0"/>
        <w:ind w:firstLine="480" w:firstLineChars="200"/>
        <w:rPr>
          <w:rFonts w:hint="eastAsia" w:hAnsi="宋体" w:cs="宋体"/>
          <w:color w:val="auto"/>
          <w:highlight w:val="none"/>
        </w:rPr>
      </w:pPr>
      <w:r>
        <w:rPr>
          <w:rFonts w:hint="eastAsia" w:hAnsi="宋体" w:cs="宋体"/>
          <w:color w:val="auto"/>
          <w:sz w:val="24"/>
          <w:szCs w:val="24"/>
          <w:highlight w:val="none"/>
        </w:rPr>
        <w:t>依据本文件规定享受扶持政策获得政府采购合同的，小微企业不得将合同分包给大中型企业，中型企业不得将合同分包给大型企业。</w:t>
      </w:r>
      <w:r>
        <w:rPr>
          <w:rFonts w:hint="eastAsia" w:hAnsi="宋体" w:cs="宋体"/>
          <w:color w:val="auto"/>
          <w:sz w:val="24"/>
          <w:szCs w:val="24"/>
          <w:highlight w:val="none"/>
        </w:rPr>
        <w:br w:type="page"/>
      </w:r>
      <w:r>
        <w:rPr>
          <w:rFonts w:hint="eastAsia" w:hAnsi="宋体" w:cs="宋体"/>
          <w:b w:val="0"/>
          <w:bCs w:val="0"/>
          <w:color w:val="auto"/>
          <w:sz w:val="24"/>
          <w:szCs w:val="24"/>
          <w:highlight w:val="none"/>
        </w:rPr>
        <w:t>附件1：</w:t>
      </w:r>
    </w:p>
    <w:p w14:paraId="40606C8B">
      <w:pPr>
        <w:widowControl/>
        <w:shd w:val="clear" w:color="auto" w:fill="FFFFFF"/>
        <w:spacing w:line="480" w:lineRule="atLeast"/>
        <w:jc w:val="center"/>
        <w:rPr>
          <w:rFonts w:hint="eastAsia" w:ascii="宋体" w:hAnsi="宋体" w:eastAsia="宋体" w:cs="宋体"/>
          <w:b w:val="0"/>
          <w:bCs w:val="0"/>
          <w:color w:val="auto"/>
          <w:kern w:val="0"/>
          <w:sz w:val="24"/>
          <w:szCs w:val="24"/>
        </w:rPr>
      </w:pPr>
      <w:r>
        <w:rPr>
          <w:rFonts w:hint="eastAsia" w:ascii="宋体" w:hAnsi="宋体" w:cs="宋体"/>
          <w:b/>
          <w:bCs/>
          <w:color w:val="auto"/>
          <w:kern w:val="0"/>
          <w:sz w:val="28"/>
          <w:szCs w:val="28"/>
          <w:highlight w:val="none"/>
        </w:rPr>
        <w:t>《广西壮族自治区政府采购项目合同验收书》</w:t>
      </w:r>
    </w:p>
    <w:p w14:paraId="1EEF7F20">
      <w:pPr>
        <w:widowControl/>
        <w:shd w:val="clear" w:color="auto" w:fill="FFFFFF"/>
        <w:snapToGrid w:val="0"/>
        <w:spacing w:line="320" w:lineRule="atLeast"/>
        <w:ind w:firstLine="480" w:firstLineChars="200"/>
        <w:jc w:val="left"/>
        <w:rPr>
          <w:rFonts w:hint="eastAsia" w:ascii="宋体" w:hAnsi="宋体" w:eastAsia="宋体" w:cs="宋体"/>
          <w:b w:val="0"/>
          <w:bCs w:val="0"/>
          <w:color w:val="auto"/>
          <w:kern w:val="0"/>
          <w:sz w:val="24"/>
          <w:szCs w:val="24"/>
        </w:rPr>
      </w:pPr>
    </w:p>
    <w:p w14:paraId="03AE445F">
      <w:pPr>
        <w:widowControl/>
        <w:shd w:val="clear" w:color="auto" w:fill="FFFFFF"/>
        <w:snapToGrid w:val="0"/>
        <w:spacing w:line="320" w:lineRule="atLeast"/>
        <w:ind w:firstLine="480" w:firstLineChars="200"/>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rPr>
        <w:t>根据</w:t>
      </w:r>
      <w:r>
        <w:rPr>
          <w:rFonts w:hint="eastAsia" w:ascii="宋体" w:hAnsi="宋体" w:eastAsia="宋体" w:cs="宋体"/>
          <w:b w:val="0"/>
          <w:bCs w:val="0"/>
          <w:color w:val="auto"/>
          <w:kern w:val="0"/>
          <w:sz w:val="24"/>
          <w:szCs w:val="24"/>
          <w:lang w:eastAsia="zh-CN"/>
        </w:rPr>
        <w:t>政府</w:t>
      </w:r>
      <w:r>
        <w:rPr>
          <w:rFonts w:hint="eastAsia" w:ascii="宋体" w:hAnsi="宋体" w:eastAsia="宋体" w:cs="宋体"/>
          <w:b w:val="0"/>
          <w:bCs w:val="0"/>
          <w:color w:val="auto"/>
          <w:kern w:val="0"/>
          <w:sz w:val="24"/>
          <w:szCs w:val="24"/>
        </w:rPr>
        <w:t>采购</w:t>
      </w:r>
      <w:r>
        <w:rPr>
          <w:rFonts w:hint="eastAsia" w:ascii="宋体" w:hAnsi="宋体" w:eastAsia="宋体" w:cs="宋体"/>
          <w:b w:val="0"/>
          <w:bCs w:val="0"/>
          <w:color w:val="auto"/>
          <w:kern w:val="0"/>
          <w:sz w:val="24"/>
          <w:szCs w:val="24"/>
          <w:u w:val="none"/>
        </w:rPr>
        <w:t>项目编号：</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rPr>
        <w:t>的约定，我单位对</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rPr>
        <w:t>成交（</w:t>
      </w:r>
      <w:r>
        <w:rPr>
          <w:rFonts w:hint="eastAsia" w:ascii="宋体" w:hAnsi="宋体" w:cs="宋体"/>
          <w:b w:val="0"/>
          <w:bCs w:val="0"/>
          <w:color w:val="auto"/>
          <w:kern w:val="0"/>
          <w:sz w:val="24"/>
          <w:szCs w:val="24"/>
          <w:lang w:eastAsia="zh-CN"/>
        </w:rPr>
        <w:t>或</w:t>
      </w:r>
      <w:r>
        <w:rPr>
          <w:rFonts w:hint="eastAsia" w:ascii="宋体" w:hAnsi="宋体" w:eastAsia="宋体" w:cs="宋体"/>
          <w:b w:val="0"/>
          <w:bCs w:val="0"/>
          <w:color w:val="auto"/>
          <w:kern w:val="0"/>
          <w:sz w:val="24"/>
          <w:szCs w:val="24"/>
        </w:rPr>
        <w:t>中标）</w:t>
      </w:r>
      <w:r>
        <w:rPr>
          <w:rFonts w:hint="eastAsia" w:ascii="宋体" w:hAnsi="宋体" w:eastAsia="宋体" w:cs="宋体"/>
          <w:b w:val="0"/>
          <w:bCs w:val="0"/>
          <w:color w:val="auto"/>
          <w:kern w:val="0"/>
          <w:sz w:val="24"/>
          <w:szCs w:val="24"/>
          <w:lang w:eastAsia="zh-CN"/>
        </w:rPr>
        <w:t>供应商（或投标人）</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rPr>
        <w:t>提供的</w:t>
      </w:r>
      <w:r>
        <w:rPr>
          <w:rFonts w:hint="eastAsia" w:ascii="宋体" w:hAnsi="宋体" w:eastAsia="宋体" w:cs="宋体"/>
          <w:b w:val="0"/>
          <w:bCs w:val="0"/>
          <w:color w:val="auto"/>
          <w:kern w:val="0"/>
          <w:sz w:val="24"/>
          <w:szCs w:val="24"/>
          <w:lang w:eastAsia="zh-CN"/>
        </w:rPr>
        <w:t>（工程或货物或服务）</w:t>
      </w:r>
      <w:r>
        <w:rPr>
          <w:rFonts w:hint="eastAsia" w:ascii="宋体" w:hAnsi="宋体" w:eastAsia="宋体" w:cs="宋体"/>
          <w:b w:val="0"/>
          <w:bCs w:val="0"/>
          <w:color w:val="auto"/>
          <w:kern w:val="0"/>
          <w:sz w:val="24"/>
          <w:szCs w:val="24"/>
        </w:rPr>
        <w:t>进行了验收，验收情况如下</w:t>
      </w:r>
      <w:r>
        <w:rPr>
          <w:rFonts w:hint="eastAsia" w:ascii="宋体" w:hAnsi="宋体" w:eastAsia="宋体" w:cs="宋体"/>
          <w:b/>
          <w:bCs/>
          <w:color w:val="auto"/>
          <w:kern w:val="0"/>
          <w:sz w:val="24"/>
          <w:szCs w:val="24"/>
        </w:rPr>
        <w:t>：</w:t>
      </w:r>
    </w:p>
    <w:tbl>
      <w:tblPr>
        <w:tblStyle w:val="49"/>
        <w:tblW w:w="9179" w:type="dxa"/>
        <w:jc w:val="center"/>
        <w:tblLayout w:type="fixed"/>
        <w:tblCellMar>
          <w:top w:w="0" w:type="dxa"/>
          <w:left w:w="0" w:type="dxa"/>
          <w:bottom w:w="0" w:type="dxa"/>
          <w:right w:w="0" w:type="dxa"/>
        </w:tblCellMar>
      </w:tblPr>
      <w:tblGrid>
        <w:gridCol w:w="1096"/>
        <w:gridCol w:w="825"/>
        <w:gridCol w:w="1623"/>
        <w:gridCol w:w="798"/>
        <w:gridCol w:w="102"/>
        <w:gridCol w:w="2002"/>
        <w:gridCol w:w="178"/>
        <w:gridCol w:w="685"/>
        <w:gridCol w:w="1870"/>
      </w:tblGrid>
      <w:tr w14:paraId="38C59B38">
        <w:tblPrEx>
          <w:tblCellMar>
            <w:top w:w="0" w:type="dxa"/>
            <w:left w:w="0" w:type="dxa"/>
            <w:bottom w:w="0" w:type="dxa"/>
            <w:right w:w="0" w:type="dxa"/>
          </w:tblCellMar>
        </w:tblPrEx>
        <w:trPr>
          <w:trHeight w:val="497" w:hRule="atLeast"/>
          <w:jc w:val="center"/>
        </w:trPr>
        <w:tc>
          <w:tcPr>
            <w:tcW w:w="3544" w:type="dxa"/>
            <w:gridSpan w:val="3"/>
            <w:tcBorders>
              <w:top w:val="single" w:color="auto" w:sz="8" w:space="0"/>
              <w:left w:val="single" w:color="auto" w:sz="8" w:space="0"/>
              <w:bottom w:val="single" w:color="auto" w:sz="8" w:space="0"/>
              <w:right w:val="single" w:color="auto" w:sz="8" w:space="0"/>
            </w:tcBorders>
            <w:noWrap w:val="0"/>
            <w:vAlign w:val="center"/>
          </w:tcPr>
          <w:p w14:paraId="78F4E55F">
            <w:pPr>
              <w:widowControl/>
              <w:snapToGrid w:val="0"/>
              <w:spacing w:before="100" w:beforeAutospacing="1" w:after="100" w:afterAutospacing="1" w:line="320" w:lineRule="atLeast"/>
              <w:ind w:firstLine="5"/>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验收方式：</w:t>
            </w:r>
          </w:p>
        </w:tc>
        <w:tc>
          <w:tcPr>
            <w:tcW w:w="5635" w:type="dxa"/>
            <w:gridSpan w:val="6"/>
            <w:tcBorders>
              <w:top w:val="single" w:color="auto" w:sz="8" w:space="0"/>
              <w:left w:val="nil"/>
              <w:bottom w:val="single" w:color="auto" w:sz="8" w:space="0"/>
              <w:right w:val="single" w:color="auto" w:sz="8" w:space="0"/>
            </w:tcBorders>
            <w:noWrap w:val="0"/>
            <w:vAlign w:val="center"/>
          </w:tcPr>
          <w:p w14:paraId="1AC53407">
            <w:pPr>
              <w:widowControl/>
              <w:snapToGrid w:val="0"/>
              <w:spacing w:before="100" w:beforeAutospacing="1" w:after="100" w:afterAutospacing="1" w:line="32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sym w:font="Times New Roman" w:char="0000"/>
            </w:r>
            <w:r>
              <w:rPr>
                <w:rFonts w:hint="eastAsia" w:ascii="宋体" w:hAnsi="宋体" w:cs="宋体"/>
                <w:color w:val="auto"/>
                <w:kern w:val="0"/>
                <w:sz w:val="24"/>
                <w:highlight w:val="none"/>
              </w:rPr>
              <w:t xml:space="preserve">自行验收 </w:t>
            </w:r>
            <w:r>
              <w:rPr>
                <w:rFonts w:hint="eastAsia" w:ascii="宋体" w:hAnsi="宋体" w:cs="宋体"/>
                <w:color w:val="auto"/>
                <w:kern w:val="0"/>
                <w:sz w:val="24"/>
                <w:highlight w:val="none"/>
              </w:rPr>
              <w:sym w:font="Times New Roman" w:char="0000"/>
            </w:r>
            <w:r>
              <w:rPr>
                <w:rFonts w:hint="eastAsia" w:ascii="宋体" w:hAnsi="宋体" w:cs="宋体"/>
                <w:color w:val="auto"/>
                <w:kern w:val="0"/>
                <w:sz w:val="24"/>
                <w:highlight w:val="none"/>
              </w:rPr>
              <w:t>委托验收</w:t>
            </w:r>
          </w:p>
        </w:tc>
      </w:tr>
      <w:tr w14:paraId="39732BFF">
        <w:tblPrEx>
          <w:tblCellMar>
            <w:top w:w="0" w:type="dxa"/>
            <w:left w:w="0" w:type="dxa"/>
            <w:bottom w:w="0" w:type="dxa"/>
            <w:right w:w="0" w:type="dxa"/>
          </w:tblCellMar>
        </w:tblPrEx>
        <w:trPr>
          <w:trHeight w:val="622" w:hRule="atLeast"/>
          <w:jc w:val="center"/>
        </w:trPr>
        <w:tc>
          <w:tcPr>
            <w:tcW w:w="1096" w:type="dxa"/>
            <w:tcBorders>
              <w:top w:val="nil"/>
              <w:left w:val="single" w:color="auto" w:sz="8" w:space="0"/>
              <w:bottom w:val="single" w:color="auto" w:sz="8" w:space="0"/>
              <w:right w:val="single" w:color="auto" w:sz="8" w:space="0"/>
            </w:tcBorders>
            <w:noWrap w:val="0"/>
            <w:vAlign w:val="center"/>
          </w:tcPr>
          <w:p w14:paraId="7FB9416E">
            <w:pPr>
              <w:widowControl/>
              <w:snapToGrid w:val="0"/>
              <w:spacing w:before="100" w:beforeAutospacing="1" w:after="100" w:afterAutospacing="1" w:line="320" w:lineRule="atLeast"/>
              <w:ind w:firstLine="2"/>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2448" w:type="dxa"/>
            <w:gridSpan w:val="2"/>
            <w:tcBorders>
              <w:top w:val="nil"/>
              <w:left w:val="nil"/>
              <w:bottom w:val="single" w:color="auto" w:sz="8" w:space="0"/>
              <w:right w:val="single" w:color="auto" w:sz="8" w:space="0"/>
            </w:tcBorders>
            <w:noWrap w:val="0"/>
            <w:vAlign w:val="center"/>
          </w:tcPr>
          <w:p w14:paraId="57F7B1DB">
            <w:pPr>
              <w:widowControl/>
              <w:snapToGrid w:val="0"/>
              <w:spacing w:before="100" w:beforeAutospacing="1" w:after="100" w:afterAutospacing="1" w:line="320" w:lineRule="atLeast"/>
              <w:ind w:firstLine="2"/>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2902" w:type="dxa"/>
            <w:gridSpan w:val="3"/>
            <w:tcBorders>
              <w:top w:val="nil"/>
              <w:left w:val="nil"/>
              <w:bottom w:val="single" w:color="auto" w:sz="8" w:space="0"/>
              <w:right w:val="single" w:color="auto" w:sz="8" w:space="0"/>
            </w:tcBorders>
            <w:noWrap w:val="0"/>
            <w:vAlign w:val="center"/>
          </w:tcPr>
          <w:p w14:paraId="61FD52E1">
            <w:pPr>
              <w:widowControl/>
              <w:snapToGrid w:val="0"/>
              <w:spacing w:before="100" w:beforeAutospacing="1" w:after="100" w:afterAutospacing="1" w:line="320" w:lineRule="atLeast"/>
              <w:ind w:firstLine="2"/>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63AFC1F7">
            <w:pPr>
              <w:widowControl/>
              <w:snapToGrid w:val="0"/>
              <w:spacing w:before="100" w:beforeAutospacing="1" w:after="100" w:afterAutospacing="1" w:line="32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870" w:type="dxa"/>
            <w:tcBorders>
              <w:top w:val="nil"/>
              <w:left w:val="nil"/>
              <w:bottom w:val="single" w:color="auto" w:sz="8" w:space="0"/>
              <w:right w:val="single" w:color="auto" w:sz="8" w:space="0"/>
            </w:tcBorders>
            <w:noWrap w:val="0"/>
            <w:vAlign w:val="center"/>
          </w:tcPr>
          <w:p w14:paraId="6DDAE3C4">
            <w:pPr>
              <w:widowControl/>
              <w:snapToGrid w:val="0"/>
              <w:spacing w:before="100" w:beforeAutospacing="1" w:after="100" w:afterAutospacing="1" w:line="320" w:lineRule="atLeast"/>
              <w:ind w:firstLine="2"/>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金额</w:t>
            </w:r>
          </w:p>
        </w:tc>
      </w:tr>
      <w:tr w14:paraId="7D1B2559">
        <w:tblPrEx>
          <w:tblCellMar>
            <w:top w:w="0" w:type="dxa"/>
            <w:left w:w="0" w:type="dxa"/>
            <w:bottom w:w="0" w:type="dxa"/>
            <w:right w:w="0" w:type="dxa"/>
          </w:tblCellMar>
        </w:tblPrEx>
        <w:trPr>
          <w:trHeight w:val="487" w:hRule="atLeast"/>
          <w:jc w:val="center"/>
        </w:trPr>
        <w:tc>
          <w:tcPr>
            <w:tcW w:w="1096" w:type="dxa"/>
            <w:tcBorders>
              <w:top w:val="nil"/>
              <w:left w:val="single" w:color="auto" w:sz="8" w:space="0"/>
              <w:bottom w:val="single" w:color="auto" w:sz="8" w:space="0"/>
              <w:right w:val="single" w:color="auto" w:sz="8" w:space="0"/>
            </w:tcBorders>
            <w:noWrap w:val="0"/>
            <w:vAlign w:val="center"/>
          </w:tcPr>
          <w:p w14:paraId="2D294DE2">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0A54566B">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00511634">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1D06DD98">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1870" w:type="dxa"/>
            <w:tcBorders>
              <w:top w:val="nil"/>
              <w:left w:val="nil"/>
              <w:bottom w:val="single" w:color="auto" w:sz="8" w:space="0"/>
              <w:right w:val="single" w:color="auto" w:sz="8" w:space="0"/>
            </w:tcBorders>
            <w:noWrap w:val="0"/>
            <w:vAlign w:val="center"/>
          </w:tcPr>
          <w:p w14:paraId="439740D7">
            <w:pPr>
              <w:widowControl/>
              <w:spacing w:before="100" w:beforeAutospacing="1" w:after="100" w:afterAutospacing="1" w:line="240" w:lineRule="atLeast"/>
              <w:jc w:val="center"/>
              <w:rPr>
                <w:rFonts w:hint="eastAsia" w:ascii="宋体" w:hAnsi="宋体" w:cs="宋体"/>
                <w:color w:val="auto"/>
                <w:kern w:val="0"/>
                <w:sz w:val="24"/>
                <w:highlight w:val="none"/>
              </w:rPr>
            </w:pPr>
          </w:p>
        </w:tc>
      </w:tr>
      <w:tr w14:paraId="506F5622">
        <w:tblPrEx>
          <w:tblCellMar>
            <w:top w:w="0" w:type="dxa"/>
            <w:left w:w="0" w:type="dxa"/>
            <w:bottom w:w="0" w:type="dxa"/>
            <w:right w:w="0" w:type="dxa"/>
          </w:tblCellMar>
        </w:tblPrEx>
        <w:trPr>
          <w:trHeight w:val="487" w:hRule="atLeast"/>
          <w:jc w:val="center"/>
        </w:trPr>
        <w:tc>
          <w:tcPr>
            <w:tcW w:w="1096" w:type="dxa"/>
            <w:tcBorders>
              <w:top w:val="nil"/>
              <w:left w:val="single" w:color="auto" w:sz="8" w:space="0"/>
              <w:bottom w:val="single" w:color="auto" w:sz="8" w:space="0"/>
              <w:right w:val="single" w:color="auto" w:sz="8" w:space="0"/>
            </w:tcBorders>
            <w:noWrap w:val="0"/>
            <w:vAlign w:val="center"/>
          </w:tcPr>
          <w:p w14:paraId="11248C6E">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58802756">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3B2FE70C">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218EF588">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1870" w:type="dxa"/>
            <w:tcBorders>
              <w:top w:val="nil"/>
              <w:left w:val="nil"/>
              <w:bottom w:val="single" w:color="auto" w:sz="8" w:space="0"/>
              <w:right w:val="single" w:color="auto" w:sz="8" w:space="0"/>
            </w:tcBorders>
            <w:noWrap w:val="0"/>
            <w:vAlign w:val="center"/>
          </w:tcPr>
          <w:p w14:paraId="4438A2EA">
            <w:pPr>
              <w:widowControl/>
              <w:spacing w:before="100" w:beforeAutospacing="1" w:after="100" w:afterAutospacing="1" w:line="240" w:lineRule="atLeast"/>
              <w:jc w:val="center"/>
              <w:rPr>
                <w:rFonts w:hint="eastAsia" w:ascii="宋体" w:hAnsi="宋体" w:cs="宋体"/>
                <w:color w:val="auto"/>
                <w:kern w:val="0"/>
                <w:sz w:val="24"/>
                <w:highlight w:val="none"/>
              </w:rPr>
            </w:pPr>
          </w:p>
        </w:tc>
      </w:tr>
      <w:tr w14:paraId="7BC0319A">
        <w:tblPrEx>
          <w:tblCellMar>
            <w:top w:w="0" w:type="dxa"/>
            <w:left w:w="0" w:type="dxa"/>
            <w:bottom w:w="0" w:type="dxa"/>
            <w:right w:w="0" w:type="dxa"/>
          </w:tblCellMar>
        </w:tblPrEx>
        <w:trPr>
          <w:trHeight w:val="487" w:hRule="atLeast"/>
          <w:jc w:val="center"/>
        </w:trPr>
        <w:tc>
          <w:tcPr>
            <w:tcW w:w="1096" w:type="dxa"/>
            <w:tcBorders>
              <w:top w:val="nil"/>
              <w:left w:val="single" w:color="auto" w:sz="8" w:space="0"/>
              <w:bottom w:val="single" w:color="auto" w:sz="8" w:space="0"/>
              <w:right w:val="single" w:color="auto" w:sz="8" w:space="0"/>
            </w:tcBorders>
            <w:noWrap w:val="0"/>
            <w:vAlign w:val="center"/>
          </w:tcPr>
          <w:p w14:paraId="18CD2B95">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6353DCB2">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128E3297">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5D02EA50">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1870" w:type="dxa"/>
            <w:tcBorders>
              <w:top w:val="nil"/>
              <w:left w:val="nil"/>
              <w:bottom w:val="single" w:color="auto" w:sz="8" w:space="0"/>
              <w:right w:val="single" w:color="auto" w:sz="8" w:space="0"/>
            </w:tcBorders>
            <w:noWrap w:val="0"/>
            <w:vAlign w:val="center"/>
          </w:tcPr>
          <w:p w14:paraId="53756721">
            <w:pPr>
              <w:widowControl/>
              <w:spacing w:before="100" w:beforeAutospacing="1" w:after="100" w:afterAutospacing="1" w:line="240" w:lineRule="atLeast"/>
              <w:jc w:val="center"/>
              <w:rPr>
                <w:rFonts w:hint="eastAsia" w:ascii="宋体" w:hAnsi="宋体" w:cs="宋体"/>
                <w:color w:val="auto"/>
                <w:kern w:val="0"/>
                <w:sz w:val="24"/>
                <w:highlight w:val="none"/>
              </w:rPr>
            </w:pPr>
          </w:p>
        </w:tc>
      </w:tr>
      <w:tr w14:paraId="27DA6363">
        <w:tblPrEx>
          <w:tblCellMar>
            <w:top w:w="0" w:type="dxa"/>
            <w:left w:w="0" w:type="dxa"/>
            <w:bottom w:w="0" w:type="dxa"/>
            <w:right w:w="0" w:type="dxa"/>
          </w:tblCellMar>
        </w:tblPrEx>
        <w:trPr>
          <w:trHeight w:val="487" w:hRule="atLeast"/>
          <w:jc w:val="center"/>
        </w:trPr>
        <w:tc>
          <w:tcPr>
            <w:tcW w:w="6446" w:type="dxa"/>
            <w:gridSpan w:val="6"/>
            <w:tcBorders>
              <w:top w:val="nil"/>
              <w:left w:val="single" w:color="auto" w:sz="8" w:space="0"/>
              <w:bottom w:val="single" w:color="auto" w:sz="8" w:space="0"/>
              <w:right w:val="single" w:color="auto" w:sz="8" w:space="0"/>
            </w:tcBorders>
            <w:noWrap w:val="0"/>
            <w:vAlign w:val="center"/>
          </w:tcPr>
          <w:p w14:paraId="5B62C13E">
            <w:pPr>
              <w:widowControl/>
              <w:snapToGrid w:val="0"/>
              <w:spacing w:before="100" w:beforeAutospacing="1" w:after="100" w:afterAutospacing="1" w:line="320" w:lineRule="atLeast"/>
              <w:ind w:firstLine="5"/>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EC08DEB">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1870" w:type="dxa"/>
            <w:tcBorders>
              <w:top w:val="nil"/>
              <w:left w:val="nil"/>
              <w:bottom w:val="single" w:color="auto" w:sz="8" w:space="0"/>
              <w:right w:val="single" w:color="auto" w:sz="8" w:space="0"/>
            </w:tcBorders>
            <w:noWrap w:val="0"/>
            <w:vAlign w:val="center"/>
          </w:tcPr>
          <w:p w14:paraId="56394A06">
            <w:pPr>
              <w:widowControl/>
              <w:spacing w:before="100" w:beforeAutospacing="1" w:after="100" w:afterAutospacing="1" w:line="240" w:lineRule="atLeast"/>
              <w:jc w:val="center"/>
              <w:rPr>
                <w:rFonts w:hint="eastAsia" w:ascii="宋体" w:hAnsi="宋体" w:cs="宋体"/>
                <w:color w:val="auto"/>
                <w:kern w:val="0"/>
                <w:sz w:val="24"/>
                <w:highlight w:val="none"/>
              </w:rPr>
            </w:pPr>
          </w:p>
        </w:tc>
      </w:tr>
      <w:tr w14:paraId="76F3F76B">
        <w:tblPrEx>
          <w:tblCellMar>
            <w:top w:w="0" w:type="dxa"/>
            <w:left w:w="0" w:type="dxa"/>
            <w:bottom w:w="0" w:type="dxa"/>
            <w:right w:w="0" w:type="dxa"/>
          </w:tblCellMar>
        </w:tblPrEx>
        <w:trPr>
          <w:trHeight w:val="641" w:hRule="atLeast"/>
          <w:jc w:val="center"/>
        </w:trPr>
        <w:tc>
          <w:tcPr>
            <w:tcW w:w="9179" w:type="dxa"/>
            <w:gridSpan w:val="9"/>
            <w:tcBorders>
              <w:top w:val="nil"/>
              <w:left w:val="single" w:color="auto" w:sz="8" w:space="0"/>
              <w:bottom w:val="single" w:color="auto" w:sz="8" w:space="0"/>
              <w:right w:val="single" w:color="auto" w:sz="8" w:space="0"/>
            </w:tcBorders>
            <w:noWrap w:val="0"/>
            <w:vAlign w:val="center"/>
          </w:tcPr>
          <w:p w14:paraId="3401EDED">
            <w:pPr>
              <w:widowControl/>
              <w:snapToGrid w:val="0"/>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合计大写金额：  仟  佰  拾  万  仟  佰  拾  元</w:t>
            </w:r>
          </w:p>
        </w:tc>
      </w:tr>
      <w:tr w14:paraId="39FF6DE0">
        <w:tblPrEx>
          <w:tblCellMar>
            <w:top w:w="0" w:type="dxa"/>
            <w:left w:w="0" w:type="dxa"/>
            <w:bottom w:w="0" w:type="dxa"/>
            <w:right w:w="0" w:type="dxa"/>
          </w:tblCellMar>
        </w:tblPrEx>
        <w:trPr>
          <w:trHeight w:val="641" w:hRule="atLeast"/>
          <w:jc w:val="center"/>
        </w:trPr>
        <w:tc>
          <w:tcPr>
            <w:tcW w:w="1921" w:type="dxa"/>
            <w:gridSpan w:val="2"/>
            <w:tcBorders>
              <w:top w:val="nil"/>
              <w:left w:val="single" w:color="auto" w:sz="8" w:space="0"/>
              <w:bottom w:val="single" w:color="auto" w:sz="8" w:space="0"/>
              <w:right w:val="single" w:color="auto" w:sz="8" w:space="0"/>
            </w:tcBorders>
            <w:noWrap w:val="0"/>
            <w:vAlign w:val="center"/>
          </w:tcPr>
          <w:p w14:paraId="21FC0B43">
            <w:pPr>
              <w:widowControl/>
              <w:snapToGrid w:val="0"/>
              <w:spacing w:before="100" w:beforeAutospacing="1" w:after="100" w:afterAutospacing="1" w:line="320" w:lineRule="atLeast"/>
              <w:ind w:firstLine="2"/>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实施</w:t>
            </w:r>
            <w:r>
              <w:rPr>
                <w:rFonts w:hint="eastAsia" w:ascii="宋体" w:hAnsi="宋体" w:cs="宋体"/>
                <w:color w:val="auto"/>
                <w:kern w:val="0"/>
                <w:sz w:val="24"/>
                <w:highlight w:val="none"/>
              </w:rPr>
              <w:t>日期</w:t>
            </w:r>
          </w:p>
        </w:tc>
        <w:tc>
          <w:tcPr>
            <w:tcW w:w="2421" w:type="dxa"/>
            <w:gridSpan w:val="2"/>
            <w:tcBorders>
              <w:top w:val="nil"/>
              <w:left w:val="nil"/>
              <w:bottom w:val="single" w:color="auto" w:sz="8" w:space="0"/>
              <w:right w:val="single" w:color="auto" w:sz="8" w:space="0"/>
            </w:tcBorders>
            <w:noWrap w:val="0"/>
            <w:vAlign w:val="center"/>
          </w:tcPr>
          <w:p w14:paraId="344EC164">
            <w:pPr>
              <w:widowControl/>
              <w:spacing w:before="100" w:beforeAutospacing="1" w:after="100" w:afterAutospacing="1" w:line="240" w:lineRule="atLeast"/>
              <w:jc w:val="center"/>
              <w:rPr>
                <w:rFonts w:hint="eastAsia" w:ascii="宋体" w:hAnsi="宋体" w:cs="宋体"/>
                <w:color w:val="auto"/>
                <w:kern w:val="0"/>
                <w:sz w:val="24"/>
                <w:highlight w:val="none"/>
              </w:rPr>
            </w:pPr>
          </w:p>
        </w:tc>
        <w:tc>
          <w:tcPr>
            <w:tcW w:w="2282" w:type="dxa"/>
            <w:gridSpan w:val="3"/>
            <w:tcBorders>
              <w:top w:val="nil"/>
              <w:left w:val="nil"/>
              <w:bottom w:val="single" w:color="auto" w:sz="8" w:space="0"/>
              <w:right w:val="single" w:color="auto" w:sz="8" w:space="0"/>
            </w:tcBorders>
            <w:noWrap w:val="0"/>
            <w:vAlign w:val="center"/>
          </w:tcPr>
          <w:p w14:paraId="09C5C2F7">
            <w:pPr>
              <w:widowControl/>
              <w:snapToGrid w:val="0"/>
              <w:spacing w:before="100" w:beforeAutospacing="1" w:after="100" w:afterAutospacing="1" w:line="320" w:lineRule="atLeast"/>
              <w:ind w:firstLine="46"/>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验收日期</w:t>
            </w:r>
          </w:p>
        </w:tc>
        <w:tc>
          <w:tcPr>
            <w:tcW w:w="2555" w:type="dxa"/>
            <w:gridSpan w:val="2"/>
            <w:tcBorders>
              <w:top w:val="nil"/>
              <w:left w:val="nil"/>
              <w:bottom w:val="single" w:color="auto" w:sz="8" w:space="0"/>
              <w:right w:val="single" w:color="auto" w:sz="8" w:space="0"/>
            </w:tcBorders>
            <w:noWrap w:val="0"/>
            <w:vAlign w:val="center"/>
          </w:tcPr>
          <w:p w14:paraId="1708D3E3">
            <w:pPr>
              <w:widowControl/>
              <w:spacing w:before="100" w:beforeAutospacing="1" w:after="100" w:afterAutospacing="1" w:line="240" w:lineRule="atLeast"/>
              <w:jc w:val="center"/>
              <w:rPr>
                <w:rFonts w:hint="eastAsia" w:ascii="宋体" w:hAnsi="宋体" w:cs="宋体"/>
                <w:color w:val="auto"/>
                <w:kern w:val="0"/>
                <w:sz w:val="24"/>
                <w:highlight w:val="none"/>
              </w:rPr>
            </w:pPr>
          </w:p>
        </w:tc>
      </w:tr>
      <w:tr w14:paraId="0160EEED">
        <w:tblPrEx>
          <w:tblCellMar>
            <w:top w:w="0" w:type="dxa"/>
            <w:left w:w="0" w:type="dxa"/>
            <w:bottom w:w="0" w:type="dxa"/>
            <w:right w:w="0" w:type="dxa"/>
          </w:tblCellMar>
        </w:tblPrEx>
        <w:trPr>
          <w:trHeight w:val="693" w:hRule="atLeast"/>
          <w:jc w:val="center"/>
        </w:trPr>
        <w:tc>
          <w:tcPr>
            <w:tcW w:w="192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D2A947">
            <w:pPr>
              <w:widowControl/>
              <w:snapToGrid w:val="0"/>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验收具体内容</w:t>
            </w:r>
          </w:p>
        </w:tc>
        <w:tc>
          <w:tcPr>
            <w:tcW w:w="7258"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DA06DD">
            <w:pPr>
              <w:widowControl/>
              <w:snapToGrid w:val="0"/>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应按采购合同、竞争性磋商文件、竞标响应文件及验收方案等进行验收；并核对中标人在安装调试等方面是否违反合同约定或服务规范要求、提供的质量保证证明材料是否齐全、应有的配件及附件是否达到合同约定等。可附件)</w:t>
            </w:r>
          </w:p>
        </w:tc>
      </w:tr>
      <w:tr w14:paraId="4AEAF52C">
        <w:tblPrEx>
          <w:tblCellMar>
            <w:top w:w="0" w:type="dxa"/>
            <w:left w:w="0" w:type="dxa"/>
            <w:bottom w:w="0" w:type="dxa"/>
            <w:right w:w="0" w:type="dxa"/>
          </w:tblCellMar>
        </w:tblPrEx>
        <w:trPr>
          <w:trHeight w:val="801" w:hRule="atLeast"/>
          <w:jc w:val="center"/>
        </w:trPr>
        <w:tc>
          <w:tcPr>
            <w:tcW w:w="1921"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986AA4">
            <w:pPr>
              <w:widowControl/>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验收小组意见</w:t>
            </w:r>
          </w:p>
        </w:tc>
        <w:tc>
          <w:tcPr>
            <w:tcW w:w="7258" w:type="dxa"/>
            <w:gridSpan w:val="7"/>
            <w:tcBorders>
              <w:top w:val="nil"/>
              <w:left w:val="nil"/>
              <w:bottom w:val="single" w:color="auto" w:sz="8" w:space="0"/>
              <w:right w:val="single" w:color="auto" w:sz="8" w:space="0"/>
            </w:tcBorders>
            <w:noWrap w:val="0"/>
            <w:vAlign w:val="center"/>
          </w:tcPr>
          <w:p w14:paraId="5B9E308C">
            <w:pPr>
              <w:widowControl/>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验收结论性意见：</w:t>
            </w:r>
          </w:p>
        </w:tc>
      </w:tr>
      <w:tr w14:paraId="11EB433E">
        <w:tblPrEx>
          <w:tblCellMar>
            <w:top w:w="0" w:type="dxa"/>
            <w:left w:w="0" w:type="dxa"/>
            <w:bottom w:w="0" w:type="dxa"/>
            <w:right w:w="0" w:type="dxa"/>
          </w:tblCellMar>
        </w:tblPrEx>
        <w:trPr>
          <w:trHeight w:val="607" w:hRule="atLeast"/>
          <w:jc w:val="center"/>
        </w:trPr>
        <w:tc>
          <w:tcPr>
            <w:tcW w:w="1921" w:type="dxa"/>
            <w:gridSpan w:val="2"/>
            <w:vMerge w:val="continue"/>
            <w:tcBorders>
              <w:top w:val="nil"/>
              <w:left w:val="single" w:color="auto" w:sz="8" w:space="0"/>
              <w:bottom w:val="single" w:color="auto" w:sz="8" w:space="0"/>
              <w:right w:val="single" w:color="auto" w:sz="8" w:space="0"/>
            </w:tcBorders>
            <w:noWrap w:val="0"/>
            <w:vAlign w:val="center"/>
          </w:tcPr>
          <w:p w14:paraId="51200944">
            <w:pPr>
              <w:widowControl/>
              <w:jc w:val="left"/>
              <w:rPr>
                <w:rFonts w:hint="eastAsia" w:ascii="宋体" w:hAnsi="宋体" w:cs="宋体"/>
                <w:color w:val="auto"/>
                <w:kern w:val="0"/>
                <w:sz w:val="24"/>
                <w:highlight w:val="none"/>
              </w:rPr>
            </w:pPr>
          </w:p>
        </w:tc>
        <w:tc>
          <w:tcPr>
            <w:tcW w:w="7258" w:type="dxa"/>
            <w:gridSpan w:val="7"/>
            <w:tcBorders>
              <w:top w:val="nil"/>
              <w:left w:val="nil"/>
              <w:bottom w:val="single" w:color="auto" w:sz="8" w:space="0"/>
              <w:right w:val="single" w:color="auto" w:sz="8" w:space="0"/>
            </w:tcBorders>
            <w:noWrap w:val="0"/>
            <w:vAlign w:val="center"/>
          </w:tcPr>
          <w:p w14:paraId="59E256A0">
            <w:pPr>
              <w:widowControl/>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有异议的意见和说明理由：</w:t>
            </w:r>
          </w:p>
          <w:p w14:paraId="6041A995">
            <w:pPr>
              <w:widowControl/>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签字：</w:t>
            </w:r>
          </w:p>
        </w:tc>
      </w:tr>
      <w:tr w14:paraId="176978E5">
        <w:tblPrEx>
          <w:tblCellMar>
            <w:top w:w="0" w:type="dxa"/>
            <w:left w:w="0" w:type="dxa"/>
            <w:bottom w:w="0" w:type="dxa"/>
            <w:right w:w="0" w:type="dxa"/>
          </w:tblCellMar>
        </w:tblPrEx>
        <w:trPr>
          <w:trHeight w:val="765" w:hRule="atLeast"/>
          <w:jc w:val="center"/>
        </w:trPr>
        <w:tc>
          <w:tcPr>
            <w:tcW w:w="9179"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4AB79C">
            <w:pPr>
              <w:widowControl/>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验收小组成员签字：</w:t>
            </w:r>
          </w:p>
        </w:tc>
      </w:tr>
      <w:tr w14:paraId="3E245EA3">
        <w:tblPrEx>
          <w:tblCellMar>
            <w:top w:w="0" w:type="dxa"/>
            <w:left w:w="0" w:type="dxa"/>
            <w:bottom w:w="0" w:type="dxa"/>
            <w:right w:w="0" w:type="dxa"/>
          </w:tblCellMar>
        </w:tblPrEx>
        <w:trPr>
          <w:trHeight w:val="736" w:hRule="atLeast"/>
          <w:jc w:val="center"/>
        </w:trPr>
        <w:tc>
          <w:tcPr>
            <w:tcW w:w="9179"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C9620BE">
            <w:pPr>
              <w:widowControl/>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监督人员或其他相关人员签字：</w:t>
            </w:r>
          </w:p>
          <w:p w14:paraId="376085B4">
            <w:pPr>
              <w:widowControl/>
              <w:spacing w:before="100" w:beforeAutospacing="1" w:after="100" w:afterAutospacing="1" w:line="320" w:lineRule="atLeast"/>
              <w:ind w:firstLine="74"/>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或受邀机构的意见（盖章）：</w:t>
            </w:r>
          </w:p>
        </w:tc>
      </w:tr>
      <w:tr w14:paraId="605D35F7">
        <w:tblPrEx>
          <w:tblCellMar>
            <w:top w:w="0" w:type="dxa"/>
            <w:left w:w="0" w:type="dxa"/>
            <w:bottom w:w="0" w:type="dxa"/>
            <w:right w:w="0" w:type="dxa"/>
          </w:tblCellMar>
        </w:tblPrEx>
        <w:trPr>
          <w:trHeight w:val="1235" w:hRule="atLeast"/>
          <w:jc w:val="center"/>
        </w:trPr>
        <w:tc>
          <w:tcPr>
            <w:tcW w:w="4444"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D9AA19">
            <w:pPr>
              <w:widowControl/>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中标人负责人签字或盖章：</w:t>
            </w:r>
          </w:p>
          <w:p w14:paraId="519740EC">
            <w:pPr>
              <w:widowControl/>
              <w:spacing w:before="100" w:beforeAutospacing="1" w:after="100" w:afterAutospacing="1" w:line="32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             年  月  日</w:t>
            </w:r>
          </w:p>
        </w:tc>
        <w:tc>
          <w:tcPr>
            <w:tcW w:w="4735" w:type="dxa"/>
            <w:gridSpan w:val="4"/>
            <w:tcBorders>
              <w:top w:val="single" w:color="auto" w:sz="4" w:space="0"/>
              <w:left w:val="single" w:color="auto" w:sz="4" w:space="0"/>
              <w:bottom w:val="single" w:color="auto" w:sz="4" w:space="0"/>
              <w:right w:val="single" w:color="auto" w:sz="4" w:space="0"/>
            </w:tcBorders>
            <w:noWrap w:val="0"/>
            <w:vAlign w:val="center"/>
          </w:tcPr>
          <w:p w14:paraId="0F5FA214">
            <w:pPr>
              <w:widowControl/>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采购人或受托机构的意见（盖章）：</w:t>
            </w:r>
          </w:p>
          <w:p w14:paraId="49890476">
            <w:pPr>
              <w:widowControl/>
              <w:spacing w:before="100" w:beforeAutospacing="1" w:after="100" w:afterAutospacing="1" w:line="32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              年  月  日</w:t>
            </w:r>
          </w:p>
        </w:tc>
      </w:tr>
    </w:tbl>
    <w:p w14:paraId="50085686">
      <w:pPr>
        <w:pStyle w:val="24"/>
        <w:snapToGrid w:val="0"/>
        <w:spacing w:before="120" w:after="120"/>
        <w:rPr>
          <w:rFonts w:hint="eastAsia" w:hAnsi="宋体" w:cs="宋体"/>
          <w:b/>
          <w:bCs/>
          <w:color w:val="auto"/>
          <w:sz w:val="24"/>
          <w:szCs w:val="24"/>
          <w:highlight w:val="none"/>
        </w:rPr>
      </w:pPr>
    </w:p>
    <w:p w14:paraId="352E46D0">
      <w:pPr>
        <w:pStyle w:val="24"/>
        <w:snapToGrid w:val="0"/>
        <w:spacing w:before="120" w:after="120"/>
        <w:rPr>
          <w:rFonts w:hint="eastAsia" w:hAnsi="宋体" w:cs="宋体"/>
          <w:color w:val="auto"/>
          <w:highlight w:val="none"/>
        </w:rPr>
      </w:pPr>
      <w:r>
        <w:rPr>
          <w:rFonts w:hint="eastAsia" w:hAnsi="宋体" w:cs="宋体"/>
          <w:b/>
          <w:bCs/>
          <w:color w:val="auto"/>
          <w:sz w:val="24"/>
          <w:szCs w:val="24"/>
          <w:highlight w:val="none"/>
        </w:rPr>
        <w:t>备注：本表为参考格式及内容，验收时经双方协商，按照实际服务内容及验收标准进行填写。</w:t>
      </w:r>
      <w:r>
        <w:rPr>
          <w:rFonts w:hint="eastAsia" w:hAnsi="宋体" w:cs="宋体"/>
          <w:color w:val="auto"/>
          <w:highlight w:val="none"/>
        </w:rPr>
        <w:br w:type="page"/>
      </w:r>
    </w:p>
    <w:p w14:paraId="7B47B76A">
      <w:pPr>
        <w:rPr>
          <w:rFonts w:hint="eastAsia" w:ascii="宋体" w:hAnsi="宋体" w:cs="宋体"/>
          <w:color w:val="auto"/>
          <w:highlight w:val="none"/>
        </w:rPr>
      </w:pPr>
    </w:p>
    <w:p w14:paraId="3C9C4483">
      <w:pPr>
        <w:pStyle w:val="86"/>
        <w:rPr>
          <w:rFonts w:hint="eastAsia" w:ascii="宋体" w:hAnsi="宋体" w:cs="宋体"/>
          <w:color w:val="auto"/>
          <w:highlight w:val="none"/>
        </w:rPr>
      </w:pPr>
    </w:p>
    <w:p w14:paraId="0D0F4BFD">
      <w:pPr>
        <w:pStyle w:val="24"/>
        <w:snapToGrid w:val="0"/>
        <w:spacing w:before="120" w:after="120"/>
        <w:rPr>
          <w:rFonts w:hint="eastAsia" w:hAnsi="宋体" w:cs="宋体"/>
          <w:color w:val="auto"/>
          <w:highlight w:val="none"/>
        </w:rPr>
      </w:pPr>
    </w:p>
    <w:p w14:paraId="5F065107">
      <w:pPr>
        <w:pStyle w:val="24"/>
        <w:snapToGrid w:val="0"/>
        <w:spacing w:before="120" w:after="120"/>
        <w:rPr>
          <w:rFonts w:hint="eastAsia" w:hAnsi="宋体" w:cs="宋体"/>
          <w:color w:val="auto"/>
          <w:highlight w:val="none"/>
        </w:rPr>
      </w:pPr>
    </w:p>
    <w:p w14:paraId="3C86EA59">
      <w:pPr>
        <w:pStyle w:val="24"/>
        <w:snapToGrid w:val="0"/>
        <w:spacing w:before="120" w:after="120"/>
        <w:rPr>
          <w:rFonts w:hint="eastAsia" w:hAnsi="宋体" w:cs="宋体"/>
          <w:color w:val="auto"/>
          <w:highlight w:val="none"/>
        </w:rPr>
      </w:pPr>
    </w:p>
    <w:p w14:paraId="15BF5B45">
      <w:pPr>
        <w:pStyle w:val="24"/>
        <w:snapToGrid w:val="0"/>
        <w:spacing w:before="120" w:after="120"/>
        <w:rPr>
          <w:rFonts w:hint="eastAsia" w:hAnsi="宋体" w:cs="宋体"/>
          <w:color w:val="auto"/>
          <w:highlight w:val="none"/>
        </w:rPr>
      </w:pPr>
    </w:p>
    <w:p w14:paraId="65365658">
      <w:pPr>
        <w:pStyle w:val="24"/>
        <w:snapToGrid w:val="0"/>
        <w:spacing w:before="120" w:after="120"/>
        <w:rPr>
          <w:rFonts w:hint="eastAsia" w:hAnsi="宋体" w:cs="宋体"/>
          <w:color w:val="auto"/>
          <w:highlight w:val="none"/>
        </w:rPr>
      </w:pPr>
    </w:p>
    <w:p w14:paraId="2EB57160">
      <w:pPr>
        <w:pStyle w:val="24"/>
        <w:snapToGrid w:val="0"/>
        <w:spacing w:before="120" w:after="120"/>
        <w:rPr>
          <w:rFonts w:hint="eastAsia" w:hAnsi="宋体" w:cs="宋体"/>
          <w:color w:val="auto"/>
          <w:highlight w:val="none"/>
        </w:rPr>
      </w:pPr>
    </w:p>
    <w:p w14:paraId="7BA41617">
      <w:pPr>
        <w:pStyle w:val="24"/>
        <w:snapToGrid w:val="0"/>
        <w:spacing w:before="120" w:after="120"/>
        <w:rPr>
          <w:rFonts w:hint="eastAsia" w:hAnsi="宋体" w:cs="宋体"/>
          <w:color w:val="auto"/>
          <w:highlight w:val="none"/>
        </w:rPr>
      </w:pPr>
    </w:p>
    <w:p w14:paraId="1396140D">
      <w:pPr>
        <w:pStyle w:val="4"/>
        <w:jc w:val="center"/>
        <w:rPr>
          <w:rFonts w:hint="eastAsia" w:ascii="宋体" w:hAnsi="宋体" w:eastAsia="宋体" w:cs="宋体"/>
          <w:color w:val="auto"/>
          <w:highlight w:val="none"/>
        </w:rPr>
      </w:pPr>
      <w:bookmarkStart w:id="117" w:name="_Toc966"/>
      <w:bookmarkStart w:id="118" w:name="_Toc254970689"/>
      <w:bookmarkStart w:id="119" w:name="_Toc254970548"/>
      <w:bookmarkStart w:id="120" w:name="_Toc330456896"/>
      <w:r>
        <w:rPr>
          <w:rFonts w:hint="eastAsia" w:ascii="宋体" w:hAnsi="宋体" w:eastAsia="宋体" w:cs="宋体"/>
          <w:color w:val="auto"/>
          <w:highlight w:val="none"/>
        </w:rPr>
        <w:t>第四章  评标方法及评标标准</w:t>
      </w:r>
      <w:bookmarkEnd w:id="117"/>
      <w:bookmarkEnd w:id="118"/>
      <w:bookmarkEnd w:id="119"/>
      <w:bookmarkEnd w:id="120"/>
    </w:p>
    <w:p w14:paraId="1DF4A956">
      <w:pPr>
        <w:pStyle w:val="24"/>
        <w:spacing w:before="120" w:after="120"/>
        <w:outlineLvl w:val="0"/>
        <w:rPr>
          <w:rFonts w:hint="eastAsia" w:hAnsi="宋体" w:cs="宋体"/>
          <w:b/>
          <w:color w:val="auto"/>
          <w:highlight w:val="none"/>
        </w:rPr>
      </w:pPr>
      <w:bookmarkStart w:id="121" w:name="_Toc254970549"/>
      <w:bookmarkStart w:id="122" w:name="_Toc254970690"/>
    </w:p>
    <w:bookmarkEnd w:id="121"/>
    <w:bookmarkEnd w:id="122"/>
    <w:p w14:paraId="58A5A76C">
      <w:pPr>
        <w:pStyle w:val="24"/>
        <w:spacing w:before="120" w:after="120"/>
        <w:outlineLvl w:val="0"/>
        <w:rPr>
          <w:rFonts w:hint="eastAsia" w:hAnsi="宋体" w:cs="宋体"/>
          <w:bCs/>
          <w:color w:val="auto"/>
          <w:sz w:val="32"/>
          <w:szCs w:val="32"/>
          <w:highlight w:val="none"/>
        </w:rPr>
      </w:pPr>
    </w:p>
    <w:p w14:paraId="77CCAA7F">
      <w:pPr>
        <w:pStyle w:val="24"/>
        <w:spacing w:before="120" w:after="120"/>
        <w:outlineLvl w:val="0"/>
        <w:rPr>
          <w:rFonts w:hint="eastAsia" w:hAnsi="宋体" w:cs="宋体"/>
          <w:bCs/>
          <w:color w:val="auto"/>
          <w:sz w:val="32"/>
          <w:szCs w:val="32"/>
          <w:highlight w:val="none"/>
        </w:rPr>
      </w:pPr>
    </w:p>
    <w:p w14:paraId="75565E2E">
      <w:pPr>
        <w:pStyle w:val="24"/>
        <w:spacing w:before="120" w:after="120"/>
        <w:outlineLvl w:val="0"/>
        <w:rPr>
          <w:rFonts w:hint="eastAsia" w:hAnsi="宋体" w:cs="宋体"/>
          <w:bCs/>
          <w:color w:val="auto"/>
          <w:sz w:val="32"/>
          <w:szCs w:val="32"/>
          <w:highlight w:val="none"/>
        </w:rPr>
      </w:pPr>
    </w:p>
    <w:p w14:paraId="6D1D6E26">
      <w:pPr>
        <w:spacing w:before="120" w:beforeLines="50" w:after="120" w:afterLines="50" w:line="400" w:lineRule="exact"/>
        <w:rPr>
          <w:rFonts w:hint="eastAsia" w:ascii="宋体" w:hAnsi="宋体" w:cs="宋体"/>
          <w:b/>
          <w:color w:val="auto"/>
          <w:sz w:val="24"/>
          <w:highlight w:val="none"/>
        </w:rPr>
      </w:pPr>
    </w:p>
    <w:p w14:paraId="6026983F">
      <w:pPr>
        <w:spacing w:before="120" w:beforeLines="50" w:after="120" w:afterLines="50" w:line="400" w:lineRule="exact"/>
        <w:rPr>
          <w:rFonts w:hint="eastAsia" w:ascii="宋体" w:hAnsi="宋体" w:cs="宋体"/>
          <w:b/>
          <w:color w:val="auto"/>
          <w:sz w:val="24"/>
          <w:highlight w:val="none"/>
        </w:rPr>
      </w:pPr>
    </w:p>
    <w:p w14:paraId="4A40D66A">
      <w:pPr>
        <w:spacing w:before="120" w:beforeLines="50" w:after="120" w:afterLines="50" w:line="400" w:lineRule="exact"/>
        <w:rPr>
          <w:rFonts w:hint="eastAsia" w:ascii="宋体" w:hAnsi="宋体" w:cs="宋体"/>
          <w:b/>
          <w:color w:val="auto"/>
          <w:sz w:val="24"/>
          <w:highlight w:val="none"/>
        </w:rPr>
      </w:pPr>
    </w:p>
    <w:p w14:paraId="448DDB8F">
      <w:pPr>
        <w:spacing w:before="120" w:beforeLines="50" w:after="120" w:afterLines="50" w:line="400" w:lineRule="exact"/>
        <w:rPr>
          <w:rFonts w:hint="eastAsia" w:ascii="宋体" w:hAnsi="宋体" w:cs="宋体"/>
          <w:b/>
          <w:color w:val="auto"/>
          <w:sz w:val="24"/>
          <w:highlight w:val="none"/>
        </w:rPr>
      </w:pPr>
    </w:p>
    <w:p w14:paraId="0476C1B5">
      <w:pPr>
        <w:spacing w:before="120" w:beforeLines="50" w:after="120" w:afterLines="50" w:line="400" w:lineRule="exact"/>
        <w:rPr>
          <w:rFonts w:hint="eastAsia" w:ascii="宋体" w:hAnsi="宋体" w:cs="宋体"/>
          <w:b/>
          <w:color w:val="auto"/>
          <w:sz w:val="24"/>
          <w:highlight w:val="none"/>
        </w:rPr>
      </w:pPr>
    </w:p>
    <w:p w14:paraId="7E09F48A">
      <w:pPr>
        <w:spacing w:before="120" w:beforeLines="50" w:after="120" w:afterLines="50" w:line="400" w:lineRule="exact"/>
        <w:rPr>
          <w:rFonts w:hint="eastAsia" w:ascii="宋体" w:hAnsi="宋体" w:cs="宋体"/>
          <w:b/>
          <w:color w:val="auto"/>
          <w:sz w:val="24"/>
          <w:highlight w:val="none"/>
        </w:rPr>
      </w:pPr>
    </w:p>
    <w:p w14:paraId="599DD550">
      <w:pPr>
        <w:spacing w:before="120" w:beforeLines="50" w:after="120" w:afterLines="50" w:line="400" w:lineRule="exact"/>
        <w:rPr>
          <w:rFonts w:hint="eastAsia" w:ascii="宋体" w:hAnsi="宋体" w:cs="宋体"/>
          <w:b/>
          <w:color w:val="auto"/>
          <w:sz w:val="24"/>
          <w:highlight w:val="none"/>
        </w:rPr>
      </w:pPr>
    </w:p>
    <w:p w14:paraId="5429AD00">
      <w:pPr>
        <w:pStyle w:val="24"/>
        <w:spacing w:line="360" w:lineRule="exact"/>
        <w:rPr>
          <w:rFonts w:hint="eastAsia" w:hAnsi="宋体" w:cs="宋体"/>
          <w:b/>
          <w:color w:val="auto"/>
          <w:sz w:val="24"/>
          <w:highlight w:val="none"/>
        </w:rPr>
      </w:pPr>
    </w:p>
    <w:p w14:paraId="53AB03D7">
      <w:pPr>
        <w:pStyle w:val="24"/>
        <w:spacing w:line="360" w:lineRule="exact"/>
        <w:rPr>
          <w:rFonts w:hint="eastAsia" w:hAnsi="宋体" w:cs="宋体"/>
          <w:b/>
          <w:color w:val="auto"/>
          <w:sz w:val="24"/>
          <w:highlight w:val="none"/>
        </w:rPr>
      </w:pPr>
    </w:p>
    <w:p w14:paraId="1D8D563E">
      <w:pPr>
        <w:rPr>
          <w:rFonts w:hint="eastAsia" w:ascii="宋体" w:hAnsi="宋体" w:cs="宋体"/>
          <w:b/>
          <w:color w:val="auto"/>
          <w:sz w:val="24"/>
          <w:highlight w:val="none"/>
        </w:rPr>
      </w:pPr>
    </w:p>
    <w:p w14:paraId="240109EB">
      <w:pPr>
        <w:pStyle w:val="5"/>
        <w:keepNext w:val="0"/>
        <w:keepLines w:val="0"/>
        <w:ind w:left="0" w:leftChars="0" w:right="0" w:rightChars="0" w:firstLine="0" w:firstLineChars="0"/>
        <w:jc w:val="center"/>
        <w:rPr>
          <w:rFonts w:hint="eastAsia" w:ascii="宋体" w:hAnsi="宋体" w:cs="宋体"/>
          <w:color w:val="auto"/>
          <w:highlight w:val="none"/>
        </w:rPr>
      </w:pPr>
      <w:r>
        <w:rPr>
          <w:rFonts w:hint="eastAsia" w:ascii="宋体" w:hAnsi="宋体" w:cs="宋体"/>
          <w:color w:val="auto"/>
          <w:highlight w:val="none"/>
        </w:rPr>
        <w:t>一、评标方法</w:t>
      </w:r>
    </w:p>
    <w:p w14:paraId="154647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（一）综合评分法，是指投标文件满足招标文件全部实质性要求，且按照评审因素的量化指标评审得分最高的投标人为中标候选人的评标方法。</w:t>
      </w:r>
    </w:p>
    <w:p w14:paraId="136F6F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（二）组建评标委员会</w:t>
      </w:r>
    </w:p>
    <w:p w14:paraId="037589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评标委员会由采购人代表和评审专家组成，成员人数见“投标人须知前附表”，其中评审专家不得少于成员总数的三分之二。</w:t>
      </w:r>
    </w:p>
    <w:p w14:paraId="20DA75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参加过采购项目前期咨询论证的专家，不得参加该采购项目的评审活动。</w:t>
      </w:r>
    </w:p>
    <w:p w14:paraId="48FCD9BD">
      <w:pPr>
        <w:pStyle w:val="5"/>
        <w:keepNext w:val="0"/>
        <w:keepLines w:val="0"/>
        <w:jc w:val="center"/>
        <w:rPr>
          <w:rFonts w:hint="eastAsia" w:ascii="宋体" w:hAnsi="宋体" w:cs="宋体"/>
          <w:color w:val="auto"/>
          <w:highlight w:val="none"/>
        </w:rPr>
      </w:pPr>
      <w:r>
        <w:rPr>
          <w:rFonts w:hint="eastAsia" w:ascii="宋体" w:hAnsi="宋体" w:cs="宋体"/>
          <w:color w:val="auto"/>
          <w:highlight w:val="none"/>
        </w:rPr>
        <w:t>二、评标程序</w:t>
      </w:r>
    </w:p>
    <w:p w14:paraId="5489A4B5">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1.符合性审查</w:t>
      </w:r>
    </w:p>
    <w:p w14:paraId="0E3E2E70">
      <w:pPr>
        <w:pStyle w:val="24"/>
        <w:snapToGrid w:val="0"/>
        <w:spacing w:line="360" w:lineRule="auto"/>
        <w:ind w:left="1" w:firstLine="420"/>
        <w:rPr>
          <w:rFonts w:hint="eastAsia"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11999610">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2.符合性审查不通过而导致投标无效的情形</w:t>
      </w:r>
    </w:p>
    <w:p w14:paraId="47256E68">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投标人的投标文件中存在对招标文件的任何实质性要求和条件的负偏离，将被视为投标无效。</w:t>
      </w:r>
    </w:p>
    <w:p w14:paraId="635312D5">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2.1在报价评审时，如发现下列情形之一的，将被视为投标无效：</w:t>
      </w:r>
    </w:p>
    <w:p w14:paraId="150CC7E6">
      <w:pPr>
        <w:pStyle w:val="10"/>
        <w:numPr>
          <w:ilvl w:val="0"/>
          <w:numId w:val="9"/>
        </w:numPr>
        <w:spacing w:line="360" w:lineRule="auto"/>
        <w:ind w:firstLine="458" w:firstLineChars="200"/>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t>报价文件未提供“投标人须知前附表”第13.1条规定中“必须提供”的文件资料的；</w:t>
      </w:r>
    </w:p>
    <w:p w14:paraId="354FC2F4">
      <w:pPr>
        <w:pStyle w:val="10"/>
        <w:numPr>
          <w:ilvl w:val="0"/>
          <w:numId w:val="9"/>
        </w:num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未采用人民币报价或者未按照招标文件标明的币种报价的；</w:t>
      </w:r>
    </w:p>
    <w:p w14:paraId="30835AC8">
      <w:pPr>
        <w:pStyle w:val="10"/>
        <w:numPr>
          <w:ilvl w:val="0"/>
          <w:numId w:val="9"/>
        </w:numPr>
        <w:spacing w:line="360" w:lineRule="auto"/>
        <w:ind w:left="-2" w:firstLine="422"/>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t>报价超出招标文件规定最高限价，或者超出采购预算金额的；</w:t>
      </w:r>
    </w:p>
    <w:p w14:paraId="1C5D1167">
      <w:pPr>
        <w:pStyle w:val="10"/>
        <w:numPr>
          <w:ilvl w:val="0"/>
          <w:numId w:val="9"/>
        </w:num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06108E5B">
      <w:pPr>
        <w:pStyle w:val="10"/>
        <w:numPr>
          <w:ilvl w:val="0"/>
          <w:numId w:val="9"/>
        </w:num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49E89439">
      <w:pPr>
        <w:pStyle w:val="10"/>
        <w:numPr>
          <w:ilvl w:val="0"/>
          <w:numId w:val="9"/>
        </w:num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9668884">
      <w:pPr>
        <w:pStyle w:val="10"/>
        <w:numPr>
          <w:ilvl w:val="0"/>
          <w:numId w:val="9"/>
        </w:numPr>
        <w:spacing w:line="360" w:lineRule="auto"/>
        <w:ind w:firstLine="458" w:firstLineChars="200"/>
        <w:rPr>
          <w:rFonts w:hint="eastAsia"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04075476">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2.2在商务评审时，如发现下列情形之一的，将被视为投标无效：</w:t>
      </w:r>
    </w:p>
    <w:p w14:paraId="682D1B33">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投标文件未按招标文件要求签署、盖章的；</w:t>
      </w:r>
    </w:p>
    <w:p w14:paraId="5E6C8392">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委托代理人未能出具有效身份证或者出具的身份证与授权委托书中的信息不符的； </w:t>
      </w:r>
    </w:p>
    <w:p w14:paraId="2B4A75BB">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为无效投标保证金的或者未按照招标文件的规定提交投标保证金的；</w:t>
      </w:r>
    </w:p>
    <w:p w14:paraId="2CBB8D21">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投标文件未提供“投标人须知前附表”第13.1条规定中“必须提供”或者“委托时必须提供”的文件资料的；</w:t>
      </w:r>
    </w:p>
    <w:p w14:paraId="56337347">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商务要求评审允许负偏离的条款数超过“投标人须知前附表”规定项数的；</w:t>
      </w:r>
    </w:p>
    <w:p w14:paraId="39442E56">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投标文件的实质性内容未使用中文表述、使用计量单位不符合招标文件要求的；</w:t>
      </w:r>
    </w:p>
    <w:p w14:paraId="62F3AB8E">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投标文件中的文件资料因填写不齐全或者内容虚假或者出现其他情形而导致被评标委员会认定无效的；</w:t>
      </w:r>
    </w:p>
    <w:p w14:paraId="77091BB7">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投标文件含有采购人不能接受的附加条件的；</w:t>
      </w:r>
    </w:p>
    <w:p w14:paraId="6A75F64F">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属于投标人须知正文第9.2条情形的；</w:t>
      </w:r>
    </w:p>
    <w:p w14:paraId="368813BC">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投标文件标注的项目名称或者项目编号与招标文件标注的项目名称或者项目编号不一致的；</w:t>
      </w:r>
    </w:p>
    <w:p w14:paraId="6EF7842B">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招标文件明确不允许分包，投标文件拟分包的；</w:t>
      </w:r>
    </w:p>
    <w:p w14:paraId="270978AF">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未响应招标文件实质性要求的；</w:t>
      </w:r>
    </w:p>
    <w:p w14:paraId="1C286196">
      <w:pPr>
        <w:numPr>
          <w:ilvl w:val="0"/>
          <w:numId w:val="10"/>
        </w:num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法律、法规和招标文件规定的其他无效情形。</w:t>
      </w:r>
    </w:p>
    <w:p w14:paraId="67FF9BD3">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2.3在技术评审时，如发现下列情形之一的，将被视为投标无效：</w:t>
      </w:r>
    </w:p>
    <w:p w14:paraId="1B3FF910">
      <w:pPr>
        <w:pStyle w:val="19"/>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15A51578">
      <w:pPr>
        <w:pStyle w:val="19"/>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2C47387B">
      <w:pPr>
        <w:pStyle w:val="19"/>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774CD3B5">
      <w:pPr>
        <w:pStyle w:val="19"/>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23"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23"/>
    </w:p>
    <w:p w14:paraId="64223068">
      <w:pPr>
        <w:pStyle w:val="19"/>
        <w:snapToGrid w:val="0"/>
        <w:spacing w:line="360" w:lineRule="auto"/>
        <w:ind w:firstLine="472" w:firstLineChars="196"/>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753224FC">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3.澄清补正</w:t>
      </w:r>
    </w:p>
    <w:p w14:paraId="69E68913">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28B86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14CC3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未按评标委员会的要求作出明确澄清、说明或者更正的投标人的投标文件将按照有利于采购人的原则由评标委员会进行判定。</w:t>
      </w:r>
    </w:p>
    <w:p w14:paraId="2CB395C4">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4.投标文件修正</w:t>
      </w:r>
    </w:p>
    <w:p w14:paraId="18F22D29">
      <w:pPr>
        <w:pStyle w:val="7"/>
        <w:keepNext w:val="0"/>
        <w:keepLines w:val="0"/>
        <w:spacing w:before="0" w:after="0" w:line="360" w:lineRule="auto"/>
        <w:ind w:left="420" w:left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4.1投标文件报价出现前后不一致的，按照下列规定修正： </w:t>
      </w:r>
    </w:p>
    <w:p w14:paraId="7A686782">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61BF0F7C">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599657C1">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0EF505C1">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4CD2E6B2">
      <w:pPr>
        <w:pStyle w:val="2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7187B7C6">
      <w:pPr>
        <w:pStyle w:val="7"/>
        <w:keepNext w:val="0"/>
        <w:keepLines w:val="0"/>
        <w:spacing w:before="0" w:after="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4.2经投标人确认修正后的报价若超过采购预算金额或者最高限价，</w:t>
      </w:r>
      <w:r>
        <w:rPr>
          <w:rFonts w:hint="eastAsia" w:ascii="宋体" w:hAnsi="宋体" w:cs="宋体"/>
          <w:color w:val="auto"/>
          <w:sz w:val="24"/>
          <w:szCs w:val="24"/>
          <w:highlight w:val="none"/>
        </w:rPr>
        <w:t>投标人的投标文件作无效投标处理</w:t>
      </w:r>
      <w:r>
        <w:rPr>
          <w:rFonts w:hint="eastAsia" w:ascii="宋体" w:hAnsi="宋体" w:cs="宋体"/>
          <w:b w:val="0"/>
          <w:color w:val="auto"/>
          <w:sz w:val="24"/>
          <w:szCs w:val="24"/>
          <w:highlight w:val="none"/>
        </w:rPr>
        <w:t>。</w:t>
      </w:r>
    </w:p>
    <w:p w14:paraId="3595262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4.3经投标人确认修正后的报价作为签订合同的依据，并以此报价计算价格分。</w:t>
      </w:r>
    </w:p>
    <w:p w14:paraId="031A9689">
      <w:pPr>
        <w:pStyle w:val="7"/>
        <w:keepNext w:val="0"/>
        <w:keepLines w:val="0"/>
        <w:spacing w:before="0" w:after="0" w:line="360" w:lineRule="auto"/>
        <w:ind w:left="42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5.比较与评价</w:t>
      </w:r>
    </w:p>
    <w:p w14:paraId="10B59764">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5.1采用综合评分法的</w:t>
      </w:r>
    </w:p>
    <w:p w14:paraId="7256F10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（1）评标委员会按照招标文件中规定的评标方法及评标标准，对符合性审查合格的投标文件进行商务和技术评估，综合比较与评价。</w:t>
      </w:r>
    </w:p>
    <w:p w14:paraId="09B08A9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（2）评标委员会独立对每个投标人的投标文件进行评价，并汇总每个投标人的得分。</w:t>
      </w:r>
    </w:p>
    <w:p w14:paraId="19D0CC0C">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szCs w:val="24"/>
          <w:highlight w:val="none"/>
        </w:rPr>
        <w:t>投标人不能证明其报价合理性的，评标委员会将其作为无效投标处理。</w:t>
      </w:r>
    </w:p>
    <w:p w14:paraId="79A9EC6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（3）评标委员会按照招标文件中规定的评标方法和标准计算各投标人的报价得分。在计算过程中，不得去掉最高报价或者最低报价。</w:t>
      </w:r>
    </w:p>
    <w:p w14:paraId="2F47A1D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（4）各投标人的得分为所有评委的有效评分的算术平均数。</w:t>
      </w:r>
    </w:p>
    <w:p w14:paraId="36CB1CF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（5）评标委员会按照招标文件中的规定推荐中标候选人。</w:t>
      </w:r>
    </w:p>
    <w:p w14:paraId="05C70C6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4FCAE1">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5.2采用最低评标</w:t>
      </w:r>
      <w:r>
        <w:rPr>
          <w:rFonts w:hint="eastAsia" w:ascii="宋体" w:hAnsi="宋体" w:cs="宋体"/>
          <w:b/>
          <w:bCs/>
          <w:color w:val="auto"/>
          <w:sz w:val="24"/>
          <w:szCs w:val="24"/>
          <w:highlight w:val="none"/>
          <w:lang w:eastAsia="zh-CN"/>
        </w:rPr>
        <w:t>价</w:t>
      </w:r>
      <w:r>
        <w:rPr>
          <w:rFonts w:hint="eastAsia" w:ascii="宋体" w:hAnsi="宋体" w:cs="宋体"/>
          <w:b/>
          <w:bCs/>
          <w:color w:val="auto"/>
          <w:sz w:val="24"/>
          <w:szCs w:val="24"/>
          <w:highlight w:val="none"/>
        </w:rPr>
        <w:t>法的</w:t>
      </w:r>
    </w:p>
    <w:p w14:paraId="79EC202C">
      <w:pPr>
        <w:snapToGrid w:val="0"/>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（1）评标委员会按照招标文件中规定的评标方法及评标标准，对符合性审查合格的投标文件报价进行比较。</w:t>
      </w:r>
    </w:p>
    <w:p w14:paraId="22F7283A">
      <w:pPr>
        <w:snapToGrid w:val="0"/>
        <w:spacing w:line="360" w:lineRule="auto"/>
        <w:ind w:firstLine="484" w:firstLineChars="202"/>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szCs w:val="24"/>
          <w:highlight w:val="none"/>
        </w:rPr>
        <w:t>投标人不能证明其报价合理性的，评标委员会将其作为无效投标处理。</w:t>
      </w:r>
    </w:p>
    <w:p w14:paraId="34737F83">
      <w:pPr>
        <w:snapToGrid w:val="0"/>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（3）评标委员会按照招标文件中的规定推荐中标候选人。</w:t>
      </w:r>
    </w:p>
    <w:p w14:paraId="6AC1804F">
      <w:pPr>
        <w:snapToGrid w:val="0"/>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E741661">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异常低价响应审查</w:t>
      </w:r>
    </w:p>
    <w:p w14:paraId="7474FEF2">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在评审中发现下列情形之一的，应当启动异常低价响应审查程序：</w:t>
      </w:r>
    </w:p>
    <w:p w14:paraId="40B02E61">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①响应报价低于全部通过符合性审查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响应报价平均值</w:t>
      </w:r>
      <w:r>
        <w:rPr>
          <w:rFonts w:hint="eastAsia" w:ascii="宋体" w:hAnsi="宋体" w:cs="宋体"/>
          <w:b/>
          <w:bCs/>
          <w:color w:val="auto"/>
          <w:sz w:val="24"/>
          <w:szCs w:val="24"/>
          <w:highlight w:val="none"/>
          <w:lang w:val="en-US" w:eastAsia="zh-CN"/>
        </w:rPr>
        <w:t>65%</w:t>
      </w:r>
      <w:r>
        <w:rPr>
          <w:rFonts w:hint="eastAsia" w:ascii="宋体" w:hAnsi="宋体" w:cs="宋体"/>
          <w:color w:val="auto"/>
          <w:sz w:val="24"/>
          <w:szCs w:val="24"/>
          <w:highlight w:val="none"/>
        </w:rPr>
        <w:t>的，即响应报价＜全部通过符合性审查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响应报价平均值×</w:t>
      </w:r>
      <w:r>
        <w:rPr>
          <w:rFonts w:hint="eastAsia" w:ascii="宋体" w:hAnsi="宋体" w:cs="宋体"/>
          <w:b/>
          <w:bCs/>
          <w:color w:val="auto"/>
          <w:sz w:val="24"/>
          <w:szCs w:val="24"/>
          <w:highlight w:val="none"/>
          <w:lang w:val="en-US" w:eastAsia="zh-CN"/>
        </w:rPr>
        <w:t>65%</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（范围为50%-65%）</w:t>
      </w:r>
    </w:p>
    <w:p w14:paraId="04522EDA">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②响应报价低于通过符合性审查的次低报价</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响应报价</w:t>
      </w:r>
      <w:r>
        <w:rPr>
          <w:rFonts w:hint="eastAsia" w:ascii="宋体" w:hAnsi="宋体" w:cs="宋体"/>
          <w:b/>
          <w:bCs/>
          <w:color w:val="auto"/>
          <w:sz w:val="24"/>
          <w:szCs w:val="24"/>
          <w:highlight w:val="none"/>
          <w:lang w:val="en-US" w:eastAsia="zh-CN"/>
        </w:rPr>
        <w:t>65%</w:t>
      </w:r>
      <w:r>
        <w:rPr>
          <w:rFonts w:hint="eastAsia" w:ascii="宋体" w:hAnsi="宋体" w:cs="宋体"/>
          <w:color w:val="auto"/>
          <w:sz w:val="24"/>
          <w:szCs w:val="24"/>
          <w:highlight w:val="none"/>
        </w:rPr>
        <w:t>的，即响应报价＜通过符合性审查的次低报价</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响应报价×</w:t>
      </w:r>
      <w:r>
        <w:rPr>
          <w:rFonts w:hint="eastAsia" w:ascii="宋体" w:hAnsi="宋体" w:cs="宋体"/>
          <w:b/>
          <w:bCs/>
          <w:color w:val="auto"/>
          <w:sz w:val="24"/>
          <w:szCs w:val="24"/>
          <w:highlight w:val="none"/>
          <w:lang w:val="en-US" w:eastAsia="zh-CN"/>
        </w:rPr>
        <w:t>65%</w:t>
      </w:r>
      <w:r>
        <w:rPr>
          <w:rFonts w:hint="eastAsia" w:ascii="宋体" w:hAnsi="宋体" w:cs="宋体"/>
          <w:color w:val="auto"/>
          <w:sz w:val="24"/>
          <w:szCs w:val="24"/>
          <w:highlight w:val="none"/>
        </w:rPr>
        <w:t>；（范围为50%-65%）</w:t>
      </w:r>
    </w:p>
    <w:p w14:paraId="419E24FB">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③响应报价低于采购项目最高限价</w:t>
      </w:r>
      <w:r>
        <w:rPr>
          <w:rFonts w:hint="eastAsia" w:ascii="宋体" w:hAnsi="宋体" w:cs="宋体"/>
          <w:b/>
          <w:bCs/>
          <w:color w:val="auto"/>
          <w:sz w:val="24"/>
          <w:szCs w:val="24"/>
          <w:highlight w:val="none"/>
          <w:lang w:val="en-US" w:eastAsia="zh-CN"/>
        </w:rPr>
        <w:t>65%</w:t>
      </w:r>
      <w:r>
        <w:rPr>
          <w:rFonts w:hint="eastAsia" w:ascii="宋体" w:hAnsi="宋体" w:cs="宋体"/>
          <w:color w:val="auto"/>
          <w:sz w:val="24"/>
          <w:szCs w:val="24"/>
          <w:highlight w:val="none"/>
        </w:rPr>
        <w:t>的，即响应报价＜采购项目最高限价×</w:t>
      </w:r>
      <w:r>
        <w:rPr>
          <w:rFonts w:hint="eastAsia" w:ascii="宋体" w:hAnsi="宋体" w:cs="宋体"/>
          <w:b/>
          <w:bCs/>
          <w:color w:val="auto"/>
          <w:sz w:val="24"/>
          <w:szCs w:val="24"/>
          <w:highlight w:val="none"/>
          <w:lang w:val="en-US" w:eastAsia="zh-CN"/>
        </w:rPr>
        <w:t>65%</w:t>
      </w:r>
      <w:r>
        <w:rPr>
          <w:rFonts w:hint="eastAsia" w:ascii="宋体" w:hAnsi="宋体" w:cs="宋体"/>
          <w:color w:val="auto"/>
          <w:sz w:val="24"/>
          <w:szCs w:val="24"/>
          <w:highlight w:val="none"/>
        </w:rPr>
        <w:t>；（范围为45%-65%）</w:t>
      </w:r>
    </w:p>
    <w:p w14:paraId="7ABCBB10">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④</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基于专业判断，认为</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报价过低，有可能影响产品质量或者不能诚信履约的其他情形。</w:t>
      </w:r>
    </w:p>
    <w:p w14:paraId="5E95A343">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启动异常低价响应审查后，属于前述</w:t>
      </w:r>
      <w:r>
        <w:rPr>
          <w:rFonts w:hint="eastAsia" w:ascii="宋体" w:hAnsi="宋体" w:cs="宋体"/>
          <w:color w:val="auto"/>
          <w:sz w:val="24"/>
          <w:szCs w:val="24"/>
          <w:highlight w:val="none"/>
          <w:u w:val="single"/>
        </w:rPr>
        <w:t>第1项至第4项</w:t>
      </w:r>
      <w:r>
        <w:rPr>
          <w:rFonts w:hint="eastAsia" w:ascii="宋体" w:hAnsi="宋体" w:cs="宋体"/>
          <w:color w:val="auto"/>
          <w:sz w:val="24"/>
          <w:szCs w:val="24"/>
          <w:highlight w:val="none"/>
        </w:rPr>
        <w:t>情形的，应当要求相关</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在评审现场合理的时间内对响应价格作出解释，提供项目具体成本测算等与报价合理性相关的书面说明及必要的证明材料，包括但不限于原材料成本、人工成本、制造费用等，给予相关</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的合理时间一般不少于30分钟。其中，属于第③项情形，</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已随响应文件一并提交相关书面说明及必要的证明材料的，可不再重复提交。</w:t>
      </w:r>
    </w:p>
    <w:p w14:paraId="0C61E4E3">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hAnsi="宋体" w:cs="宋体"/>
          <w:color w:val="auto"/>
          <w:sz w:val="24"/>
          <w:szCs w:val="24"/>
          <w:highlight w:val="none"/>
        </w:rPr>
        <w:t>评标委员会</w:t>
      </w:r>
      <w:r>
        <w:rPr>
          <w:rFonts w:hint="eastAsia" w:ascii="宋体" w:hAnsi="宋体" w:cs="宋体"/>
          <w:color w:val="auto"/>
          <w:sz w:val="24"/>
          <w:szCs w:val="24"/>
          <w:highlight w:val="none"/>
        </w:rPr>
        <w:t>依据专业经验，参考同类项目中标（成交）价格、类似产品市场价格水平、行业人工费用标准、国家有关部门指导行业协会发布的行业平均成本等情况，对报价合理性进行判断。相关</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不能提供书面说明、证明材料，或者提供的书面说明、证明材料不能证明其报价合理性的，</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应当将其作为无效响应处理。</w:t>
      </w:r>
    </w:p>
    <w:p w14:paraId="22960E5E">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采购人、采购代理机构应当为</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借助互联网等渠道查询相关信息的，应当严格遵守评审工作纪律，不得实施影响评审公正的行为。</w:t>
      </w:r>
    </w:p>
    <w:p w14:paraId="52BEEC06">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异常低价响应审查的启动原因、审查意见和审查结果应当在评审报告中记录，并随</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提供的相关书面说明及证明材料，以及</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有关互联网浏览、查询历史一并归档。</w:t>
      </w:r>
    </w:p>
    <w:p w14:paraId="2FE5267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由</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根据综合评分情况，按照评审得分由高到低顺序推荐3名以上成交候选</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，并编写评审报告。</w:t>
      </w:r>
    </w:p>
    <w:p w14:paraId="118A94E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评审报告应当由</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全体人员签字认可。</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成员对评审报告有异议的，</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按照少数服从多数的原则推荐成交候选</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，采购程序继续进行。对评审报告有异议的</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成员，应当在报告上签署不同意见并说明理由，由</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书面记录相关情况。</w:t>
      </w:r>
      <w:r>
        <w:rPr>
          <w:rFonts w:hint="eastAsia" w:hAnsi="宋体" w:cs="宋体"/>
          <w:color w:val="auto"/>
          <w:sz w:val="24"/>
          <w:szCs w:val="24"/>
          <w:highlight w:val="none"/>
        </w:rPr>
        <w:t>评标委员会</w:t>
      </w:r>
      <w:r>
        <w:rPr>
          <w:rFonts w:hint="eastAsia" w:ascii="宋体" w:hAnsi="宋体" w:cs="宋体"/>
          <w:color w:val="auto"/>
          <w:sz w:val="24"/>
          <w:szCs w:val="24"/>
          <w:highlight w:val="none"/>
        </w:rPr>
        <w:t>成员拒绝在报告上签字又不书面说明其不同意见和理由的，视为同意评审报告</w:t>
      </w:r>
      <w:r>
        <w:rPr>
          <w:rFonts w:hint="eastAsia" w:ascii="宋体" w:hAnsi="宋体"/>
          <w:color w:val="auto"/>
          <w:sz w:val="24"/>
          <w:szCs w:val="24"/>
          <w:highlight w:val="none"/>
        </w:rPr>
        <w:t>。</w:t>
      </w:r>
    </w:p>
    <w:p w14:paraId="76A77AB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2" w:firstLineChars="200"/>
        <w:textAlignment w:val="auto"/>
        <w:rPr>
          <w:rFonts w:hint="eastAsia" w:hAnsi="宋体" w:cs="宋体"/>
          <w:b/>
          <w:bCs/>
          <w:color w:val="auto"/>
          <w:sz w:val="24"/>
          <w:szCs w:val="24"/>
          <w:highlight w:val="none"/>
        </w:rPr>
      </w:pPr>
      <w:r>
        <w:rPr>
          <w:rFonts w:hint="eastAsia" w:ascii="宋体" w:hAnsi="宋体" w:cs="宋体"/>
          <w:b/>
          <w:bCs/>
          <w:color w:val="auto"/>
          <w:kern w:val="0"/>
          <w:sz w:val="24"/>
          <w:szCs w:val="24"/>
          <w:highlight w:val="none"/>
          <w:lang w:val="en-US" w:eastAsia="zh-CN" w:bidi="ar-SA"/>
        </w:rPr>
        <w:t>二、</w:t>
      </w:r>
      <w:r>
        <w:rPr>
          <w:rFonts w:hint="eastAsia" w:hAnsi="宋体" w:cs="宋体"/>
          <w:b/>
          <w:bCs/>
          <w:color w:val="auto"/>
          <w:sz w:val="24"/>
          <w:szCs w:val="24"/>
          <w:highlight w:val="none"/>
        </w:rPr>
        <w:t>评标标准</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369"/>
        <w:gridCol w:w="7625"/>
      </w:tblGrid>
      <w:tr w14:paraId="5216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noWrap w:val="0"/>
            <w:vAlign w:val="center"/>
          </w:tcPr>
          <w:p w14:paraId="05FD282E">
            <w:pPr>
              <w:adjustRightInd w:val="0"/>
              <w:spacing w:line="240" w:lineRule="auto"/>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694" w:type="pct"/>
            <w:noWrap w:val="0"/>
            <w:vAlign w:val="center"/>
          </w:tcPr>
          <w:p w14:paraId="0A843E26">
            <w:pPr>
              <w:adjustRightInd w:val="0"/>
              <w:spacing w:line="240" w:lineRule="auto"/>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3868" w:type="pct"/>
            <w:noWrap w:val="0"/>
            <w:vAlign w:val="center"/>
          </w:tcPr>
          <w:p w14:paraId="20474DB6">
            <w:pPr>
              <w:adjustRightInd w:val="0"/>
              <w:spacing w:line="240" w:lineRule="auto"/>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评标标准</w:t>
            </w:r>
          </w:p>
        </w:tc>
      </w:tr>
      <w:tr w14:paraId="0619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noWrap w:val="0"/>
            <w:vAlign w:val="center"/>
          </w:tcPr>
          <w:p w14:paraId="4BC022E3">
            <w:pPr>
              <w:adjustRightInd w:val="0"/>
              <w:spacing w:line="240" w:lineRule="auto"/>
              <w:jc w:val="center"/>
              <w:textAlignment w:val="baseline"/>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p>
        </w:tc>
        <w:tc>
          <w:tcPr>
            <w:tcW w:w="694" w:type="pct"/>
            <w:noWrap w:val="0"/>
            <w:vAlign w:val="center"/>
          </w:tcPr>
          <w:p w14:paraId="073584E1">
            <w:pPr>
              <w:adjustRightInd w:val="0"/>
              <w:spacing w:line="240" w:lineRule="auto"/>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价格分</w:t>
            </w:r>
          </w:p>
          <w:p w14:paraId="70FC1E1B">
            <w:pPr>
              <w:adjustRightInd w:val="0"/>
              <w:spacing w:line="240" w:lineRule="auto"/>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（满分</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rPr>
              <w:t>分）</w:t>
            </w:r>
          </w:p>
        </w:tc>
        <w:tc>
          <w:tcPr>
            <w:tcW w:w="3868" w:type="pct"/>
            <w:noWrap w:val="0"/>
            <w:vAlign w:val="center"/>
          </w:tcPr>
          <w:p w14:paraId="738DD5B8">
            <w:pPr>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（1）评标报价为投标人的</w:t>
            </w:r>
            <w:r>
              <w:rPr>
                <w:rFonts w:hint="eastAsia" w:ascii="宋体" w:hAnsi="宋体" w:cs="宋体"/>
                <w:color w:val="auto"/>
                <w:sz w:val="24"/>
                <w:szCs w:val="24"/>
                <w:highlight w:val="none"/>
              </w:rPr>
              <w:t>投标报价</w:t>
            </w:r>
            <w:r>
              <w:rPr>
                <w:rFonts w:hint="eastAsia" w:ascii="宋体" w:hAnsi="宋体"/>
                <w:bCs/>
                <w:color w:val="auto"/>
                <w:sz w:val="24"/>
                <w:szCs w:val="24"/>
                <w:highlight w:val="none"/>
              </w:rPr>
              <w:t>进行政策性扣除后的价格，评标报价只是作为评标时使用。最终</w:t>
            </w:r>
            <w:r>
              <w:rPr>
                <w:rFonts w:hint="eastAsia" w:ascii="宋体" w:hAnsi="宋体"/>
                <w:bCs/>
                <w:color w:val="auto"/>
                <w:sz w:val="24"/>
                <w:szCs w:val="24"/>
                <w:highlight w:val="none"/>
                <w:lang w:eastAsia="zh-CN"/>
              </w:rPr>
              <w:t>中标投标人</w:t>
            </w:r>
            <w:r>
              <w:rPr>
                <w:rFonts w:hint="eastAsia" w:ascii="宋体" w:hAnsi="宋体"/>
                <w:bCs/>
                <w:color w:val="auto"/>
                <w:sz w:val="24"/>
                <w:szCs w:val="24"/>
                <w:highlight w:val="none"/>
              </w:rPr>
              <w:t>的中标</w:t>
            </w:r>
            <w:r>
              <w:rPr>
                <w:rFonts w:hint="eastAsia" w:ascii="宋体" w:hAnsi="宋体"/>
                <w:bCs/>
                <w:color w:val="auto"/>
                <w:sz w:val="24"/>
                <w:szCs w:val="24"/>
                <w:highlight w:val="none"/>
                <w:lang w:eastAsia="zh-CN"/>
              </w:rPr>
              <w:t>价</w:t>
            </w:r>
            <w:r>
              <w:rPr>
                <w:rFonts w:hint="eastAsia" w:ascii="宋体" w:hAnsi="宋体"/>
                <w:bCs/>
                <w:color w:val="auto"/>
                <w:sz w:val="24"/>
                <w:szCs w:val="24"/>
                <w:highlight w:val="none"/>
              </w:rPr>
              <w:t>等于投标</w:t>
            </w:r>
            <w:r>
              <w:rPr>
                <w:rFonts w:hint="eastAsia" w:ascii="宋体" w:hAnsi="宋体" w:cs="宋体"/>
                <w:color w:val="auto"/>
                <w:sz w:val="24"/>
                <w:szCs w:val="24"/>
                <w:highlight w:val="none"/>
                <w:lang w:eastAsia="zh-CN"/>
              </w:rPr>
              <w:t>价</w:t>
            </w:r>
            <w:r>
              <w:rPr>
                <w:rFonts w:hint="eastAsia" w:ascii="宋体" w:hAnsi="宋体"/>
                <w:bCs/>
                <w:color w:val="auto"/>
                <w:sz w:val="24"/>
                <w:szCs w:val="24"/>
                <w:highlight w:val="none"/>
              </w:rPr>
              <w:t>。</w:t>
            </w:r>
          </w:p>
          <w:p w14:paraId="09E4E015">
            <w:pPr>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2</w:t>
            </w:r>
            <w:r>
              <w:rPr>
                <w:rFonts w:hint="eastAsia" w:ascii="宋体" w:hAnsi="宋体"/>
                <w:bCs/>
                <w:color w:val="auto"/>
                <w:sz w:val="24"/>
                <w:szCs w:val="24"/>
                <w:highlight w:val="none"/>
              </w:rPr>
              <w:t>）政策性扣除计算方法。</w:t>
            </w:r>
          </w:p>
          <w:p w14:paraId="251A6658">
            <w:pPr>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ascii="宋体" w:hAnsi="宋体"/>
                <w:bCs/>
                <w:color w:val="auto"/>
                <w:sz w:val="24"/>
                <w:szCs w:val="24"/>
                <w:highlight w:val="none"/>
              </w:rPr>
            </w:pPr>
            <w:r>
              <w:rPr>
                <w:rFonts w:hint="eastAsia" w:ascii="宋体" w:hAnsi="宋体" w:cs="宋体"/>
                <w:bCs/>
                <w:color w:val="auto"/>
                <w:sz w:val="24"/>
                <w:szCs w:val="24"/>
                <w:highlight w:val="none"/>
              </w:rPr>
              <w:t>本项目为专门面向中小企业项目，小微企业、监狱企业、残疾人福利性单位不再执行价格评审优惠的扶持政策</w:t>
            </w:r>
            <w:r>
              <w:rPr>
                <w:rFonts w:hint="eastAsia" w:ascii="宋体" w:hAnsi="宋体" w:cs="宋体"/>
                <w:bCs/>
                <w:color w:val="auto"/>
                <w:sz w:val="24"/>
                <w:szCs w:val="24"/>
                <w:highlight w:val="none"/>
                <w:lang w:eastAsia="zh-CN"/>
              </w:rPr>
              <w:t>，评标报价等于投标价</w:t>
            </w:r>
            <w:r>
              <w:rPr>
                <w:rFonts w:hint="eastAsia" w:ascii="宋体" w:hAnsi="宋体" w:cs="宋体"/>
                <w:color w:val="auto"/>
                <w:sz w:val="24"/>
                <w:szCs w:val="24"/>
                <w:highlight w:val="none"/>
              </w:rPr>
              <w:t>。</w:t>
            </w:r>
          </w:p>
          <w:p w14:paraId="545AB258">
            <w:pPr>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（3）满足招标文件要求且评标报价最低的评标报价为评标基准价，其价格分为满分。</w:t>
            </w:r>
          </w:p>
          <w:p w14:paraId="13789CE2">
            <w:pPr>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 xml:space="preserve">（4）价格分计算公式：        </w:t>
            </w:r>
          </w:p>
          <w:p w14:paraId="5DC0CC03">
            <w:pPr>
              <w:pStyle w:val="24"/>
              <w:keepNext w:val="0"/>
              <w:keepLines w:val="0"/>
              <w:pageBreakBefore w:val="0"/>
              <w:widowControl w:val="0"/>
              <w:kinsoku/>
              <w:wordWrap/>
              <w:overflowPunct/>
              <w:topLinePunct w:val="0"/>
              <w:autoSpaceDE/>
              <w:autoSpaceDN/>
              <w:bidi w:val="0"/>
              <w:snapToGrid/>
              <w:spacing w:line="240" w:lineRule="auto"/>
              <w:ind w:firstLine="266" w:firstLineChars="111"/>
              <w:textAlignment w:val="auto"/>
              <w:rPr>
                <w:rFonts w:hint="eastAsia" w:hAnsi="宋体" w:cs="宋体"/>
                <w:color w:val="auto"/>
                <w:sz w:val="24"/>
                <w:szCs w:val="24"/>
                <w:highlight w:val="none"/>
                <w:lang w:val="en-US" w:eastAsia="zh-CN"/>
              </w:rPr>
            </w:pPr>
            <w:r>
              <w:rPr>
                <w:rFonts w:hint="eastAsia" w:hAnsi="宋体"/>
                <w:bCs/>
                <w:color w:val="auto"/>
                <w:sz w:val="24"/>
                <w:szCs w:val="24"/>
                <w:highlight w:val="none"/>
                <w:lang w:val="en-US" w:eastAsia="zh-CN"/>
              </w:rPr>
              <w:t>价格分</w:t>
            </w:r>
            <w:r>
              <w:rPr>
                <w:rFonts w:hint="eastAsia" w:hAnsi="宋体" w:cs="Courier New"/>
                <w:bCs/>
                <w:color w:val="auto"/>
                <w:kern w:val="2"/>
                <w:sz w:val="24"/>
                <w:szCs w:val="24"/>
                <w:highlight w:val="none"/>
                <w:lang w:val="en-US" w:eastAsia="zh-CN"/>
              </w:rPr>
              <w:t>=（评标基准价／评标报价）×</w:t>
            </w:r>
            <w:r>
              <w:rPr>
                <w:rFonts w:hint="eastAsia" w:hAnsi="宋体"/>
                <w:bCs/>
                <w:color w:val="auto"/>
                <w:sz w:val="24"/>
                <w:szCs w:val="24"/>
                <w:highlight w:val="none"/>
                <w:u w:val="single"/>
                <w:lang w:val="en-US" w:eastAsia="zh-CN"/>
              </w:rPr>
              <w:t>20</w:t>
            </w:r>
            <w:r>
              <w:rPr>
                <w:rFonts w:hint="eastAsia" w:hAnsi="宋体" w:cs="宋体"/>
                <w:bCs/>
                <w:color w:val="auto"/>
                <w:kern w:val="2"/>
                <w:sz w:val="24"/>
                <w:szCs w:val="24"/>
                <w:highlight w:val="none"/>
                <w:lang w:val="en-US" w:eastAsia="zh-CN"/>
              </w:rPr>
              <w:t>分</w:t>
            </w:r>
          </w:p>
          <w:p w14:paraId="0EBEA26D">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bCs/>
                <w:color w:val="auto"/>
                <w:sz w:val="24"/>
                <w:szCs w:val="24"/>
                <w:highlight w:val="none"/>
              </w:rPr>
              <w:t>投标人不能证明其报价合理性的，评标委员会将其作为无效投标处理。</w:t>
            </w:r>
          </w:p>
        </w:tc>
      </w:tr>
      <w:tr w14:paraId="4967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noWrap w:val="0"/>
            <w:vAlign w:val="center"/>
          </w:tcPr>
          <w:p w14:paraId="6979A6F6">
            <w:pPr>
              <w:adjustRightInd w:val="0"/>
              <w:snapToGrid w:val="0"/>
              <w:spacing w:line="240" w:lineRule="auto"/>
              <w:ind w:left="-105" w:leftChars="-50" w:right="-105" w:rightChars="-50"/>
              <w:jc w:val="center"/>
              <w:textAlignment w:val="baseline"/>
              <w:rPr>
                <w:rFonts w:hint="eastAsia" w:ascii="宋体" w:hAnsi="宋体" w:cs="宋体"/>
                <w:b/>
                <w:color w:val="auto"/>
                <w:spacing w:val="-18"/>
                <w:sz w:val="24"/>
                <w:szCs w:val="24"/>
                <w:highlight w:val="none"/>
              </w:rPr>
            </w:pPr>
            <w:r>
              <w:rPr>
                <w:rFonts w:hint="eastAsia" w:ascii="宋体" w:hAnsi="宋体" w:cs="宋体"/>
                <w:color w:val="auto"/>
                <w:sz w:val="24"/>
                <w:szCs w:val="24"/>
                <w:highlight w:val="none"/>
              </w:rPr>
              <w:t>2</w:t>
            </w:r>
          </w:p>
        </w:tc>
        <w:tc>
          <w:tcPr>
            <w:tcW w:w="694" w:type="pct"/>
            <w:noWrap w:val="0"/>
            <w:vAlign w:val="center"/>
          </w:tcPr>
          <w:p w14:paraId="4EF7A553">
            <w:pPr>
              <w:adjustRightInd w:val="0"/>
              <w:spacing w:line="240" w:lineRule="auto"/>
              <w:jc w:val="left"/>
              <w:textAlignment w:val="baseline"/>
              <w:rPr>
                <w:rFonts w:hint="eastAsia" w:ascii="宋体" w:hAnsi="宋体" w:cs="宋体"/>
                <w:color w:val="auto"/>
                <w:sz w:val="24"/>
                <w:szCs w:val="24"/>
                <w:highlight w:val="none"/>
                <w:u w:val="single"/>
              </w:rPr>
            </w:pPr>
            <w:r>
              <w:rPr>
                <w:rFonts w:hint="eastAsia" w:ascii="宋体" w:hAnsi="宋体" w:cs="宋体"/>
                <w:b/>
                <w:color w:val="auto"/>
                <w:kern w:val="0"/>
                <w:sz w:val="24"/>
                <w:szCs w:val="24"/>
                <w:highlight w:val="none"/>
              </w:rPr>
              <w:t>技术方案分</w:t>
            </w:r>
            <w:r>
              <w:rPr>
                <w:rFonts w:hint="eastAsia" w:ascii="宋体" w:hAnsi="宋体" w:cs="宋体"/>
                <w:b/>
                <w:color w:val="auto"/>
                <w:sz w:val="24"/>
                <w:szCs w:val="24"/>
                <w:highlight w:val="none"/>
              </w:rPr>
              <w:t>（满分</w:t>
            </w:r>
            <w:r>
              <w:rPr>
                <w:rFonts w:hint="eastAsia" w:ascii="宋体" w:hAnsi="宋体" w:cs="宋体"/>
                <w:b/>
                <w:color w:val="auto"/>
                <w:sz w:val="24"/>
                <w:szCs w:val="24"/>
                <w:highlight w:val="none"/>
                <w:lang w:val="en-US" w:eastAsia="zh-CN"/>
              </w:rPr>
              <w:t>51</w:t>
            </w:r>
            <w:r>
              <w:rPr>
                <w:rFonts w:hint="eastAsia" w:ascii="宋体" w:hAnsi="宋体" w:cs="宋体"/>
                <w:b/>
                <w:color w:val="auto"/>
                <w:sz w:val="24"/>
                <w:szCs w:val="24"/>
                <w:highlight w:val="none"/>
              </w:rPr>
              <w:t>分）</w:t>
            </w:r>
          </w:p>
        </w:tc>
        <w:tc>
          <w:tcPr>
            <w:tcW w:w="3868" w:type="pct"/>
            <w:noWrap w:val="0"/>
            <w:vAlign w:val="center"/>
          </w:tcPr>
          <w:p w14:paraId="0B3C6076">
            <w:pPr>
              <w:pStyle w:val="24"/>
              <w:keepNext w:val="0"/>
              <w:keepLines w:val="0"/>
              <w:pageBreakBefore w:val="0"/>
              <w:widowControl w:val="0"/>
              <w:kinsoku/>
              <w:wordWrap/>
              <w:overflowPunct/>
              <w:topLinePunct w:val="0"/>
              <w:autoSpaceDE/>
              <w:autoSpaceDN/>
              <w:bidi w:val="0"/>
              <w:adjustRightInd w:val="0"/>
              <w:snapToGrid/>
              <w:spacing w:line="240" w:lineRule="auto"/>
              <w:contextualSpacing/>
              <w:textAlignment w:val="auto"/>
              <w:rPr>
                <w:rFonts w:hint="eastAsia" w:hAnsi="宋体" w:cs="宋体"/>
                <w:b/>
                <w:bCs w:val="0"/>
                <w:color w:val="auto"/>
                <w:sz w:val="24"/>
                <w:szCs w:val="24"/>
                <w:highlight w:val="none"/>
              </w:rPr>
            </w:pPr>
            <w:r>
              <w:rPr>
                <w:rFonts w:hint="eastAsia" w:hAnsi="宋体" w:cs="宋体"/>
                <w:b/>
                <w:bCs w:val="0"/>
                <w:color w:val="auto"/>
                <w:sz w:val="24"/>
                <w:szCs w:val="24"/>
                <w:highlight w:val="none"/>
              </w:rPr>
              <w:t>（1）</w:t>
            </w:r>
            <w:r>
              <w:rPr>
                <w:rFonts w:hint="eastAsia" w:hAnsi="宋体" w:cs="宋体"/>
                <w:b/>
                <w:bCs w:val="0"/>
                <w:color w:val="auto"/>
                <w:sz w:val="24"/>
                <w:szCs w:val="24"/>
                <w:highlight w:val="none"/>
                <w:lang w:eastAsia="zh-CN"/>
              </w:rPr>
              <w:t>项目需求分析</w:t>
            </w:r>
            <w:r>
              <w:rPr>
                <w:rFonts w:hint="eastAsia" w:hAnsi="宋体" w:cs="宋体"/>
                <w:b/>
                <w:bCs w:val="0"/>
                <w:color w:val="auto"/>
                <w:sz w:val="24"/>
                <w:szCs w:val="24"/>
                <w:highlight w:val="none"/>
              </w:rPr>
              <w:t xml:space="preserve"> （满分</w:t>
            </w:r>
            <w:r>
              <w:rPr>
                <w:rFonts w:hint="eastAsia" w:hAnsi="宋体" w:cs="宋体"/>
                <w:b/>
                <w:bCs w:val="0"/>
                <w:color w:val="auto"/>
                <w:sz w:val="24"/>
                <w:szCs w:val="24"/>
                <w:highlight w:val="none"/>
                <w:lang w:val="en-US" w:eastAsia="zh-CN"/>
              </w:rPr>
              <w:t>12</w:t>
            </w:r>
            <w:r>
              <w:rPr>
                <w:rFonts w:hint="eastAsia" w:hAnsi="宋体" w:cs="宋体"/>
                <w:b/>
                <w:bCs w:val="0"/>
                <w:color w:val="auto"/>
                <w:sz w:val="24"/>
                <w:szCs w:val="24"/>
                <w:highlight w:val="none"/>
              </w:rPr>
              <w:t>分）</w:t>
            </w:r>
          </w:p>
          <w:p w14:paraId="57B753A6">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一档（3分）：</w:t>
            </w:r>
            <w:r>
              <w:rPr>
                <w:rFonts w:hint="eastAsia" w:hAnsi="宋体" w:cs="宋体"/>
                <w:b w:val="0"/>
                <w:bCs/>
                <w:color w:val="auto"/>
                <w:sz w:val="24"/>
                <w:szCs w:val="24"/>
                <w:highlight w:val="none"/>
                <w:lang w:val="en-US" w:eastAsia="zh-CN"/>
              </w:rPr>
              <w:t>基于对项目的理解不完整，项目需求总体认识概述未结合本项目实际，各主要施工阶段关键技术方法没有论述，无具体规划论述。</w:t>
            </w:r>
          </w:p>
          <w:p w14:paraId="3BAA40DB">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二档（6分）：</w:t>
            </w:r>
            <w:r>
              <w:rPr>
                <w:rFonts w:hint="eastAsia" w:hAnsi="宋体" w:cs="宋体"/>
                <w:b w:val="0"/>
                <w:bCs/>
                <w:color w:val="auto"/>
                <w:sz w:val="24"/>
                <w:szCs w:val="24"/>
                <w:highlight w:val="none"/>
                <w:lang w:val="en-US" w:eastAsia="zh-CN"/>
              </w:rPr>
              <w:t>基于对项目的理解基本完整，项目需求总体认识概述结合本项目实际展开论述，有各主要施工阶段关键技术方法的基本论述，有基本的实现生产障碍耕地治理的规划论述。</w:t>
            </w:r>
          </w:p>
          <w:p w14:paraId="659C3649">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三档（9分）：</w:t>
            </w:r>
            <w:r>
              <w:rPr>
                <w:rFonts w:hint="eastAsia" w:hAnsi="宋体" w:cs="宋体"/>
                <w:b w:val="0"/>
                <w:bCs/>
                <w:color w:val="auto"/>
                <w:sz w:val="24"/>
                <w:szCs w:val="24"/>
                <w:highlight w:val="none"/>
                <w:lang w:val="en-US" w:eastAsia="zh-CN"/>
              </w:rPr>
              <w:t>基于对项目的理解较全面，项目需求总体认识概述结合本项目实际具体论述，有各主要施工阶段关键技术方法的具体论述，有实现生产障碍耕地治理的具体规划论述，项目重难点分析较准确。</w:t>
            </w:r>
          </w:p>
          <w:p w14:paraId="035A8182">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四档（12分）：</w:t>
            </w:r>
            <w:r>
              <w:rPr>
                <w:rFonts w:hint="eastAsia" w:hAnsi="宋体" w:cs="宋体"/>
                <w:b w:val="0"/>
                <w:bCs/>
                <w:color w:val="auto"/>
                <w:sz w:val="24"/>
                <w:szCs w:val="24"/>
                <w:highlight w:val="none"/>
                <w:lang w:val="en-US" w:eastAsia="zh-CN"/>
              </w:rPr>
              <w:t>基于对项目的理解全面、准确，项目需求总体认识概述充分结合本项目实际详细论述，有各主要施工阶段关键技术方法的详细论述，有实现生产障碍耕地治理的具体规划论述，项目重难点分析准确，能提出合理性、有效性与针对性的意见和应对措施的。</w:t>
            </w:r>
          </w:p>
          <w:p w14:paraId="64DA62CF">
            <w:pPr>
              <w:pStyle w:val="24"/>
              <w:keepNext w:val="0"/>
              <w:keepLines w:val="0"/>
              <w:pageBreakBefore w:val="0"/>
              <w:widowControl w:val="0"/>
              <w:kinsoku/>
              <w:wordWrap/>
              <w:overflowPunct/>
              <w:topLinePunct w:val="0"/>
              <w:autoSpaceDE/>
              <w:autoSpaceDN/>
              <w:bidi w:val="0"/>
              <w:adjustRightInd w:val="0"/>
              <w:snapToGrid/>
              <w:spacing w:line="240" w:lineRule="auto"/>
              <w:contextualSpacing/>
              <w:textAlignment w:val="auto"/>
              <w:rPr>
                <w:rFonts w:hint="eastAsia" w:hAnsi="宋体" w:cs="宋体"/>
                <w:b/>
                <w:bCs w:val="0"/>
                <w:color w:val="auto"/>
                <w:sz w:val="24"/>
                <w:szCs w:val="24"/>
                <w:highlight w:val="none"/>
              </w:rPr>
            </w:pPr>
            <w:r>
              <w:rPr>
                <w:rFonts w:hint="eastAsia" w:hAnsi="宋体" w:cs="宋体"/>
                <w:b/>
                <w:bCs w:val="0"/>
                <w:color w:val="auto"/>
                <w:sz w:val="24"/>
                <w:szCs w:val="24"/>
                <w:highlight w:val="none"/>
              </w:rPr>
              <w:t>（2）质量保障措施分（满分</w:t>
            </w:r>
            <w:r>
              <w:rPr>
                <w:rFonts w:hint="eastAsia" w:hAnsi="宋体" w:cs="宋体"/>
                <w:b/>
                <w:bCs w:val="0"/>
                <w:color w:val="auto"/>
                <w:sz w:val="24"/>
                <w:szCs w:val="24"/>
                <w:highlight w:val="none"/>
                <w:lang w:val="en-US" w:eastAsia="zh-CN"/>
              </w:rPr>
              <w:t>12</w:t>
            </w:r>
            <w:r>
              <w:rPr>
                <w:rFonts w:hint="eastAsia" w:hAnsi="宋体" w:cs="宋体"/>
                <w:b/>
                <w:bCs w:val="0"/>
                <w:color w:val="auto"/>
                <w:sz w:val="24"/>
                <w:szCs w:val="24"/>
                <w:highlight w:val="none"/>
              </w:rPr>
              <w:t>分）</w:t>
            </w:r>
          </w:p>
          <w:p w14:paraId="21D44C31">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一档（3分）：</w:t>
            </w:r>
            <w:r>
              <w:rPr>
                <w:rFonts w:hint="eastAsia" w:hAnsi="宋体" w:cs="宋体"/>
                <w:b w:val="0"/>
                <w:bCs/>
                <w:color w:val="auto"/>
                <w:sz w:val="24"/>
                <w:szCs w:val="24"/>
                <w:highlight w:val="none"/>
                <w:lang w:val="en-US" w:eastAsia="zh-CN"/>
              </w:rPr>
              <w:t>提供的技术质量控制措施基本保证项目成果质量达到验收标准，无具体的保障措施，无项目进度计划安排；</w:t>
            </w:r>
          </w:p>
          <w:p w14:paraId="060F3D90">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二档（6分）：</w:t>
            </w:r>
            <w:r>
              <w:rPr>
                <w:rFonts w:hint="eastAsia" w:hAnsi="宋体" w:cs="宋体"/>
                <w:b w:val="0"/>
                <w:bCs/>
                <w:color w:val="auto"/>
                <w:sz w:val="24"/>
                <w:szCs w:val="24"/>
                <w:highlight w:val="none"/>
                <w:lang w:val="en-US" w:eastAsia="zh-CN"/>
              </w:rPr>
              <w:t>提供的技术质量控制措施能保证项目成果质量达到验收标准，提供了项目进度计划安排，提供基本的安全防护措施及环境保护措施；</w:t>
            </w:r>
          </w:p>
          <w:p w14:paraId="5F52B9CF">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三档（9分）：</w:t>
            </w:r>
            <w:r>
              <w:rPr>
                <w:rFonts w:hint="eastAsia" w:hAnsi="宋体" w:cs="宋体"/>
                <w:b w:val="0"/>
                <w:bCs/>
                <w:color w:val="auto"/>
                <w:sz w:val="24"/>
                <w:szCs w:val="24"/>
                <w:highlight w:val="none"/>
                <w:lang w:val="en-US" w:eastAsia="zh-CN"/>
              </w:rPr>
              <w:t>提供的技术质量控制措施能有效保证项目成果质量达到验收标准，提供了具体的项目进度计划安排，提供具体的安全防护措施、应急救援预案，提供了环境保护措施能有效防止二次污染；</w:t>
            </w:r>
          </w:p>
          <w:p w14:paraId="376AB969">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四档（12分）：</w:t>
            </w:r>
            <w:r>
              <w:rPr>
                <w:rFonts w:hint="eastAsia" w:hAnsi="宋体" w:cs="宋体"/>
                <w:b w:val="0"/>
                <w:bCs/>
                <w:color w:val="auto"/>
                <w:sz w:val="24"/>
                <w:szCs w:val="24"/>
                <w:highlight w:val="none"/>
                <w:lang w:val="en-US" w:eastAsia="zh-CN"/>
              </w:rPr>
              <w:t>提供了详细的技术质量控制措施能有效保证项目成果质量达到验收标准，提供了详细的项目进度计划安排，安排结合实际工作要求，安全防护措施及应急救援预案内容完整全面、关键技术点描述清晰，提供了环境保护措施能有效防止二次污染，保密措施齐全，满足项目的保密要求。</w:t>
            </w:r>
          </w:p>
          <w:p w14:paraId="51140BD5">
            <w:pPr>
              <w:keepNext w:val="0"/>
              <w:keepLines w:val="0"/>
              <w:pageBreakBefore w:val="0"/>
              <w:widowControl w:val="0"/>
              <w:numPr>
                <w:ilvl w:val="0"/>
                <w:numId w:val="0"/>
              </w:numPr>
              <w:kinsoku/>
              <w:wordWrap/>
              <w:overflowPunct/>
              <w:topLinePunct w:val="0"/>
              <w:autoSpaceDE/>
              <w:autoSpaceDN/>
              <w:bidi w:val="0"/>
              <w:snapToGrid/>
              <w:spacing w:line="240" w:lineRule="auto"/>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（3）</w:t>
            </w:r>
            <w:r>
              <w:rPr>
                <w:rFonts w:hint="eastAsia" w:ascii="宋体" w:hAnsi="宋体" w:eastAsia="宋体" w:cs="宋体"/>
                <w:b/>
                <w:bCs w:val="0"/>
                <w:color w:val="auto"/>
                <w:sz w:val="24"/>
                <w:szCs w:val="24"/>
                <w:highlight w:val="none"/>
              </w:rPr>
              <w:t>项目实施方案（满分1</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分）</w:t>
            </w:r>
          </w:p>
          <w:p w14:paraId="00807507">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一档（</w:t>
            </w:r>
            <w:r>
              <w:rPr>
                <w:rFonts w:hint="eastAsia"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实施方案内容不完整，没有展开论述，不具备操作性，提出的服务保障方案不具体；</w:t>
            </w:r>
          </w:p>
          <w:p w14:paraId="4DBFF5A5">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二档（</w:t>
            </w:r>
            <w:r>
              <w:rPr>
                <w:rFonts w:hint="eastAsia"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实施方案内容完整，对每个区域的实施技术路线描述完整，重金属高中低风险区域农用地安全利用实施流程、技术方法服务保障方案基本可行；</w:t>
            </w:r>
          </w:p>
          <w:p w14:paraId="74CEADD7">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三档（</w:t>
            </w:r>
            <w:r>
              <w:rPr>
                <w:rFonts w:hint="eastAsia" w:hAnsi="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实施方案内容整体较合理、具备一定操作性，对本项目的顺利实施提出的方案有针对性，能保障项目顺利实施，对每个区域的实施技术路线描述完整，重金属高中低风险区域农用地安全利用实施流程、技术方法完整，有具体材料物资投入计划，提出的服务保障方案合理可行，具备一定的本地化服务能力；</w:t>
            </w:r>
          </w:p>
          <w:p w14:paraId="2D3D863E">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四档（1</w:t>
            </w:r>
            <w:r>
              <w:rPr>
                <w:rFonts w:hint="eastAsia"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实施方案内容整体科学、合理、可操作性强，对本项目的顺利实施提出了科学可行的方案，能有利保障项目顺利实施，每个区域的实施技术路线描述完整，重金属高中低风险区域农用地安全利用实施流程、技术方法完整，有具体材料物资投入计划，具备实施重点、难点分析与对应的解决方法，提出的服务保障方案契合项目需求，具备突出且适应本地化的技术方案。</w:t>
            </w:r>
          </w:p>
          <w:p w14:paraId="6BF76321">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对本工作的合理化建议（满分</w:t>
            </w:r>
            <w:r>
              <w:rPr>
                <w:rFonts w:hint="eastAsia"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分）</w:t>
            </w:r>
          </w:p>
          <w:p w14:paraId="630C76AA">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一档（</w:t>
            </w:r>
            <w:r>
              <w:rPr>
                <w:rFonts w:hint="eastAsia"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针对本项目未提供合理化的建议，或者所提建议不具备可操作性；</w:t>
            </w:r>
          </w:p>
          <w:p w14:paraId="56AEEF88">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二档（</w:t>
            </w:r>
            <w:r>
              <w:rPr>
                <w:rFonts w:hint="eastAsia"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针对本项目提出了至少1条合理化的建议，基本符合项目要求，对项目实施有一定指导意义；</w:t>
            </w:r>
          </w:p>
          <w:p w14:paraId="2F85CBC5">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三档（</w:t>
            </w:r>
            <w:r>
              <w:rPr>
                <w:rFonts w:hint="eastAsia" w:hAnsi="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针对本项目提出了2条合理化的建议，基本符合项目要求，有一定可操作性，对项目实施有一定的指导意义；</w:t>
            </w:r>
          </w:p>
          <w:p w14:paraId="5A2E3B4B">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四档（</w:t>
            </w:r>
            <w:r>
              <w:rPr>
                <w:rFonts w:hint="eastAsia" w:hAnsi="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针对本项目提出了至少2条合理化的建议，并且切合项目实际，可操作性强，较好指导项目执行。</w:t>
            </w:r>
          </w:p>
          <w:p w14:paraId="60613F08">
            <w:pPr>
              <w:keepNext w:val="0"/>
              <w:keepLines w:val="0"/>
              <w:pageBreakBefore w:val="0"/>
              <w:widowControl w:val="0"/>
              <w:numPr>
                <w:ilvl w:val="0"/>
                <w:numId w:val="0"/>
              </w:numPr>
              <w:kinsoku/>
              <w:wordWrap/>
              <w:overflowPunct/>
              <w:topLinePunct w:val="0"/>
              <w:autoSpaceDE/>
              <w:autoSpaceDN/>
              <w:bidi w:val="0"/>
              <w:snapToGrid/>
              <w:spacing w:line="24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lang w:eastAsia="zh-CN"/>
              </w:rPr>
              <w:t>培训方案</w:t>
            </w: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702BC67B">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一档（</w:t>
            </w:r>
            <w:r>
              <w:rPr>
                <w:rFonts w:hint="eastAsia"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培训方案内容不完整，未针对项目对培训内容、时间、人员等展开论述；</w:t>
            </w:r>
          </w:p>
          <w:p w14:paraId="5B9752DD">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二档（</w:t>
            </w:r>
            <w:r>
              <w:rPr>
                <w:rFonts w:hint="eastAsia"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方案内容包括农用地安全利用技术落地需要的培训，培训内容具体，有具体的培训时间、人员、课时安排；</w:t>
            </w:r>
          </w:p>
          <w:p w14:paraId="1EBAD303">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color w:val="auto"/>
                <w:sz w:val="24"/>
                <w:szCs w:val="24"/>
                <w:highlight w:val="none"/>
              </w:rPr>
            </w:pPr>
            <w:r>
              <w:rPr>
                <w:rFonts w:hint="eastAsia" w:ascii="宋体" w:hAnsi="宋体" w:eastAsia="宋体" w:cs="宋体"/>
                <w:b/>
                <w:bCs w:val="0"/>
                <w:color w:val="auto"/>
                <w:sz w:val="24"/>
                <w:szCs w:val="24"/>
                <w:highlight w:val="none"/>
                <w:lang w:val="en-US" w:eastAsia="zh-CN"/>
              </w:rPr>
              <w:t>三档（</w:t>
            </w:r>
            <w:r>
              <w:rPr>
                <w:rFonts w:hint="eastAsia"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val="0"/>
                <w:bCs/>
                <w:color w:val="auto"/>
                <w:sz w:val="24"/>
                <w:szCs w:val="24"/>
                <w:highlight w:val="none"/>
                <w:lang w:val="en-US" w:eastAsia="zh-CN"/>
              </w:rPr>
              <w:t>方案内容包括农用地安全利用技术落地需要的培训、宣传等方面的技术培训，培训内容具体，有具体的培训时间、人员、课时安排，培训工作能根据项目实际内容及质量目标进行开展，培训质量有保障</w:t>
            </w:r>
            <w:r>
              <w:rPr>
                <w:rFonts w:hint="eastAsia" w:hAnsi="宋体" w:cs="宋体"/>
                <w:b w:val="0"/>
                <w:bCs/>
                <w:color w:val="auto"/>
                <w:sz w:val="24"/>
                <w:szCs w:val="24"/>
                <w:highlight w:val="none"/>
                <w:lang w:val="en-US" w:eastAsia="zh-CN"/>
              </w:rPr>
              <w:t>。</w:t>
            </w:r>
          </w:p>
        </w:tc>
      </w:tr>
      <w:tr w14:paraId="51F2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noWrap w:val="0"/>
            <w:vAlign w:val="center"/>
          </w:tcPr>
          <w:p w14:paraId="18FBA864">
            <w:pPr>
              <w:adjustRightInd w:val="0"/>
              <w:snapToGrid w:val="0"/>
              <w:spacing w:line="240" w:lineRule="auto"/>
              <w:ind w:left="-105" w:leftChars="-50" w:right="-105" w:rightChars="-50"/>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1286" w:type="dxa"/>
            <w:noWrap w:val="0"/>
            <w:vAlign w:val="center"/>
          </w:tcPr>
          <w:p w14:paraId="5C3E8B95">
            <w:pPr>
              <w:spacing w:line="240" w:lineRule="auto"/>
              <w:jc w:val="center"/>
              <w:rPr>
                <w:rFonts w:hint="eastAsia" w:ascii="宋体" w:hAnsi="宋体" w:cs="宋体"/>
                <w:bCs/>
                <w:color w:val="auto"/>
                <w:kern w:val="0"/>
                <w:sz w:val="24"/>
                <w:szCs w:val="24"/>
                <w:highlight w:val="none"/>
              </w:rPr>
            </w:pPr>
            <w:r>
              <w:rPr>
                <w:rFonts w:hint="eastAsia" w:ascii="宋体" w:hAnsi="宋体" w:cs="宋体"/>
                <w:b/>
                <w:color w:val="auto"/>
                <w:sz w:val="24"/>
                <w:szCs w:val="24"/>
                <w:highlight w:val="none"/>
              </w:rPr>
              <w:t>服务承诺(满分</w:t>
            </w: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rPr>
              <w:t>分）</w:t>
            </w:r>
          </w:p>
        </w:tc>
        <w:tc>
          <w:tcPr>
            <w:tcW w:w="7162" w:type="dxa"/>
            <w:noWrap w:val="0"/>
            <w:vAlign w:val="center"/>
          </w:tcPr>
          <w:p w14:paraId="35E81132">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一档（3分）：</w:t>
            </w:r>
            <w:r>
              <w:rPr>
                <w:rFonts w:hint="eastAsia" w:hAnsi="宋体" w:cs="宋体"/>
                <w:b w:val="0"/>
                <w:bCs/>
                <w:color w:val="auto"/>
                <w:sz w:val="24"/>
                <w:szCs w:val="24"/>
                <w:highlight w:val="none"/>
                <w:lang w:val="en-US" w:eastAsia="zh-CN"/>
              </w:rPr>
              <w:t>服务承诺内容基本完整，服务承诺有实现功能要求的基本解决方案、措施，能保证项目质量进度，承诺接到采购人处理问题通知后20小时内到达采购人指定现场。</w:t>
            </w:r>
          </w:p>
          <w:p w14:paraId="702281AD">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default" w:hAnsi="宋体" w:cs="宋体"/>
                <w:b w:val="0"/>
                <w:bCs/>
                <w:color w:val="auto"/>
                <w:sz w:val="24"/>
                <w:szCs w:val="24"/>
                <w:highlight w:val="none"/>
                <w:lang w:val="en-US" w:eastAsia="zh-CN"/>
              </w:rPr>
            </w:pPr>
            <w:r>
              <w:rPr>
                <w:rFonts w:hint="eastAsia" w:hAnsi="宋体" w:cs="宋体"/>
                <w:b/>
                <w:bCs w:val="0"/>
                <w:color w:val="auto"/>
                <w:sz w:val="24"/>
                <w:szCs w:val="24"/>
                <w:highlight w:val="none"/>
                <w:lang w:val="en-US" w:eastAsia="zh-CN"/>
              </w:rPr>
              <w:t>二档（6分）：</w:t>
            </w:r>
            <w:r>
              <w:rPr>
                <w:rFonts w:hint="eastAsia" w:hAnsi="宋体" w:cs="宋体"/>
                <w:b w:val="0"/>
                <w:bCs/>
                <w:color w:val="auto"/>
                <w:sz w:val="24"/>
                <w:szCs w:val="24"/>
                <w:highlight w:val="none"/>
                <w:lang w:val="en-US" w:eastAsia="zh-CN"/>
              </w:rPr>
              <w:t>服务承诺内容具体，服务承诺有实现功能要求的解决方案、措施，能保证项目质量进度，设置有专门的售后服务机构，承诺接到采购人处理问题通知后16小时内到达采购人指定现场。</w:t>
            </w:r>
          </w:p>
          <w:p w14:paraId="508E485C">
            <w:pPr>
              <w:pStyle w:val="24"/>
              <w:keepNext w:val="0"/>
              <w:keepLines w:val="0"/>
              <w:pageBreakBefore w:val="0"/>
              <w:widowControl w:val="0"/>
              <w:kinsoku/>
              <w:wordWrap/>
              <w:overflowPunct/>
              <w:topLinePunct w:val="0"/>
              <w:autoSpaceDE/>
              <w:autoSpaceDN/>
              <w:bidi w:val="0"/>
              <w:adjustRightInd w:val="0"/>
              <w:snapToGrid/>
              <w:spacing w:line="240" w:lineRule="auto"/>
              <w:ind w:firstLine="482" w:firstLineChars="200"/>
              <w:contextualSpacing/>
              <w:textAlignment w:val="auto"/>
              <w:rPr>
                <w:rFonts w:hint="eastAsia" w:ascii="宋体" w:hAnsi="宋体" w:cs="宋体"/>
                <w:b/>
                <w:bCs/>
                <w:color w:val="auto"/>
                <w:sz w:val="24"/>
                <w:szCs w:val="24"/>
                <w:highlight w:val="none"/>
                <w:lang w:val="en-US" w:eastAsia="zh-CN"/>
              </w:rPr>
            </w:pPr>
            <w:r>
              <w:rPr>
                <w:rFonts w:hint="eastAsia"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lang w:val="en-US" w:eastAsia="zh-CN"/>
              </w:rPr>
              <w:t>档（</w:t>
            </w:r>
            <w:r>
              <w:rPr>
                <w:rFonts w:hint="eastAsia" w:hAnsi="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分）：</w:t>
            </w:r>
            <w:r>
              <w:rPr>
                <w:rFonts w:hint="eastAsia" w:hAnsi="宋体" w:cs="宋体"/>
                <w:b w:val="0"/>
                <w:bCs/>
                <w:color w:val="auto"/>
                <w:sz w:val="24"/>
                <w:szCs w:val="24"/>
                <w:highlight w:val="none"/>
                <w:lang w:val="en-US" w:eastAsia="zh-CN"/>
              </w:rPr>
              <w:t>服务承诺内容详细，服务承诺有实现功能要求的具体解决方案、具体措施，能保证项目质量进度，设置有专门的售后服务机构，能安排有项目人员常驻项目所在地负责服务工作，承诺接到采购人处理问题通知后12小时内到达采购人指定现场</w:t>
            </w:r>
            <w:r>
              <w:rPr>
                <w:rFonts w:hint="eastAsia" w:ascii="宋体" w:hAnsi="宋体" w:eastAsia="宋体" w:cs="宋体"/>
                <w:b w:val="0"/>
                <w:bCs/>
                <w:color w:val="auto"/>
                <w:sz w:val="24"/>
                <w:szCs w:val="24"/>
                <w:highlight w:val="none"/>
                <w:lang w:val="en-US" w:eastAsia="zh-CN"/>
              </w:rPr>
              <w:t>。</w:t>
            </w:r>
          </w:p>
        </w:tc>
      </w:tr>
      <w:tr w14:paraId="7719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436" w:type="pct"/>
            <w:noWrap w:val="0"/>
            <w:vAlign w:val="center"/>
          </w:tcPr>
          <w:p w14:paraId="7538947F">
            <w:pPr>
              <w:adjustRightInd w:val="0"/>
              <w:snapToGrid w:val="0"/>
              <w:spacing w:line="240" w:lineRule="auto"/>
              <w:ind w:left="-105" w:leftChars="-50" w:right="-105" w:rightChars="-50"/>
              <w:jc w:val="center"/>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w:t>
            </w:r>
          </w:p>
        </w:tc>
        <w:tc>
          <w:tcPr>
            <w:tcW w:w="1286" w:type="dxa"/>
            <w:noWrap w:val="0"/>
            <w:vAlign w:val="center"/>
          </w:tcPr>
          <w:p w14:paraId="4A0339AC">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主要人员配备情况</w:t>
            </w:r>
          </w:p>
          <w:p w14:paraId="3EE7D5DD">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（满分</w:t>
            </w:r>
            <w:r>
              <w:rPr>
                <w:rFonts w:hint="eastAsia" w:ascii="宋体" w:hAnsi="宋体" w:cs="宋体"/>
                <w:b/>
                <w:color w:val="auto"/>
                <w:sz w:val="24"/>
                <w:szCs w:val="24"/>
                <w:highlight w:val="none"/>
                <w:lang w:val="en-US" w:eastAsia="zh-CN"/>
              </w:rPr>
              <w:t>12</w:t>
            </w:r>
            <w:r>
              <w:rPr>
                <w:rFonts w:hint="eastAsia" w:ascii="宋体" w:hAnsi="宋体" w:cs="宋体"/>
                <w:b/>
                <w:color w:val="auto"/>
                <w:sz w:val="24"/>
                <w:szCs w:val="24"/>
                <w:highlight w:val="none"/>
              </w:rPr>
              <w:t>分）</w:t>
            </w:r>
            <w:bookmarkStart w:id="139" w:name="_GoBack"/>
            <w:bookmarkEnd w:id="139"/>
          </w:p>
        </w:tc>
        <w:tc>
          <w:tcPr>
            <w:tcW w:w="7162" w:type="dxa"/>
            <w:noWrap w:val="0"/>
            <w:vAlign w:val="center"/>
          </w:tcPr>
          <w:p w14:paraId="7A508D6B">
            <w:pPr>
              <w:keepNext w:val="0"/>
              <w:keepLines w:val="0"/>
              <w:pageBreakBefore w:val="0"/>
              <w:widowControl w:val="0"/>
              <w:numPr>
                <w:ilvl w:val="0"/>
                <w:numId w:val="0"/>
              </w:numPr>
              <w:kinsoku/>
              <w:wordWrap/>
              <w:overflowPunct/>
              <w:topLinePunct w:val="0"/>
              <w:autoSpaceDE/>
              <w:autoSpaceDN/>
              <w:bidi w:val="0"/>
              <w:snapToGrid/>
              <w:spacing w:line="240" w:lineRule="auto"/>
              <w:ind w:firstLine="480" w:firstLineChars="200"/>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项目负责人具有中级职称或土壤学、栽培学、生态学、环境工程、农学、农业资源与环境、土肥、农作、智慧农业、植物保护其中之一相关专业大专学历的得2分；具有高级职称或土壤学、栽培学、生态学、环境工程、农学、农业资源与环境、土肥、农作、智慧农业、植物保护其中之一相关专业本科及以上学历的得4分。本项满分得4分。</w:t>
            </w:r>
          </w:p>
          <w:p w14:paraId="071254D1">
            <w:pPr>
              <w:pStyle w:val="24"/>
              <w:keepNext w:val="0"/>
              <w:keepLines w:val="0"/>
              <w:pageBreakBefore w:val="0"/>
              <w:widowControl w:val="0"/>
              <w:kinsoku/>
              <w:wordWrap/>
              <w:overflowPunct/>
              <w:topLinePunct w:val="0"/>
              <w:autoSpaceDE/>
              <w:autoSpaceDN/>
              <w:bidi w:val="0"/>
              <w:adjustRightInd w:val="0"/>
              <w:snapToGrid/>
              <w:spacing w:line="240" w:lineRule="auto"/>
              <w:ind w:firstLine="480" w:firstLineChars="200"/>
              <w:contextualSpacing/>
              <w:textAlignment w:val="auto"/>
              <w:rPr>
                <w:rFonts w:hint="eastAsia" w:hAnsi="宋体" w:cs="宋体"/>
                <w:b w:val="0"/>
                <w:bCs/>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（2）项目团队成员</w:t>
            </w:r>
            <w:r>
              <w:rPr>
                <w:rFonts w:hint="eastAsia" w:hAnsi="宋体" w:cs="宋体"/>
                <w:b w:val="0"/>
                <w:bCs/>
                <w:color w:val="auto"/>
                <w:sz w:val="24"/>
                <w:szCs w:val="24"/>
                <w:highlight w:val="none"/>
                <w:lang w:val="en-US" w:eastAsia="zh-CN"/>
              </w:rPr>
              <w:t>情况：具备中级职称及以上</w:t>
            </w:r>
            <w:r>
              <w:rPr>
                <w:rFonts w:hint="eastAsia" w:ascii="宋体" w:hAnsi="宋体" w:eastAsia="宋体" w:cs="宋体"/>
                <w:b w:val="0"/>
                <w:bCs/>
                <w:color w:val="auto"/>
                <w:kern w:val="0"/>
                <w:sz w:val="24"/>
                <w:szCs w:val="24"/>
                <w:highlight w:val="none"/>
                <w:lang w:val="en-US" w:eastAsia="zh-CN" w:bidi="ar-SA"/>
              </w:rPr>
              <w:t>职称或土壤学、栽培学、生态学、环境工程、农学、农业资源与环境、土肥、农作、智慧农业、植物保护其中之一相关专业本科及以上学历</w:t>
            </w:r>
            <w:r>
              <w:rPr>
                <w:rFonts w:hint="eastAsia" w:hAnsi="宋体" w:cs="宋体"/>
                <w:b w:val="0"/>
                <w:bCs/>
                <w:color w:val="auto"/>
                <w:sz w:val="24"/>
                <w:szCs w:val="24"/>
                <w:highlight w:val="none"/>
                <w:lang w:val="en-US" w:eastAsia="zh-CN"/>
              </w:rPr>
              <w:t>的每人得2分，本项满分得8分。</w:t>
            </w:r>
          </w:p>
          <w:p w14:paraId="674AF32D">
            <w:pPr>
              <w:pStyle w:val="24"/>
              <w:keepNext w:val="0"/>
              <w:keepLines w:val="0"/>
              <w:pageBreakBefore w:val="0"/>
              <w:widowControl w:val="0"/>
              <w:kinsoku/>
              <w:wordWrap/>
              <w:overflowPunct/>
              <w:topLinePunct w:val="0"/>
              <w:autoSpaceDE/>
              <w:autoSpaceDN/>
              <w:bidi w:val="0"/>
              <w:adjustRightInd w:val="0"/>
              <w:snapToGrid/>
              <w:spacing w:line="240" w:lineRule="auto"/>
              <w:ind w:firstLine="480" w:firstLineChars="200"/>
              <w:contextualSpacing/>
              <w:textAlignment w:val="auto"/>
              <w:rPr>
                <w:rFonts w:hint="eastAsia" w:hAnsi="宋体" w:cs="宋体"/>
                <w:color w:val="auto"/>
                <w:sz w:val="24"/>
                <w:szCs w:val="24"/>
                <w:highlight w:val="none"/>
                <w:lang w:val="en-US" w:eastAsia="zh-CN"/>
              </w:rPr>
            </w:pPr>
            <w:r>
              <w:rPr>
                <w:rFonts w:hint="eastAsia" w:hAnsi="宋体" w:cs="宋体"/>
                <w:b w:val="0"/>
                <w:bCs/>
                <w:color w:val="auto"/>
                <w:sz w:val="24"/>
                <w:szCs w:val="24"/>
                <w:highlight w:val="none"/>
                <w:lang w:val="en-US" w:eastAsia="zh-CN"/>
              </w:rPr>
              <w:t>注：所有拟投入人员必须是投标人本单位人员(须提供劳动合同或聘书或其他能证明属于投标人单位人员的材料)，必须提供相关身份证复印件、职称证书复印件或学历证书复印件等证明材料复印件并加盖单位公章，否则不得分。</w:t>
            </w:r>
          </w:p>
        </w:tc>
      </w:tr>
      <w:tr w14:paraId="1BA8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36" w:type="pct"/>
            <w:noWrap w:val="0"/>
            <w:vAlign w:val="center"/>
          </w:tcPr>
          <w:p w14:paraId="5EAAE443">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5</w:t>
            </w:r>
          </w:p>
        </w:tc>
        <w:tc>
          <w:tcPr>
            <w:tcW w:w="1286" w:type="dxa"/>
            <w:noWrap w:val="0"/>
            <w:vAlign w:val="center"/>
          </w:tcPr>
          <w:p w14:paraId="4B9232E4">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商务资信</w:t>
            </w:r>
            <w:r>
              <w:rPr>
                <w:rFonts w:hint="eastAsia" w:ascii="宋体" w:hAnsi="宋体" w:cs="宋体"/>
                <w:b/>
                <w:color w:val="auto"/>
                <w:sz w:val="24"/>
                <w:szCs w:val="24"/>
                <w:highlight w:val="none"/>
              </w:rPr>
              <w:t>（满分</w:t>
            </w: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分）</w:t>
            </w:r>
          </w:p>
        </w:tc>
        <w:tc>
          <w:tcPr>
            <w:tcW w:w="7162" w:type="dxa"/>
            <w:noWrap w:val="0"/>
            <w:vAlign w:val="center"/>
          </w:tcPr>
          <w:p w14:paraId="3D343D5B">
            <w:pPr>
              <w:pStyle w:val="24"/>
              <w:keepNext w:val="0"/>
              <w:keepLines w:val="0"/>
              <w:pageBreakBefore w:val="0"/>
              <w:widowControl w:val="0"/>
              <w:kinsoku/>
              <w:wordWrap/>
              <w:overflowPunct/>
              <w:topLinePunct w:val="0"/>
              <w:autoSpaceDE/>
              <w:autoSpaceDN/>
              <w:bidi w:val="0"/>
              <w:adjustRightInd w:val="0"/>
              <w:snapToGrid/>
              <w:spacing w:line="240" w:lineRule="auto"/>
              <w:ind w:firstLine="480" w:firstLineChars="200"/>
              <w:contextualSpacing/>
              <w:textAlignment w:val="auto"/>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（1）2023年1月1日以来至投标文件递交截止日期止，投标人承担过类似项目业绩的，每项得1分，满分5分。[以合同或中标（成交）通知书复印件为准，并加盖投标人公章]。</w:t>
            </w:r>
          </w:p>
          <w:p w14:paraId="3B3AD0EC">
            <w:pPr>
              <w:pStyle w:val="24"/>
              <w:keepNext w:val="0"/>
              <w:keepLines w:val="0"/>
              <w:pageBreakBefore w:val="0"/>
              <w:widowControl w:val="0"/>
              <w:kinsoku/>
              <w:wordWrap/>
              <w:overflowPunct/>
              <w:topLinePunct w:val="0"/>
              <w:autoSpaceDE/>
              <w:autoSpaceDN/>
              <w:bidi w:val="0"/>
              <w:adjustRightInd w:val="0"/>
              <w:snapToGrid/>
              <w:spacing w:line="240" w:lineRule="auto"/>
              <w:ind w:firstLine="480" w:firstLineChars="200"/>
              <w:contextualSpacing/>
              <w:textAlignment w:val="auto"/>
              <w:rPr>
                <w:rFonts w:hint="eastAsia" w:ascii="宋体" w:hAnsi="宋体" w:cs="宋体"/>
                <w:color w:val="auto"/>
                <w:sz w:val="24"/>
                <w:szCs w:val="24"/>
                <w:highlight w:val="none"/>
              </w:rPr>
            </w:pPr>
            <w:r>
              <w:rPr>
                <w:rFonts w:hint="eastAsia" w:hAnsi="宋体" w:cs="宋体"/>
                <w:b w:val="0"/>
                <w:bCs/>
                <w:color w:val="auto"/>
                <w:sz w:val="24"/>
                <w:szCs w:val="24"/>
                <w:highlight w:val="none"/>
                <w:lang w:val="en-US" w:eastAsia="zh-CN"/>
              </w:rPr>
              <w:t>（2）投标人具有有效的ISO质量管理体系认证证书、ISO环境管理体系认证证书、ISO职业健康安全管理体系认证证书，每项得1分，满分3分。</w:t>
            </w:r>
          </w:p>
        </w:tc>
      </w:tr>
      <w:tr w14:paraId="4B77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3"/>
            <w:noWrap w:val="0"/>
            <w:vAlign w:val="center"/>
          </w:tcPr>
          <w:p w14:paraId="3F11FEC7">
            <w:pPr>
              <w:pStyle w:val="24"/>
              <w:snapToGrid w:val="0"/>
              <w:spacing w:line="24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总得分=1+2+3+4+5</w:t>
            </w:r>
          </w:p>
          <w:p w14:paraId="4DB19720">
            <w:pPr>
              <w:pStyle w:val="24"/>
              <w:snapToGrid w:val="0"/>
              <w:spacing w:line="24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备注：本项目为服务类项目，不涉及节能环保政策考核。</w:t>
            </w:r>
          </w:p>
        </w:tc>
      </w:tr>
    </w:tbl>
    <w:p w14:paraId="203BAC17">
      <w:pPr>
        <w:pStyle w:val="24"/>
        <w:spacing w:line="420" w:lineRule="exact"/>
        <w:ind w:firstLine="420"/>
        <w:rPr>
          <w:rFonts w:hint="eastAsia" w:hAnsi="宋体" w:cs="宋体"/>
          <w:b/>
          <w:color w:val="auto"/>
          <w:sz w:val="24"/>
          <w:szCs w:val="24"/>
          <w:highlight w:val="none"/>
        </w:rPr>
      </w:pPr>
      <w:r>
        <w:rPr>
          <w:rFonts w:hint="eastAsia" w:hAnsi="宋体" w:cs="宋体"/>
          <w:b/>
          <w:color w:val="auto"/>
          <w:sz w:val="24"/>
          <w:szCs w:val="24"/>
          <w:highlight w:val="none"/>
        </w:rPr>
        <w:t>三、中标候选人推荐原则</w:t>
      </w:r>
    </w:p>
    <w:p w14:paraId="3BB01E00">
      <w:pPr>
        <w:pStyle w:val="24"/>
        <w:spacing w:line="36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rPr>
        <w:t>1.评标委员会根据原始评</w:t>
      </w:r>
      <w:r>
        <w:rPr>
          <w:rFonts w:hint="eastAsia" w:ascii="宋体" w:hAnsi="宋体" w:eastAsia="宋体" w:cs="宋体"/>
          <w:color w:val="auto"/>
          <w:sz w:val="24"/>
          <w:szCs w:val="24"/>
          <w:highlight w:val="none"/>
        </w:rPr>
        <w:t>标记录和评标结果编写评标报告，并通过电子交易平台向采购人、采购代理机构提交。</w:t>
      </w:r>
    </w:p>
    <w:p w14:paraId="34BCD43D">
      <w:pPr>
        <w:pStyle w:val="24"/>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44FEFFB">
      <w:pPr>
        <w:spacing w:before="120" w:beforeLines="50" w:after="120" w:afterLines="50" w:line="400" w:lineRule="exact"/>
        <w:ind w:firstLine="420" w:firstLineChars="200"/>
        <w:rPr>
          <w:rFonts w:hint="eastAsia" w:ascii="宋体" w:hAnsi="宋体" w:cs="宋体"/>
          <w:b/>
          <w:color w:val="auto"/>
          <w:sz w:val="24"/>
          <w:highlight w:val="none"/>
        </w:rPr>
      </w:pPr>
      <w:r>
        <w:rPr>
          <w:rFonts w:hint="eastAsia" w:ascii="宋体" w:hAnsi="宋体" w:cs="宋体"/>
          <w:color w:val="auto"/>
          <w:szCs w:val="21"/>
          <w:highlight w:val="none"/>
        </w:rPr>
        <w:br w:type="page"/>
      </w:r>
    </w:p>
    <w:p w14:paraId="16C15551">
      <w:pPr>
        <w:pStyle w:val="4"/>
        <w:jc w:val="center"/>
        <w:rPr>
          <w:rFonts w:hint="eastAsia" w:ascii="宋体" w:hAnsi="宋体" w:eastAsia="宋体" w:cs="宋体"/>
          <w:color w:val="auto"/>
          <w:sz w:val="36"/>
          <w:szCs w:val="36"/>
          <w:highlight w:val="none"/>
        </w:rPr>
      </w:pPr>
      <w:bookmarkStart w:id="124" w:name="_Toc13100"/>
      <w:r>
        <w:rPr>
          <w:rFonts w:hint="eastAsia" w:ascii="宋体" w:hAnsi="宋体" w:eastAsia="宋体" w:cs="宋体"/>
          <w:color w:val="auto"/>
          <w:sz w:val="36"/>
          <w:szCs w:val="36"/>
          <w:highlight w:val="none"/>
        </w:rPr>
        <w:t>第五章  拟签订的合同文本</w:t>
      </w:r>
      <w:bookmarkEnd w:id="124"/>
    </w:p>
    <w:p w14:paraId="0D3D7A6F">
      <w:pPr>
        <w:snapToGrid w:val="0"/>
        <w:jc w:val="center"/>
        <w:rPr>
          <w:rFonts w:hint="eastAsia" w:ascii="宋体" w:hAnsi="宋体" w:cs="宋体"/>
          <w:bCs/>
          <w:color w:val="auto"/>
          <w:sz w:val="32"/>
          <w:szCs w:val="32"/>
          <w:highlight w:val="none"/>
        </w:rPr>
      </w:pPr>
    </w:p>
    <w:p w14:paraId="7270000B">
      <w:pPr>
        <w:snapToGrid w:val="0"/>
        <w:jc w:val="center"/>
        <w:rPr>
          <w:rFonts w:hint="eastAsia" w:ascii="宋体" w:hAnsi="宋体" w:cs="宋体"/>
          <w:bCs/>
          <w:color w:val="auto"/>
          <w:sz w:val="32"/>
          <w:szCs w:val="32"/>
          <w:highlight w:val="none"/>
        </w:rPr>
      </w:pPr>
    </w:p>
    <w:p w14:paraId="4294A55B">
      <w:pPr>
        <w:snapToGrid w:val="0"/>
        <w:jc w:val="center"/>
        <w:rPr>
          <w:rFonts w:hint="eastAsia" w:ascii="宋体" w:hAnsi="宋体" w:cs="宋体"/>
          <w:bCs/>
          <w:color w:val="auto"/>
          <w:sz w:val="32"/>
          <w:szCs w:val="32"/>
          <w:highlight w:val="none"/>
        </w:rPr>
      </w:pPr>
    </w:p>
    <w:p w14:paraId="376EC6A8">
      <w:pPr>
        <w:snapToGrid w:val="0"/>
        <w:jc w:val="center"/>
        <w:rPr>
          <w:rFonts w:hint="eastAsia" w:ascii="宋体" w:hAnsi="宋体" w:cs="宋体"/>
          <w:bCs/>
          <w:color w:val="auto"/>
          <w:sz w:val="32"/>
          <w:szCs w:val="32"/>
          <w:highlight w:val="none"/>
        </w:rPr>
      </w:pPr>
    </w:p>
    <w:p w14:paraId="5E9418EB">
      <w:pPr>
        <w:snapToGrid w:val="0"/>
        <w:jc w:val="center"/>
        <w:rPr>
          <w:rFonts w:hint="eastAsia" w:ascii="宋体" w:hAnsi="宋体" w:cs="宋体"/>
          <w:bCs/>
          <w:color w:val="auto"/>
          <w:sz w:val="32"/>
          <w:szCs w:val="32"/>
          <w:highlight w:val="none"/>
        </w:rPr>
      </w:pPr>
    </w:p>
    <w:p w14:paraId="4431E528">
      <w:pPr>
        <w:snapToGrid w:val="0"/>
        <w:jc w:val="center"/>
        <w:rPr>
          <w:rFonts w:hint="eastAsia" w:ascii="宋体" w:hAnsi="宋体" w:cs="宋体"/>
          <w:bCs/>
          <w:color w:val="auto"/>
          <w:sz w:val="32"/>
          <w:szCs w:val="32"/>
          <w:highlight w:val="none"/>
        </w:rPr>
      </w:pPr>
    </w:p>
    <w:p w14:paraId="6AB822E3">
      <w:pPr>
        <w:snapToGrid w:val="0"/>
        <w:jc w:val="center"/>
        <w:rPr>
          <w:rFonts w:hint="eastAsia" w:ascii="宋体" w:hAnsi="宋体" w:cs="宋体"/>
          <w:bCs/>
          <w:color w:val="auto"/>
          <w:sz w:val="32"/>
          <w:szCs w:val="32"/>
          <w:highlight w:val="none"/>
        </w:rPr>
      </w:pPr>
    </w:p>
    <w:p w14:paraId="3C8370AA">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br w:type="page"/>
      </w:r>
      <w:bookmarkStart w:id="125" w:name="_Toc254970556"/>
      <w:bookmarkStart w:id="126" w:name="_Toc254970697"/>
    </w:p>
    <w:p w14:paraId="1269F807">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lang w:eastAsia="zh-CN"/>
        </w:rPr>
        <w:t>北 流 市</w:t>
      </w:r>
      <w:r>
        <w:rPr>
          <w:rFonts w:hint="eastAsia" w:ascii="宋体" w:hAnsi="宋体" w:eastAsia="宋体" w:cs="宋体"/>
          <w:b/>
          <w:bCs/>
          <w:color w:val="auto"/>
          <w:sz w:val="52"/>
          <w:highlight w:val="none"/>
        </w:rPr>
        <w:t xml:space="preserve"> 政 府 采 购</w:t>
      </w:r>
    </w:p>
    <w:p w14:paraId="74835988">
      <w:pPr>
        <w:spacing w:line="360" w:lineRule="auto"/>
        <w:ind w:firstLine="420" w:firstLineChars="200"/>
        <w:rPr>
          <w:rFonts w:hint="eastAsia" w:ascii="宋体" w:hAnsi="宋体" w:eastAsia="宋体" w:cs="宋体"/>
          <w:color w:val="auto"/>
          <w:highlight w:val="none"/>
        </w:rPr>
      </w:pPr>
    </w:p>
    <w:p w14:paraId="191F06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73869D3">
      <w:pPr>
        <w:spacing w:line="360" w:lineRule="auto"/>
        <w:jc w:val="center"/>
        <w:rPr>
          <w:rFonts w:hint="eastAsia" w:ascii="宋体" w:hAnsi="宋体" w:eastAsia="宋体" w:cs="宋体"/>
          <w:b/>
          <w:bCs/>
          <w:color w:val="auto"/>
          <w:sz w:val="44"/>
          <w:highlight w:val="none"/>
        </w:rPr>
      </w:pPr>
      <w:r>
        <w:rPr>
          <w:rFonts w:hint="eastAsia" w:ascii="宋体" w:hAnsi="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p>
    <w:p w14:paraId="223C9F4D">
      <w:pPr>
        <w:spacing w:line="360" w:lineRule="auto"/>
        <w:jc w:val="center"/>
        <w:rPr>
          <w:rFonts w:hint="eastAsia" w:ascii="宋体" w:hAnsi="宋体" w:eastAsia="宋体" w:cs="宋体"/>
          <w:b/>
          <w:bCs/>
          <w:color w:val="auto"/>
          <w:sz w:val="44"/>
          <w:highlight w:val="none"/>
        </w:rPr>
      </w:pPr>
    </w:p>
    <w:p w14:paraId="1569539C">
      <w:pPr>
        <w:spacing w:line="360" w:lineRule="auto"/>
        <w:jc w:val="center"/>
        <w:rPr>
          <w:rFonts w:hint="eastAsia" w:ascii="宋体" w:hAnsi="宋体" w:eastAsia="宋体" w:cs="宋体"/>
          <w:b/>
          <w:bCs/>
          <w:color w:val="auto"/>
          <w:sz w:val="44"/>
          <w:highlight w:val="none"/>
        </w:rPr>
      </w:pPr>
    </w:p>
    <w:p w14:paraId="5BC922EB">
      <w:pPr>
        <w:spacing w:line="360" w:lineRule="auto"/>
        <w:ind w:firstLine="3507" w:firstLineChars="794"/>
        <w:rPr>
          <w:rFonts w:hint="eastAsia" w:ascii="宋体" w:hAnsi="宋体" w:eastAsia="宋体" w:cs="宋体"/>
          <w:b/>
          <w:bCs/>
          <w:color w:val="auto"/>
          <w:sz w:val="44"/>
          <w:highlight w:val="none"/>
        </w:rPr>
      </w:pPr>
    </w:p>
    <w:p w14:paraId="4F03B93D">
      <w:pPr>
        <w:spacing w:line="360" w:lineRule="auto"/>
        <w:ind w:firstLine="3507" w:firstLineChars="794"/>
        <w:rPr>
          <w:rFonts w:hint="eastAsia" w:ascii="宋体" w:hAnsi="宋体" w:eastAsia="宋体" w:cs="宋体"/>
          <w:b/>
          <w:bCs/>
          <w:color w:val="auto"/>
          <w:sz w:val="44"/>
          <w:highlight w:val="none"/>
        </w:rPr>
      </w:pPr>
    </w:p>
    <w:p w14:paraId="6C8F0297">
      <w:pPr>
        <w:ind w:firstLine="1446" w:firstLineChars="40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u w:val="single"/>
          <w:lang w:val="en-US" w:eastAsia="zh-CN"/>
        </w:rPr>
        <w:t xml:space="preserve">                              </w:t>
      </w:r>
    </w:p>
    <w:p w14:paraId="50088C71">
      <w:pPr>
        <w:ind w:firstLine="1446" w:firstLineChars="4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5F5F8DB9">
      <w:pPr>
        <w:ind w:firstLine="1970" w:firstLineChars="545"/>
        <w:rPr>
          <w:rFonts w:hint="eastAsia" w:ascii="宋体" w:hAnsi="宋体" w:eastAsia="宋体" w:cs="宋体"/>
          <w:b/>
          <w:color w:val="auto"/>
          <w:sz w:val="36"/>
          <w:szCs w:val="36"/>
          <w:highlight w:val="none"/>
          <w:u w:val="single"/>
        </w:rPr>
      </w:pPr>
    </w:p>
    <w:p w14:paraId="23C73EAA">
      <w:pPr>
        <w:tabs>
          <w:tab w:val="left" w:pos="7200"/>
        </w:tabs>
        <w:spacing w:line="360" w:lineRule="auto"/>
        <w:ind w:firstLine="1446" w:firstLineChars="400"/>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购</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lang w:eastAsia="zh-CN"/>
        </w:rPr>
        <w:t>北流市农业农村局</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lang w:eastAsia="zh-CN"/>
        </w:rPr>
        <w:t xml:space="preserve"> </w:t>
      </w:r>
    </w:p>
    <w:p w14:paraId="05A6E3DF">
      <w:pPr>
        <w:snapToGrid w:val="0"/>
        <w:spacing w:before="120" w:beforeLines="50" w:after="50" w:line="400" w:lineRule="exact"/>
        <w:ind w:firstLine="1446" w:firstLineChars="400"/>
        <w:rPr>
          <w:rFonts w:hint="default" w:ascii="宋体" w:hAnsi="宋体" w:eastAsia="宋体" w:cs="Times New Roman"/>
          <w:bCs/>
          <w:color w:val="000000"/>
          <w:sz w:val="30"/>
          <w:szCs w:val="30"/>
          <w:highlight w:val="none"/>
          <w:lang w:val="en-US" w:eastAsia="zh-CN"/>
        </w:rPr>
      </w:pPr>
      <w:r>
        <w:rPr>
          <w:rFonts w:hint="eastAsia" w:ascii="宋体" w:hAnsi="宋体" w:eastAsia="宋体" w:cs="宋体"/>
          <w:b/>
          <w:color w:val="auto"/>
          <w:sz w:val="36"/>
          <w:szCs w:val="36"/>
          <w:highlight w:val="none"/>
        </w:rPr>
        <w:t>中</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人</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eastAsia="zh-CN"/>
        </w:rPr>
        <w:t xml:space="preserve"> </w:t>
      </w:r>
      <w:r>
        <w:rPr>
          <w:rFonts w:hint="eastAsia" w:ascii="宋体" w:hAnsi="宋体" w:cs="宋体"/>
          <w:b/>
          <w:color w:val="auto"/>
          <w:sz w:val="36"/>
          <w:szCs w:val="36"/>
          <w:highlight w:val="none"/>
          <w:u w:val="single"/>
          <w:lang w:val="en-US" w:eastAsia="zh-CN"/>
        </w:rPr>
        <w:t xml:space="preserve">                         </w:t>
      </w:r>
    </w:p>
    <w:p w14:paraId="1B3FFB2E">
      <w:pPr>
        <w:spacing w:before="120" w:line="360" w:lineRule="auto"/>
        <w:jc w:val="both"/>
        <w:rPr>
          <w:rFonts w:hint="eastAsia" w:ascii="宋体" w:hAnsi="宋体" w:cs="宋体"/>
          <w:color w:val="auto"/>
          <w:sz w:val="32"/>
          <w:szCs w:val="32"/>
          <w:highlight w:val="none"/>
          <w:lang w:val="en-US" w:eastAsia="zh-CN"/>
        </w:rPr>
      </w:pPr>
    </w:p>
    <w:p w14:paraId="7CBEE6A4">
      <w:pPr>
        <w:spacing w:before="120" w:line="360" w:lineRule="auto"/>
        <w:ind w:firstLine="1600" w:firstLineChars="500"/>
        <w:jc w:val="both"/>
        <w:rPr>
          <w:rFonts w:ascii="宋体" w:hAnsi="宋体" w:eastAsia="宋体" w:cs="Times New Roman"/>
          <w:kern w:val="2"/>
          <w:sz w:val="32"/>
          <w:szCs w:val="32"/>
          <w:lang w:val="en-US" w:eastAsia="zh-CN" w:bidi="ar-SA"/>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签订日期：</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6D6965BC">
      <w:pPr>
        <w:pStyle w:val="3"/>
        <w:numPr>
          <w:ilvl w:val="0"/>
          <w:numId w:val="0"/>
        </w:numPr>
        <w:bidi w:val="0"/>
        <w:spacing w:line="240" w:lineRule="auto"/>
        <w:ind w:left="0" w:leftChars="0" w:right="0" w:rightChars="0" w:firstLine="0" w:firstLineChars="0"/>
        <w:jc w:val="center"/>
        <w:rPr>
          <w:rFonts w:hint="eastAsia"/>
          <w:sz w:val="28"/>
          <w:szCs w:val="28"/>
        </w:rPr>
      </w:pPr>
      <w:bookmarkStart w:id="127" w:name="_Toc9647"/>
      <w:r>
        <w:rPr>
          <w:rFonts w:hint="eastAsia"/>
          <w:sz w:val="28"/>
          <w:szCs w:val="28"/>
          <w:lang w:val="en-US" w:eastAsia="zh-CN"/>
        </w:rPr>
        <w:t>一、</w:t>
      </w:r>
      <w:r>
        <w:rPr>
          <w:rFonts w:hint="eastAsia"/>
          <w:sz w:val="28"/>
          <w:szCs w:val="28"/>
        </w:rPr>
        <w:t>第一部分 合同书</w:t>
      </w:r>
      <w:bookmarkEnd w:id="127"/>
    </w:p>
    <w:p w14:paraId="4ADCDCC3">
      <w:pPr>
        <w:keepNext w:val="0"/>
        <w:keepLines w:val="0"/>
        <w:pageBreakBefore w:val="0"/>
        <w:widowControl w:val="0"/>
        <w:kinsoku/>
        <w:wordWrap/>
        <w:overflowPunct/>
        <w:topLinePunct w:val="0"/>
        <w:autoSpaceDE/>
        <w:autoSpaceDN/>
        <w:bidi w:val="0"/>
        <w:adjustRightInd/>
        <w:snapToGrid w:val="0"/>
        <w:spacing w:before="120" w:beforeLines="50" w:after="50" w:line="312"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公开招标方式  </w:t>
      </w:r>
      <w:r>
        <w:rPr>
          <w:rFonts w:hint="eastAsia" w:ascii="宋体" w:hAnsi="宋体" w:eastAsia="宋体" w:cs="宋体"/>
          <w:color w:val="auto"/>
          <w:sz w:val="24"/>
          <w:highlight w:val="none"/>
        </w:rPr>
        <w:t>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评审专家（相关评定主体名称）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cs="宋体"/>
          <w:color w:val="auto"/>
          <w:kern w:val="0"/>
          <w:sz w:val="24"/>
          <w:szCs w:val="21"/>
          <w:highlight w:val="none"/>
          <w:u w:val="single"/>
          <w:lang w:val="en-US" w:eastAsia="zh-CN" w:bidi="ar-SA"/>
        </w:rPr>
        <w:t xml:space="preserve">  </w:t>
      </w:r>
      <w:r>
        <w:rPr>
          <w:rFonts w:hint="eastAsia" w:ascii="宋体" w:hAnsi="宋体" w:eastAsia="宋体" w:cs="宋体"/>
          <w:color w:val="auto"/>
          <w:sz w:val="24"/>
          <w:highlight w:val="none"/>
          <w:u w:val="single"/>
        </w:rPr>
        <w:t>（中标人名称）</w:t>
      </w:r>
      <w:r>
        <w:rPr>
          <w:rFonts w:hint="eastAsia" w:ascii="宋体" w:hAnsi="宋体" w:eastAsia="宋体" w:cs="宋体"/>
          <w:color w:val="auto"/>
          <w:sz w:val="24"/>
          <w:highlight w:val="none"/>
        </w:rPr>
        <w:t>为该项目中标人。现于中标通知书发出之日起</w:t>
      </w:r>
      <w:r>
        <w:rPr>
          <w:rFonts w:hint="eastAsia" w:ascii="宋体" w:hAnsi="宋体" w:eastAsia="宋体" w:cs="宋体"/>
          <w:color w:val="auto"/>
          <w:sz w:val="24"/>
          <w:highlight w:val="none"/>
          <w:u w:val="single"/>
        </w:rPr>
        <w:t xml:space="preserve"> 25 </w:t>
      </w:r>
      <w:r>
        <w:rPr>
          <w:rFonts w:hint="eastAsia" w:ascii="宋体" w:hAnsi="宋体" w:eastAsia="宋体" w:cs="宋体"/>
          <w:color w:val="auto"/>
          <w:sz w:val="24"/>
          <w:highlight w:val="none"/>
        </w:rPr>
        <w:t>日内，按照采购文件确定的事项签订本合同。</w:t>
      </w:r>
    </w:p>
    <w:p w14:paraId="7B1D9B6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（中标人名称）</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4E1004">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合同组成部分</w:t>
      </w:r>
    </w:p>
    <w:p w14:paraId="5D892CA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CC6CF3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2A8843D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5C43794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7C7827BA">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1E61BDF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D7FD050">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标的物</w:t>
      </w:r>
    </w:p>
    <w:p w14:paraId="38C5980C">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标的物信息</w:t>
      </w:r>
    </w:p>
    <w:p w14:paraId="57A6EBE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1.2.1.1名称：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rPr>
        <w:t>；</w:t>
      </w:r>
    </w:p>
    <w:p w14:paraId="4C2D9B7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1.2.1.2数量：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EA15A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8D519B">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p>
    <w:p w14:paraId="42CB6DA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color w:val="auto"/>
          <w:sz w:val="24"/>
          <w:szCs w:val="24"/>
          <w:highlight w:val="none"/>
        </w:rPr>
        <w:t>人民币</w:t>
      </w:r>
      <w:r>
        <w:rPr>
          <w:rFonts w:hint="eastAsia"/>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color w:val="auto"/>
          <w:sz w:val="24"/>
          <w:szCs w:val="24"/>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highlight w:val="none"/>
          <w:u w:val="single"/>
        </w:rPr>
        <w:t>，含税）</w:t>
      </w:r>
      <w:r>
        <w:rPr>
          <w:rFonts w:hint="eastAsia" w:ascii="宋体" w:hAnsi="宋体" w:eastAsia="宋体" w:cs="宋体"/>
          <w:color w:val="auto"/>
          <w:sz w:val="24"/>
          <w:highlight w:val="none"/>
        </w:rPr>
        <w:t>。</w:t>
      </w:r>
    </w:p>
    <w:p w14:paraId="3FA513A0">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付款方式和发票开具方式</w:t>
      </w:r>
    </w:p>
    <w:p w14:paraId="40416173">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highlight w:val="none"/>
        </w:rPr>
        <w:t>1.4.1 付款方式：</w:t>
      </w:r>
      <w:r>
        <w:rPr>
          <w:rFonts w:hint="eastAsia" w:ascii="宋体" w:hAnsi="宋体" w:eastAsia="宋体" w:cs="宋体"/>
          <w:b w:val="0"/>
          <w:bCs/>
          <w:color w:val="auto"/>
          <w:kern w:val="2"/>
          <w:sz w:val="24"/>
          <w:szCs w:val="24"/>
          <w:highlight w:val="none"/>
          <w:u w:val="single"/>
          <w:lang w:val="en-US" w:eastAsia="zh-CN" w:bidi="ar-SA"/>
        </w:rPr>
        <w:t>按照《广西壮族自治区财政厅关于持续优化政府采购营商环境推动高质量发展的通知》（桂财采〔2024〕55号）精神要求，项目款结算可采取拨付预付款（在签订委托合同（协议）并进场实际开工后，可拨付不超过合同金额30%的预付款）及分段验收、分批支付的方式，加快资金拨付</w:t>
      </w:r>
      <w:r>
        <w:rPr>
          <w:rFonts w:hint="eastAsia" w:ascii="宋体" w:hAnsi="宋体" w:eastAsia="宋体" w:cs="宋体"/>
          <w:b w:val="0"/>
          <w:bCs/>
          <w:color w:val="auto"/>
          <w:kern w:val="2"/>
          <w:sz w:val="24"/>
          <w:szCs w:val="24"/>
          <w:highlight w:val="none"/>
          <w:lang w:val="en-US" w:eastAsia="zh-CN" w:bidi="ar-SA"/>
        </w:rPr>
        <w:t>。</w:t>
      </w:r>
    </w:p>
    <w:p w14:paraId="0A11AB82">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按合同完成各项措施落地及面积确认和宣传指导目标任务，并完成阶段性验收核验的，可拨付至项目中标金额的70%</w:t>
      </w:r>
      <w:r>
        <w:rPr>
          <w:rFonts w:hint="eastAsia" w:ascii="宋体" w:hAnsi="宋体" w:eastAsia="宋体" w:cs="宋体"/>
          <w:b w:val="0"/>
          <w:bCs/>
          <w:color w:val="auto"/>
          <w:kern w:val="2"/>
          <w:sz w:val="24"/>
          <w:szCs w:val="24"/>
          <w:highlight w:val="none"/>
          <w:lang w:val="en-US" w:eastAsia="zh-CN" w:bidi="ar-SA"/>
        </w:rPr>
        <w:t>。</w:t>
      </w:r>
    </w:p>
    <w:p w14:paraId="2B7A1371">
      <w:pPr>
        <w:pStyle w:val="84"/>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项目区产品（稻谷）质量（重金属）合格率结果出来后，并完成项目整体验收，按以下规则拨付剩余项目资金</w:t>
      </w:r>
      <w:r>
        <w:rPr>
          <w:rFonts w:hint="eastAsia" w:ascii="宋体" w:hAnsi="宋体" w:eastAsia="宋体" w:cs="宋体"/>
          <w:b w:val="0"/>
          <w:bCs/>
          <w:color w:val="auto"/>
          <w:kern w:val="2"/>
          <w:sz w:val="24"/>
          <w:szCs w:val="24"/>
          <w:highlight w:val="none"/>
          <w:lang w:val="en-US" w:eastAsia="zh-CN" w:bidi="ar-SA"/>
        </w:rPr>
        <w:t>：</w:t>
      </w:r>
    </w:p>
    <w:p w14:paraId="504C6C46">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highlight w:val="none"/>
          <w:u w:val="single"/>
          <w:lang w:val="en-US" w:eastAsia="zh-CN" w:bidi="ar-SA"/>
        </w:rPr>
        <w:t>1）产品合格率：≥93%，可以结算全部剩余项目资金（项目中标金额的30%）</w:t>
      </w:r>
      <w:r>
        <w:rPr>
          <w:rFonts w:hint="eastAsia" w:ascii="宋体" w:hAnsi="宋体" w:eastAsia="宋体" w:cs="宋体"/>
          <w:b w:val="0"/>
          <w:bCs/>
          <w:color w:val="auto"/>
          <w:kern w:val="2"/>
          <w:sz w:val="24"/>
          <w:szCs w:val="24"/>
          <w:highlight w:val="none"/>
          <w:lang w:val="en-US" w:eastAsia="zh-CN" w:bidi="ar-SA"/>
        </w:rPr>
        <w:t>。</w:t>
      </w:r>
    </w:p>
    <w:p w14:paraId="334F163F">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（2）产品合格率：60%（含）—93%（不含），可以结算30%项目中标金额×实际产品合格率÷93%的款项</w:t>
      </w:r>
      <w:r>
        <w:rPr>
          <w:rFonts w:hint="eastAsia" w:ascii="宋体" w:hAnsi="宋体" w:eastAsia="宋体" w:cs="宋体"/>
          <w:b w:val="0"/>
          <w:bCs/>
          <w:color w:val="auto"/>
          <w:kern w:val="2"/>
          <w:sz w:val="24"/>
          <w:szCs w:val="24"/>
          <w:highlight w:val="none"/>
          <w:lang w:val="en-US" w:eastAsia="zh-CN" w:bidi="ar-SA"/>
        </w:rPr>
        <w:t>。</w:t>
      </w:r>
    </w:p>
    <w:p w14:paraId="248FD27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b w:val="0"/>
          <w:bCs/>
          <w:color w:val="auto"/>
          <w:sz w:val="24"/>
          <w:szCs w:val="24"/>
          <w:u w:val="single"/>
        </w:rPr>
      </w:pPr>
      <w:r>
        <w:rPr>
          <w:rFonts w:hint="eastAsia" w:ascii="宋体" w:hAnsi="宋体" w:eastAsia="宋体" w:cs="宋体"/>
          <w:b w:val="0"/>
          <w:bCs/>
          <w:color w:val="auto"/>
          <w:kern w:val="2"/>
          <w:sz w:val="24"/>
          <w:szCs w:val="24"/>
          <w:highlight w:val="none"/>
          <w:u w:val="single"/>
          <w:lang w:val="en-US" w:eastAsia="zh-CN" w:bidi="ar-SA"/>
        </w:rPr>
        <w:t>（3）产品合格率：小于60%（不含），不再支付剩余款额</w:t>
      </w:r>
      <w:r>
        <w:rPr>
          <w:rFonts w:hint="eastAsia" w:ascii="宋体" w:hAnsi="宋体" w:eastAsia="宋体" w:cs="宋体"/>
          <w:b w:val="0"/>
          <w:bCs/>
          <w:color w:val="auto"/>
          <w:sz w:val="24"/>
          <w:szCs w:val="24"/>
          <w:highlight w:val="none"/>
          <w:lang w:val="en-US" w:eastAsia="zh-CN"/>
        </w:rPr>
        <w:t>。</w:t>
      </w:r>
    </w:p>
    <w:p w14:paraId="7C7BE27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电子普通发票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290979">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标的物交付期限、地点、方式和服务期限</w:t>
      </w:r>
    </w:p>
    <w:p w14:paraId="0D13D8B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sz w:val="24"/>
          <w:szCs w:val="24"/>
        </w:rPr>
        <w:t>1.5.1 交付期限：</w:t>
      </w:r>
      <w:r>
        <w:rPr>
          <w:rFonts w:hint="eastAsia" w:ascii="宋体" w:hAnsi="宋体" w:eastAsia="宋体" w:cs="宋体"/>
          <w:sz w:val="24"/>
          <w:szCs w:val="24"/>
          <w:u w:val="single"/>
          <w:lang w:val="en-US" w:eastAsia="zh-CN"/>
        </w:rPr>
        <w:t>2026年12月20日前，完成项目验收资料备案工作报玉林市农业农村局（玉林市农业生态和耕地质量保护中心）</w:t>
      </w:r>
      <w:r>
        <w:rPr>
          <w:rFonts w:hint="eastAsia" w:ascii="宋体" w:hAnsi="宋体" w:eastAsia="宋体" w:cs="宋体"/>
          <w:sz w:val="24"/>
          <w:szCs w:val="24"/>
          <w:lang w:eastAsia="zh-CN"/>
        </w:rPr>
        <w:t>；</w:t>
      </w:r>
    </w:p>
    <w:p w14:paraId="3DBAF88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北流市农业农村局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DF9EE4C">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11E79BA">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b w:val="0"/>
          <w:bCs/>
          <w:color w:val="auto"/>
          <w:szCs w:val="21"/>
          <w:lang w:val="en-US" w:eastAsia="zh-CN"/>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u w:val="none"/>
          <w:lang w:val="en-US" w:eastAsia="zh-CN"/>
        </w:rPr>
        <w:t>。</w:t>
      </w:r>
    </w:p>
    <w:p w14:paraId="3A1D443A">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违约责任</w:t>
      </w:r>
    </w:p>
    <w:p w14:paraId="59DB6EC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%；迟延超过【10】日的，甲方有权在要求乙方支付违约金的同时，书面通知乙方解除本合同，乙方应退回全部已收取的合同价款并按合同总金额的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向甲方支付违约金；</w:t>
      </w:r>
    </w:p>
    <w:p w14:paraId="7D0869B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计算，最高限额为欠付金额的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6F4536C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2BF5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元的违约金。</w:t>
      </w:r>
    </w:p>
    <w:p w14:paraId="6AC2647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EC5E3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40D169">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5630CB9">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合同争议的解决</w:t>
      </w:r>
    </w:p>
    <w:p w14:paraId="5740FCE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highlight w:val="none"/>
          <w:u w:val="single"/>
        </w:rPr>
        <w:t>1.7.2</w:t>
      </w:r>
      <w:r>
        <w:rPr>
          <w:rFonts w:hint="eastAsia" w:ascii="宋体" w:hAnsi="宋体" w:eastAsia="宋体" w:cs="宋体"/>
          <w:color w:val="auto"/>
          <w:sz w:val="24"/>
          <w:highlight w:val="none"/>
        </w:rPr>
        <w:t>种方式解决：</w:t>
      </w:r>
    </w:p>
    <w:p w14:paraId="6F87261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仲裁委员会依申请仲裁时其现行有效的仲裁规则裁决；</w:t>
      </w:r>
    </w:p>
    <w:p w14:paraId="5C04D8A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有管辖权的人民法院起诉。</w:t>
      </w:r>
    </w:p>
    <w:p w14:paraId="15AADB76">
      <w:pPr>
        <w:keepNext w:val="0"/>
        <w:keepLines w:val="0"/>
        <w:pageBreakBefore w:val="0"/>
        <w:widowControl w:val="0"/>
        <w:kinsoku/>
        <w:wordWrap/>
        <w:overflowPunct/>
        <w:topLinePunct w:val="0"/>
        <w:autoSpaceDE/>
        <w:autoSpaceDN/>
        <w:bidi w:val="0"/>
        <w:adjustRightInd/>
        <w:spacing w:line="312"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合同生效</w:t>
      </w:r>
    </w:p>
    <w:p w14:paraId="40F8A5E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本合同自双方当事人加盖有效单位公章时生效。</w:t>
      </w:r>
    </w:p>
    <w:p w14:paraId="2BB8BE93">
      <w:pPr>
        <w:pStyle w:val="2"/>
        <w:keepNext w:val="0"/>
        <w:keepLines w:val="0"/>
        <w:pageBreakBefore w:val="0"/>
        <w:widowControl w:val="0"/>
        <w:kinsoku/>
        <w:wordWrap/>
        <w:overflowPunct/>
        <w:topLinePunct w:val="0"/>
        <w:autoSpaceDE/>
        <w:autoSpaceDN/>
        <w:bidi w:val="0"/>
        <w:adjustRightInd/>
        <w:spacing w:line="312" w:lineRule="auto"/>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(以下无正文）</w:t>
      </w:r>
    </w:p>
    <w:tbl>
      <w:tblPr>
        <w:tblStyle w:val="49"/>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781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575EEFD">
            <w:pPr>
              <w:snapToGrid w:val="0"/>
              <w:spacing w:line="360" w:lineRule="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甲方：（章）</w:t>
            </w:r>
          </w:p>
          <w:p w14:paraId="2A53BD58">
            <w:pPr>
              <w:snapToGrid w:val="0"/>
              <w:spacing w:line="360" w:lineRule="auto"/>
              <w:ind w:firstLine="1080" w:firstLineChars="450"/>
              <w:jc w:val="right"/>
              <w:rPr>
                <w:rFonts w:hint="eastAsia" w:ascii="宋体" w:hAnsi="宋体" w:cs="宋体"/>
                <w:b w:val="0"/>
                <w:bCs/>
                <w:color w:val="auto"/>
                <w:sz w:val="24"/>
                <w:szCs w:val="24"/>
                <w:highlight w:val="none"/>
              </w:rPr>
            </w:pPr>
          </w:p>
          <w:p w14:paraId="76A1A8DA">
            <w:pPr>
              <w:snapToGrid w:val="0"/>
              <w:spacing w:line="360" w:lineRule="auto"/>
              <w:ind w:firstLine="1080" w:firstLineChars="450"/>
              <w:jc w:val="right"/>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EF19E6E">
            <w:pPr>
              <w:snapToGrid w:val="0"/>
              <w:spacing w:line="360" w:lineRule="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乙方：（章）       </w:t>
            </w:r>
          </w:p>
          <w:p w14:paraId="4CE3370A">
            <w:pPr>
              <w:snapToGrid w:val="0"/>
              <w:spacing w:line="360" w:lineRule="auto"/>
              <w:jc w:val="right"/>
              <w:rPr>
                <w:rFonts w:hint="eastAsia" w:ascii="宋体" w:hAnsi="宋体" w:cs="宋体"/>
                <w:b w:val="0"/>
                <w:bCs/>
                <w:color w:val="auto"/>
                <w:sz w:val="24"/>
                <w:szCs w:val="24"/>
                <w:highlight w:val="none"/>
              </w:rPr>
            </w:pPr>
          </w:p>
          <w:p w14:paraId="2D7F2308">
            <w:pPr>
              <w:snapToGrid w:val="0"/>
              <w:spacing w:line="360" w:lineRule="auto"/>
              <w:jc w:val="right"/>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年   月   日</w:t>
            </w:r>
          </w:p>
        </w:tc>
      </w:tr>
      <w:tr w14:paraId="06D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727F987">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单位地址：</w:t>
            </w:r>
            <w:r>
              <w:rPr>
                <w:rFonts w:ascii="宋体" w:hAnsi="宋体" w:cs="宋体"/>
                <w:b w:val="0"/>
                <w:bCs/>
                <w:color w:val="auto"/>
                <w:sz w:val="24"/>
                <w:szCs w:val="24"/>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E6B5E5C">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单位地址： </w:t>
            </w:r>
          </w:p>
        </w:tc>
      </w:tr>
      <w:tr w14:paraId="2C69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F296681">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FF07667">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法定代表人：</w:t>
            </w:r>
          </w:p>
        </w:tc>
      </w:tr>
      <w:tr w14:paraId="6DA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FFD56F4">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E670F52">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委托代理人：</w:t>
            </w:r>
          </w:p>
        </w:tc>
      </w:tr>
      <w:tr w14:paraId="7520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6B1699A">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8E28682">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电话：</w:t>
            </w:r>
          </w:p>
        </w:tc>
      </w:tr>
      <w:tr w14:paraId="4F09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1F4A75F">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CE076CB">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开户银行： </w:t>
            </w:r>
          </w:p>
        </w:tc>
      </w:tr>
      <w:tr w14:paraId="454D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7E0759F">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2BEA355">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账号：</w:t>
            </w:r>
          </w:p>
        </w:tc>
      </w:tr>
      <w:tr w14:paraId="3EFF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ED65974">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0A6697E">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邮政编码：</w:t>
            </w:r>
          </w:p>
        </w:tc>
      </w:tr>
    </w:tbl>
    <w:p w14:paraId="335C08A1">
      <w:pPr>
        <w:pStyle w:val="3"/>
        <w:numPr>
          <w:ilvl w:val="0"/>
          <w:numId w:val="0"/>
        </w:numPr>
        <w:bidi w:val="0"/>
        <w:spacing w:line="240" w:lineRule="auto"/>
        <w:ind w:left="0" w:leftChars="0" w:right="0" w:rightChars="0" w:firstLine="0" w:firstLineChars="0"/>
        <w:jc w:val="both"/>
        <w:rPr>
          <w:rFonts w:hint="eastAsia"/>
          <w:sz w:val="28"/>
          <w:szCs w:val="28"/>
          <w:lang w:val="en-US" w:eastAsia="zh-CN"/>
        </w:rPr>
      </w:pPr>
      <w:bookmarkStart w:id="128" w:name="_Toc22624"/>
    </w:p>
    <w:p w14:paraId="26961701">
      <w:pPr>
        <w:rPr>
          <w:rFonts w:hint="eastAsia"/>
          <w:lang w:val="en-US" w:eastAsia="zh-CN"/>
        </w:rPr>
      </w:pPr>
    </w:p>
    <w:p w14:paraId="58792801">
      <w:pPr>
        <w:pStyle w:val="3"/>
        <w:numPr>
          <w:ilvl w:val="0"/>
          <w:numId w:val="0"/>
        </w:numPr>
        <w:bidi w:val="0"/>
        <w:spacing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二、第二部分 合同一般条款</w:t>
      </w:r>
      <w:bookmarkEnd w:id="128"/>
    </w:p>
    <w:p w14:paraId="7BC97FE1">
      <w:pPr>
        <w:spacing w:line="24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定义</w:t>
      </w:r>
    </w:p>
    <w:p w14:paraId="415750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2FB7E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6445FD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77D079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28BFA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“甲方”系指与中标人签署合同的采购人；采购人委托采购机构代表其与乙方签订合同的，采购人的授权委托书作为合同附件。</w:t>
      </w:r>
    </w:p>
    <w:p w14:paraId="2ADBBF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B9C0D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“现场”系指合同约定标的物将要运至或者实施或者安装的地点。</w:t>
      </w:r>
    </w:p>
    <w:p w14:paraId="231021E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技术规范</w:t>
      </w:r>
    </w:p>
    <w:p w14:paraId="0B9569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FBBD5B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知识产权</w:t>
      </w:r>
    </w:p>
    <w:p w14:paraId="02F9E7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8843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4F2BCB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包装和装运</w:t>
      </w:r>
    </w:p>
    <w:p w14:paraId="655438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EA014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F1ED97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履约检查和问题反馈</w:t>
      </w:r>
    </w:p>
    <w:p w14:paraId="1E4D59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00DC6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p>
    <w:p w14:paraId="7982C0C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结算方式和付款条件</w:t>
      </w:r>
    </w:p>
    <w:p w14:paraId="08A19C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29E69F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技术资料和保密义务</w:t>
      </w:r>
    </w:p>
    <w:p w14:paraId="3016F5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36BC0D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5B7EB0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0EBD4B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质量保证</w:t>
      </w:r>
    </w:p>
    <w:p w14:paraId="18C071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7811BB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2CB6292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甲方有权放弃或终止合同，并没收履约保证金。</w:t>
      </w:r>
    </w:p>
    <w:p w14:paraId="1DE8C6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 xml:space="preserve"> 30%</w:t>
      </w:r>
      <w:r>
        <w:rPr>
          <w:rFonts w:hint="eastAsia" w:ascii="宋体" w:hAnsi="宋体" w:eastAsia="宋体" w:cs="宋体"/>
          <w:color w:val="auto"/>
          <w:sz w:val="24"/>
          <w:highlight w:val="none"/>
        </w:rPr>
        <w:t>。</w:t>
      </w:r>
    </w:p>
    <w:p w14:paraId="5BDA4C8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标的物的风险负担</w:t>
      </w:r>
    </w:p>
    <w:p w14:paraId="072A21C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004774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2.10 延迟交货/交付</w:t>
      </w:r>
    </w:p>
    <w:p w14:paraId="797051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2CB1B4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2.11 合同变更</w:t>
      </w:r>
    </w:p>
    <w:p w14:paraId="24BF9C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3D661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4B79F4A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2.12 合同转让和分包</w:t>
      </w:r>
    </w:p>
    <w:p w14:paraId="404A0E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F36BE3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2.13 不可抗力</w:t>
      </w:r>
    </w:p>
    <w:p w14:paraId="1C719D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5D880E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8E3B8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1ECCDF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8CC4B9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2.14 税费</w:t>
      </w:r>
    </w:p>
    <w:p w14:paraId="71CFF9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7E4507C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 乙方破产</w:t>
      </w:r>
    </w:p>
    <w:p w14:paraId="62F189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53B0E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 合同中止、终止</w:t>
      </w:r>
    </w:p>
    <w:p w14:paraId="431D4D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A0C64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385BB1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2.17 检验和验收</w:t>
      </w:r>
    </w:p>
    <w:p w14:paraId="7B529E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07474C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7BEB2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3FB3D53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 通知和送达</w:t>
      </w:r>
    </w:p>
    <w:p w14:paraId="1911D1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工作日内（根据项目实际情况填写）书面通知对方当事人，在对方当事人收到有关变更通知之前，变更前的约定送达方式或者地址仍视为有效。</w:t>
      </w:r>
    </w:p>
    <w:p w14:paraId="2BAE87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F5A491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计量单位</w:t>
      </w:r>
    </w:p>
    <w:p w14:paraId="15CB2C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0FA4D61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2.20 合同使用的文字和适用的法律</w:t>
      </w:r>
    </w:p>
    <w:p w14:paraId="4A980A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5E0F90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4A35C5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2.21 履约保证金</w:t>
      </w:r>
    </w:p>
    <w:p w14:paraId="0D0CC9C9">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B2F951F">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73C9BA9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□否）为可融资合同，关于中小企业信用融资事项见采购文件“投标人须知正文”。</w:t>
      </w:r>
    </w:p>
    <w:p w14:paraId="26484AC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p w14:paraId="2A18CED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2.23 合同份数</w:t>
      </w:r>
    </w:p>
    <w:p w14:paraId="77C795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bookmarkStart w:id="129" w:name="_Toc14257"/>
    </w:p>
    <w:p w14:paraId="33450A8A">
      <w:pPr>
        <w:pStyle w:val="2"/>
        <w:rPr>
          <w:rFonts w:hint="eastAsia" w:ascii="宋体" w:hAnsi="宋体" w:eastAsia="宋体" w:cs="宋体"/>
          <w:color w:val="auto"/>
          <w:sz w:val="24"/>
          <w:highlight w:val="none"/>
        </w:rPr>
      </w:pPr>
    </w:p>
    <w:p w14:paraId="13471147">
      <w:pPr>
        <w:pStyle w:val="2"/>
        <w:rPr>
          <w:rFonts w:hint="eastAsia" w:ascii="宋体" w:hAnsi="宋体" w:eastAsia="宋体" w:cs="宋体"/>
          <w:color w:val="auto"/>
          <w:sz w:val="24"/>
          <w:highlight w:val="none"/>
        </w:rPr>
      </w:pPr>
    </w:p>
    <w:p w14:paraId="4133EA5C">
      <w:pPr>
        <w:pStyle w:val="2"/>
        <w:rPr>
          <w:rFonts w:hint="eastAsia" w:ascii="宋体" w:hAnsi="宋体" w:eastAsia="宋体" w:cs="宋体"/>
          <w:color w:val="auto"/>
          <w:sz w:val="24"/>
          <w:highlight w:val="none"/>
        </w:rPr>
      </w:pPr>
    </w:p>
    <w:p w14:paraId="54CF4451">
      <w:pPr>
        <w:pStyle w:val="2"/>
        <w:rPr>
          <w:rFonts w:hint="eastAsia" w:ascii="宋体" w:hAnsi="宋体" w:eastAsia="宋体" w:cs="宋体"/>
          <w:color w:val="auto"/>
          <w:sz w:val="24"/>
          <w:highlight w:val="none"/>
        </w:rPr>
      </w:pPr>
    </w:p>
    <w:p w14:paraId="7AF8E186">
      <w:pPr>
        <w:pStyle w:val="2"/>
        <w:rPr>
          <w:rFonts w:hint="eastAsia" w:ascii="宋体" w:hAnsi="宋体" w:eastAsia="宋体" w:cs="宋体"/>
          <w:color w:val="auto"/>
          <w:sz w:val="24"/>
          <w:highlight w:val="none"/>
        </w:rPr>
      </w:pPr>
    </w:p>
    <w:p w14:paraId="7D3051D4">
      <w:pPr>
        <w:pStyle w:val="2"/>
        <w:rPr>
          <w:rFonts w:hint="eastAsia" w:ascii="宋体" w:hAnsi="宋体" w:eastAsia="宋体" w:cs="宋体"/>
          <w:color w:val="auto"/>
          <w:sz w:val="24"/>
          <w:highlight w:val="none"/>
        </w:rPr>
      </w:pPr>
    </w:p>
    <w:p w14:paraId="038A846F">
      <w:pPr>
        <w:pStyle w:val="2"/>
        <w:rPr>
          <w:rFonts w:hint="eastAsia" w:ascii="宋体" w:hAnsi="宋体" w:eastAsia="宋体" w:cs="宋体"/>
          <w:color w:val="auto"/>
          <w:sz w:val="24"/>
          <w:highlight w:val="none"/>
        </w:rPr>
      </w:pPr>
    </w:p>
    <w:p w14:paraId="3708AB08">
      <w:pPr>
        <w:pStyle w:val="2"/>
        <w:rPr>
          <w:rFonts w:hint="eastAsia" w:ascii="宋体" w:hAnsi="宋体" w:eastAsia="宋体" w:cs="宋体"/>
          <w:color w:val="auto"/>
          <w:sz w:val="24"/>
          <w:highlight w:val="none"/>
        </w:rPr>
      </w:pPr>
    </w:p>
    <w:p w14:paraId="7F6AA86F">
      <w:pPr>
        <w:pStyle w:val="2"/>
        <w:rPr>
          <w:rFonts w:hint="eastAsia" w:ascii="宋体" w:hAnsi="宋体" w:eastAsia="宋体" w:cs="宋体"/>
          <w:color w:val="auto"/>
          <w:sz w:val="24"/>
          <w:highlight w:val="none"/>
        </w:rPr>
      </w:pPr>
    </w:p>
    <w:p w14:paraId="7F61429B">
      <w:pPr>
        <w:pStyle w:val="2"/>
        <w:rPr>
          <w:rFonts w:hint="eastAsia" w:ascii="宋体" w:hAnsi="宋体" w:eastAsia="宋体" w:cs="宋体"/>
          <w:color w:val="auto"/>
          <w:sz w:val="24"/>
          <w:highlight w:val="none"/>
        </w:rPr>
      </w:pPr>
    </w:p>
    <w:p w14:paraId="6E163131">
      <w:pPr>
        <w:pStyle w:val="2"/>
        <w:rPr>
          <w:rFonts w:hint="eastAsia" w:ascii="宋体" w:hAnsi="宋体" w:eastAsia="宋体" w:cs="宋体"/>
          <w:color w:val="auto"/>
          <w:sz w:val="24"/>
          <w:highlight w:val="none"/>
        </w:rPr>
      </w:pPr>
    </w:p>
    <w:p w14:paraId="157C4EEE">
      <w:pPr>
        <w:pStyle w:val="2"/>
        <w:rPr>
          <w:rFonts w:hint="eastAsia" w:ascii="宋体" w:hAnsi="宋体" w:eastAsia="宋体" w:cs="宋体"/>
          <w:color w:val="auto"/>
          <w:sz w:val="24"/>
          <w:highlight w:val="none"/>
        </w:rPr>
      </w:pPr>
    </w:p>
    <w:p w14:paraId="5AFCE7BD">
      <w:pPr>
        <w:pStyle w:val="2"/>
        <w:rPr>
          <w:rFonts w:hint="eastAsia" w:ascii="宋体" w:hAnsi="宋体" w:eastAsia="宋体" w:cs="宋体"/>
          <w:color w:val="auto"/>
          <w:sz w:val="24"/>
          <w:highlight w:val="none"/>
        </w:rPr>
      </w:pPr>
    </w:p>
    <w:p w14:paraId="21DFCB9F">
      <w:pPr>
        <w:pStyle w:val="2"/>
        <w:rPr>
          <w:rFonts w:hint="eastAsia" w:ascii="宋体" w:hAnsi="宋体" w:eastAsia="宋体" w:cs="宋体"/>
          <w:color w:val="auto"/>
          <w:sz w:val="24"/>
          <w:highlight w:val="none"/>
        </w:rPr>
      </w:pPr>
    </w:p>
    <w:p w14:paraId="1F9DFCD4">
      <w:pPr>
        <w:pStyle w:val="2"/>
        <w:rPr>
          <w:rFonts w:hint="eastAsia" w:ascii="宋体" w:hAnsi="宋体" w:eastAsia="宋体" w:cs="宋体"/>
          <w:color w:val="auto"/>
          <w:sz w:val="24"/>
          <w:highlight w:val="none"/>
        </w:rPr>
      </w:pPr>
    </w:p>
    <w:p w14:paraId="4D5B27AF">
      <w:pPr>
        <w:pStyle w:val="2"/>
        <w:rPr>
          <w:rFonts w:hint="eastAsia" w:ascii="宋体" w:hAnsi="宋体" w:eastAsia="宋体" w:cs="宋体"/>
          <w:color w:val="auto"/>
          <w:sz w:val="24"/>
          <w:highlight w:val="none"/>
        </w:rPr>
      </w:pPr>
    </w:p>
    <w:p w14:paraId="06D481FF">
      <w:pPr>
        <w:pStyle w:val="2"/>
        <w:rPr>
          <w:rFonts w:hint="eastAsia" w:ascii="宋体" w:hAnsi="宋体" w:eastAsia="宋体" w:cs="宋体"/>
          <w:color w:val="auto"/>
          <w:sz w:val="24"/>
          <w:highlight w:val="none"/>
        </w:rPr>
      </w:pPr>
    </w:p>
    <w:p w14:paraId="2FD7BEEB">
      <w:pPr>
        <w:pStyle w:val="2"/>
        <w:rPr>
          <w:rFonts w:hint="eastAsia" w:ascii="宋体" w:hAnsi="宋体" w:eastAsia="宋体" w:cs="宋体"/>
          <w:color w:val="auto"/>
          <w:sz w:val="24"/>
          <w:highlight w:val="none"/>
        </w:rPr>
      </w:pPr>
    </w:p>
    <w:p w14:paraId="03CBF048">
      <w:pPr>
        <w:pStyle w:val="2"/>
        <w:rPr>
          <w:rFonts w:hint="eastAsia" w:ascii="宋体" w:hAnsi="宋体" w:eastAsia="宋体" w:cs="宋体"/>
          <w:color w:val="auto"/>
          <w:sz w:val="24"/>
          <w:highlight w:val="none"/>
          <w:lang w:val="en-US" w:eastAsia="zh-CN"/>
        </w:rPr>
      </w:pPr>
    </w:p>
    <w:p w14:paraId="388D6222">
      <w:pPr>
        <w:pStyle w:val="3"/>
        <w:numPr>
          <w:ilvl w:val="0"/>
          <w:numId w:val="0"/>
        </w:numPr>
        <w:bidi w:val="0"/>
        <w:spacing w:line="240" w:lineRule="auto"/>
        <w:ind w:left="0" w:leftChars="0" w:right="0" w:rightChars="0" w:firstLine="0" w:firstLineChars="0"/>
        <w:jc w:val="center"/>
        <w:rPr>
          <w:rFonts w:hint="eastAsia" w:ascii="宋体" w:hAnsi="宋体" w:eastAsia="宋体" w:cs="宋体"/>
          <w:b/>
          <w:color w:val="auto"/>
          <w:sz w:val="28"/>
          <w:szCs w:val="28"/>
          <w:highlight w:val="none"/>
        </w:rPr>
      </w:pPr>
      <w:r>
        <w:rPr>
          <w:rFonts w:hint="eastAsia"/>
          <w:sz w:val="28"/>
          <w:szCs w:val="28"/>
          <w:lang w:val="en-US" w:eastAsia="zh-CN"/>
        </w:rPr>
        <w:t>三、第三部分  合同专用条款</w:t>
      </w:r>
      <w:bookmarkEnd w:id="129"/>
    </w:p>
    <w:p w14:paraId="682868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BBC12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2FF4A0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乙方应保证所提供的货物或其任何一部分均不会侵犯任何第三方的专利权、商标权或著作权。（2）乙方保证所交付货物的所有权完全属于乙方且无任何抵押、查封等产权瑕疵。如乙方所交付货物有产权瑕疵的，视为乙方违约，按照本合同约定处理。但在已经全部支付完合同款后才发现有产权瑕疵的，乙方除了支付违约金还应负担甲方由此产生的一切损失</w:t>
      </w:r>
      <w:r>
        <w:rPr>
          <w:rFonts w:hint="eastAsia" w:ascii="宋体" w:hAnsi="宋体" w:eastAsia="宋体" w:cs="宋体"/>
          <w:color w:val="auto"/>
          <w:sz w:val="24"/>
          <w:highlight w:val="none"/>
        </w:rPr>
        <w:t xml:space="preserve">          </w:t>
      </w:r>
    </w:p>
    <w:p w14:paraId="6AE4BB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70EEC0E3">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由乙方全程负责运输</w:t>
      </w:r>
      <w:r>
        <w:rPr>
          <w:rFonts w:hint="eastAsia" w:ascii="宋体" w:hAnsi="宋体" w:eastAsia="宋体" w:cs="宋体"/>
          <w:color w:val="auto"/>
          <w:sz w:val="24"/>
          <w:highlight w:val="none"/>
          <w:u w:val="single"/>
          <w:lang w:eastAsia="zh-CN"/>
        </w:rPr>
        <w:t>。</w:t>
      </w:r>
    </w:p>
    <w:p w14:paraId="3D7635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43E618A6">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 xml:space="preserve">  符合验收要求</w:t>
      </w:r>
      <w:r>
        <w:rPr>
          <w:rFonts w:hint="eastAsia" w:ascii="宋体" w:hAnsi="宋体" w:eastAsia="宋体" w:cs="宋体"/>
          <w:color w:val="auto"/>
          <w:sz w:val="24"/>
          <w:highlight w:val="none"/>
          <w:u w:val="single"/>
          <w:lang w:eastAsia="zh-CN"/>
        </w:rPr>
        <w:t>。</w:t>
      </w:r>
    </w:p>
    <w:p w14:paraId="56F7A4B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082F82F6">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sz w:val="24"/>
          <w:szCs w:val="24"/>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kern w:val="0"/>
          <w:sz w:val="24"/>
          <w:highlight w:val="none"/>
          <w:lang w:val="zh-CN"/>
        </w:rPr>
        <w:t>。本项目采用以下勾选结算方式进行支付：</w:t>
      </w:r>
    </w:p>
    <w:p w14:paraId="0B33DE02">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lang w:val="en-US" w:eastAsia="zh-CN"/>
        </w:rPr>
        <w:t>。</w:t>
      </w:r>
    </w:p>
    <w:p w14:paraId="490B7F62">
      <w:pPr>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r>
        <w:rPr>
          <w:rFonts w:hint="eastAsia" w:ascii="宋体" w:hAnsi="宋体" w:eastAsia="宋体" w:cs="宋体"/>
          <w:b w:val="0"/>
          <w:bCs/>
          <w:color w:val="auto"/>
          <w:kern w:val="2"/>
          <w:sz w:val="24"/>
          <w:szCs w:val="24"/>
          <w:highlight w:val="none"/>
          <w:u w:val="single"/>
          <w:lang w:val="en-US" w:eastAsia="zh-CN" w:bidi="ar-SA"/>
        </w:rPr>
        <w:t>按照《广西壮族自治区财政厅关于持续优化政府采购营商环境推动高质量发展的通知》（桂财采〔2024〕55号）精神要求，项目款结算可采取拨付预付款（在签订委托合同（协议）并进场实际开工后，可拨付不超过合同金额30%的预付款）及分段验收、分批支付的方式，加快资金拨付</w:t>
      </w:r>
      <w:r>
        <w:rPr>
          <w:rFonts w:hint="eastAsia" w:ascii="宋体" w:hAnsi="宋体" w:eastAsia="宋体" w:cs="宋体"/>
          <w:b w:val="0"/>
          <w:bCs/>
          <w:color w:val="auto"/>
          <w:kern w:val="2"/>
          <w:sz w:val="24"/>
          <w:szCs w:val="24"/>
          <w:highlight w:val="none"/>
          <w:lang w:val="en-US" w:eastAsia="zh-CN" w:bidi="ar-SA"/>
        </w:rPr>
        <w:t>。</w:t>
      </w:r>
    </w:p>
    <w:p w14:paraId="545B01BC">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按合同完成各项措施落地及面积确认和宣传指导目标任务，并完成阶段性验收核验的，可拨付至项目中标金额的70%</w:t>
      </w:r>
      <w:r>
        <w:rPr>
          <w:rFonts w:hint="eastAsia" w:ascii="宋体" w:hAnsi="宋体" w:eastAsia="宋体" w:cs="宋体"/>
          <w:b w:val="0"/>
          <w:bCs/>
          <w:color w:val="auto"/>
          <w:kern w:val="2"/>
          <w:sz w:val="24"/>
          <w:szCs w:val="24"/>
          <w:highlight w:val="none"/>
          <w:lang w:val="en-US" w:eastAsia="zh-CN" w:bidi="ar-SA"/>
        </w:rPr>
        <w:t>。</w:t>
      </w:r>
    </w:p>
    <w:p w14:paraId="3CBF2EE1">
      <w:pPr>
        <w:pStyle w:val="84"/>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项目区产品（稻谷）质量（重金属）合格率结果出来后，并完成项目整体验收，按以下规则拨付剩余项目资金</w:t>
      </w:r>
      <w:r>
        <w:rPr>
          <w:rFonts w:hint="eastAsia" w:ascii="宋体" w:hAnsi="宋体" w:eastAsia="宋体" w:cs="宋体"/>
          <w:b w:val="0"/>
          <w:bCs/>
          <w:color w:val="auto"/>
          <w:kern w:val="2"/>
          <w:sz w:val="24"/>
          <w:szCs w:val="24"/>
          <w:highlight w:val="none"/>
          <w:lang w:val="en-US" w:eastAsia="zh-CN" w:bidi="ar-SA"/>
        </w:rPr>
        <w:t>：</w:t>
      </w:r>
    </w:p>
    <w:p w14:paraId="5467F043">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（1）产品合格率：≥93%，可以结算全部剩余项目资金（项目中标金额的30%）</w:t>
      </w:r>
      <w:r>
        <w:rPr>
          <w:rFonts w:hint="eastAsia" w:ascii="宋体" w:hAnsi="宋体" w:eastAsia="宋体" w:cs="宋体"/>
          <w:b w:val="0"/>
          <w:bCs/>
          <w:color w:val="auto"/>
          <w:kern w:val="2"/>
          <w:sz w:val="24"/>
          <w:szCs w:val="24"/>
          <w:highlight w:val="none"/>
          <w:lang w:val="en-US" w:eastAsia="zh-CN" w:bidi="ar-SA"/>
        </w:rPr>
        <w:t>。</w:t>
      </w:r>
    </w:p>
    <w:p w14:paraId="0668BC90">
      <w:pPr>
        <w:pStyle w:val="84"/>
        <w:keepNext w:val="0"/>
        <w:keepLines w:val="0"/>
        <w:pageBreakBefore w:val="0"/>
        <w:kinsoku/>
        <w:wordWrap/>
        <w:overflowPunct/>
        <w:topLinePunct w:val="0"/>
        <w:bidi w:val="0"/>
        <w:adjustRightInd/>
        <w:snapToGrid/>
        <w:spacing w:line="288"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single"/>
          <w:lang w:val="en-US" w:eastAsia="zh-CN" w:bidi="ar-SA"/>
        </w:rPr>
        <w:t>（2）产品合格率：60%（含）—93%（不含），可以结算30%项目中标金额×实际产品合格率÷93%的款项</w:t>
      </w:r>
      <w:r>
        <w:rPr>
          <w:rFonts w:hint="eastAsia" w:ascii="宋体" w:hAnsi="宋体" w:eastAsia="宋体" w:cs="宋体"/>
          <w:b w:val="0"/>
          <w:bCs/>
          <w:color w:val="auto"/>
          <w:kern w:val="2"/>
          <w:sz w:val="24"/>
          <w:szCs w:val="24"/>
          <w:highlight w:val="none"/>
          <w:lang w:val="en-US" w:eastAsia="zh-CN" w:bidi="ar-SA"/>
        </w:rPr>
        <w:t>。</w:t>
      </w:r>
    </w:p>
    <w:p w14:paraId="23A192C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b w:val="0"/>
          <w:bCs/>
          <w:color w:val="auto"/>
          <w:sz w:val="24"/>
          <w:szCs w:val="24"/>
          <w:u w:val="single"/>
        </w:rPr>
      </w:pPr>
      <w:r>
        <w:rPr>
          <w:rFonts w:hint="eastAsia" w:ascii="宋体" w:hAnsi="宋体" w:eastAsia="宋体" w:cs="宋体"/>
          <w:b w:val="0"/>
          <w:bCs/>
          <w:color w:val="auto"/>
          <w:kern w:val="2"/>
          <w:sz w:val="24"/>
          <w:szCs w:val="24"/>
          <w:highlight w:val="none"/>
          <w:u w:val="single"/>
          <w:lang w:val="en-US" w:eastAsia="zh-CN" w:bidi="ar-SA"/>
        </w:rPr>
        <w:t>（3）产品合格率：小于60%（不含），不再支付剩余款额</w:t>
      </w:r>
      <w:r>
        <w:rPr>
          <w:rFonts w:hint="eastAsia" w:ascii="宋体" w:hAnsi="宋体" w:eastAsia="宋体" w:cs="宋体"/>
          <w:b w:val="0"/>
          <w:bCs/>
          <w:color w:val="auto"/>
          <w:sz w:val="24"/>
          <w:szCs w:val="24"/>
          <w:highlight w:val="none"/>
          <w:lang w:val="en-US" w:eastAsia="zh-CN"/>
        </w:rPr>
        <w:t>。</w:t>
      </w:r>
    </w:p>
    <w:p w14:paraId="54416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承担违约责任，违约金上限按照《合同书》约定执行。</w:t>
      </w:r>
    </w:p>
    <w:p w14:paraId="01DE4D9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330807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D552B3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57CD30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日内（根据项目实际情况填写）以书面形式通知对方当事人，并在</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日内（根据项目实际情况填写），将有关部门出具的证明文件送达对方当事人。</w:t>
      </w:r>
    </w:p>
    <w:p w14:paraId="37FDE0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日内（根据项目实际情况填写）以书面形式变更合同；</w:t>
      </w:r>
    </w:p>
    <w:p w14:paraId="00D2D6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日内（根据项目实际情况填写）发起验收，并可依法邀请相关方参加，验收应出具验收书。</w:t>
      </w:r>
    </w:p>
    <w:p w14:paraId="471513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76416A1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验收小组对照合同中各服务参数进行验收，与合同一致即为合格。服务需求一览表符合招标文件及投标文件要求，无任何变动，提交服务成果后验收付款</w:t>
      </w:r>
      <w:r>
        <w:rPr>
          <w:rFonts w:hint="eastAsia" w:ascii="宋体" w:hAnsi="宋体" w:eastAsia="宋体" w:cs="宋体"/>
          <w:color w:val="auto"/>
          <w:sz w:val="24"/>
          <w:highlight w:val="none"/>
          <w:u w:val="none"/>
        </w:rPr>
        <w:t>。</w:t>
      </w:r>
    </w:p>
    <w:p w14:paraId="51C142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41C846F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0880F5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6370F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5D1AA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支付采购资金。验收不合格的项目，甲方将依法及时处理。采购合同的履行、违约责任和解决争议的方式等适用《中华人民共和国民法典》，并按照《合同书》约定执行。</w:t>
      </w:r>
    </w:p>
    <w:p w14:paraId="6887FE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338F1E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29292E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3B6B8638">
      <w:pPr>
        <w:tabs>
          <w:tab w:val="left" w:pos="904"/>
        </w:tabs>
        <w:snapToGrid w:val="0"/>
        <w:spacing w:line="360" w:lineRule="auto"/>
        <w:ind w:firstLine="480" w:firstLineChars="200"/>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5.1验收内容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2FE44E65">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57941404">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B12E25D">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29DA0E35">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0B57874B">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3741677D">
      <w:pPr>
        <w:tabs>
          <w:tab w:val="left" w:pos="904"/>
        </w:tabs>
        <w:adjustRightInd w:val="0"/>
        <w:snapToGrid w:val="0"/>
        <w:spacing w:line="360" w:lineRule="auto"/>
        <w:ind w:firstLine="240" w:firstLineChars="100"/>
        <w:jc w:val="left"/>
        <w:rPr>
          <w:rFonts w:hint="eastAsia" w:ascii="宋体" w:hAnsi="宋体" w:cs="宋体"/>
          <w:b w:val="0"/>
          <w:bCs/>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）其他需提供的相关材料。</w:t>
      </w:r>
    </w:p>
    <w:p w14:paraId="095A5A6B">
      <w:pPr>
        <w:snapToGrid w:val="0"/>
        <w:jc w:val="center"/>
        <w:rPr>
          <w:rFonts w:hint="eastAsia" w:ascii="宋体" w:hAnsi="宋体"/>
          <w:b w:val="0"/>
          <w:bCs/>
          <w:color w:val="auto"/>
          <w:sz w:val="32"/>
          <w:szCs w:val="32"/>
          <w:highlight w:val="none"/>
        </w:rPr>
      </w:pPr>
    </w:p>
    <w:p w14:paraId="296B6774">
      <w:pPr>
        <w:pStyle w:val="30"/>
        <w:rPr>
          <w:rFonts w:hint="eastAsia" w:ascii="宋体" w:hAnsi="宋体" w:cs="宋体"/>
          <w:b/>
          <w:bCs/>
          <w:color w:val="auto"/>
          <w:sz w:val="24"/>
          <w:highlight w:val="none"/>
        </w:rPr>
      </w:pPr>
    </w:p>
    <w:p w14:paraId="7403F5BD">
      <w:pPr>
        <w:pStyle w:val="30"/>
        <w:rPr>
          <w:rFonts w:hint="eastAsia" w:ascii="宋体" w:hAnsi="宋体" w:cs="宋体"/>
          <w:b/>
          <w:bCs/>
          <w:color w:val="auto"/>
          <w:sz w:val="24"/>
          <w:highlight w:val="none"/>
        </w:rPr>
      </w:pPr>
    </w:p>
    <w:p w14:paraId="62F75541">
      <w:pPr>
        <w:pStyle w:val="30"/>
        <w:rPr>
          <w:rFonts w:hint="eastAsia" w:ascii="宋体" w:hAnsi="宋体" w:cs="宋体"/>
          <w:b/>
          <w:bCs/>
          <w:color w:val="auto"/>
          <w:sz w:val="24"/>
          <w:highlight w:val="none"/>
        </w:rPr>
      </w:pPr>
    </w:p>
    <w:p w14:paraId="256BB89E">
      <w:pPr>
        <w:pStyle w:val="30"/>
        <w:rPr>
          <w:rFonts w:hint="eastAsia" w:ascii="宋体" w:hAnsi="宋体" w:cs="宋体"/>
          <w:b/>
          <w:bCs/>
          <w:color w:val="auto"/>
          <w:sz w:val="24"/>
          <w:highlight w:val="none"/>
        </w:rPr>
      </w:pPr>
    </w:p>
    <w:p w14:paraId="5D0078F0">
      <w:pPr>
        <w:pStyle w:val="30"/>
        <w:rPr>
          <w:rFonts w:hint="eastAsia" w:ascii="宋体" w:hAnsi="宋体" w:cs="宋体"/>
          <w:b/>
          <w:bCs/>
          <w:color w:val="auto"/>
          <w:sz w:val="24"/>
          <w:highlight w:val="none"/>
        </w:rPr>
      </w:pPr>
    </w:p>
    <w:p w14:paraId="2C04249C">
      <w:pPr>
        <w:pStyle w:val="30"/>
        <w:rPr>
          <w:rFonts w:hint="eastAsia" w:ascii="宋体" w:hAnsi="宋体" w:cs="宋体"/>
          <w:b/>
          <w:bCs/>
          <w:color w:val="auto"/>
          <w:sz w:val="24"/>
          <w:highlight w:val="none"/>
        </w:rPr>
      </w:pPr>
    </w:p>
    <w:p w14:paraId="005A09D6">
      <w:pPr>
        <w:pStyle w:val="30"/>
        <w:rPr>
          <w:rFonts w:hint="eastAsia" w:ascii="宋体" w:hAnsi="宋体" w:cs="宋体"/>
          <w:b/>
          <w:bCs/>
          <w:color w:val="auto"/>
          <w:sz w:val="24"/>
          <w:highlight w:val="none"/>
        </w:rPr>
      </w:pPr>
    </w:p>
    <w:p w14:paraId="7824C293">
      <w:pPr>
        <w:pStyle w:val="30"/>
        <w:rPr>
          <w:rFonts w:hint="eastAsia" w:ascii="宋体" w:hAnsi="宋体" w:cs="宋体"/>
          <w:b/>
          <w:bCs/>
          <w:color w:val="auto"/>
          <w:sz w:val="24"/>
          <w:highlight w:val="none"/>
        </w:rPr>
      </w:pPr>
    </w:p>
    <w:p w14:paraId="0DA87856">
      <w:pPr>
        <w:pStyle w:val="30"/>
        <w:rPr>
          <w:rFonts w:hint="eastAsia" w:ascii="宋体" w:hAnsi="宋体" w:cs="宋体"/>
          <w:b/>
          <w:bCs/>
          <w:color w:val="auto"/>
          <w:sz w:val="24"/>
          <w:highlight w:val="none"/>
        </w:rPr>
      </w:pPr>
    </w:p>
    <w:p w14:paraId="5415EF17">
      <w:pPr>
        <w:pStyle w:val="30"/>
        <w:rPr>
          <w:rFonts w:hint="eastAsia" w:ascii="宋体" w:hAnsi="宋体" w:cs="宋体"/>
          <w:b/>
          <w:bCs/>
          <w:color w:val="auto"/>
          <w:sz w:val="24"/>
          <w:highlight w:val="none"/>
        </w:rPr>
      </w:pPr>
    </w:p>
    <w:p w14:paraId="37055506">
      <w:pPr>
        <w:pStyle w:val="30"/>
        <w:rPr>
          <w:rFonts w:hint="eastAsia" w:ascii="宋体" w:hAnsi="宋体" w:cs="宋体"/>
          <w:b/>
          <w:bCs/>
          <w:color w:val="auto"/>
          <w:sz w:val="24"/>
          <w:highlight w:val="none"/>
        </w:rPr>
      </w:pPr>
    </w:p>
    <w:p w14:paraId="5C02D4E7">
      <w:pPr>
        <w:pStyle w:val="30"/>
        <w:rPr>
          <w:rFonts w:hint="eastAsia" w:ascii="宋体" w:hAnsi="宋体" w:cs="宋体"/>
          <w:b/>
          <w:bCs/>
          <w:color w:val="auto"/>
          <w:sz w:val="24"/>
          <w:highlight w:val="none"/>
        </w:rPr>
      </w:pPr>
    </w:p>
    <w:p w14:paraId="2BC448A6">
      <w:pPr>
        <w:pStyle w:val="30"/>
        <w:rPr>
          <w:rFonts w:hint="eastAsia" w:ascii="宋体" w:hAnsi="宋体" w:cs="宋体"/>
          <w:b/>
          <w:bCs/>
          <w:color w:val="auto"/>
          <w:sz w:val="24"/>
          <w:highlight w:val="none"/>
        </w:rPr>
      </w:pPr>
    </w:p>
    <w:p w14:paraId="1A2987F5">
      <w:pPr>
        <w:pStyle w:val="30"/>
        <w:rPr>
          <w:rFonts w:hint="eastAsia" w:ascii="宋体" w:hAnsi="宋体" w:cs="宋体"/>
          <w:b/>
          <w:bCs/>
          <w:color w:val="auto"/>
          <w:sz w:val="24"/>
          <w:highlight w:val="none"/>
        </w:rPr>
      </w:pPr>
    </w:p>
    <w:p w14:paraId="3702B042">
      <w:pPr>
        <w:pStyle w:val="30"/>
        <w:rPr>
          <w:rFonts w:hint="eastAsia" w:ascii="宋体" w:hAnsi="宋体" w:cs="宋体"/>
          <w:b/>
          <w:bCs/>
          <w:color w:val="auto"/>
          <w:sz w:val="24"/>
          <w:highlight w:val="none"/>
        </w:rPr>
      </w:pPr>
    </w:p>
    <w:p w14:paraId="50B5716F">
      <w:pPr>
        <w:pStyle w:val="30"/>
        <w:rPr>
          <w:rFonts w:hint="eastAsia" w:ascii="宋体" w:hAnsi="宋体" w:cs="宋体"/>
          <w:b/>
          <w:bCs/>
          <w:color w:val="auto"/>
          <w:sz w:val="24"/>
          <w:highlight w:val="none"/>
        </w:rPr>
      </w:pPr>
    </w:p>
    <w:p w14:paraId="573838CD">
      <w:pPr>
        <w:pStyle w:val="30"/>
        <w:rPr>
          <w:rFonts w:hint="eastAsia" w:ascii="宋体" w:hAnsi="宋体" w:cs="宋体"/>
          <w:b/>
          <w:bCs/>
          <w:color w:val="auto"/>
          <w:sz w:val="24"/>
          <w:highlight w:val="none"/>
        </w:rPr>
      </w:pPr>
    </w:p>
    <w:p w14:paraId="7BE8D65F">
      <w:pPr>
        <w:pStyle w:val="30"/>
        <w:rPr>
          <w:rFonts w:hint="eastAsia" w:ascii="宋体" w:hAnsi="宋体" w:cs="宋体"/>
          <w:b/>
          <w:bCs/>
          <w:color w:val="auto"/>
          <w:sz w:val="24"/>
          <w:highlight w:val="none"/>
        </w:rPr>
      </w:pPr>
    </w:p>
    <w:p w14:paraId="4F323977">
      <w:pPr>
        <w:pStyle w:val="30"/>
        <w:rPr>
          <w:rFonts w:hint="eastAsia" w:ascii="宋体" w:hAnsi="宋体" w:cs="宋体"/>
          <w:b/>
          <w:bCs/>
          <w:color w:val="auto"/>
          <w:sz w:val="24"/>
          <w:highlight w:val="none"/>
        </w:rPr>
      </w:pPr>
    </w:p>
    <w:p w14:paraId="4876F191">
      <w:pPr>
        <w:pStyle w:val="30"/>
        <w:rPr>
          <w:rFonts w:hint="eastAsia" w:ascii="宋体" w:hAnsi="宋体" w:cs="宋体"/>
          <w:b/>
          <w:bCs/>
          <w:color w:val="auto"/>
          <w:sz w:val="24"/>
          <w:highlight w:val="none"/>
        </w:rPr>
      </w:pPr>
    </w:p>
    <w:p w14:paraId="7D0BB550">
      <w:pPr>
        <w:pStyle w:val="30"/>
        <w:rPr>
          <w:rFonts w:hint="eastAsia" w:ascii="宋体" w:hAnsi="宋体" w:cs="宋体"/>
          <w:b/>
          <w:bCs/>
          <w:color w:val="auto"/>
          <w:sz w:val="24"/>
          <w:highlight w:val="none"/>
        </w:rPr>
      </w:pPr>
    </w:p>
    <w:p w14:paraId="514D94F4">
      <w:pPr>
        <w:snapToGrid w:val="0"/>
        <w:spacing w:before="50" w:after="50"/>
        <w:jc w:val="center"/>
        <w:outlineLvl w:val="1"/>
        <w:rPr>
          <w:rFonts w:hint="eastAsia" w:ascii="宋体" w:hAnsi="宋体" w:cs="宋体"/>
          <w:b/>
          <w:bCs/>
          <w:color w:val="auto"/>
          <w:sz w:val="36"/>
          <w:szCs w:val="36"/>
          <w:highlight w:val="none"/>
        </w:rPr>
      </w:pPr>
      <w:bookmarkStart w:id="130" w:name="_Toc32425"/>
    </w:p>
    <w:p w14:paraId="21CE4C15">
      <w:pPr>
        <w:snapToGrid w:val="0"/>
        <w:spacing w:before="50" w:after="50"/>
        <w:jc w:val="center"/>
        <w:outlineLvl w:val="1"/>
        <w:rPr>
          <w:rFonts w:hint="eastAsia" w:ascii="宋体" w:hAnsi="宋体" w:cs="宋体"/>
          <w:b/>
          <w:bCs/>
          <w:color w:val="auto"/>
          <w:sz w:val="36"/>
          <w:szCs w:val="36"/>
          <w:highlight w:val="none"/>
        </w:rPr>
      </w:pPr>
    </w:p>
    <w:p w14:paraId="66851C70">
      <w:pPr>
        <w:snapToGrid w:val="0"/>
        <w:spacing w:before="50" w:after="50"/>
        <w:jc w:val="center"/>
        <w:outlineLvl w:val="1"/>
        <w:rPr>
          <w:rFonts w:hint="eastAsia" w:ascii="宋体" w:hAnsi="宋体" w:cs="宋体"/>
          <w:b/>
          <w:bCs/>
          <w:color w:val="auto"/>
          <w:sz w:val="36"/>
          <w:szCs w:val="36"/>
          <w:highlight w:val="none"/>
        </w:rPr>
      </w:pPr>
    </w:p>
    <w:p w14:paraId="26F157DD">
      <w:pPr>
        <w:snapToGrid w:val="0"/>
        <w:spacing w:before="50" w:after="50"/>
        <w:jc w:val="center"/>
        <w:outlineLvl w:val="1"/>
        <w:rPr>
          <w:rFonts w:hint="eastAsia" w:ascii="宋体" w:hAnsi="宋体" w:cs="宋体"/>
          <w:b/>
          <w:bCs/>
          <w:color w:val="auto"/>
          <w:sz w:val="36"/>
          <w:szCs w:val="36"/>
          <w:highlight w:val="none"/>
        </w:rPr>
      </w:pPr>
    </w:p>
    <w:p w14:paraId="0901E09B">
      <w:pPr>
        <w:snapToGrid w:val="0"/>
        <w:spacing w:before="50" w:after="50"/>
        <w:jc w:val="center"/>
        <w:outlineLvl w:val="1"/>
        <w:rPr>
          <w:rFonts w:hint="eastAsia" w:ascii="宋体" w:hAnsi="宋体" w:cs="宋体"/>
          <w:b/>
          <w:bCs/>
          <w:color w:val="auto"/>
          <w:sz w:val="36"/>
          <w:szCs w:val="36"/>
          <w:highlight w:val="none"/>
        </w:rPr>
      </w:pPr>
    </w:p>
    <w:p w14:paraId="3CD39DAF">
      <w:pPr>
        <w:snapToGrid w:val="0"/>
        <w:spacing w:before="50" w:after="50"/>
        <w:jc w:val="center"/>
        <w:outlineLvl w:val="1"/>
        <w:rPr>
          <w:rFonts w:hint="eastAsia" w:ascii="宋体" w:hAnsi="宋体" w:cs="宋体"/>
          <w:b/>
          <w:bCs/>
          <w:color w:val="auto"/>
          <w:sz w:val="36"/>
          <w:szCs w:val="36"/>
          <w:highlight w:val="none"/>
        </w:rPr>
      </w:pPr>
    </w:p>
    <w:p w14:paraId="1033E007">
      <w:pPr>
        <w:snapToGrid w:val="0"/>
        <w:spacing w:before="50" w:after="50"/>
        <w:jc w:val="center"/>
        <w:outlineLvl w:val="1"/>
        <w:rPr>
          <w:rFonts w:hint="eastAsia" w:ascii="宋体" w:hAnsi="宋体" w:cs="宋体"/>
          <w:b/>
          <w:bCs/>
          <w:color w:val="auto"/>
          <w:sz w:val="36"/>
          <w:szCs w:val="36"/>
          <w:highlight w:val="none"/>
        </w:rPr>
      </w:pPr>
    </w:p>
    <w:p w14:paraId="6B521E37">
      <w:pPr>
        <w:snapToGrid w:val="0"/>
        <w:spacing w:before="50" w:after="50"/>
        <w:jc w:val="center"/>
        <w:outlineLvl w:val="1"/>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第六章  投标文件格式</w:t>
      </w:r>
      <w:bookmarkEnd w:id="130"/>
    </w:p>
    <w:p w14:paraId="4A84A9EE">
      <w:pPr>
        <w:snapToGrid w:val="0"/>
        <w:spacing w:before="50" w:after="50"/>
        <w:outlineLvl w:val="1"/>
        <w:rPr>
          <w:rFonts w:hint="eastAsia" w:ascii="宋体" w:hAnsi="宋体" w:cs="宋体"/>
          <w:b/>
          <w:bCs/>
          <w:color w:val="auto"/>
          <w:sz w:val="24"/>
          <w:highlight w:val="none"/>
        </w:rPr>
      </w:pPr>
    </w:p>
    <w:bookmarkEnd w:id="125"/>
    <w:bookmarkEnd w:id="126"/>
    <w:p w14:paraId="2BCD7602">
      <w:pPr>
        <w:snapToGrid w:val="0"/>
        <w:spacing w:before="120" w:beforeLines="50" w:after="50" w:line="360" w:lineRule="auto"/>
        <w:ind w:left="142"/>
        <w:jc w:val="left"/>
        <w:rPr>
          <w:rFonts w:hint="eastAsia" w:ascii="宋体" w:hAnsi="宋体" w:cs="宋体"/>
          <w:b/>
          <w:color w:val="auto"/>
          <w:sz w:val="24"/>
          <w:highlight w:val="none"/>
        </w:rPr>
      </w:pPr>
    </w:p>
    <w:p w14:paraId="7A5513EE">
      <w:pPr>
        <w:snapToGrid w:val="0"/>
        <w:spacing w:before="120" w:beforeLines="50" w:after="50" w:line="360" w:lineRule="auto"/>
        <w:ind w:left="142"/>
        <w:jc w:val="left"/>
        <w:rPr>
          <w:rFonts w:hint="eastAsia" w:ascii="宋体" w:hAnsi="宋体" w:cs="宋体"/>
          <w:b/>
          <w:color w:val="auto"/>
          <w:sz w:val="24"/>
          <w:highlight w:val="none"/>
        </w:rPr>
      </w:pPr>
    </w:p>
    <w:p w14:paraId="08FC66DE">
      <w:pPr>
        <w:snapToGrid w:val="0"/>
        <w:spacing w:before="120" w:beforeLines="50" w:after="50" w:line="360" w:lineRule="auto"/>
        <w:ind w:left="142"/>
        <w:jc w:val="left"/>
        <w:rPr>
          <w:rFonts w:hint="eastAsia" w:ascii="宋体" w:hAnsi="宋体" w:cs="宋体"/>
          <w:b/>
          <w:color w:val="auto"/>
          <w:sz w:val="24"/>
          <w:highlight w:val="none"/>
        </w:rPr>
      </w:pPr>
    </w:p>
    <w:p w14:paraId="24267EFB">
      <w:pPr>
        <w:snapToGrid w:val="0"/>
        <w:spacing w:before="120" w:beforeLines="50" w:after="50" w:line="360" w:lineRule="auto"/>
        <w:ind w:left="142"/>
        <w:jc w:val="left"/>
        <w:rPr>
          <w:rFonts w:hint="eastAsia" w:ascii="宋体" w:hAnsi="宋体" w:cs="宋体"/>
          <w:b/>
          <w:color w:val="auto"/>
          <w:sz w:val="24"/>
          <w:highlight w:val="none"/>
        </w:rPr>
      </w:pPr>
    </w:p>
    <w:p w14:paraId="7D771306">
      <w:pPr>
        <w:snapToGrid w:val="0"/>
        <w:spacing w:before="120" w:beforeLines="50" w:after="50" w:line="360" w:lineRule="auto"/>
        <w:ind w:left="142"/>
        <w:jc w:val="left"/>
        <w:rPr>
          <w:rFonts w:hint="eastAsia" w:ascii="宋体" w:hAnsi="宋体" w:cs="宋体"/>
          <w:b/>
          <w:color w:val="auto"/>
          <w:sz w:val="24"/>
          <w:highlight w:val="none"/>
        </w:rPr>
      </w:pPr>
    </w:p>
    <w:p w14:paraId="62B5288F">
      <w:pPr>
        <w:snapToGrid w:val="0"/>
        <w:spacing w:before="120" w:beforeLines="50" w:after="50" w:line="360" w:lineRule="auto"/>
        <w:ind w:left="142"/>
        <w:jc w:val="left"/>
        <w:rPr>
          <w:rFonts w:hint="eastAsia" w:ascii="宋体" w:hAnsi="宋体" w:cs="宋体"/>
          <w:b/>
          <w:color w:val="auto"/>
          <w:sz w:val="24"/>
          <w:highlight w:val="none"/>
        </w:rPr>
      </w:pPr>
    </w:p>
    <w:p w14:paraId="3FF28AAD">
      <w:pPr>
        <w:snapToGrid w:val="0"/>
        <w:spacing w:before="120" w:beforeLines="50" w:after="50" w:line="360" w:lineRule="auto"/>
        <w:ind w:left="142"/>
        <w:jc w:val="left"/>
        <w:rPr>
          <w:rFonts w:hint="eastAsia" w:ascii="宋体" w:hAnsi="宋体" w:cs="宋体"/>
          <w:b/>
          <w:color w:val="auto"/>
          <w:sz w:val="24"/>
          <w:highlight w:val="none"/>
        </w:rPr>
      </w:pPr>
    </w:p>
    <w:p w14:paraId="7A89F48B">
      <w:pPr>
        <w:pStyle w:val="10"/>
        <w:rPr>
          <w:rFonts w:hint="eastAsia" w:ascii="宋体" w:hAnsi="宋体" w:cs="宋体"/>
          <w:b/>
          <w:color w:val="auto"/>
          <w:sz w:val="24"/>
          <w:highlight w:val="none"/>
        </w:rPr>
      </w:pPr>
    </w:p>
    <w:p w14:paraId="47923B87">
      <w:pPr>
        <w:rPr>
          <w:rFonts w:hint="eastAsia" w:ascii="宋体" w:hAnsi="宋体" w:cs="宋体"/>
          <w:b/>
          <w:color w:val="auto"/>
          <w:sz w:val="24"/>
          <w:highlight w:val="none"/>
        </w:rPr>
      </w:pPr>
    </w:p>
    <w:p w14:paraId="56E655FA">
      <w:pPr>
        <w:pStyle w:val="10"/>
        <w:rPr>
          <w:rFonts w:hint="eastAsia" w:ascii="宋体" w:hAnsi="宋体" w:cs="宋体"/>
          <w:b/>
          <w:color w:val="auto"/>
          <w:sz w:val="24"/>
          <w:highlight w:val="none"/>
        </w:rPr>
      </w:pPr>
    </w:p>
    <w:p w14:paraId="54FD419E">
      <w:pPr>
        <w:rPr>
          <w:rFonts w:hint="eastAsia"/>
          <w:color w:val="auto"/>
        </w:rPr>
      </w:pPr>
    </w:p>
    <w:p w14:paraId="43E2E345">
      <w:pPr>
        <w:snapToGrid w:val="0"/>
        <w:spacing w:before="120" w:beforeLines="50" w:after="50" w:line="360" w:lineRule="auto"/>
        <w:ind w:left="142"/>
        <w:jc w:val="left"/>
        <w:rPr>
          <w:rFonts w:hint="eastAsia" w:ascii="宋体" w:hAnsi="宋体" w:cs="宋体"/>
          <w:b/>
          <w:color w:val="auto"/>
          <w:sz w:val="24"/>
          <w:highlight w:val="none"/>
        </w:rPr>
      </w:pPr>
    </w:p>
    <w:p w14:paraId="4E6893BD">
      <w:pPr>
        <w:snapToGrid w:val="0"/>
        <w:spacing w:before="120" w:beforeLines="50" w:after="50" w:line="360" w:lineRule="auto"/>
        <w:jc w:val="left"/>
        <w:rPr>
          <w:rFonts w:hint="eastAsia" w:ascii="宋体" w:hAnsi="宋体" w:cs="宋体"/>
          <w:b/>
          <w:color w:val="auto"/>
          <w:sz w:val="24"/>
          <w:highlight w:val="none"/>
        </w:rPr>
      </w:pPr>
    </w:p>
    <w:p w14:paraId="65024C15">
      <w:pPr>
        <w:snapToGrid w:val="0"/>
        <w:spacing w:before="120" w:beforeLines="50" w:after="50" w:line="360" w:lineRule="auto"/>
        <w:jc w:val="left"/>
        <w:rPr>
          <w:rFonts w:hint="eastAsia" w:ascii="宋体" w:hAnsi="宋体" w:cs="宋体"/>
          <w:b/>
          <w:color w:val="auto"/>
          <w:sz w:val="24"/>
          <w:highlight w:val="none"/>
        </w:rPr>
      </w:pPr>
    </w:p>
    <w:p w14:paraId="5AAE0C7E">
      <w:pPr>
        <w:snapToGrid w:val="0"/>
        <w:spacing w:before="120" w:beforeLines="50" w:after="50" w:line="360" w:lineRule="auto"/>
        <w:jc w:val="left"/>
        <w:rPr>
          <w:rFonts w:hint="eastAsia" w:ascii="宋体" w:hAnsi="宋体" w:cs="宋体"/>
          <w:b/>
          <w:color w:val="auto"/>
          <w:sz w:val="24"/>
          <w:highlight w:val="none"/>
        </w:rPr>
      </w:pPr>
    </w:p>
    <w:p w14:paraId="5E8447F4">
      <w:pPr>
        <w:snapToGrid w:val="0"/>
        <w:spacing w:before="120" w:beforeLines="50" w:after="50" w:line="360" w:lineRule="auto"/>
        <w:jc w:val="left"/>
        <w:rPr>
          <w:rFonts w:hint="eastAsia" w:ascii="宋体" w:hAnsi="宋体" w:cs="宋体"/>
          <w:b/>
          <w:color w:val="auto"/>
          <w:sz w:val="24"/>
          <w:highlight w:val="none"/>
        </w:rPr>
      </w:pPr>
    </w:p>
    <w:p w14:paraId="0E9708F3">
      <w:pPr>
        <w:snapToGrid w:val="0"/>
        <w:spacing w:before="120" w:beforeLines="50" w:after="50" w:line="360" w:lineRule="auto"/>
        <w:jc w:val="left"/>
        <w:rPr>
          <w:rFonts w:hint="eastAsia" w:ascii="宋体" w:hAnsi="宋体" w:cs="宋体"/>
          <w:b/>
          <w:color w:val="auto"/>
          <w:sz w:val="24"/>
          <w:highlight w:val="none"/>
        </w:rPr>
      </w:pPr>
    </w:p>
    <w:p w14:paraId="1B2414EA">
      <w:pPr>
        <w:snapToGrid w:val="0"/>
        <w:spacing w:before="120" w:beforeLines="50" w:after="50" w:line="360" w:lineRule="auto"/>
        <w:jc w:val="left"/>
        <w:rPr>
          <w:rFonts w:hint="eastAsia" w:ascii="宋体" w:hAnsi="宋体" w:cs="宋体"/>
          <w:b/>
          <w:color w:val="auto"/>
          <w:sz w:val="24"/>
          <w:highlight w:val="none"/>
        </w:rPr>
      </w:pPr>
    </w:p>
    <w:p w14:paraId="3CB6241B">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E77471B">
      <w:pPr>
        <w:snapToGrid w:val="0"/>
        <w:spacing w:before="120" w:beforeLines="50" w:after="50" w:line="360" w:lineRule="auto"/>
        <w:ind w:left="142"/>
        <w:jc w:val="center"/>
        <w:rPr>
          <w:rFonts w:hint="eastAsia" w:ascii="宋体" w:hAnsi="宋体" w:cs="宋体"/>
          <w:bCs/>
          <w:color w:val="auto"/>
          <w:sz w:val="48"/>
          <w:szCs w:val="48"/>
          <w:highlight w:val="none"/>
        </w:rPr>
      </w:pPr>
    </w:p>
    <w:p w14:paraId="76C58E0D">
      <w:pPr>
        <w:snapToGrid w:val="0"/>
        <w:spacing w:before="120" w:beforeLines="50" w:after="50" w:line="360" w:lineRule="auto"/>
        <w:ind w:left="142"/>
        <w:jc w:val="center"/>
        <w:rPr>
          <w:rFonts w:hint="eastAsia" w:ascii="宋体" w:hAnsi="宋体" w:cs="宋体"/>
          <w:b/>
          <w:bCs w:val="0"/>
          <w:color w:val="auto"/>
          <w:sz w:val="48"/>
          <w:szCs w:val="48"/>
          <w:highlight w:val="none"/>
        </w:rPr>
      </w:pPr>
      <w:r>
        <w:rPr>
          <w:rFonts w:hint="eastAsia" w:ascii="宋体" w:hAnsi="宋体" w:cs="宋体"/>
          <w:b/>
          <w:bCs w:val="0"/>
          <w:color w:val="auto"/>
          <w:sz w:val="48"/>
          <w:szCs w:val="48"/>
          <w:highlight w:val="none"/>
        </w:rPr>
        <w:t>电子投标文件</w:t>
      </w:r>
    </w:p>
    <w:p w14:paraId="1ECE2722">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9AE26AE">
      <w:pPr>
        <w:snapToGrid w:val="0"/>
        <w:spacing w:before="120" w:beforeLines="50" w:after="50" w:line="400" w:lineRule="exact"/>
        <w:jc w:val="center"/>
        <w:rPr>
          <w:rFonts w:hint="eastAsia" w:ascii="宋体" w:hAnsi="宋体" w:cs="宋体"/>
          <w:bCs/>
          <w:color w:val="auto"/>
          <w:sz w:val="24"/>
          <w:szCs w:val="20"/>
          <w:highlight w:val="none"/>
        </w:rPr>
      </w:pPr>
    </w:p>
    <w:p w14:paraId="7E7A3073">
      <w:pPr>
        <w:snapToGrid w:val="0"/>
        <w:spacing w:before="120" w:beforeLines="50" w:after="50" w:line="400" w:lineRule="exac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报</w:t>
      </w:r>
      <w:r>
        <w:rPr>
          <w:rFonts w:hint="eastAsia" w:ascii="宋体" w:hAnsi="宋体" w:cs="宋体"/>
          <w:b/>
          <w:bCs/>
          <w:color w:val="auto"/>
          <w:sz w:val="48"/>
          <w:szCs w:val="48"/>
          <w:highlight w:val="none"/>
          <w:lang w:val="en-US" w:eastAsia="zh-CN"/>
        </w:rPr>
        <w:t xml:space="preserve"> </w:t>
      </w:r>
      <w:r>
        <w:rPr>
          <w:rFonts w:hint="eastAsia" w:ascii="宋体" w:hAnsi="宋体" w:cs="宋体"/>
          <w:b/>
          <w:bCs/>
          <w:color w:val="auto"/>
          <w:sz w:val="48"/>
          <w:szCs w:val="48"/>
          <w:highlight w:val="none"/>
        </w:rPr>
        <w:t>价</w:t>
      </w:r>
      <w:r>
        <w:rPr>
          <w:rFonts w:hint="eastAsia" w:ascii="宋体" w:hAnsi="宋体" w:cs="宋体"/>
          <w:b/>
          <w:bCs/>
          <w:color w:val="auto"/>
          <w:sz w:val="48"/>
          <w:szCs w:val="48"/>
          <w:highlight w:val="none"/>
          <w:lang w:val="en-US" w:eastAsia="zh-CN"/>
        </w:rPr>
        <w:t xml:space="preserve"> </w:t>
      </w:r>
      <w:r>
        <w:rPr>
          <w:rFonts w:hint="eastAsia" w:ascii="宋体" w:hAnsi="宋体" w:cs="宋体"/>
          <w:b/>
          <w:bCs/>
          <w:color w:val="auto"/>
          <w:sz w:val="48"/>
          <w:szCs w:val="48"/>
          <w:highlight w:val="none"/>
        </w:rPr>
        <w:t>文</w:t>
      </w:r>
      <w:r>
        <w:rPr>
          <w:rFonts w:hint="eastAsia" w:ascii="宋体" w:hAnsi="宋体" w:cs="宋体"/>
          <w:b/>
          <w:bCs/>
          <w:color w:val="auto"/>
          <w:sz w:val="48"/>
          <w:szCs w:val="48"/>
          <w:highlight w:val="none"/>
          <w:lang w:val="en-US" w:eastAsia="zh-CN"/>
        </w:rPr>
        <w:t xml:space="preserve"> </w:t>
      </w:r>
      <w:r>
        <w:rPr>
          <w:rFonts w:hint="eastAsia" w:ascii="宋体" w:hAnsi="宋体" w:cs="宋体"/>
          <w:b/>
          <w:bCs/>
          <w:color w:val="auto"/>
          <w:sz w:val="48"/>
          <w:szCs w:val="48"/>
          <w:highlight w:val="none"/>
        </w:rPr>
        <w:t>件</w:t>
      </w:r>
    </w:p>
    <w:p w14:paraId="3E1589EE">
      <w:pPr>
        <w:snapToGrid w:val="0"/>
        <w:spacing w:before="120" w:beforeLines="50" w:after="50" w:line="400" w:lineRule="exact"/>
        <w:rPr>
          <w:rFonts w:hint="eastAsia" w:ascii="宋体" w:hAnsi="宋体" w:cs="宋体"/>
          <w:bCs/>
          <w:color w:val="auto"/>
          <w:sz w:val="24"/>
          <w:szCs w:val="20"/>
          <w:highlight w:val="none"/>
        </w:rPr>
      </w:pPr>
    </w:p>
    <w:p w14:paraId="348FD6C1">
      <w:pPr>
        <w:snapToGrid w:val="0"/>
        <w:spacing w:before="120" w:beforeLines="50" w:after="50" w:line="400" w:lineRule="exact"/>
        <w:rPr>
          <w:rFonts w:hint="eastAsia" w:ascii="宋体" w:hAnsi="宋体" w:cs="宋体"/>
          <w:bCs/>
          <w:color w:val="auto"/>
          <w:sz w:val="24"/>
          <w:szCs w:val="20"/>
          <w:highlight w:val="none"/>
        </w:rPr>
      </w:pPr>
    </w:p>
    <w:p w14:paraId="74770CFC">
      <w:pPr>
        <w:snapToGrid w:val="0"/>
        <w:spacing w:before="120" w:beforeLines="50" w:after="50" w:line="400" w:lineRule="exact"/>
        <w:rPr>
          <w:rFonts w:hint="eastAsia" w:ascii="宋体" w:hAnsi="宋体" w:cs="宋体"/>
          <w:bCs/>
          <w:color w:val="auto"/>
          <w:sz w:val="24"/>
          <w:szCs w:val="20"/>
          <w:highlight w:val="none"/>
        </w:rPr>
      </w:pPr>
    </w:p>
    <w:p w14:paraId="60F609CC">
      <w:pPr>
        <w:snapToGrid w:val="0"/>
        <w:spacing w:before="120" w:beforeLines="50" w:after="50" w:line="400" w:lineRule="exact"/>
        <w:rPr>
          <w:rFonts w:hint="eastAsia" w:ascii="宋体" w:hAnsi="宋体" w:cs="宋体"/>
          <w:bCs/>
          <w:color w:val="auto"/>
          <w:sz w:val="28"/>
          <w:szCs w:val="28"/>
          <w:highlight w:val="none"/>
        </w:rPr>
      </w:pPr>
    </w:p>
    <w:p w14:paraId="49F12089">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项目名称： </w:t>
      </w:r>
    </w:p>
    <w:p w14:paraId="3E7E91E2">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5773AB68">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项目编号： </w:t>
      </w:r>
    </w:p>
    <w:p w14:paraId="3754ACE8">
      <w:pPr>
        <w:snapToGrid w:val="0"/>
        <w:spacing w:before="120" w:beforeLines="50" w:after="50"/>
        <w:ind w:firstLine="452" w:firstLineChars="150"/>
        <w:rPr>
          <w:rFonts w:hint="eastAsia" w:ascii="宋体" w:hAnsi="宋体" w:cs="宋体"/>
          <w:b/>
          <w:bCs w:val="0"/>
          <w:color w:val="auto"/>
          <w:sz w:val="30"/>
          <w:szCs w:val="30"/>
          <w:highlight w:val="none"/>
        </w:rPr>
      </w:pPr>
    </w:p>
    <w:p w14:paraId="4C28ACE4">
      <w:pPr>
        <w:snapToGrid w:val="0"/>
        <w:spacing w:before="120" w:beforeLines="50" w:after="50" w:line="400" w:lineRule="exact"/>
        <w:ind w:firstLine="452" w:firstLineChars="150"/>
        <w:rPr>
          <w:rFonts w:hint="eastAsia" w:ascii="宋体" w:hAnsi="宋体" w:cs="宋体"/>
          <w:b/>
          <w:bCs w:val="0"/>
          <w:color w:val="auto"/>
          <w:sz w:val="30"/>
          <w:szCs w:val="30"/>
          <w:highlight w:val="none"/>
          <w:lang w:eastAsia="zh-CN"/>
        </w:rPr>
      </w:pPr>
      <w:r>
        <w:rPr>
          <w:rFonts w:hint="eastAsia" w:ascii="宋体" w:hAnsi="宋体" w:cs="宋体"/>
          <w:b/>
          <w:bCs w:val="0"/>
          <w:color w:val="auto"/>
          <w:sz w:val="30"/>
          <w:szCs w:val="30"/>
          <w:highlight w:val="none"/>
          <w:lang w:val="en-US" w:eastAsia="zh-CN"/>
        </w:rPr>
        <w:t>所投</w:t>
      </w:r>
      <w:r>
        <w:rPr>
          <w:rFonts w:hint="eastAsia" w:ascii="宋体" w:hAnsi="宋体" w:cs="宋体"/>
          <w:b/>
          <w:bCs w:val="0"/>
          <w:color w:val="auto"/>
          <w:sz w:val="30"/>
          <w:szCs w:val="30"/>
          <w:highlight w:val="none"/>
        </w:rPr>
        <w:t>分标：</w:t>
      </w:r>
      <w:r>
        <w:rPr>
          <w:rFonts w:hint="eastAsia" w:ascii="宋体" w:hAnsi="宋体" w:cs="宋体"/>
          <w:b/>
          <w:bCs w:val="0"/>
          <w:color w:val="auto"/>
          <w:sz w:val="30"/>
          <w:szCs w:val="30"/>
          <w:highlight w:val="none"/>
          <w:lang w:eastAsia="zh-CN"/>
        </w:rPr>
        <w:t>（</w:t>
      </w:r>
      <w:r>
        <w:rPr>
          <w:rFonts w:hint="eastAsia" w:ascii="宋体" w:hAnsi="宋体" w:cs="宋体"/>
          <w:b/>
          <w:bCs w:val="0"/>
          <w:color w:val="auto"/>
          <w:sz w:val="30"/>
          <w:szCs w:val="30"/>
          <w:highlight w:val="none"/>
          <w:lang w:val="en-US" w:eastAsia="zh-CN"/>
        </w:rPr>
        <w:t>如有</w:t>
      </w:r>
      <w:r>
        <w:rPr>
          <w:rFonts w:hint="eastAsia" w:ascii="宋体" w:hAnsi="宋体" w:cs="宋体"/>
          <w:b/>
          <w:bCs w:val="0"/>
          <w:color w:val="auto"/>
          <w:sz w:val="30"/>
          <w:szCs w:val="30"/>
          <w:highlight w:val="none"/>
          <w:lang w:eastAsia="zh-CN"/>
        </w:rPr>
        <w:t>）</w:t>
      </w:r>
    </w:p>
    <w:p w14:paraId="4D68342E">
      <w:pPr>
        <w:snapToGrid w:val="0"/>
        <w:spacing w:before="120" w:beforeLines="50" w:after="50" w:line="400" w:lineRule="exact"/>
        <w:ind w:firstLine="452" w:firstLineChars="150"/>
        <w:rPr>
          <w:rFonts w:hint="eastAsia" w:ascii="宋体" w:hAnsi="宋体" w:cs="宋体"/>
          <w:b/>
          <w:bCs w:val="0"/>
          <w:color w:val="auto"/>
          <w:sz w:val="30"/>
          <w:szCs w:val="30"/>
          <w:highlight w:val="none"/>
          <w:lang w:eastAsia="zh-CN"/>
        </w:rPr>
      </w:pPr>
    </w:p>
    <w:p w14:paraId="5D9A9840">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投标人名称：</w:t>
      </w:r>
    </w:p>
    <w:p w14:paraId="6FEF12B6">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1B7ECF51">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投标人地址：</w:t>
      </w:r>
    </w:p>
    <w:p w14:paraId="33088970">
      <w:pPr>
        <w:pStyle w:val="10"/>
        <w:snapToGrid w:val="0"/>
        <w:spacing w:before="50" w:after="50" w:line="400" w:lineRule="exact"/>
        <w:ind w:firstLine="1205" w:firstLineChars="400"/>
        <w:rPr>
          <w:rFonts w:hint="eastAsia" w:ascii="宋体" w:hAnsi="宋体" w:cs="宋体"/>
          <w:b/>
          <w:bCs w:val="0"/>
          <w:color w:val="auto"/>
          <w:sz w:val="30"/>
          <w:szCs w:val="30"/>
          <w:highlight w:val="none"/>
        </w:rPr>
      </w:pPr>
    </w:p>
    <w:p w14:paraId="2E3D139D">
      <w:pPr>
        <w:snapToGrid w:val="0"/>
        <w:spacing w:before="120" w:beforeLines="50" w:after="50" w:line="400" w:lineRule="exact"/>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                                   年  月  日</w:t>
      </w:r>
    </w:p>
    <w:p w14:paraId="0C0055F0">
      <w:pPr>
        <w:snapToGrid w:val="0"/>
        <w:spacing w:before="120" w:beforeLines="50" w:after="50" w:line="360" w:lineRule="auto"/>
        <w:jc w:val="left"/>
        <w:rPr>
          <w:rFonts w:hint="eastAsia" w:ascii="宋体" w:hAnsi="宋体" w:cs="宋体"/>
          <w:color w:val="auto"/>
          <w:sz w:val="24"/>
          <w:szCs w:val="24"/>
          <w:highlight w:val="none"/>
        </w:rPr>
      </w:pPr>
      <w:r>
        <w:rPr>
          <w:rFonts w:hint="eastAsia" w:ascii="宋体" w:hAnsi="宋体" w:cs="宋体"/>
          <w:b/>
          <w:color w:val="auto"/>
          <w:sz w:val="24"/>
          <w:highlight w:val="none"/>
        </w:rPr>
        <w:br w:type="page"/>
      </w:r>
      <w:r>
        <w:rPr>
          <w:rFonts w:hint="eastAsia" w:ascii="宋体" w:hAnsi="宋体" w:cs="宋体"/>
          <w:b/>
          <w:color w:val="auto"/>
          <w:sz w:val="24"/>
          <w:szCs w:val="24"/>
          <w:highlight w:val="none"/>
        </w:rPr>
        <w:t>2.</w:t>
      </w:r>
      <w:r>
        <w:rPr>
          <w:rFonts w:hint="eastAsia" w:ascii="宋体" w:hAnsi="宋体" w:cs="宋体"/>
          <w:b/>
          <w:bCs/>
          <w:color w:val="auto"/>
          <w:sz w:val="24"/>
          <w:szCs w:val="24"/>
          <w:highlight w:val="none"/>
        </w:rPr>
        <w:t>报价文件目录</w:t>
      </w:r>
    </w:p>
    <w:p w14:paraId="2021C19B">
      <w:pPr>
        <w:snapToGrid w:val="0"/>
        <w:spacing w:before="50" w:after="120" w:afterLines="50" w:line="360" w:lineRule="auto"/>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根据招标文件规定及投标人提供的材料自行编写目录。</w:t>
      </w:r>
    </w:p>
    <w:p w14:paraId="6DAAC329">
      <w:pPr>
        <w:snapToGrid w:val="0"/>
        <w:spacing w:before="120" w:beforeLines="50" w:after="50"/>
        <w:rPr>
          <w:rFonts w:hint="eastAsia" w:ascii="宋体" w:hAnsi="宋体" w:cs="宋体"/>
          <w:b/>
          <w:color w:val="auto"/>
          <w:sz w:val="24"/>
          <w:highlight w:val="none"/>
        </w:rPr>
      </w:pPr>
    </w:p>
    <w:p w14:paraId="55FFDDA1">
      <w:pPr>
        <w:snapToGrid w:val="0"/>
        <w:spacing w:before="120" w:beforeLines="50" w:after="50"/>
        <w:rPr>
          <w:rFonts w:hint="eastAsia" w:ascii="宋体" w:hAnsi="宋体" w:cs="宋体"/>
          <w:b/>
          <w:color w:val="auto"/>
          <w:sz w:val="24"/>
          <w:highlight w:val="none"/>
        </w:rPr>
      </w:pPr>
    </w:p>
    <w:p w14:paraId="1C8FA5F3">
      <w:pPr>
        <w:snapToGrid w:val="0"/>
        <w:spacing w:before="120" w:beforeLines="50" w:after="50"/>
        <w:rPr>
          <w:rFonts w:hint="eastAsia" w:ascii="宋体" w:hAnsi="宋体" w:cs="宋体"/>
          <w:b/>
          <w:color w:val="auto"/>
          <w:sz w:val="24"/>
          <w:highlight w:val="none"/>
        </w:rPr>
      </w:pPr>
    </w:p>
    <w:p w14:paraId="21B3AA0C">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21974028">
      <w:pPr>
        <w:snapToGrid w:val="0"/>
        <w:spacing w:before="120" w:beforeLines="50" w:after="50" w:line="32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 标 函</w:t>
      </w:r>
    </w:p>
    <w:p w14:paraId="216A0A51">
      <w:pPr>
        <w:snapToGrid w:val="0"/>
        <w:spacing w:before="120" w:beforeLines="50" w:after="50" w:line="320" w:lineRule="exact"/>
        <w:jc w:val="both"/>
        <w:rPr>
          <w:rFonts w:hint="eastAsia" w:ascii="宋体" w:hAnsi="宋体" w:cs="宋体"/>
          <w:b/>
          <w:color w:val="auto"/>
          <w:sz w:val="24"/>
          <w:szCs w:val="20"/>
          <w:highlight w:val="none"/>
        </w:rPr>
      </w:pPr>
    </w:p>
    <w:p w14:paraId="5D171A97">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AD7CEAC">
      <w:pPr>
        <w:keepNext w:val="0"/>
        <w:keepLines w:val="0"/>
        <w:pageBreakBefore w:val="0"/>
        <w:widowControl w:val="0"/>
        <w:kinsoku/>
        <w:wordWrap/>
        <w:overflowPunct/>
        <w:topLinePunct w:val="0"/>
        <w:autoSpaceDE/>
        <w:autoSpaceDN/>
        <w:bidi w:val="0"/>
        <w:adjustRightInd/>
        <w:snapToGrid w:val="0"/>
        <w:spacing w:line="312"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62E69FA0">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据此函，我方宣布同意如下：</w:t>
      </w:r>
    </w:p>
    <w:p w14:paraId="5F9AA5D2">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7682002">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18860CF">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2EC7FED">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6B81354">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31AB5925">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73510DC3">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46BDF29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21E9F27D">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9E509FE">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E8F1DD1">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1E26F7E3">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0FB24463">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w:t>
      </w:r>
      <w:r>
        <w:rPr>
          <w:rFonts w:hint="eastAsia" w:ascii="宋体" w:hAnsi="宋体" w:cs="宋体"/>
          <w:color w:val="auto"/>
          <w:sz w:val="24"/>
          <w:highlight w:val="none"/>
          <w:u w:val="single"/>
        </w:rPr>
        <w:t xml:space="preserve">         </w:t>
      </w:r>
    </w:p>
    <w:p w14:paraId="22163CC7">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155DE951">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5DCD4B">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银行账号：</w:t>
      </w:r>
      <w:r>
        <w:rPr>
          <w:rFonts w:hint="eastAsia" w:ascii="宋体" w:hAnsi="宋体" w:cs="宋体"/>
          <w:color w:val="auto"/>
          <w:sz w:val="24"/>
          <w:highlight w:val="none"/>
          <w:u w:val="single"/>
        </w:rPr>
        <w:t xml:space="preserve">                  </w:t>
      </w:r>
    </w:p>
    <w:p w14:paraId="5B935EFB">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4453A499">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529AB88F">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hAnsi="宋体" w:cs="宋体"/>
          <w:color w:val="auto"/>
          <w:sz w:val="24"/>
          <w:highlight w:val="none"/>
        </w:rPr>
      </w:pP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166C4094">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 开标一览表</w:t>
      </w:r>
    </w:p>
    <w:p w14:paraId="68D8768C">
      <w:pPr>
        <w:snapToGrid w:val="0"/>
        <w:spacing w:before="50" w:after="5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开标一览表</w:t>
      </w:r>
    </w:p>
    <w:p w14:paraId="6472393D">
      <w:pPr>
        <w:snapToGrid w:val="0"/>
        <w:spacing w:before="50" w:after="50"/>
        <w:jc w:val="center"/>
        <w:rPr>
          <w:rFonts w:hint="eastAsia" w:ascii="宋体" w:hAnsi="宋体" w:cs="宋体"/>
          <w:b/>
          <w:color w:val="auto"/>
          <w:sz w:val="30"/>
          <w:szCs w:val="20"/>
          <w:highlight w:val="none"/>
        </w:rPr>
      </w:pPr>
    </w:p>
    <w:p w14:paraId="25568AEA">
      <w:pPr>
        <w:snapToGrid w:val="0"/>
        <w:spacing w:before="50" w:after="50"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65CE031">
      <w:pPr>
        <w:snapToGrid w:val="0"/>
        <w:spacing w:before="50" w:after="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分标：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tbl>
      <w:tblPr>
        <w:tblStyle w:val="49"/>
        <w:tblW w:w="9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280"/>
        <w:gridCol w:w="2025"/>
        <w:gridCol w:w="2175"/>
        <w:gridCol w:w="1110"/>
      </w:tblGrid>
      <w:tr w14:paraId="770D4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67D0EC0">
            <w:pPr>
              <w:snapToGrid w:val="0"/>
              <w:spacing w:before="50" w:after="5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序号</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59911367">
            <w:pPr>
              <w:snapToGrid w:val="0"/>
              <w:spacing w:before="50" w:after="5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标的名称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3F2F455">
            <w:pPr>
              <w:snapToGrid w:val="0"/>
              <w:spacing w:before="50" w:after="5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数量①</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1438549">
            <w:pPr>
              <w:snapToGrid w:val="0"/>
              <w:spacing w:before="50" w:after="50"/>
              <w:jc w:val="center"/>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rPr>
              <w:t>投标所报单价②</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CC24413">
            <w:pPr>
              <w:snapToGrid w:val="0"/>
              <w:spacing w:before="50" w:after="5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投标总价③=①*②</w:t>
            </w:r>
          </w:p>
          <w:p w14:paraId="65A35506">
            <w:pPr>
              <w:snapToGrid w:val="0"/>
              <w:spacing w:before="50" w:after="50"/>
              <w:jc w:val="center"/>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rPr>
              <w:t>（单位：元）</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24063C2">
            <w:pPr>
              <w:snapToGrid w:val="0"/>
              <w:spacing w:before="50" w:after="50"/>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备注</w:t>
            </w:r>
          </w:p>
        </w:tc>
      </w:tr>
      <w:tr w14:paraId="46F02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noWrap w:val="0"/>
            <w:vAlign w:val="center"/>
          </w:tcPr>
          <w:p w14:paraId="03AD134D">
            <w:pPr>
              <w:snapToGrid w:val="0"/>
              <w:spacing w:before="50" w:after="5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w:t>
            </w:r>
          </w:p>
        </w:tc>
        <w:tc>
          <w:tcPr>
            <w:tcW w:w="2391" w:type="dxa"/>
            <w:tcBorders>
              <w:top w:val="single" w:color="auto" w:sz="4" w:space="0"/>
              <w:left w:val="single" w:color="auto" w:sz="4" w:space="0"/>
              <w:right w:val="single" w:color="auto" w:sz="4" w:space="0"/>
            </w:tcBorders>
            <w:noWrap w:val="0"/>
            <w:vAlign w:val="center"/>
          </w:tcPr>
          <w:p w14:paraId="0F4433B2">
            <w:pPr>
              <w:widowControl/>
              <w:spacing w:line="420" w:lineRule="exact"/>
              <w:jc w:val="left"/>
              <w:textAlignment w:val="center"/>
              <w:rPr>
                <w:rFonts w:hint="eastAsia" w:ascii="宋体" w:hAnsi="宋体" w:cs="宋体"/>
                <w:b w:val="0"/>
                <w:bCs/>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3D25827">
            <w:pPr>
              <w:keepNext w:val="0"/>
              <w:keepLines w:val="0"/>
              <w:widowControl/>
              <w:suppressLineNumbers w:val="0"/>
              <w:ind w:firstLine="480" w:firstLineChars="200"/>
              <w:jc w:val="left"/>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1项</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E3C10C">
            <w:pPr>
              <w:keepNext w:val="0"/>
              <w:keepLines w:val="0"/>
              <w:widowControl/>
              <w:suppressLineNumbers w:val="0"/>
              <w:jc w:val="left"/>
              <w:textAlignment w:val="center"/>
              <w:rPr>
                <w:rFonts w:hint="eastAsia" w:ascii="宋体" w:hAnsi="宋体" w:cs="宋体"/>
                <w:b w:val="0"/>
                <w:bCs/>
                <w:color w:val="auto"/>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7EC9BFD">
            <w:pPr>
              <w:keepNext w:val="0"/>
              <w:keepLines w:val="0"/>
              <w:widowControl/>
              <w:suppressLineNumbers w:val="0"/>
              <w:ind w:firstLine="1200" w:firstLineChars="500"/>
              <w:jc w:val="left"/>
              <w:textAlignment w:val="center"/>
              <w:rPr>
                <w:rFonts w:hint="eastAsia" w:ascii="宋体" w:hAnsi="宋体" w:cs="宋体"/>
                <w:b w:val="0"/>
                <w:bCs/>
                <w:color w:val="auto"/>
                <w:sz w:val="24"/>
                <w:szCs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A7D72F">
            <w:pPr>
              <w:snapToGrid w:val="0"/>
              <w:spacing w:before="50" w:after="50"/>
              <w:jc w:val="center"/>
              <w:rPr>
                <w:rFonts w:hint="eastAsia" w:ascii="宋体" w:hAnsi="宋体" w:cs="宋体"/>
                <w:b w:val="0"/>
                <w:bCs/>
                <w:color w:val="auto"/>
                <w:sz w:val="24"/>
                <w:szCs w:val="24"/>
                <w:highlight w:val="none"/>
              </w:rPr>
            </w:pPr>
          </w:p>
        </w:tc>
      </w:tr>
      <w:tr w14:paraId="4D317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9805" w:type="dxa"/>
            <w:gridSpan w:val="6"/>
            <w:tcBorders>
              <w:top w:val="single" w:color="auto" w:sz="4" w:space="0"/>
              <w:left w:val="single" w:color="auto" w:sz="4" w:space="0"/>
              <w:bottom w:val="single" w:color="auto" w:sz="4" w:space="0"/>
              <w:right w:val="single" w:color="auto" w:sz="4" w:space="0"/>
            </w:tcBorders>
            <w:noWrap w:val="0"/>
            <w:vAlign w:val="center"/>
          </w:tcPr>
          <w:p w14:paraId="13D9A6C4">
            <w:pPr>
              <w:snapToGrid w:val="0"/>
              <w:spacing w:before="50" w:after="5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合计总报价（包含税费等所有费用）：人民币</w:t>
            </w:r>
            <w:r>
              <w:rPr>
                <w:rFonts w:hint="eastAsia" w:ascii="宋体" w:hAnsi="宋体" w:cs="宋体"/>
                <w:b w:val="0"/>
                <w:bCs/>
                <w:color w:val="auto"/>
                <w:sz w:val="24"/>
                <w:szCs w:val="24"/>
                <w:highlight w:val="none"/>
                <w:u w:val="single"/>
              </w:rPr>
              <w:t xml:space="preserve">             （￥   元）</w:t>
            </w:r>
          </w:p>
        </w:tc>
      </w:tr>
      <w:tr w14:paraId="5760E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805" w:type="dxa"/>
            <w:gridSpan w:val="6"/>
            <w:tcBorders>
              <w:top w:val="single" w:color="auto" w:sz="4" w:space="0"/>
              <w:left w:val="single" w:color="auto" w:sz="4" w:space="0"/>
              <w:bottom w:val="single" w:color="auto" w:sz="4" w:space="0"/>
              <w:right w:val="single" w:color="auto" w:sz="4" w:space="0"/>
            </w:tcBorders>
            <w:noWrap w:val="0"/>
            <w:vAlign w:val="center"/>
          </w:tcPr>
          <w:p w14:paraId="15CE4EF7">
            <w:pPr>
              <w:snapToGrid w:val="0"/>
              <w:spacing w:before="50" w:after="50"/>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实施期限</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eastAsia="zh-CN"/>
              </w:rPr>
              <w:t>2025年12月31日前完成（如因特殊天气错过农时或实施面积不足等原因无法实施，则项目顺延至2026年实施）。</w:t>
            </w:r>
          </w:p>
        </w:tc>
      </w:tr>
    </w:tbl>
    <w:p w14:paraId="7ABEF697">
      <w:pPr>
        <w:snapToGrid w:val="0"/>
        <w:spacing w:line="360" w:lineRule="auto"/>
        <w:jc w:val="left"/>
        <w:rPr>
          <w:rFonts w:hint="eastAsia" w:ascii="宋体" w:hAnsi="宋体" w:cs="宋体"/>
          <w:color w:val="auto"/>
          <w:sz w:val="24"/>
          <w:szCs w:val="24"/>
          <w:highlight w:val="none"/>
        </w:rPr>
      </w:pPr>
    </w:p>
    <w:p w14:paraId="57094A72">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 </w:t>
      </w:r>
    </w:p>
    <w:p w14:paraId="2423D649">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1.投标人的开标一览表必须加盖投标人电子签章并由法定代表人或者委托代理人签字或者电子签名，</w:t>
      </w:r>
      <w:r>
        <w:rPr>
          <w:rFonts w:hint="eastAsia" w:ascii="宋体" w:hAnsi="宋体" w:cs="宋体"/>
          <w:b/>
          <w:color w:val="auto"/>
          <w:sz w:val="24"/>
          <w:szCs w:val="24"/>
          <w:highlight w:val="none"/>
        </w:rPr>
        <w:t>否则其投标作无效标处理</w:t>
      </w:r>
      <w:r>
        <w:rPr>
          <w:rFonts w:hint="eastAsia" w:ascii="宋体" w:hAnsi="宋体" w:cs="宋体"/>
          <w:color w:val="auto"/>
          <w:sz w:val="24"/>
          <w:szCs w:val="24"/>
          <w:highlight w:val="none"/>
        </w:rPr>
        <w:t>。</w:t>
      </w:r>
    </w:p>
    <w:p w14:paraId="66B5D818">
      <w:pPr>
        <w:snapToGrid w:val="0"/>
        <w:spacing w:line="360" w:lineRule="auto"/>
        <w:ind w:firstLine="480" w:firstLineChars="200"/>
        <w:jc w:val="left"/>
        <w:rPr>
          <w:rFonts w:hint="eastAsia" w:ascii="宋体" w:hAnsi="宋体" w:cs="宋体"/>
          <w:b/>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szCs w:val="24"/>
          <w:highlight w:val="none"/>
        </w:rPr>
        <w:t>，否则其投标作无效标处理。</w:t>
      </w:r>
    </w:p>
    <w:p w14:paraId="5577F8DD">
      <w:pPr>
        <w:snapToGrid w:val="0"/>
        <w:spacing w:line="360" w:lineRule="auto"/>
        <w:rPr>
          <w:rFonts w:hint="eastAsia" w:ascii="宋体" w:hAnsi="宋体" w:cs="宋体"/>
          <w:b/>
          <w:color w:val="auto"/>
          <w:sz w:val="24"/>
          <w:szCs w:val="24"/>
          <w:highlight w:val="none"/>
        </w:rPr>
      </w:pPr>
    </w:p>
    <w:p w14:paraId="4A16B637">
      <w:pPr>
        <w:snapToGrid w:val="0"/>
        <w:spacing w:line="360" w:lineRule="auto"/>
        <w:rPr>
          <w:rFonts w:hint="eastAsia" w:ascii="宋体" w:hAnsi="宋体" w:cs="宋体"/>
          <w:b/>
          <w:color w:val="auto"/>
          <w:sz w:val="24"/>
          <w:szCs w:val="24"/>
          <w:highlight w:val="none"/>
        </w:rPr>
      </w:pPr>
    </w:p>
    <w:p w14:paraId="3C0BA623">
      <w:pPr>
        <w:snapToGrid w:val="0"/>
        <w:spacing w:line="360" w:lineRule="auto"/>
        <w:rPr>
          <w:rFonts w:hint="eastAsia" w:ascii="宋体" w:hAnsi="宋体" w:cs="宋体"/>
          <w:b/>
          <w:color w:val="auto"/>
          <w:sz w:val="24"/>
          <w:szCs w:val="24"/>
          <w:highlight w:val="none"/>
        </w:rPr>
      </w:pPr>
    </w:p>
    <w:p w14:paraId="60A69DBF">
      <w:pPr>
        <w:pStyle w:val="24"/>
        <w:snapToGrid w:val="0"/>
        <w:spacing w:before="295" w:after="295" w:line="360" w:lineRule="auto"/>
        <w:ind w:firstLine="480" w:firstLineChars="200"/>
        <w:jc w:val="both"/>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66214DF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6FD22CD3">
      <w:pPr>
        <w:pStyle w:val="24"/>
        <w:snapToGrid w:val="0"/>
        <w:spacing w:before="295" w:after="295" w:line="360" w:lineRule="auto"/>
        <w:rPr>
          <w:rFonts w:hint="eastAsia"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5C2E261">
      <w:pPr>
        <w:rPr>
          <w:rFonts w:hint="eastAsia" w:ascii="宋体" w:hAnsi="宋体" w:cs="宋体"/>
          <w:b/>
          <w:color w:val="auto"/>
          <w:sz w:val="28"/>
          <w:szCs w:val="28"/>
          <w:highlight w:val="none"/>
        </w:rPr>
      </w:pPr>
      <w:r>
        <w:rPr>
          <w:rFonts w:hint="eastAsia" w:ascii="宋体" w:hAnsi="宋体" w:cs="宋体"/>
          <w:b/>
          <w:bCs/>
          <w:color w:val="auto"/>
          <w:sz w:val="24"/>
          <w:szCs w:val="24"/>
          <w:highlight w:val="none"/>
        </w:rPr>
        <w:br w:type="page"/>
      </w:r>
      <w:bookmarkStart w:id="131" w:name="_Toc19686837"/>
      <w:r>
        <w:rPr>
          <w:rFonts w:hint="eastAsia" w:ascii="宋体" w:hAnsi="宋体" w:cs="宋体"/>
          <w:b/>
          <w:color w:val="auto"/>
          <w:sz w:val="28"/>
          <w:szCs w:val="28"/>
          <w:highlight w:val="none"/>
        </w:rPr>
        <w:t>二、资格证明文件格式</w:t>
      </w:r>
      <w:bookmarkEnd w:id="131"/>
    </w:p>
    <w:p w14:paraId="581732F4">
      <w:pPr>
        <w:numPr>
          <w:ilvl w:val="2"/>
          <w:numId w:val="11"/>
        </w:numPr>
        <w:snapToGrid w:val="0"/>
        <w:spacing w:before="120" w:beforeLines="50" w:after="50" w:line="360" w:lineRule="auto"/>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4DCC5C8E">
      <w:pPr>
        <w:snapToGrid w:val="0"/>
        <w:spacing w:before="120" w:beforeLines="50" w:after="50"/>
        <w:jc w:val="center"/>
        <w:rPr>
          <w:rFonts w:hint="eastAsia" w:ascii="宋体" w:hAnsi="宋体" w:cs="宋体"/>
          <w:bCs/>
          <w:color w:val="auto"/>
          <w:sz w:val="48"/>
          <w:szCs w:val="48"/>
          <w:highlight w:val="none"/>
        </w:rPr>
      </w:pPr>
    </w:p>
    <w:p w14:paraId="0C3FDE26">
      <w:pPr>
        <w:snapToGrid w:val="0"/>
        <w:spacing w:before="120" w:beforeLines="50" w:after="50"/>
        <w:jc w:val="center"/>
        <w:rPr>
          <w:rFonts w:hint="eastAsia" w:ascii="宋体" w:hAnsi="宋体" w:cs="宋体"/>
          <w:b/>
          <w:bCs w:val="0"/>
          <w:color w:val="auto"/>
          <w:sz w:val="48"/>
          <w:szCs w:val="48"/>
          <w:highlight w:val="none"/>
        </w:rPr>
      </w:pPr>
      <w:r>
        <w:rPr>
          <w:rFonts w:hint="eastAsia" w:ascii="宋体" w:hAnsi="宋体" w:cs="宋体"/>
          <w:b/>
          <w:bCs w:val="0"/>
          <w:color w:val="auto"/>
          <w:sz w:val="48"/>
          <w:szCs w:val="48"/>
          <w:highlight w:val="none"/>
        </w:rPr>
        <w:t>电子投标文件</w:t>
      </w:r>
    </w:p>
    <w:p w14:paraId="42A7CB6C">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4C961222">
      <w:pPr>
        <w:snapToGrid w:val="0"/>
        <w:spacing w:before="120" w:beforeLines="50" w:after="50"/>
        <w:jc w:val="center"/>
        <w:rPr>
          <w:rFonts w:hint="eastAsia" w:ascii="宋体" w:hAnsi="宋体" w:cs="宋体"/>
          <w:b/>
          <w:color w:val="auto"/>
          <w:sz w:val="48"/>
          <w:szCs w:val="48"/>
          <w:highlight w:val="none"/>
        </w:rPr>
      </w:pPr>
    </w:p>
    <w:p w14:paraId="7E19BA16">
      <w:pPr>
        <w:snapToGrid w:val="0"/>
        <w:spacing w:before="120" w:beforeLines="50" w:after="5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资</w:t>
      </w: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8"/>
          <w:szCs w:val="48"/>
          <w:highlight w:val="none"/>
        </w:rPr>
        <w:t>格</w:t>
      </w: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8"/>
          <w:szCs w:val="48"/>
          <w:highlight w:val="none"/>
        </w:rPr>
        <w:t>证</w:t>
      </w: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8"/>
          <w:szCs w:val="48"/>
          <w:highlight w:val="none"/>
        </w:rPr>
        <w:t>明</w:t>
      </w: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8"/>
          <w:szCs w:val="48"/>
          <w:highlight w:val="none"/>
        </w:rPr>
        <w:t>文</w:t>
      </w:r>
      <w:r>
        <w:rPr>
          <w:rFonts w:hint="eastAsia" w:ascii="宋体" w:hAnsi="宋体" w:cs="宋体"/>
          <w:b/>
          <w:color w:val="auto"/>
          <w:sz w:val="48"/>
          <w:szCs w:val="48"/>
          <w:highlight w:val="none"/>
          <w:lang w:val="en-US" w:eastAsia="zh-CN"/>
        </w:rPr>
        <w:t xml:space="preserve"> </w:t>
      </w:r>
      <w:r>
        <w:rPr>
          <w:rFonts w:hint="eastAsia" w:ascii="宋体" w:hAnsi="宋体" w:cs="宋体"/>
          <w:b/>
          <w:color w:val="auto"/>
          <w:sz w:val="48"/>
          <w:szCs w:val="48"/>
          <w:highlight w:val="none"/>
        </w:rPr>
        <w:t>件</w:t>
      </w:r>
    </w:p>
    <w:p w14:paraId="0268E8BD">
      <w:pPr>
        <w:snapToGrid w:val="0"/>
        <w:spacing w:before="120" w:beforeLines="50" w:after="50"/>
        <w:rPr>
          <w:rFonts w:hint="eastAsia" w:ascii="宋体" w:hAnsi="宋体" w:cs="宋体"/>
          <w:bCs/>
          <w:color w:val="auto"/>
          <w:sz w:val="24"/>
          <w:szCs w:val="20"/>
          <w:highlight w:val="none"/>
        </w:rPr>
      </w:pPr>
    </w:p>
    <w:p w14:paraId="5866932B">
      <w:pPr>
        <w:snapToGrid w:val="0"/>
        <w:spacing w:before="120" w:beforeLines="50" w:after="50"/>
        <w:rPr>
          <w:rFonts w:hint="eastAsia" w:ascii="宋体" w:hAnsi="宋体" w:cs="宋体"/>
          <w:bCs/>
          <w:color w:val="auto"/>
          <w:sz w:val="24"/>
          <w:szCs w:val="20"/>
          <w:highlight w:val="none"/>
        </w:rPr>
      </w:pPr>
    </w:p>
    <w:p w14:paraId="48877330">
      <w:pPr>
        <w:snapToGrid w:val="0"/>
        <w:spacing w:before="120" w:beforeLines="50" w:after="50"/>
        <w:rPr>
          <w:rFonts w:hint="eastAsia" w:ascii="宋体" w:hAnsi="宋体" w:cs="宋体"/>
          <w:bCs/>
          <w:color w:val="auto"/>
          <w:sz w:val="24"/>
          <w:szCs w:val="20"/>
          <w:highlight w:val="none"/>
        </w:rPr>
      </w:pPr>
    </w:p>
    <w:p w14:paraId="7C4A1D2A">
      <w:pPr>
        <w:snapToGrid w:val="0"/>
        <w:spacing w:before="120" w:beforeLines="50" w:after="50"/>
        <w:rPr>
          <w:rFonts w:hint="eastAsia" w:ascii="宋体" w:hAnsi="宋体" w:cs="宋体"/>
          <w:bCs/>
          <w:color w:val="auto"/>
          <w:sz w:val="24"/>
          <w:szCs w:val="20"/>
          <w:highlight w:val="none"/>
        </w:rPr>
      </w:pPr>
    </w:p>
    <w:p w14:paraId="110DB579">
      <w:pPr>
        <w:snapToGrid w:val="0"/>
        <w:spacing w:before="120" w:beforeLines="50" w:after="50"/>
        <w:rPr>
          <w:rFonts w:hint="eastAsia" w:ascii="宋体" w:hAnsi="宋体" w:cs="宋体"/>
          <w:bCs/>
          <w:color w:val="auto"/>
          <w:sz w:val="24"/>
          <w:szCs w:val="20"/>
          <w:highlight w:val="none"/>
        </w:rPr>
      </w:pPr>
    </w:p>
    <w:p w14:paraId="14A62D70">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项目名称：</w:t>
      </w:r>
      <w:r>
        <w:rPr>
          <w:rFonts w:hint="eastAsia" w:ascii="宋体" w:hAnsi="宋体" w:cs="宋体"/>
          <w:b/>
          <w:bCs w:val="0"/>
          <w:color w:val="auto"/>
          <w:sz w:val="30"/>
          <w:szCs w:val="30"/>
          <w:highlight w:val="none"/>
          <w:u w:val="none"/>
          <w:lang w:val="en-US" w:eastAsia="zh-CN"/>
        </w:rPr>
        <w:t xml:space="preserve">   </w:t>
      </w:r>
      <w:r>
        <w:rPr>
          <w:rFonts w:hint="eastAsia" w:ascii="宋体" w:hAnsi="宋体" w:cs="宋体"/>
          <w:b/>
          <w:bCs w:val="0"/>
          <w:color w:val="auto"/>
          <w:sz w:val="30"/>
          <w:szCs w:val="30"/>
          <w:highlight w:val="none"/>
        </w:rPr>
        <w:t xml:space="preserve"> </w:t>
      </w:r>
    </w:p>
    <w:p w14:paraId="6706BD57">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565E1ECF">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项目编号： </w:t>
      </w:r>
    </w:p>
    <w:p w14:paraId="096FFF09">
      <w:pPr>
        <w:snapToGrid w:val="0"/>
        <w:spacing w:before="120" w:beforeLines="50" w:after="50"/>
        <w:ind w:firstLine="452" w:firstLineChars="150"/>
        <w:rPr>
          <w:rFonts w:hint="eastAsia" w:ascii="宋体" w:hAnsi="宋体" w:cs="宋体"/>
          <w:b/>
          <w:bCs w:val="0"/>
          <w:color w:val="auto"/>
          <w:sz w:val="30"/>
          <w:szCs w:val="30"/>
          <w:highlight w:val="none"/>
        </w:rPr>
      </w:pPr>
    </w:p>
    <w:p w14:paraId="37902E4B">
      <w:pPr>
        <w:snapToGrid w:val="0"/>
        <w:spacing w:before="120" w:beforeLines="50" w:after="50" w:line="400" w:lineRule="exact"/>
        <w:ind w:firstLine="452" w:firstLineChars="150"/>
        <w:rPr>
          <w:rFonts w:hint="eastAsia" w:ascii="宋体" w:hAnsi="宋体" w:eastAsia="宋体" w:cs="宋体"/>
          <w:b/>
          <w:bCs w:val="0"/>
          <w:color w:val="auto"/>
          <w:sz w:val="30"/>
          <w:szCs w:val="30"/>
          <w:highlight w:val="none"/>
          <w:lang w:eastAsia="zh-CN"/>
        </w:rPr>
      </w:pPr>
      <w:r>
        <w:rPr>
          <w:rFonts w:hint="eastAsia" w:ascii="宋体" w:hAnsi="宋体" w:cs="宋体"/>
          <w:b/>
          <w:bCs w:val="0"/>
          <w:color w:val="auto"/>
          <w:sz w:val="30"/>
          <w:szCs w:val="30"/>
          <w:highlight w:val="none"/>
          <w:lang w:val="en-US" w:eastAsia="zh-CN"/>
        </w:rPr>
        <w:t>所投</w:t>
      </w:r>
      <w:r>
        <w:rPr>
          <w:rFonts w:hint="eastAsia" w:ascii="宋体" w:hAnsi="宋体" w:cs="宋体"/>
          <w:b/>
          <w:bCs w:val="0"/>
          <w:color w:val="auto"/>
          <w:sz w:val="30"/>
          <w:szCs w:val="30"/>
          <w:highlight w:val="none"/>
        </w:rPr>
        <w:t>分标：</w:t>
      </w:r>
      <w:r>
        <w:rPr>
          <w:rFonts w:hint="eastAsia" w:ascii="宋体" w:hAnsi="宋体" w:cs="宋体"/>
          <w:b/>
          <w:bCs w:val="0"/>
          <w:color w:val="auto"/>
          <w:sz w:val="30"/>
          <w:szCs w:val="30"/>
          <w:highlight w:val="none"/>
          <w:lang w:eastAsia="zh-CN"/>
        </w:rPr>
        <w:t>（</w:t>
      </w:r>
      <w:r>
        <w:rPr>
          <w:rFonts w:hint="eastAsia" w:ascii="宋体" w:hAnsi="宋体" w:cs="宋体"/>
          <w:b/>
          <w:bCs w:val="0"/>
          <w:color w:val="auto"/>
          <w:sz w:val="30"/>
          <w:szCs w:val="30"/>
          <w:highlight w:val="none"/>
          <w:lang w:val="en-US" w:eastAsia="zh-CN"/>
        </w:rPr>
        <w:t>如有</w:t>
      </w:r>
      <w:r>
        <w:rPr>
          <w:rFonts w:hint="eastAsia" w:ascii="宋体" w:hAnsi="宋体" w:cs="宋体"/>
          <w:b/>
          <w:bCs w:val="0"/>
          <w:color w:val="auto"/>
          <w:sz w:val="30"/>
          <w:szCs w:val="30"/>
          <w:highlight w:val="none"/>
          <w:lang w:eastAsia="zh-CN"/>
        </w:rPr>
        <w:t>）</w:t>
      </w:r>
    </w:p>
    <w:p w14:paraId="4C818562">
      <w:pPr>
        <w:pStyle w:val="6"/>
        <w:rPr>
          <w:rFonts w:hint="eastAsia" w:ascii="宋体" w:hAnsi="宋体" w:eastAsia="宋体" w:cs="宋体"/>
          <w:b/>
          <w:bCs w:val="0"/>
          <w:color w:val="auto"/>
          <w:sz w:val="30"/>
          <w:szCs w:val="30"/>
          <w:highlight w:val="none"/>
        </w:rPr>
      </w:pPr>
    </w:p>
    <w:p w14:paraId="36047688">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投标人名称：</w:t>
      </w:r>
    </w:p>
    <w:p w14:paraId="6E531E50">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370ADCF2">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投标人地址：</w:t>
      </w:r>
    </w:p>
    <w:p w14:paraId="2BA3F840">
      <w:pPr>
        <w:pStyle w:val="10"/>
        <w:snapToGrid w:val="0"/>
        <w:spacing w:before="50" w:after="50" w:line="400" w:lineRule="exact"/>
        <w:ind w:firstLine="1205" w:firstLineChars="400"/>
        <w:rPr>
          <w:rFonts w:hint="eastAsia" w:ascii="宋体" w:hAnsi="宋体" w:cs="宋体"/>
          <w:b/>
          <w:bCs w:val="0"/>
          <w:color w:val="auto"/>
          <w:sz w:val="30"/>
          <w:szCs w:val="30"/>
          <w:highlight w:val="none"/>
        </w:rPr>
      </w:pPr>
    </w:p>
    <w:p w14:paraId="265F49AB">
      <w:pPr>
        <w:snapToGrid w:val="0"/>
        <w:spacing w:before="120" w:beforeLines="50" w:after="50" w:line="400" w:lineRule="exact"/>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                                   年  月  日</w:t>
      </w:r>
    </w:p>
    <w:p w14:paraId="74BD4E91">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50367B9">
      <w:pPr>
        <w:snapToGrid w:val="0"/>
        <w:spacing w:before="120" w:beforeLines="50" w:after="50"/>
        <w:rPr>
          <w:rFonts w:hint="eastAsia" w:ascii="宋体" w:hAnsi="宋体" w:cs="宋体"/>
          <w:color w:val="auto"/>
          <w:sz w:val="24"/>
          <w:szCs w:val="20"/>
          <w:highlight w:val="none"/>
        </w:rPr>
      </w:pPr>
    </w:p>
    <w:p w14:paraId="0CBF47D2">
      <w:pPr>
        <w:numPr>
          <w:ilvl w:val="0"/>
          <w:numId w:val="0"/>
        </w:numPr>
        <w:snapToGrid w:val="0"/>
        <w:spacing w:before="120" w:beforeLines="50" w:after="50" w:line="360" w:lineRule="auto"/>
        <w:ind w:leftChars="0"/>
        <w:jc w:val="left"/>
        <w:rPr>
          <w:rFonts w:hint="eastAsia" w:ascii="宋体" w:hAnsi="宋体" w:cs="宋体"/>
          <w:b/>
          <w:bCs/>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lang w:val="en-US" w:eastAsia="zh-CN"/>
        </w:rPr>
        <w:t>2.</w:t>
      </w:r>
      <w:r>
        <w:rPr>
          <w:rFonts w:hint="eastAsia" w:ascii="宋体" w:hAnsi="宋体" w:cs="宋体"/>
          <w:b/>
          <w:bCs/>
          <w:color w:val="auto"/>
          <w:sz w:val="28"/>
          <w:szCs w:val="28"/>
          <w:highlight w:val="none"/>
        </w:rPr>
        <w:t>资格证明文件目录</w:t>
      </w:r>
    </w:p>
    <w:p w14:paraId="764FF4BA">
      <w:pPr>
        <w:snapToGrid w:val="0"/>
        <w:spacing w:line="360" w:lineRule="auto"/>
        <w:ind w:firstLine="560" w:firstLineChars="200"/>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根据招标文件规定及投标人提供的材料自行编写目录。</w:t>
      </w:r>
    </w:p>
    <w:p w14:paraId="4D2D0C0A">
      <w:pPr>
        <w:snapToGrid w:val="0"/>
        <w:spacing w:before="50" w:after="120" w:afterLines="50"/>
        <w:jc w:val="left"/>
        <w:rPr>
          <w:rFonts w:hint="eastAsia" w:ascii="宋体" w:hAnsi="宋体" w:cs="宋体"/>
          <w:color w:val="auto"/>
          <w:sz w:val="24"/>
          <w:highlight w:val="none"/>
        </w:rPr>
      </w:pPr>
    </w:p>
    <w:p w14:paraId="16A3997E">
      <w:pPr>
        <w:snapToGrid w:val="0"/>
        <w:spacing w:before="50" w:after="120" w:afterLines="50"/>
        <w:jc w:val="left"/>
        <w:rPr>
          <w:rFonts w:hint="eastAsia" w:ascii="宋体" w:hAnsi="宋体" w:cs="宋体"/>
          <w:color w:val="auto"/>
          <w:sz w:val="24"/>
          <w:highlight w:val="none"/>
        </w:rPr>
      </w:pPr>
    </w:p>
    <w:p w14:paraId="13B66B39">
      <w:pPr>
        <w:numPr>
          <w:ilvl w:val="0"/>
          <w:numId w:val="0"/>
        </w:numPr>
        <w:snapToGrid w:val="0"/>
        <w:spacing w:before="120" w:beforeLines="50" w:after="50"/>
        <w:ind w:leftChars="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投标人直接控股、管理关系信息表</w:t>
      </w:r>
    </w:p>
    <w:p w14:paraId="7A44107C">
      <w:pPr>
        <w:snapToGrid w:val="0"/>
        <w:spacing w:before="50" w:after="120" w:afterLines="50"/>
        <w:jc w:val="center"/>
        <w:rPr>
          <w:rFonts w:hint="eastAsia" w:ascii="宋体" w:hAnsi="宋体" w:cs="宋体"/>
          <w:b/>
          <w:color w:val="auto"/>
          <w:sz w:val="28"/>
          <w:szCs w:val="28"/>
          <w:highlight w:val="none"/>
        </w:rPr>
      </w:pPr>
    </w:p>
    <w:p w14:paraId="6ADB8C2A">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867"/>
        <w:gridCol w:w="1273"/>
      </w:tblGrid>
      <w:tr w14:paraId="0F0FAE9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AB96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1D5E4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38F06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6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B61D3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73"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8ABB8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1728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C0D36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AEF3E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EDC7F8">
            <w:pPr>
              <w:spacing w:line="360" w:lineRule="auto"/>
              <w:jc w:val="center"/>
              <w:rPr>
                <w:rFonts w:hint="eastAsia" w:ascii="宋体" w:hAnsi="宋体" w:cs="宋体"/>
                <w:color w:val="auto"/>
                <w:kern w:val="0"/>
                <w:sz w:val="24"/>
                <w:highlight w:val="none"/>
              </w:rPr>
            </w:pPr>
          </w:p>
        </w:tc>
        <w:tc>
          <w:tcPr>
            <w:tcW w:w="386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69E39">
            <w:pPr>
              <w:spacing w:line="360" w:lineRule="auto"/>
              <w:jc w:val="center"/>
              <w:rPr>
                <w:rFonts w:hint="eastAsia" w:ascii="宋体" w:hAnsi="宋体" w:cs="宋体"/>
                <w:color w:val="auto"/>
                <w:kern w:val="0"/>
                <w:sz w:val="24"/>
                <w:highlight w:val="none"/>
              </w:rPr>
            </w:pPr>
          </w:p>
        </w:tc>
        <w:tc>
          <w:tcPr>
            <w:tcW w:w="127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2ADD8">
            <w:pPr>
              <w:spacing w:line="360" w:lineRule="auto"/>
              <w:jc w:val="center"/>
              <w:rPr>
                <w:rFonts w:hint="eastAsia" w:ascii="宋体" w:hAnsi="宋体" w:cs="宋体"/>
                <w:color w:val="auto"/>
                <w:kern w:val="0"/>
                <w:sz w:val="24"/>
                <w:highlight w:val="none"/>
              </w:rPr>
            </w:pPr>
          </w:p>
        </w:tc>
      </w:tr>
      <w:tr w14:paraId="07E6BBC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FD030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75DD1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3AE672">
            <w:pPr>
              <w:spacing w:line="360" w:lineRule="auto"/>
              <w:jc w:val="center"/>
              <w:rPr>
                <w:rFonts w:hint="eastAsia" w:ascii="宋体" w:hAnsi="宋体" w:cs="宋体"/>
                <w:color w:val="auto"/>
                <w:kern w:val="0"/>
                <w:sz w:val="24"/>
                <w:highlight w:val="none"/>
              </w:rPr>
            </w:pPr>
          </w:p>
        </w:tc>
        <w:tc>
          <w:tcPr>
            <w:tcW w:w="386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85111B">
            <w:pPr>
              <w:spacing w:line="360" w:lineRule="auto"/>
              <w:jc w:val="center"/>
              <w:rPr>
                <w:rFonts w:hint="eastAsia" w:ascii="宋体" w:hAnsi="宋体" w:cs="宋体"/>
                <w:color w:val="auto"/>
                <w:kern w:val="0"/>
                <w:sz w:val="24"/>
                <w:highlight w:val="none"/>
              </w:rPr>
            </w:pPr>
          </w:p>
        </w:tc>
        <w:tc>
          <w:tcPr>
            <w:tcW w:w="127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A10ED6">
            <w:pPr>
              <w:spacing w:line="360" w:lineRule="auto"/>
              <w:jc w:val="center"/>
              <w:rPr>
                <w:rFonts w:hint="eastAsia" w:ascii="宋体" w:hAnsi="宋体" w:cs="宋体"/>
                <w:color w:val="auto"/>
                <w:kern w:val="0"/>
                <w:sz w:val="24"/>
                <w:highlight w:val="none"/>
              </w:rPr>
            </w:pPr>
          </w:p>
        </w:tc>
      </w:tr>
      <w:tr w14:paraId="0CCE9C2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3DE20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E276E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BF1D7E">
            <w:pPr>
              <w:spacing w:line="360" w:lineRule="auto"/>
              <w:jc w:val="center"/>
              <w:rPr>
                <w:rFonts w:hint="eastAsia" w:ascii="宋体" w:hAnsi="宋体" w:cs="宋体"/>
                <w:color w:val="auto"/>
                <w:kern w:val="0"/>
                <w:sz w:val="24"/>
                <w:highlight w:val="none"/>
              </w:rPr>
            </w:pPr>
          </w:p>
        </w:tc>
        <w:tc>
          <w:tcPr>
            <w:tcW w:w="386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2D104D">
            <w:pPr>
              <w:spacing w:line="360" w:lineRule="auto"/>
              <w:jc w:val="center"/>
              <w:rPr>
                <w:rFonts w:hint="eastAsia" w:ascii="宋体" w:hAnsi="宋体" w:cs="宋体"/>
                <w:color w:val="auto"/>
                <w:kern w:val="0"/>
                <w:sz w:val="24"/>
                <w:highlight w:val="none"/>
              </w:rPr>
            </w:pPr>
          </w:p>
        </w:tc>
        <w:tc>
          <w:tcPr>
            <w:tcW w:w="127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D6D3D8">
            <w:pPr>
              <w:spacing w:line="360" w:lineRule="auto"/>
              <w:jc w:val="center"/>
              <w:rPr>
                <w:rFonts w:hint="eastAsia" w:ascii="宋体" w:hAnsi="宋体" w:cs="宋体"/>
                <w:color w:val="auto"/>
                <w:kern w:val="0"/>
                <w:sz w:val="24"/>
                <w:highlight w:val="none"/>
              </w:rPr>
            </w:pPr>
          </w:p>
        </w:tc>
      </w:tr>
      <w:tr w14:paraId="157E094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7C99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9CDF1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321CD7">
            <w:pPr>
              <w:spacing w:line="360" w:lineRule="auto"/>
              <w:jc w:val="center"/>
              <w:rPr>
                <w:rFonts w:hint="eastAsia" w:ascii="宋体" w:hAnsi="宋体" w:cs="宋体"/>
                <w:color w:val="auto"/>
                <w:kern w:val="0"/>
                <w:sz w:val="24"/>
                <w:highlight w:val="none"/>
              </w:rPr>
            </w:pPr>
          </w:p>
        </w:tc>
        <w:tc>
          <w:tcPr>
            <w:tcW w:w="386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AFFE6">
            <w:pPr>
              <w:spacing w:line="360" w:lineRule="auto"/>
              <w:jc w:val="center"/>
              <w:rPr>
                <w:rFonts w:hint="eastAsia" w:ascii="宋体" w:hAnsi="宋体" w:cs="宋体"/>
                <w:color w:val="auto"/>
                <w:kern w:val="0"/>
                <w:sz w:val="24"/>
                <w:highlight w:val="none"/>
              </w:rPr>
            </w:pPr>
          </w:p>
        </w:tc>
        <w:tc>
          <w:tcPr>
            <w:tcW w:w="127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2C7126">
            <w:pPr>
              <w:spacing w:line="360" w:lineRule="auto"/>
              <w:jc w:val="center"/>
              <w:rPr>
                <w:rFonts w:hint="eastAsia" w:ascii="宋体" w:hAnsi="宋体" w:cs="宋体"/>
                <w:color w:val="auto"/>
                <w:kern w:val="0"/>
                <w:sz w:val="24"/>
                <w:highlight w:val="none"/>
              </w:rPr>
            </w:pPr>
          </w:p>
        </w:tc>
      </w:tr>
    </w:tbl>
    <w:p w14:paraId="23004C47">
      <w:pPr>
        <w:snapToGrid w:val="0"/>
        <w:spacing w:line="360" w:lineRule="auto"/>
        <w:jc w:val="left"/>
        <w:rPr>
          <w:rFonts w:hint="eastAsia" w:ascii="宋体" w:hAnsi="宋体" w:cs="宋体"/>
          <w:color w:val="auto"/>
          <w:sz w:val="24"/>
          <w:highlight w:val="none"/>
        </w:rPr>
      </w:pPr>
    </w:p>
    <w:p w14:paraId="2D625AC3">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1E951288">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B1757C">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B5A42D4">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50545C0B">
      <w:pPr>
        <w:snapToGrid w:val="0"/>
        <w:spacing w:line="360" w:lineRule="auto"/>
        <w:jc w:val="left"/>
        <w:rPr>
          <w:rFonts w:hint="eastAsia" w:ascii="宋体" w:hAnsi="宋体" w:cs="宋体"/>
          <w:color w:val="auto"/>
          <w:sz w:val="24"/>
          <w:highlight w:val="none"/>
        </w:rPr>
      </w:pPr>
    </w:p>
    <w:p w14:paraId="6E1F5C57">
      <w:pPr>
        <w:snapToGrid w:val="0"/>
        <w:spacing w:line="360" w:lineRule="auto"/>
        <w:jc w:val="left"/>
        <w:rPr>
          <w:rFonts w:hint="eastAsia" w:ascii="宋体" w:hAnsi="宋体" w:cs="宋体"/>
          <w:color w:val="auto"/>
          <w:sz w:val="24"/>
          <w:highlight w:val="none"/>
        </w:rPr>
      </w:pPr>
    </w:p>
    <w:p w14:paraId="613E6B80">
      <w:pPr>
        <w:snapToGrid w:val="0"/>
        <w:spacing w:line="360" w:lineRule="auto"/>
        <w:jc w:val="left"/>
        <w:rPr>
          <w:rFonts w:hint="eastAsia" w:ascii="宋体" w:hAnsi="宋体" w:cs="宋体"/>
          <w:color w:val="auto"/>
          <w:sz w:val="24"/>
          <w:highlight w:val="none"/>
        </w:rPr>
      </w:pPr>
    </w:p>
    <w:p w14:paraId="21B5539F">
      <w:pPr>
        <w:pStyle w:val="24"/>
        <w:snapToGrid w:val="0"/>
        <w:spacing w:before="295" w:after="295" w:line="360" w:lineRule="auto"/>
        <w:jc w:val="both"/>
        <w:rPr>
          <w:rFonts w:hint="eastAsia" w:hAnsi="宋体" w:cs="宋体"/>
          <w:color w:val="auto"/>
          <w:sz w:val="24"/>
          <w:highlight w:val="none"/>
          <w:u w:val="single"/>
          <w:lang w:val="en-US"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142DEA67">
      <w:pPr>
        <w:pStyle w:val="24"/>
        <w:snapToGrid w:val="0"/>
        <w:spacing w:before="295" w:after="295" w:line="360" w:lineRule="auto"/>
        <w:jc w:val="both"/>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4E639EF3">
      <w:pPr>
        <w:pStyle w:val="24"/>
        <w:snapToGrid w:val="0"/>
        <w:spacing w:before="295" w:after="295" w:line="360" w:lineRule="auto"/>
        <w:rPr>
          <w:rFonts w:hint="eastAsia" w:hAnsi="宋体" w:cs="宋体"/>
          <w:color w:val="auto"/>
          <w:sz w:val="24"/>
          <w:highlight w:val="none"/>
        </w:rPr>
      </w:pP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04232F29">
      <w:pPr>
        <w:snapToGrid w:val="0"/>
        <w:spacing w:before="120" w:beforeLines="50" w:after="50" w:line="360" w:lineRule="auto"/>
        <w:ind w:right="480" w:firstLine="6465" w:firstLineChars="2300"/>
        <w:rPr>
          <w:rFonts w:hint="eastAsia" w:ascii="宋体" w:hAnsi="宋体" w:cs="宋体"/>
          <w:b/>
          <w:color w:val="auto"/>
          <w:sz w:val="28"/>
          <w:szCs w:val="28"/>
          <w:highlight w:val="none"/>
        </w:rPr>
      </w:pPr>
    </w:p>
    <w:p w14:paraId="62BE7557">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9"/>
        <w:tblW w:w="9124" w:type="dxa"/>
        <w:tblInd w:w="0" w:type="dxa"/>
        <w:shd w:val="clear" w:color="auto" w:fill="FBFBFB"/>
        <w:tblLayout w:type="fixed"/>
        <w:tblCellMar>
          <w:top w:w="0" w:type="dxa"/>
          <w:left w:w="0" w:type="dxa"/>
          <w:bottom w:w="0" w:type="dxa"/>
          <w:right w:w="0" w:type="dxa"/>
        </w:tblCellMar>
      </w:tblPr>
      <w:tblGrid>
        <w:gridCol w:w="1005"/>
        <w:gridCol w:w="2659"/>
        <w:gridCol w:w="3615"/>
        <w:gridCol w:w="1845"/>
      </w:tblGrid>
      <w:tr w14:paraId="243758B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F36CE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39DFF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61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230C7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84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5B619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126D372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011B1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598953">
            <w:pPr>
              <w:spacing w:line="360" w:lineRule="auto"/>
              <w:jc w:val="center"/>
              <w:rPr>
                <w:rFonts w:hint="eastAsia" w:ascii="宋体" w:hAnsi="宋体" w:cs="宋体"/>
                <w:color w:val="auto"/>
                <w:kern w:val="0"/>
                <w:sz w:val="24"/>
                <w:highlight w:val="none"/>
              </w:rPr>
            </w:pPr>
          </w:p>
        </w:tc>
        <w:tc>
          <w:tcPr>
            <w:tcW w:w="361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812513">
            <w:pPr>
              <w:spacing w:line="360" w:lineRule="auto"/>
              <w:jc w:val="center"/>
              <w:rPr>
                <w:rFonts w:hint="eastAsia" w:ascii="宋体" w:hAnsi="宋体" w:cs="宋体"/>
                <w:color w:val="auto"/>
                <w:kern w:val="0"/>
                <w:sz w:val="24"/>
                <w:highlight w:val="none"/>
              </w:rPr>
            </w:pPr>
          </w:p>
        </w:tc>
        <w:tc>
          <w:tcPr>
            <w:tcW w:w="184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12C557">
            <w:pPr>
              <w:spacing w:line="360" w:lineRule="auto"/>
              <w:jc w:val="center"/>
              <w:rPr>
                <w:rFonts w:hint="eastAsia" w:ascii="宋体" w:hAnsi="宋体" w:cs="宋体"/>
                <w:color w:val="auto"/>
                <w:kern w:val="0"/>
                <w:sz w:val="24"/>
                <w:highlight w:val="none"/>
              </w:rPr>
            </w:pPr>
          </w:p>
        </w:tc>
      </w:tr>
      <w:tr w14:paraId="605822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F1C49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FEE469">
            <w:pPr>
              <w:spacing w:line="360" w:lineRule="auto"/>
              <w:jc w:val="center"/>
              <w:rPr>
                <w:rFonts w:hint="eastAsia" w:ascii="宋体" w:hAnsi="宋体" w:cs="宋体"/>
                <w:color w:val="auto"/>
                <w:kern w:val="0"/>
                <w:sz w:val="24"/>
                <w:highlight w:val="none"/>
              </w:rPr>
            </w:pPr>
          </w:p>
        </w:tc>
        <w:tc>
          <w:tcPr>
            <w:tcW w:w="361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494946">
            <w:pPr>
              <w:spacing w:line="360" w:lineRule="auto"/>
              <w:jc w:val="center"/>
              <w:rPr>
                <w:rFonts w:hint="eastAsia" w:ascii="宋体" w:hAnsi="宋体" w:cs="宋体"/>
                <w:color w:val="auto"/>
                <w:kern w:val="0"/>
                <w:sz w:val="24"/>
                <w:highlight w:val="none"/>
              </w:rPr>
            </w:pPr>
          </w:p>
        </w:tc>
        <w:tc>
          <w:tcPr>
            <w:tcW w:w="184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9FC25">
            <w:pPr>
              <w:spacing w:line="360" w:lineRule="auto"/>
              <w:jc w:val="center"/>
              <w:rPr>
                <w:rFonts w:hint="eastAsia" w:ascii="宋体" w:hAnsi="宋体" w:cs="宋体"/>
                <w:color w:val="auto"/>
                <w:kern w:val="0"/>
                <w:sz w:val="24"/>
                <w:highlight w:val="none"/>
              </w:rPr>
            </w:pPr>
          </w:p>
        </w:tc>
      </w:tr>
      <w:tr w14:paraId="6620F7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1A68C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816FE0">
            <w:pPr>
              <w:spacing w:line="360" w:lineRule="auto"/>
              <w:jc w:val="center"/>
              <w:rPr>
                <w:rFonts w:hint="eastAsia" w:ascii="宋体" w:hAnsi="宋体" w:cs="宋体"/>
                <w:color w:val="auto"/>
                <w:kern w:val="0"/>
                <w:sz w:val="24"/>
                <w:highlight w:val="none"/>
              </w:rPr>
            </w:pPr>
          </w:p>
        </w:tc>
        <w:tc>
          <w:tcPr>
            <w:tcW w:w="361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BD47E4">
            <w:pPr>
              <w:spacing w:line="360" w:lineRule="auto"/>
              <w:jc w:val="center"/>
              <w:rPr>
                <w:rFonts w:hint="eastAsia" w:ascii="宋体" w:hAnsi="宋体" w:cs="宋体"/>
                <w:color w:val="auto"/>
                <w:kern w:val="0"/>
                <w:sz w:val="24"/>
                <w:highlight w:val="none"/>
              </w:rPr>
            </w:pPr>
          </w:p>
        </w:tc>
        <w:tc>
          <w:tcPr>
            <w:tcW w:w="184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89493">
            <w:pPr>
              <w:spacing w:line="360" w:lineRule="auto"/>
              <w:jc w:val="center"/>
              <w:rPr>
                <w:rFonts w:hint="eastAsia" w:ascii="宋体" w:hAnsi="宋体" w:cs="宋体"/>
                <w:color w:val="auto"/>
                <w:kern w:val="0"/>
                <w:sz w:val="24"/>
                <w:highlight w:val="none"/>
              </w:rPr>
            </w:pPr>
          </w:p>
        </w:tc>
      </w:tr>
      <w:tr w14:paraId="62A3D12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9DC9B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98B406">
            <w:pPr>
              <w:spacing w:line="360" w:lineRule="auto"/>
              <w:jc w:val="center"/>
              <w:rPr>
                <w:rFonts w:hint="eastAsia" w:ascii="宋体" w:hAnsi="宋体" w:cs="宋体"/>
                <w:color w:val="auto"/>
                <w:kern w:val="0"/>
                <w:sz w:val="24"/>
                <w:highlight w:val="none"/>
              </w:rPr>
            </w:pPr>
          </w:p>
        </w:tc>
        <w:tc>
          <w:tcPr>
            <w:tcW w:w="361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593DF6">
            <w:pPr>
              <w:spacing w:line="360" w:lineRule="auto"/>
              <w:jc w:val="center"/>
              <w:rPr>
                <w:rFonts w:hint="eastAsia" w:ascii="宋体" w:hAnsi="宋体" w:cs="宋体"/>
                <w:color w:val="auto"/>
                <w:kern w:val="0"/>
                <w:sz w:val="24"/>
                <w:highlight w:val="none"/>
              </w:rPr>
            </w:pPr>
          </w:p>
        </w:tc>
        <w:tc>
          <w:tcPr>
            <w:tcW w:w="184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0F116">
            <w:pPr>
              <w:spacing w:line="360" w:lineRule="auto"/>
              <w:jc w:val="center"/>
              <w:rPr>
                <w:rFonts w:hint="eastAsia" w:ascii="宋体" w:hAnsi="宋体" w:cs="宋体"/>
                <w:color w:val="auto"/>
                <w:kern w:val="0"/>
                <w:sz w:val="24"/>
                <w:highlight w:val="none"/>
              </w:rPr>
            </w:pPr>
          </w:p>
        </w:tc>
      </w:tr>
    </w:tbl>
    <w:p w14:paraId="296E624C">
      <w:pPr>
        <w:snapToGrid w:val="0"/>
        <w:spacing w:line="360" w:lineRule="auto"/>
        <w:jc w:val="left"/>
        <w:rPr>
          <w:rFonts w:hint="eastAsia" w:ascii="宋体" w:hAnsi="宋体" w:cs="宋体"/>
          <w:color w:val="auto"/>
          <w:sz w:val="24"/>
          <w:highlight w:val="none"/>
        </w:rPr>
      </w:pPr>
    </w:p>
    <w:p w14:paraId="34DAE76E">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73A87D7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DBB93F7">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B2B8002">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1E3B55B0">
      <w:pPr>
        <w:snapToGrid w:val="0"/>
        <w:spacing w:line="360" w:lineRule="auto"/>
        <w:ind w:firstLine="480" w:firstLineChars="200"/>
        <w:jc w:val="left"/>
        <w:rPr>
          <w:rFonts w:hint="eastAsia" w:ascii="宋体" w:hAnsi="宋体" w:cs="宋体"/>
          <w:color w:val="auto"/>
          <w:sz w:val="24"/>
          <w:highlight w:val="none"/>
        </w:rPr>
      </w:pPr>
    </w:p>
    <w:p w14:paraId="391DE774">
      <w:pPr>
        <w:snapToGrid w:val="0"/>
        <w:spacing w:line="360" w:lineRule="auto"/>
        <w:jc w:val="left"/>
        <w:rPr>
          <w:rFonts w:hint="eastAsia" w:ascii="宋体" w:hAnsi="宋体" w:cs="宋体"/>
          <w:color w:val="auto"/>
          <w:sz w:val="24"/>
          <w:highlight w:val="none"/>
        </w:rPr>
      </w:pPr>
    </w:p>
    <w:p w14:paraId="33C49DAE">
      <w:pPr>
        <w:snapToGrid w:val="0"/>
        <w:spacing w:line="360" w:lineRule="auto"/>
        <w:jc w:val="left"/>
        <w:rPr>
          <w:rFonts w:hint="eastAsia" w:ascii="宋体" w:hAnsi="宋体" w:cs="宋体"/>
          <w:color w:val="auto"/>
          <w:sz w:val="24"/>
          <w:highlight w:val="none"/>
        </w:rPr>
      </w:pPr>
    </w:p>
    <w:p w14:paraId="0BDDE396">
      <w:pPr>
        <w:snapToGrid w:val="0"/>
        <w:spacing w:line="360" w:lineRule="auto"/>
        <w:jc w:val="left"/>
        <w:rPr>
          <w:rFonts w:hint="eastAsia" w:ascii="宋体" w:hAnsi="宋体" w:cs="宋体"/>
          <w:color w:val="auto"/>
          <w:sz w:val="24"/>
          <w:highlight w:val="none"/>
        </w:rPr>
      </w:pPr>
    </w:p>
    <w:p w14:paraId="58C4752B">
      <w:pPr>
        <w:snapToGrid w:val="0"/>
        <w:spacing w:line="360" w:lineRule="auto"/>
        <w:jc w:val="left"/>
        <w:rPr>
          <w:rFonts w:hint="eastAsia" w:ascii="宋体" w:hAnsi="宋体" w:cs="宋体"/>
          <w:color w:val="auto"/>
          <w:sz w:val="24"/>
          <w:highlight w:val="none"/>
        </w:rPr>
      </w:pPr>
    </w:p>
    <w:p w14:paraId="7054B8BD">
      <w:pPr>
        <w:pStyle w:val="24"/>
        <w:snapToGrid w:val="0"/>
        <w:spacing w:before="295" w:after="295" w:line="360" w:lineRule="auto"/>
        <w:ind w:firstLine="480" w:firstLineChars="200"/>
        <w:jc w:val="both"/>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1607AA5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7E8DDA14">
      <w:pPr>
        <w:pStyle w:val="24"/>
        <w:snapToGrid w:val="0"/>
        <w:spacing w:before="295" w:after="295" w:line="360" w:lineRule="auto"/>
        <w:rPr>
          <w:rFonts w:hint="eastAsia"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4089F77A">
      <w:pPr>
        <w:snapToGrid w:val="0"/>
        <w:spacing w:before="120" w:beforeLines="50" w:after="50" w:line="360" w:lineRule="auto"/>
        <w:ind w:right="480" w:firstLine="240" w:firstLineChars="100"/>
        <w:jc w:val="right"/>
        <w:rPr>
          <w:rFonts w:hint="eastAsia" w:ascii="宋体" w:hAnsi="宋体" w:cs="宋体"/>
          <w:color w:val="auto"/>
          <w:sz w:val="24"/>
          <w:highlight w:val="none"/>
        </w:rPr>
      </w:pPr>
    </w:p>
    <w:p w14:paraId="6847B58B">
      <w:pPr>
        <w:snapToGrid w:val="0"/>
        <w:spacing w:before="50" w:after="120" w:afterLines="50"/>
        <w:jc w:val="left"/>
        <w:rPr>
          <w:rFonts w:hint="eastAsia" w:ascii="宋体" w:hAnsi="宋体" w:cs="宋体"/>
          <w:color w:val="auto"/>
          <w:szCs w:val="21"/>
          <w:highlight w:val="none"/>
        </w:rPr>
      </w:pPr>
    </w:p>
    <w:p w14:paraId="123B58CA">
      <w:pPr>
        <w:numPr>
          <w:ilvl w:val="0"/>
          <w:numId w:val="0"/>
        </w:numPr>
        <w:snapToGrid w:val="0"/>
        <w:spacing w:before="120" w:beforeLines="50" w:after="50"/>
        <w:ind w:leftChars="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投标声明</w:t>
      </w:r>
    </w:p>
    <w:p w14:paraId="4B4AE2E2">
      <w:pPr>
        <w:snapToGrid w:val="0"/>
        <w:spacing w:before="50" w:after="120" w:afterLines="50"/>
        <w:jc w:val="left"/>
        <w:rPr>
          <w:rFonts w:hint="eastAsia" w:ascii="宋体" w:hAnsi="宋体" w:cs="宋体"/>
          <w:color w:val="auto"/>
          <w:highlight w:val="none"/>
        </w:rPr>
      </w:pPr>
    </w:p>
    <w:p w14:paraId="7B2BAA4C">
      <w:pPr>
        <w:snapToGrid w:val="0"/>
        <w:spacing w:before="50" w:after="120" w:afterLines="5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投标声明</w:t>
      </w:r>
    </w:p>
    <w:p w14:paraId="58713D73">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（采购人名称）：</w:t>
      </w:r>
    </w:p>
    <w:p w14:paraId="75F10589">
      <w:pPr>
        <w:spacing w:line="360" w:lineRule="auto"/>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63499A4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资格条件，我方对此声明负全部法律责任。</w:t>
      </w:r>
    </w:p>
    <w:p w14:paraId="3F2C668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20D3EFD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0928032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p>
    <w:p w14:paraId="570159B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37F0614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1E2FC88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0C20E9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0FEDD26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05532AC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2065DBE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45D5436E">
      <w:pPr>
        <w:pStyle w:val="24"/>
        <w:snapToGrid w:val="0"/>
        <w:spacing w:before="295" w:after="295" w:line="240" w:lineRule="auto"/>
        <w:ind w:firstLine="480" w:firstLineChars="200"/>
        <w:jc w:val="both"/>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7533B8D1">
      <w:pPr>
        <w:snapToGrid w:val="0"/>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7B3C3EFC">
      <w:pPr>
        <w:pStyle w:val="24"/>
        <w:snapToGrid w:val="0"/>
        <w:spacing w:before="295" w:after="295" w:line="240" w:lineRule="auto"/>
        <w:rPr>
          <w:rFonts w:hint="eastAsia" w:ascii="宋体" w:hAnsi="宋体" w:cs="宋体"/>
          <w:b/>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0E2E07F7">
      <w:pPr>
        <w:spacing w:line="240" w:lineRule="auto"/>
        <w:contextualSpacing/>
        <w:rPr>
          <w:rFonts w:hint="eastAsia" w:ascii="宋体" w:hAnsi="宋体" w:cs="宋体"/>
          <w:b/>
          <w:color w:val="auto"/>
          <w:sz w:val="24"/>
          <w:highlight w:val="none"/>
        </w:rPr>
      </w:pPr>
      <w:r>
        <w:rPr>
          <w:rFonts w:hint="eastAsia" w:ascii="宋体" w:hAnsi="宋体" w:cs="宋体"/>
          <w:b/>
          <w:color w:val="auto"/>
          <w:sz w:val="24"/>
          <w:highlight w:val="none"/>
        </w:rPr>
        <w:t>注：如为联合体投标，盖章处须加盖联合体牵头人电子签章并由联合体牵头人法定代表人分别签字或者盖章或者电子签名，否则投标无效。</w:t>
      </w:r>
      <w:bookmarkStart w:id="132" w:name="_Toc19686838"/>
    </w:p>
    <w:p w14:paraId="447DE232">
      <w:pPr>
        <w:spacing w:line="240" w:lineRule="auto"/>
        <w:contextualSpacing/>
        <w:rPr>
          <w:rFonts w:hint="eastAsia" w:ascii="宋体" w:hAnsi="宋体" w:cs="宋体"/>
          <w:b/>
          <w:color w:val="auto"/>
          <w:sz w:val="28"/>
          <w:szCs w:val="28"/>
          <w:highlight w:val="none"/>
        </w:rPr>
      </w:pPr>
      <w:r>
        <w:rPr>
          <w:rFonts w:hint="eastAsia" w:ascii="宋体" w:hAnsi="宋体" w:cs="宋体"/>
          <w:b/>
          <w:color w:val="auto"/>
          <w:sz w:val="28"/>
          <w:szCs w:val="28"/>
          <w:highlight w:val="none"/>
        </w:rPr>
        <w:t>三、商务文件格式</w:t>
      </w:r>
      <w:bookmarkEnd w:id="132"/>
    </w:p>
    <w:p w14:paraId="1646550A">
      <w:pPr>
        <w:snapToGrid w:val="0"/>
        <w:spacing w:before="120" w:beforeLines="50" w:after="50" w:line="360" w:lineRule="auto"/>
        <w:jc w:val="left"/>
        <w:rPr>
          <w:rFonts w:hint="eastAsia" w:ascii="宋体" w:hAnsi="宋体" w:cs="宋体"/>
          <w:b/>
          <w:color w:val="auto"/>
          <w:sz w:val="24"/>
          <w:highlight w:val="none"/>
        </w:rPr>
      </w:pPr>
    </w:p>
    <w:p w14:paraId="437215CC">
      <w:pPr>
        <w:snapToGrid w:val="0"/>
        <w:spacing w:before="120" w:beforeLines="50" w:after="50"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1.商务文件封面格式： </w:t>
      </w:r>
    </w:p>
    <w:p w14:paraId="27431976">
      <w:pPr>
        <w:snapToGrid w:val="0"/>
        <w:spacing w:before="120" w:beforeLines="50" w:after="50"/>
        <w:jc w:val="center"/>
        <w:rPr>
          <w:rFonts w:hint="eastAsia" w:ascii="宋体" w:hAnsi="宋体" w:cs="宋体"/>
          <w:bCs/>
          <w:color w:val="auto"/>
          <w:sz w:val="48"/>
          <w:szCs w:val="48"/>
          <w:highlight w:val="none"/>
        </w:rPr>
      </w:pPr>
    </w:p>
    <w:p w14:paraId="0343473C">
      <w:pPr>
        <w:snapToGrid w:val="0"/>
        <w:spacing w:before="120" w:beforeLines="50" w:after="50"/>
        <w:jc w:val="center"/>
        <w:rPr>
          <w:rFonts w:hint="eastAsia" w:ascii="宋体" w:hAnsi="宋体" w:cs="宋体"/>
          <w:b/>
          <w:bCs w:val="0"/>
          <w:color w:val="auto"/>
          <w:sz w:val="24"/>
          <w:highlight w:val="none"/>
        </w:rPr>
      </w:pPr>
      <w:r>
        <w:rPr>
          <w:rFonts w:hint="eastAsia" w:ascii="宋体" w:hAnsi="宋体" w:cs="宋体"/>
          <w:b/>
          <w:bCs w:val="0"/>
          <w:color w:val="auto"/>
          <w:sz w:val="48"/>
          <w:szCs w:val="48"/>
          <w:highlight w:val="none"/>
        </w:rPr>
        <w:t>电子投标文件</w:t>
      </w:r>
    </w:p>
    <w:p w14:paraId="0D1C482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F45EFAD">
      <w:pPr>
        <w:snapToGrid w:val="0"/>
        <w:spacing w:before="120" w:beforeLines="50" w:after="5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商务文件</w:t>
      </w:r>
    </w:p>
    <w:p w14:paraId="772AD693">
      <w:pPr>
        <w:snapToGrid w:val="0"/>
        <w:spacing w:before="120" w:beforeLines="50" w:after="50"/>
        <w:rPr>
          <w:rFonts w:hint="eastAsia" w:ascii="宋体" w:hAnsi="宋体" w:cs="宋体"/>
          <w:bCs/>
          <w:color w:val="auto"/>
          <w:sz w:val="24"/>
          <w:szCs w:val="20"/>
          <w:highlight w:val="none"/>
        </w:rPr>
      </w:pPr>
    </w:p>
    <w:p w14:paraId="5FA1EB23">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项目名称： </w:t>
      </w:r>
    </w:p>
    <w:p w14:paraId="0CB64A8E">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0F10573B">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项目编号： </w:t>
      </w:r>
    </w:p>
    <w:p w14:paraId="3903FFB5">
      <w:pPr>
        <w:snapToGrid w:val="0"/>
        <w:spacing w:before="120" w:beforeLines="50" w:after="50"/>
        <w:ind w:firstLine="452" w:firstLineChars="150"/>
        <w:rPr>
          <w:rFonts w:hint="eastAsia" w:ascii="宋体" w:hAnsi="宋体" w:cs="宋体"/>
          <w:b/>
          <w:bCs w:val="0"/>
          <w:color w:val="auto"/>
          <w:sz w:val="30"/>
          <w:szCs w:val="30"/>
          <w:highlight w:val="none"/>
        </w:rPr>
      </w:pPr>
    </w:p>
    <w:p w14:paraId="5D8823A1">
      <w:pPr>
        <w:snapToGrid w:val="0"/>
        <w:spacing w:before="120" w:beforeLines="50" w:after="50" w:line="400" w:lineRule="exact"/>
        <w:ind w:firstLine="452" w:firstLineChars="150"/>
        <w:rPr>
          <w:rFonts w:hint="eastAsia" w:ascii="宋体" w:hAnsi="宋体" w:eastAsia="宋体" w:cs="宋体"/>
          <w:b/>
          <w:bCs w:val="0"/>
          <w:color w:val="auto"/>
          <w:sz w:val="30"/>
          <w:szCs w:val="30"/>
          <w:highlight w:val="none"/>
          <w:lang w:eastAsia="zh-CN"/>
        </w:rPr>
      </w:pPr>
      <w:r>
        <w:rPr>
          <w:rFonts w:hint="eastAsia" w:ascii="宋体" w:hAnsi="宋体" w:cs="宋体"/>
          <w:b/>
          <w:bCs w:val="0"/>
          <w:color w:val="auto"/>
          <w:sz w:val="30"/>
          <w:szCs w:val="30"/>
          <w:highlight w:val="none"/>
          <w:lang w:val="en-US" w:eastAsia="zh-CN"/>
        </w:rPr>
        <w:t>所投</w:t>
      </w:r>
      <w:r>
        <w:rPr>
          <w:rFonts w:hint="eastAsia" w:ascii="宋体" w:hAnsi="宋体" w:cs="宋体"/>
          <w:b/>
          <w:bCs w:val="0"/>
          <w:color w:val="auto"/>
          <w:sz w:val="30"/>
          <w:szCs w:val="30"/>
          <w:highlight w:val="none"/>
        </w:rPr>
        <w:t>分标：</w:t>
      </w:r>
      <w:r>
        <w:rPr>
          <w:rFonts w:hint="eastAsia" w:ascii="宋体" w:hAnsi="宋体" w:cs="宋体"/>
          <w:b/>
          <w:bCs w:val="0"/>
          <w:color w:val="auto"/>
          <w:sz w:val="30"/>
          <w:szCs w:val="30"/>
          <w:highlight w:val="none"/>
          <w:lang w:eastAsia="zh-CN"/>
        </w:rPr>
        <w:t>（</w:t>
      </w:r>
      <w:r>
        <w:rPr>
          <w:rFonts w:hint="eastAsia" w:ascii="宋体" w:hAnsi="宋体" w:cs="宋体"/>
          <w:b/>
          <w:bCs w:val="0"/>
          <w:color w:val="auto"/>
          <w:sz w:val="30"/>
          <w:szCs w:val="30"/>
          <w:highlight w:val="none"/>
          <w:lang w:val="en-US" w:eastAsia="zh-CN"/>
        </w:rPr>
        <w:t>如有</w:t>
      </w:r>
      <w:r>
        <w:rPr>
          <w:rFonts w:hint="eastAsia" w:ascii="宋体" w:hAnsi="宋体" w:cs="宋体"/>
          <w:b/>
          <w:bCs w:val="0"/>
          <w:color w:val="auto"/>
          <w:sz w:val="30"/>
          <w:szCs w:val="30"/>
          <w:highlight w:val="none"/>
          <w:lang w:eastAsia="zh-CN"/>
        </w:rPr>
        <w:t>）</w:t>
      </w:r>
    </w:p>
    <w:p w14:paraId="464863CD">
      <w:pPr>
        <w:pStyle w:val="6"/>
        <w:rPr>
          <w:rFonts w:hint="eastAsia" w:ascii="宋体" w:hAnsi="宋体" w:eastAsia="宋体" w:cs="宋体"/>
          <w:b/>
          <w:bCs w:val="0"/>
          <w:color w:val="auto"/>
          <w:sz w:val="30"/>
          <w:szCs w:val="30"/>
          <w:highlight w:val="none"/>
        </w:rPr>
      </w:pPr>
    </w:p>
    <w:p w14:paraId="483AF836">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投标人名称：</w:t>
      </w:r>
    </w:p>
    <w:p w14:paraId="5205AF75">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756E5CF8">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投标人地址：</w:t>
      </w:r>
    </w:p>
    <w:p w14:paraId="25ABA136">
      <w:pPr>
        <w:pStyle w:val="10"/>
        <w:snapToGrid w:val="0"/>
        <w:spacing w:before="50" w:after="50" w:line="400" w:lineRule="exact"/>
        <w:ind w:firstLine="1205" w:firstLineChars="400"/>
        <w:rPr>
          <w:rFonts w:hint="eastAsia" w:ascii="宋体" w:hAnsi="宋体" w:cs="宋体"/>
          <w:b/>
          <w:bCs w:val="0"/>
          <w:color w:val="auto"/>
          <w:sz w:val="30"/>
          <w:szCs w:val="30"/>
          <w:highlight w:val="none"/>
        </w:rPr>
      </w:pPr>
    </w:p>
    <w:p w14:paraId="47262BD7">
      <w:pPr>
        <w:snapToGrid w:val="0"/>
        <w:spacing w:before="120" w:beforeLines="50" w:after="50" w:line="400" w:lineRule="exact"/>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                                   年  月  日</w:t>
      </w:r>
    </w:p>
    <w:p w14:paraId="6E97DC70">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E6B0A0">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2.商务文件目录</w:t>
      </w:r>
    </w:p>
    <w:p w14:paraId="3158AC2E">
      <w:pPr>
        <w:snapToGrid w:val="0"/>
        <w:spacing w:before="50" w:after="120" w:afterLines="50" w:line="360" w:lineRule="auto"/>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1AC4C114">
      <w:pPr>
        <w:snapToGrid w:val="0"/>
        <w:spacing w:before="50" w:after="120" w:afterLines="50"/>
        <w:jc w:val="left"/>
        <w:rPr>
          <w:rFonts w:hint="eastAsia" w:ascii="宋体" w:hAnsi="宋体" w:cs="宋体"/>
          <w:color w:val="auto"/>
          <w:highlight w:val="none"/>
        </w:rPr>
      </w:pPr>
    </w:p>
    <w:p w14:paraId="40DAD3DC">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3.投标人参加本项目无围标串标行为的承诺</w:t>
      </w:r>
    </w:p>
    <w:p w14:paraId="47F869E8">
      <w:pPr>
        <w:snapToGrid w:val="0"/>
        <w:spacing w:before="120" w:beforeLines="50" w:after="50"/>
        <w:jc w:val="left"/>
        <w:rPr>
          <w:rFonts w:hint="eastAsia" w:ascii="宋体" w:hAnsi="宋体" w:cs="宋体"/>
          <w:b/>
          <w:color w:val="auto"/>
          <w:sz w:val="24"/>
          <w:highlight w:val="none"/>
        </w:rPr>
      </w:pPr>
    </w:p>
    <w:p w14:paraId="7CB6D5EC">
      <w:pPr>
        <w:snapToGrid w:val="0"/>
        <w:spacing w:before="120" w:beforeLines="50" w:after="50"/>
        <w:ind w:left="420"/>
        <w:jc w:val="center"/>
        <w:rPr>
          <w:rFonts w:hint="eastAsia" w:ascii="宋体" w:hAnsi="宋体" w:cs="宋体"/>
          <w:b/>
          <w:bCs w:val="0"/>
          <w:color w:val="auto"/>
          <w:spacing w:val="-17"/>
          <w:sz w:val="36"/>
          <w:szCs w:val="36"/>
          <w:highlight w:val="none"/>
        </w:rPr>
      </w:pPr>
      <w:r>
        <w:rPr>
          <w:rFonts w:hint="eastAsia" w:ascii="宋体" w:hAnsi="宋体" w:cs="宋体"/>
          <w:b/>
          <w:bCs w:val="0"/>
          <w:color w:val="auto"/>
          <w:spacing w:val="-17"/>
          <w:sz w:val="36"/>
          <w:szCs w:val="36"/>
          <w:highlight w:val="none"/>
        </w:rPr>
        <w:t>投标人参加本项目无围标串标行为的承诺函</w:t>
      </w:r>
    </w:p>
    <w:p w14:paraId="0BF6BB44">
      <w:pPr>
        <w:snapToGrid w:val="0"/>
        <w:spacing w:before="120" w:beforeLines="50" w:after="50"/>
        <w:rPr>
          <w:rFonts w:hint="eastAsia" w:ascii="宋体" w:hAnsi="宋体" w:cs="宋体"/>
          <w:b/>
          <w:color w:val="auto"/>
          <w:sz w:val="24"/>
          <w:highlight w:val="none"/>
        </w:rPr>
      </w:pPr>
    </w:p>
    <w:p w14:paraId="0371E416">
      <w:pPr>
        <w:spacing w:line="400" w:lineRule="exact"/>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0004D02">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1.不同投标人的投标文件由同一单位或者个人编制； </w:t>
      </w:r>
    </w:p>
    <w:p w14:paraId="3C6DA073">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C4F10CB">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AD48D16">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A2F2C4A">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55D563D">
      <w:pPr>
        <w:spacing w:line="400" w:lineRule="exact"/>
        <w:contextualSpacing/>
        <w:jc w:val="left"/>
        <w:rPr>
          <w:rFonts w:hint="eastAsia"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103A02BF">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1.投标人直接或者间接从采购人或者采购代理机构处获得其他投标人的相关信息并修改其投标文件或者投标文件；</w:t>
      </w:r>
    </w:p>
    <w:p w14:paraId="653FCE9B">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2.投标人按照采购人或者采购代理机构的授意撤换、修改投标文件或者投标文件；</w:t>
      </w:r>
    </w:p>
    <w:p w14:paraId="199E78AD">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3.投标人之间协商报价、技术方案等投标文件或者投标文件的实质性内容；</w:t>
      </w:r>
    </w:p>
    <w:p w14:paraId="16343EB4">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C44C3B6">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1C9B561">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6B08922">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07CA581">
      <w:pPr>
        <w:spacing w:line="400" w:lineRule="exact"/>
        <w:ind w:firstLine="472" w:firstLineChars="196"/>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56E61C44">
      <w:pPr>
        <w:pStyle w:val="24"/>
        <w:spacing w:line="400" w:lineRule="exact"/>
        <w:ind w:firstLine="6840" w:firstLineChars="2850"/>
        <w:contextualSpacing/>
        <w:rPr>
          <w:rFonts w:hint="eastAsia" w:hAnsi="宋体" w:cs="宋体"/>
          <w:color w:val="auto"/>
          <w:sz w:val="24"/>
          <w:szCs w:val="24"/>
          <w:highlight w:val="none"/>
        </w:rPr>
      </w:pPr>
    </w:p>
    <w:p w14:paraId="503D7902">
      <w:pPr>
        <w:pStyle w:val="24"/>
        <w:spacing w:line="400" w:lineRule="exact"/>
        <w:contextualSpacing/>
        <w:jc w:val="center"/>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5B9B1ABA">
      <w:pPr>
        <w:pStyle w:val="24"/>
        <w:spacing w:line="400" w:lineRule="exact"/>
        <w:contextualSpacing/>
        <w:jc w:val="both"/>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投标人名称（电子</w:t>
      </w:r>
      <w:r>
        <w:rPr>
          <w:rFonts w:hint="eastAsia" w:hAnsi="宋体" w:cs="宋体"/>
          <w:color w:val="auto"/>
          <w:sz w:val="24"/>
          <w:szCs w:val="24"/>
          <w:highlight w:val="none"/>
          <w:lang w:val="en-US" w:eastAsia="zh-CN"/>
        </w:rPr>
        <w:t>公</w:t>
      </w:r>
      <w:r>
        <w:rPr>
          <w:rFonts w:hint="eastAsia" w:hAnsi="宋体" w:cs="宋体"/>
          <w:color w:val="auto"/>
          <w:sz w:val="24"/>
          <w:szCs w:val="24"/>
          <w:highlight w:val="none"/>
        </w:rPr>
        <w:t>章）</w:t>
      </w:r>
      <w:r>
        <w:rPr>
          <w:rFonts w:hint="eastAsia" w:hAnsi="宋体" w:cs="宋体"/>
          <w:color w:val="auto"/>
          <w:sz w:val="24"/>
          <w:szCs w:val="24"/>
          <w:highlight w:val="none"/>
          <w:lang w:eastAsia="zh-CN"/>
        </w:rPr>
        <w:t>：</w:t>
      </w:r>
    </w:p>
    <w:p w14:paraId="23B9FC28">
      <w:pPr>
        <w:pStyle w:val="24"/>
        <w:spacing w:line="400" w:lineRule="exact"/>
        <w:contextualSpacing/>
        <w:rPr>
          <w:rFonts w:hint="eastAsia" w:hAnsi="宋体" w:cs="宋体"/>
          <w:color w:val="auto"/>
          <w:sz w:val="24"/>
          <w:highlight w:val="none"/>
        </w:rPr>
      </w:pPr>
      <w:r>
        <w:rPr>
          <w:rFonts w:hint="eastAsia" w:hAnsi="宋体" w:cs="宋体"/>
          <w:color w:val="auto"/>
          <w:sz w:val="24"/>
          <w:highlight w:val="none"/>
        </w:rPr>
        <w:t xml:space="preserve"> </w:t>
      </w:r>
    </w:p>
    <w:p w14:paraId="38BA0A2F">
      <w:pPr>
        <w:pStyle w:val="24"/>
        <w:spacing w:line="400" w:lineRule="exact"/>
        <w:ind w:firstLine="5760" w:firstLineChars="2400"/>
        <w:contextualSpacing/>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75448D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4.法定代表人身份证明</w:t>
      </w:r>
    </w:p>
    <w:p w14:paraId="310B72A2">
      <w:pPr>
        <w:spacing w:before="240" w:beforeLines="100" w:after="120" w:afterLines="50"/>
        <w:ind w:left="540"/>
        <w:jc w:val="center"/>
        <w:rPr>
          <w:rFonts w:hint="eastAsia" w:ascii="宋体" w:hAnsi="宋体" w:cs="宋体"/>
          <w:b/>
          <w:color w:val="auto"/>
          <w:sz w:val="32"/>
          <w:szCs w:val="32"/>
          <w:highlight w:val="none"/>
        </w:rPr>
      </w:pPr>
    </w:p>
    <w:p w14:paraId="7787F666">
      <w:pPr>
        <w:spacing w:before="240" w:beforeLines="100" w:after="120" w:afterLines="50"/>
        <w:ind w:left="540"/>
        <w:jc w:val="center"/>
        <w:rPr>
          <w:rFonts w:hint="eastAsia" w:ascii="宋体" w:hAnsi="宋体" w:cs="宋体"/>
          <w:b/>
          <w:bCs w:val="0"/>
          <w:color w:val="auto"/>
          <w:sz w:val="36"/>
          <w:szCs w:val="36"/>
          <w:highlight w:val="none"/>
        </w:rPr>
      </w:pPr>
      <w:r>
        <w:rPr>
          <w:rFonts w:hint="eastAsia" w:ascii="宋体" w:hAnsi="宋体" w:cs="宋体"/>
          <w:b/>
          <w:bCs w:val="0"/>
          <w:color w:val="auto"/>
          <w:sz w:val="36"/>
          <w:szCs w:val="36"/>
          <w:highlight w:val="none"/>
        </w:rPr>
        <w:t>法定代表人身份证明</w:t>
      </w:r>
    </w:p>
    <w:p w14:paraId="0A726BA0">
      <w:pPr>
        <w:pStyle w:val="10"/>
        <w:rPr>
          <w:rFonts w:hint="eastAsia"/>
          <w:color w:val="auto"/>
        </w:rPr>
      </w:pPr>
    </w:p>
    <w:p w14:paraId="4AF81B62">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投 标 人：</w:t>
      </w:r>
      <w:r>
        <w:rPr>
          <w:rFonts w:hint="eastAsia" w:ascii="宋体" w:hAnsi="宋体" w:cs="宋体"/>
          <w:color w:val="auto"/>
          <w:sz w:val="28"/>
          <w:szCs w:val="28"/>
          <w:highlight w:val="none"/>
          <w:u w:val="single"/>
        </w:rPr>
        <w:t xml:space="preserve">                                                        </w:t>
      </w:r>
    </w:p>
    <w:p w14:paraId="2C0A066B">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 xml:space="preserve">                                                        </w:t>
      </w:r>
    </w:p>
    <w:p w14:paraId="5566E53A">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姓    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lang w:val="en-US" w:eastAsia="zh-CN"/>
        </w:rPr>
        <w:t xml:space="preserve">    </w:t>
      </w:r>
      <w:r>
        <w:rPr>
          <w:rFonts w:hint="eastAsia" w:ascii="宋体" w:hAnsi="宋体" w:cs="宋体"/>
          <w:color w:val="auto"/>
          <w:sz w:val="28"/>
          <w:szCs w:val="28"/>
          <w:highlight w:val="none"/>
        </w:rPr>
        <w:t>性      别：</w:t>
      </w:r>
      <w:r>
        <w:rPr>
          <w:rFonts w:hint="eastAsia" w:ascii="宋体" w:hAnsi="宋体" w:cs="宋体"/>
          <w:color w:val="auto"/>
          <w:sz w:val="28"/>
          <w:szCs w:val="28"/>
          <w:highlight w:val="none"/>
          <w:u w:val="single"/>
        </w:rPr>
        <w:t xml:space="preserve">                </w:t>
      </w:r>
    </w:p>
    <w:p w14:paraId="07075B48">
      <w:pPr>
        <w:spacing w:line="500" w:lineRule="exact"/>
        <w:ind w:left="54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年    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lang w:val="en-US" w:eastAsia="zh-CN"/>
        </w:rPr>
        <w:t xml:space="preserve">     </w:t>
      </w:r>
      <w:r>
        <w:rPr>
          <w:rFonts w:hint="eastAsia" w:ascii="宋体" w:hAnsi="宋体" w:cs="宋体"/>
          <w:color w:val="auto"/>
          <w:sz w:val="28"/>
          <w:szCs w:val="28"/>
          <w:highlight w:val="none"/>
        </w:rPr>
        <w:t>职      务：</w:t>
      </w:r>
      <w:r>
        <w:rPr>
          <w:rFonts w:hint="eastAsia" w:ascii="宋体" w:hAnsi="宋体" w:cs="宋体"/>
          <w:color w:val="auto"/>
          <w:sz w:val="28"/>
          <w:szCs w:val="28"/>
          <w:highlight w:val="none"/>
          <w:u w:val="single"/>
        </w:rPr>
        <w:t xml:space="preserve">                </w:t>
      </w:r>
    </w:p>
    <w:p w14:paraId="4B2A177F">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身份证号码：</w:t>
      </w:r>
      <w:r>
        <w:rPr>
          <w:rFonts w:hint="eastAsia" w:ascii="宋体" w:hAnsi="宋体" w:cs="宋体"/>
          <w:color w:val="auto"/>
          <w:sz w:val="28"/>
          <w:szCs w:val="28"/>
          <w:highlight w:val="none"/>
          <w:u w:val="single"/>
        </w:rPr>
        <w:t xml:space="preserve">                                 </w:t>
      </w:r>
    </w:p>
    <w:p w14:paraId="533E44DF">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（投标人名称）           </w:t>
      </w:r>
      <w:r>
        <w:rPr>
          <w:rFonts w:hint="eastAsia" w:ascii="宋体" w:hAnsi="宋体" w:cs="宋体"/>
          <w:color w:val="auto"/>
          <w:sz w:val="28"/>
          <w:szCs w:val="28"/>
          <w:highlight w:val="none"/>
        </w:rPr>
        <w:t>的法定代表人。</w:t>
      </w:r>
    </w:p>
    <w:p w14:paraId="18EEFFFB">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p w14:paraId="4AB9435F">
      <w:pPr>
        <w:spacing w:line="500" w:lineRule="exact"/>
        <w:rPr>
          <w:rFonts w:hint="eastAsia" w:ascii="宋体" w:hAnsi="宋体" w:cs="宋体"/>
          <w:color w:val="auto"/>
          <w:sz w:val="28"/>
          <w:szCs w:val="28"/>
          <w:highlight w:val="none"/>
        </w:rPr>
      </w:pPr>
    </w:p>
    <w:p w14:paraId="4922C688">
      <w:pPr>
        <w:spacing w:line="500" w:lineRule="exact"/>
        <w:ind w:left="540"/>
        <w:rPr>
          <w:rFonts w:hint="eastAsia" w:ascii="宋体" w:hAnsi="宋体" w:cs="宋体"/>
          <w:color w:val="auto"/>
          <w:sz w:val="28"/>
          <w:szCs w:val="28"/>
          <w:highlight w:val="none"/>
        </w:rPr>
      </w:pPr>
      <w:r>
        <w:rPr>
          <w:rFonts w:hint="eastAsia" w:ascii="宋体" w:hAnsi="宋体" w:cs="宋体"/>
          <w:color w:val="auto"/>
          <w:sz w:val="28"/>
          <w:szCs w:val="28"/>
          <w:highlight w:val="none"/>
        </w:rPr>
        <w:t>附件：法定代表人有效身份证正反面复印件</w:t>
      </w:r>
    </w:p>
    <w:p w14:paraId="7FFF5A7E">
      <w:pPr>
        <w:spacing w:line="500" w:lineRule="exact"/>
        <w:ind w:left="540"/>
        <w:rPr>
          <w:rFonts w:hint="eastAsia" w:ascii="宋体" w:hAnsi="宋体" w:cs="宋体"/>
          <w:color w:val="auto"/>
          <w:sz w:val="28"/>
          <w:szCs w:val="28"/>
          <w:highlight w:val="none"/>
        </w:rPr>
      </w:pPr>
    </w:p>
    <w:p w14:paraId="1FF05D43">
      <w:pPr>
        <w:spacing w:line="500" w:lineRule="exact"/>
        <w:ind w:left="54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投标人名称（电子签章）</w:t>
      </w:r>
    </w:p>
    <w:p w14:paraId="5180D177">
      <w:pPr>
        <w:snapToGrid w:val="0"/>
        <w:spacing w:before="120" w:beforeLines="50" w:after="50"/>
        <w:ind w:left="540"/>
        <w:jc w:val="right"/>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ED1D2C">
      <w:pPr>
        <w:snapToGrid w:val="0"/>
        <w:spacing w:before="120" w:beforeLines="50" w:after="50"/>
        <w:jc w:val="center"/>
        <w:rPr>
          <w:rFonts w:hint="eastAsia" w:ascii="宋体" w:hAnsi="宋体" w:cs="宋体"/>
          <w:b/>
          <w:color w:val="auto"/>
          <w:sz w:val="24"/>
          <w:highlight w:val="none"/>
        </w:rPr>
      </w:pPr>
    </w:p>
    <w:p w14:paraId="66A3FE4D">
      <w:pPr>
        <w:snapToGrid w:val="0"/>
        <w:spacing w:before="120" w:beforeLines="50" w:after="50"/>
        <w:jc w:val="left"/>
        <w:rPr>
          <w:rFonts w:hint="eastAsia" w:ascii="宋体" w:hAnsi="宋体" w:cs="宋体"/>
          <w:color w:val="auto"/>
          <w:sz w:val="24"/>
          <w:szCs w:val="24"/>
          <w:highlight w:val="none"/>
        </w:rPr>
      </w:pPr>
    </w:p>
    <w:p w14:paraId="6D49B16E">
      <w:pPr>
        <w:snapToGrid w:val="0"/>
        <w:spacing w:before="120" w:beforeLines="50" w:after="50"/>
        <w:jc w:val="left"/>
        <w:rPr>
          <w:rFonts w:hint="eastAsia" w:ascii="宋体" w:hAnsi="宋体" w:cs="宋体"/>
          <w:color w:val="auto"/>
          <w:sz w:val="24"/>
          <w:szCs w:val="24"/>
          <w:highlight w:val="none"/>
        </w:rPr>
      </w:pPr>
    </w:p>
    <w:p w14:paraId="3C2C9FB1">
      <w:pPr>
        <w:snapToGrid w:val="0"/>
        <w:spacing w:before="120" w:beforeLines="50" w:after="50"/>
        <w:jc w:val="left"/>
        <w:rPr>
          <w:rFonts w:hint="eastAsia" w:ascii="宋体" w:hAnsi="宋体" w:cs="宋体"/>
          <w:color w:val="auto"/>
          <w:sz w:val="24"/>
          <w:szCs w:val="24"/>
          <w:highlight w:val="none"/>
        </w:rPr>
      </w:pPr>
    </w:p>
    <w:p w14:paraId="03484155">
      <w:pPr>
        <w:snapToGrid w:val="0"/>
        <w:spacing w:before="120" w:beforeLines="50" w:after="50"/>
        <w:jc w:val="left"/>
        <w:rPr>
          <w:rFonts w:hint="eastAsia" w:ascii="宋体" w:hAnsi="宋体" w:cs="宋体"/>
          <w:color w:val="auto"/>
          <w:sz w:val="24"/>
          <w:szCs w:val="24"/>
          <w:highlight w:val="none"/>
        </w:rPr>
      </w:pPr>
    </w:p>
    <w:p w14:paraId="2C92CB81">
      <w:pPr>
        <w:snapToGrid w:val="0"/>
        <w:spacing w:before="120" w:beforeLines="50" w:after="50"/>
        <w:jc w:val="left"/>
        <w:rPr>
          <w:rFonts w:hint="eastAsia" w:ascii="宋体" w:hAnsi="宋体" w:cs="宋体"/>
          <w:color w:val="auto"/>
          <w:sz w:val="24"/>
          <w:szCs w:val="24"/>
          <w:highlight w:val="none"/>
        </w:rPr>
      </w:pPr>
    </w:p>
    <w:p w14:paraId="74BA05EF">
      <w:pPr>
        <w:snapToGrid w:val="0"/>
        <w:spacing w:before="120" w:beforeLines="50" w:after="50"/>
        <w:jc w:val="left"/>
        <w:rPr>
          <w:rFonts w:hint="eastAsia" w:ascii="宋体" w:hAnsi="宋体" w:cs="宋体"/>
          <w:color w:val="auto"/>
          <w:sz w:val="24"/>
          <w:szCs w:val="24"/>
          <w:highlight w:val="none"/>
        </w:rPr>
      </w:pPr>
    </w:p>
    <w:p w14:paraId="4DC8AE76">
      <w:pPr>
        <w:snapToGrid w:val="0"/>
        <w:spacing w:before="120" w:beforeLines="50" w:after="50"/>
        <w:jc w:val="left"/>
        <w:rPr>
          <w:rFonts w:hint="eastAsia" w:ascii="宋体" w:hAnsi="宋体" w:cs="宋体"/>
          <w:color w:val="auto"/>
          <w:sz w:val="24"/>
          <w:szCs w:val="24"/>
          <w:highlight w:val="none"/>
        </w:rPr>
      </w:pPr>
    </w:p>
    <w:p w14:paraId="35EE2FA1">
      <w:pPr>
        <w:snapToGrid w:val="0"/>
        <w:spacing w:before="120" w:beforeLines="50" w:after="50"/>
        <w:jc w:val="left"/>
        <w:rPr>
          <w:rFonts w:hint="eastAsia" w:ascii="宋体" w:hAnsi="宋体" w:cs="宋体"/>
          <w:color w:val="auto"/>
          <w:sz w:val="24"/>
          <w:szCs w:val="24"/>
          <w:highlight w:val="none"/>
        </w:rPr>
      </w:pPr>
    </w:p>
    <w:p w14:paraId="71B19C69">
      <w:pPr>
        <w:snapToGrid w:val="0"/>
        <w:spacing w:before="120" w:beforeLines="50" w:after="50"/>
        <w:jc w:val="left"/>
        <w:rPr>
          <w:rFonts w:hint="eastAsia" w:ascii="宋体" w:hAnsi="宋体" w:cs="宋体"/>
          <w:color w:val="auto"/>
          <w:sz w:val="24"/>
          <w:szCs w:val="24"/>
          <w:highlight w:val="none"/>
        </w:rPr>
      </w:pPr>
    </w:p>
    <w:p w14:paraId="7088FA40">
      <w:pPr>
        <w:snapToGrid w:val="0"/>
        <w:spacing w:before="120" w:beforeLines="50" w:after="50"/>
        <w:jc w:val="left"/>
        <w:rPr>
          <w:rFonts w:hint="eastAsia" w:ascii="宋体" w:hAnsi="宋体" w:cs="宋体"/>
          <w:color w:val="auto"/>
          <w:sz w:val="24"/>
          <w:szCs w:val="24"/>
          <w:highlight w:val="none"/>
        </w:rPr>
      </w:pPr>
    </w:p>
    <w:p w14:paraId="71B6713D">
      <w:pPr>
        <w:rPr>
          <w:rFonts w:hint="eastAsia"/>
          <w:color w:val="auto"/>
        </w:rPr>
      </w:pPr>
    </w:p>
    <w:p w14:paraId="77DAD8F2">
      <w:pPr>
        <w:snapToGrid w:val="0"/>
        <w:spacing w:before="120" w:beforeLines="50" w:after="50"/>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注：自然人投标的无需提供</w:t>
      </w:r>
    </w:p>
    <w:p w14:paraId="6C42E8E4">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04D49D43">
      <w:pPr>
        <w:snapToGrid w:val="0"/>
        <w:spacing w:before="120" w:beforeLines="50" w:after="50"/>
        <w:jc w:val="center"/>
        <w:rPr>
          <w:rFonts w:hint="eastAsia" w:ascii="宋体" w:hAnsi="宋体" w:cs="宋体"/>
          <w:b/>
          <w:color w:val="auto"/>
          <w:sz w:val="44"/>
          <w:szCs w:val="44"/>
          <w:highlight w:val="none"/>
        </w:rPr>
      </w:pPr>
    </w:p>
    <w:p w14:paraId="7A888A1B">
      <w:pPr>
        <w:snapToGrid w:val="0"/>
        <w:spacing w:before="120" w:beforeLines="50" w:after="50"/>
        <w:jc w:val="center"/>
        <w:rPr>
          <w:rFonts w:hint="eastAsia" w:ascii="宋体" w:hAnsi="宋体" w:cs="宋体"/>
          <w:b/>
          <w:bCs w:val="0"/>
          <w:color w:val="auto"/>
          <w:sz w:val="36"/>
          <w:szCs w:val="36"/>
          <w:highlight w:val="none"/>
        </w:rPr>
      </w:pPr>
      <w:r>
        <w:rPr>
          <w:rFonts w:hint="eastAsia" w:ascii="宋体" w:hAnsi="宋体" w:cs="宋体"/>
          <w:b/>
          <w:bCs w:val="0"/>
          <w:color w:val="auto"/>
          <w:sz w:val="36"/>
          <w:szCs w:val="36"/>
          <w:highlight w:val="none"/>
        </w:rPr>
        <w:t>授权委托书</w:t>
      </w:r>
    </w:p>
    <w:p w14:paraId="3BA84C53">
      <w:pPr>
        <w:snapToGrid w:val="0"/>
        <w:spacing w:before="120" w:beforeLines="50" w:after="50"/>
        <w:jc w:val="center"/>
        <w:rPr>
          <w:rFonts w:hint="eastAsia" w:ascii="宋体" w:hAnsi="宋体" w:cs="宋体"/>
          <w:b/>
          <w:bCs w:val="0"/>
          <w:color w:val="auto"/>
          <w:sz w:val="36"/>
          <w:szCs w:val="36"/>
          <w:highlight w:val="none"/>
        </w:rPr>
      </w:pPr>
      <w:r>
        <w:rPr>
          <w:rFonts w:hint="eastAsia" w:ascii="宋体" w:hAnsi="宋体" w:cs="宋体"/>
          <w:b/>
          <w:bCs w:val="0"/>
          <w:color w:val="auto"/>
          <w:sz w:val="36"/>
          <w:szCs w:val="36"/>
          <w:highlight w:val="none"/>
        </w:rPr>
        <w:t>（非联合体投标格式）</w:t>
      </w:r>
    </w:p>
    <w:p w14:paraId="7438F57F">
      <w:pPr>
        <w:snapToGrid w:val="0"/>
        <w:spacing w:before="120" w:beforeLines="50" w:after="50"/>
        <w:jc w:val="center"/>
        <w:rPr>
          <w:rFonts w:hint="eastAsia" w:ascii="宋体" w:hAnsi="宋体" w:cs="宋体"/>
          <w:b/>
          <w:bCs w:val="0"/>
          <w:color w:val="auto"/>
          <w:sz w:val="36"/>
          <w:szCs w:val="36"/>
          <w:highlight w:val="none"/>
        </w:rPr>
      </w:pPr>
      <w:r>
        <w:rPr>
          <w:rFonts w:hint="eastAsia" w:ascii="宋体" w:hAnsi="宋体" w:cs="宋体"/>
          <w:b/>
          <w:bCs w:val="0"/>
          <w:color w:val="auto"/>
          <w:sz w:val="36"/>
          <w:szCs w:val="36"/>
          <w:highlight w:val="none"/>
        </w:rPr>
        <w:t>（如有委托时）</w:t>
      </w:r>
    </w:p>
    <w:p w14:paraId="1CFF43CA">
      <w:pPr>
        <w:snapToGrid w:val="0"/>
        <w:spacing w:before="120" w:beforeLines="50" w:after="50"/>
        <w:jc w:val="center"/>
        <w:rPr>
          <w:rFonts w:hint="eastAsia" w:ascii="宋体" w:hAnsi="宋体" w:cs="宋体"/>
          <w:b/>
          <w:color w:val="auto"/>
          <w:sz w:val="24"/>
          <w:highlight w:val="none"/>
        </w:rPr>
      </w:pPr>
    </w:p>
    <w:p w14:paraId="02115CCB">
      <w:pPr>
        <w:spacing w:line="360" w:lineRule="auto"/>
        <w:contextualSpacing/>
        <w:rPr>
          <w:rFonts w:hint="eastAsia" w:ascii="宋体" w:hAnsi="宋体" w:cs="宋体"/>
          <w:b/>
          <w:bCs/>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40624E8">
      <w:pPr>
        <w:spacing w:line="360" w:lineRule="auto"/>
        <w:ind w:firstLine="566" w:firstLineChars="236"/>
        <w:contextualSpacing/>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63ABAD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75EB113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F991E7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54CE8DF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07B84F1A">
      <w:pPr>
        <w:spacing w:line="360" w:lineRule="auto"/>
        <w:contextualSpacing/>
        <w:rPr>
          <w:rFonts w:hint="eastAsia" w:ascii="宋体" w:hAnsi="宋体" w:cs="宋体"/>
          <w:color w:val="auto"/>
          <w:sz w:val="24"/>
          <w:highlight w:val="none"/>
        </w:rPr>
      </w:pPr>
    </w:p>
    <w:p w14:paraId="449CF142">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委托代理人（签字或者电子签名）：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4EC3D5FF">
      <w:pPr>
        <w:spacing w:line="440" w:lineRule="exact"/>
        <w:contextualSpacing/>
        <w:rPr>
          <w:rFonts w:hint="eastAsia" w:ascii="宋体" w:hAnsi="宋体" w:cs="宋体"/>
          <w:color w:val="auto"/>
          <w:sz w:val="24"/>
          <w:highlight w:val="none"/>
          <w:u w:val="singl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p>
    <w:p w14:paraId="5537C78B">
      <w:pPr>
        <w:spacing w:line="440" w:lineRule="exact"/>
        <w:contextualSpacing/>
        <w:rPr>
          <w:rFonts w:hint="eastAsia" w:ascii="宋体" w:hAnsi="宋体" w:cs="宋体"/>
          <w:color w:val="auto"/>
          <w:sz w:val="24"/>
          <w:highlight w:val="none"/>
          <w:u w:val="single"/>
        </w:rPr>
      </w:pPr>
      <w:r>
        <w:rPr>
          <w:rFonts w:hint="eastAsia" w:ascii="宋体" w:hAnsi="宋体" w:cs="宋体"/>
          <w:color w:val="auto"/>
          <w:sz w:val="24"/>
          <w:highlight w:val="none"/>
        </w:rPr>
        <w:t>法定代表人（签字或者电子签名）：</w:t>
      </w:r>
      <w:r>
        <w:rPr>
          <w:rFonts w:hint="eastAsia" w:ascii="宋体" w:hAnsi="宋体" w:cs="宋体"/>
          <w:color w:val="auto"/>
          <w:sz w:val="24"/>
          <w:highlight w:val="none"/>
          <w:u w:val="single"/>
        </w:rPr>
        <w:t xml:space="preserve">             </w:t>
      </w:r>
    </w:p>
    <w:p w14:paraId="76B1A2DA">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AB07B2">
      <w:pPr>
        <w:spacing w:line="440" w:lineRule="exact"/>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 </w:t>
      </w:r>
    </w:p>
    <w:p w14:paraId="0AE8966B">
      <w:pPr>
        <w:spacing w:line="440" w:lineRule="exact"/>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年    月    日</w:t>
      </w:r>
    </w:p>
    <w:p w14:paraId="58F1F54E">
      <w:pPr>
        <w:spacing w:line="440" w:lineRule="exact"/>
        <w:contextualSpacing/>
        <w:rPr>
          <w:rFonts w:hint="eastAsia" w:ascii="宋体" w:hAnsi="宋体" w:cs="宋体"/>
          <w:color w:val="auto"/>
          <w:sz w:val="24"/>
          <w:highlight w:val="none"/>
        </w:rPr>
      </w:pPr>
    </w:p>
    <w:p w14:paraId="76731257">
      <w:pPr>
        <w:spacing w:line="440" w:lineRule="exact"/>
        <w:contextualSpacing/>
        <w:rPr>
          <w:rFonts w:hint="eastAsia" w:ascii="宋体" w:hAnsi="宋体" w:cs="宋体"/>
          <w:color w:val="auto"/>
          <w:sz w:val="24"/>
          <w:highlight w:val="none"/>
        </w:rPr>
      </w:pPr>
    </w:p>
    <w:p w14:paraId="26C5CE50">
      <w:pPr>
        <w:spacing w:line="440" w:lineRule="exact"/>
        <w:contextualSpacing/>
        <w:rPr>
          <w:rFonts w:hint="eastAsia" w:ascii="宋体" w:hAnsi="宋体" w:cs="宋体"/>
          <w:color w:val="auto"/>
          <w:sz w:val="24"/>
          <w:highlight w:val="none"/>
        </w:rPr>
      </w:pPr>
    </w:p>
    <w:p w14:paraId="33A939D0">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注：1.</w:t>
      </w:r>
      <w:bookmarkStart w:id="133" w:name="_Hlk65851555"/>
      <w:bookmarkStart w:id="134" w:name="_Hlk65851620"/>
      <w:r>
        <w:rPr>
          <w:rFonts w:hint="eastAsia" w:ascii="宋体" w:hAnsi="宋体" w:cs="宋体"/>
          <w:color w:val="auto"/>
          <w:sz w:val="24"/>
          <w:highlight w:val="none"/>
        </w:rPr>
        <w:t>法定代表人必须在授权委托书上签字或者盖章或者电子签名，</w:t>
      </w:r>
      <w:bookmarkEnd w:id="133"/>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34"/>
    </w:p>
    <w:p w14:paraId="4F4716BD">
      <w:pPr>
        <w:spacing w:line="440" w:lineRule="exact"/>
        <w:ind w:firstLine="480" w:firstLineChars="200"/>
        <w:contextualSpacing/>
        <w:jc w:val="left"/>
        <w:rPr>
          <w:rFonts w:hint="eastAsia" w:ascii="宋体" w:hAnsi="宋体" w:eastAsia="宋体" w:cs="宋体"/>
          <w:color w:val="auto"/>
          <w:highlight w:val="none"/>
        </w:rPr>
      </w:pPr>
      <w:r>
        <w:rPr>
          <w:rFonts w:hint="eastAsia" w:ascii="宋体" w:hAnsi="宋体" w:cs="宋体"/>
          <w:color w:val="auto"/>
          <w:sz w:val="24"/>
          <w:highlight w:val="none"/>
        </w:rPr>
        <w:t>2.法人、其他组织投标时“我方”是指“我单位”，自然人投标时“我方”是指“本人”。</w:t>
      </w:r>
    </w:p>
    <w:p w14:paraId="1106C18B">
      <w:pPr>
        <w:rPr>
          <w:rFonts w:hint="eastAsia" w:ascii="宋体" w:hAnsi="宋体" w:cs="宋体"/>
          <w:color w:val="auto"/>
          <w:highlight w:val="none"/>
        </w:rPr>
      </w:pPr>
    </w:p>
    <w:p w14:paraId="4DACF10A">
      <w:pPr>
        <w:rPr>
          <w:rFonts w:hint="eastAsia" w:ascii="宋体" w:hAnsi="宋体" w:cs="宋体"/>
          <w:color w:val="auto"/>
          <w:sz w:val="28"/>
          <w:szCs w:val="28"/>
          <w:highlight w:val="none"/>
        </w:rPr>
      </w:pPr>
      <w:r>
        <w:rPr>
          <w:rFonts w:hint="eastAsia" w:ascii="宋体" w:hAnsi="宋体" w:cs="宋体"/>
          <w:b/>
          <w:color w:val="auto"/>
          <w:sz w:val="28"/>
          <w:szCs w:val="28"/>
          <w:highlight w:val="none"/>
        </w:rPr>
        <w:t>6.</w:t>
      </w:r>
      <w:r>
        <w:rPr>
          <w:rFonts w:hint="eastAsia" w:ascii="宋体" w:hAnsi="宋体"/>
          <w:b/>
          <w:color w:val="auto"/>
          <w:sz w:val="28"/>
          <w:szCs w:val="28"/>
          <w:highlight w:val="none"/>
        </w:rPr>
        <w:t>商务要求偏离表格式(注：按项目需求表具体项目修改)</w:t>
      </w:r>
    </w:p>
    <w:p w14:paraId="47275680">
      <w:pPr>
        <w:pStyle w:val="24"/>
        <w:rPr>
          <w:rFonts w:hint="eastAsia" w:hAnsi="宋体" w:cs="宋体"/>
          <w:color w:val="auto"/>
          <w:sz w:val="24"/>
          <w:szCs w:val="24"/>
          <w:highlight w:val="none"/>
        </w:rPr>
      </w:pPr>
    </w:p>
    <w:p w14:paraId="323C5BD3">
      <w:pPr>
        <w:snapToGrid w:val="0"/>
        <w:spacing w:before="50"/>
        <w:jc w:val="left"/>
        <w:rPr>
          <w:rFonts w:hint="eastAsia" w:ascii="宋体" w:hAnsi="宋体" w:cs="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046"/>
        <w:gridCol w:w="1434"/>
        <w:gridCol w:w="2651"/>
      </w:tblGrid>
      <w:tr w14:paraId="7BBA6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28871B58">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046" w:type="dxa"/>
            <w:tcBorders>
              <w:top w:val="single" w:color="auto" w:sz="4" w:space="0"/>
              <w:left w:val="single" w:color="auto" w:sz="4" w:space="0"/>
              <w:bottom w:val="single" w:color="auto" w:sz="4" w:space="0"/>
              <w:right w:val="single" w:color="auto" w:sz="4" w:space="0"/>
            </w:tcBorders>
            <w:noWrap w:val="0"/>
            <w:vAlign w:val="top"/>
          </w:tcPr>
          <w:p w14:paraId="02579593">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招标文件商务条款要求</w:t>
            </w:r>
          </w:p>
        </w:tc>
        <w:tc>
          <w:tcPr>
            <w:tcW w:w="1434" w:type="dxa"/>
            <w:tcBorders>
              <w:top w:val="single" w:color="auto" w:sz="4" w:space="0"/>
              <w:left w:val="single" w:color="auto" w:sz="4" w:space="0"/>
              <w:bottom w:val="single" w:color="auto" w:sz="4" w:space="0"/>
              <w:right w:val="single" w:color="auto" w:sz="4" w:space="0"/>
            </w:tcBorders>
            <w:noWrap w:val="0"/>
            <w:vAlign w:val="top"/>
          </w:tcPr>
          <w:p w14:paraId="1DF4024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noWrap w:val="0"/>
            <w:vAlign w:val="top"/>
          </w:tcPr>
          <w:p w14:paraId="3C00977E">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投标人的承诺或说明</w:t>
            </w:r>
          </w:p>
        </w:tc>
      </w:tr>
      <w:tr w14:paraId="16694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B28BB27">
            <w:pPr>
              <w:rPr>
                <w:rFonts w:hint="eastAsia" w:ascii="宋体" w:hAnsi="宋体"/>
                <w:color w:val="auto"/>
                <w:sz w:val="24"/>
                <w:highlight w:val="none"/>
              </w:rPr>
            </w:pPr>
          </w:p>
          <w:p w14:paraId="28562822">
            <w:pPr>
              <w:rPr>
                <w:rFonts w:hint="eastAsia" w:ascii="宋体" w:hAnsi="宋体"/>
                <w:color w:val="auto"/>
                <w:sz w:val="24"/>
                <w:highlight w:val="none"/>
              </w:rPr>
            </w:pPr>
          </w:p>
        </w:tc>
        <w:tc>
          <w:tcPr>
            <w:tcW w:w="3046" w:type="dxa"/>
            <w:tcBorders>
              <w:top w:val="single" w:color="auto" w:sz="4" w:space="0"/>
              <w:left w:val="single" w:color="auto" w:sz="4" w:space="0"/>
              <w:bottom w:val="single" w:color="auto" w:sz="4" w:space="0"/>
              <w:right w:val="single" w:color="auto" w:sz="4" w:space="0"/>
            </w:tcBorders>
            <w:noWrap w:val="0"/>
            <w:vAlign w:val="top"/>
          </w:tcPr>
          <w:p w14:paraId="54B1C91B">
            <w:pPr>
              <w:snapToGrid w:val="0"/>
              <w:spacing w:before="120" w:beforeLines="50"/>
              <w:jc w:val="center"/>
              <w:rPr>
                <w:rFonts w:hint="eastAsia" w:ascii="宋体" w:hAnsi="宋体"/>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6F55C93E">
            <w:pPr>
              <w:snapToGrid w:val="0"/>
              <w:spacing w:before="120" w:beforeLines="50"/>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73B768AE">
            <w:pPr>
              <w:snapToGrid w:val="0"/>
              <w:spacing w:before="120" w:beforeLines="50"/>
              <w:jc w:val="center"/>
              <w:rPr>
                <w:rFonts w:hint="eastAsia" w:ascii="宋体" w:hAnsi="宋体"/>
                <w:color w:val="auto"/>
                <w:sz w:val="24"/>
                <w:highlight w:val="none"/>
              </w:rPr>
            </w:pPr>
          </w:p>
        </w:tc>
      </w:tr>
      <w:tr w14:paraId="75621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97BB820">
            <w:pPr>
              <w:rPr>
                <w:rFonts w:hint="eastAsia" w:ascii="宋体" w:hAnsi="宋体"/>
                <w:color w:val="auto"/>
                <w:sz w:val="24"/>
                <w:highlight w:val="none"/>
              </w:rPr>
            </w:pPr>
          </w:p>
        </w:tc>
        <w:tc>
          <w:tcPr>
            <w:tcW w:w="3046" w:type="dxa"/>
            <w:tcBorders>
              <w:top w:val="single" w:color="auto" w:sz="4" w:space="0"/>
              <w:left w:val="single" w:color="auto" w:sz="4" w:space="0"/>
              <w:bottom w:val="single" w:color="auto" w:sz="4" w:space="0"/>
              <w:right w:val="single" w:color="auto" w:sz="4" w:space="0"/>
            </w:tcBorders>
            <w:noWrap w:val="0"/>
            <w:vAlign w:val="top"/>
          </w:tcPr>
          <w:p w14:paraId="531F9C95">
            <w:pPr>
              <w:snapToGrid w:val="0"/>
              <w:spacing w:before="120" w:beforeLines="50"/>
              <w:rPr>
                <w:rFonts w:hint="eastAsia" w:ascii="宋体" w:hAnsi="宋体"/>
                <w:color w:val="auto"/>
                <w:sz w:val="24"/>
                <w:highlight w:val="none"/>
                <w:u w:val="singl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2FE6F3BF">
            <w:pPr>
              <w:snapToGrid w:val="0"/>
              <w:spacing w:before="120" w:beforeLines="50"/>
              <w:ind w:left="43"/>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57824AD5">
            <w:pPr>
              <w:snapToGrid w:val="0"/>
              <w:spacing w:before="120" w:beforeLines="50"/>
              <w:ind w:left="43"/>
              <w:jc w:val="center"/>
              <w:rPr>
                <w:rFonts w:hint="eastAsia" w:ascii="宋体" w:hAnsi="宋体"/>
                <w:color w:val="auto"/>
                <w:sz w:val="24"/>
                <w:highlight w:val="none"/>
              </w:rPr>
            </w:pPr>
          </w:p>
        </w:tc>
      </w:tr>
      <w:tr w14:paraId="45928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0251942">
            <w:pPr>
              <w:rPr>
                <w:rFonts w:hint="eastAsia" w:ascii="宋体" w:hAnsi="宋体"/>
                <w:color w:val="auto"/>
                <w:sz w:val="24"/>
                <w:highlight w:val="none"/>
              </w:rPr>
            </w:pPr>
          </w:p>
        </w:tc>
        <w:tc>
          <w:tcPr>
            <w:tcW w:w="3046" w:type="dxa"/>
            <w:tcBorders>
              <w:top w:val="single" w:color="auto" w:sz="4" w:space="0"/>
              <w:left w:val="single" w:color="auto" w:sz="4" w:space="0"/>
              <w:bottom w:val="single" w:color="auto" w:sz="4" w:space="0"/>
              <w:right w:val="single" w:color="auto" w:sz="4" w:space="0"/>
            </w:tcBorders>
            <w:noWrap w:val="0"/>
            <w:vAlign w:val="top"/>
          </w:tcPr>
          <w:p w14:paraId="5CA45359">
            <w:pPr>
              <w:snapToGrid w:val="0"/>
              <w:spacing w:before="120" w:beforeLines="50"/>
              <w:rPr>
                <w:rFonts w:hint="eastAsia" w:ascii="宋体" w:hAnsi="宋体"/>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18E113A1">
            <w:pPr>
              <w:snapToGrid w:val="0"/>
              <w:spacing w:before="120" w:beforeLines="50"/>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274AF2B7">
            <w:pPr>
              <w:snapToGrid w:val="0"/>
              <w:spacing w:before="120" w:beforeLines="50"/>
              <w:jc w:val="center"/>
              <w:rPr>
                <w:rFonts w:hint="eastAsia" w:ascii="宋体" w:hAnsi="宋体"/>
                <w:color w:val="auto"/>
                <w:sz w:val="24"/>
                <w:highlight w:val="none"/>
              </w:rPr>
            </w:pPr>
          </w:p>
        </w:tc>
      </w:tr>
      <w:tr w14:paraId="6623D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72EE2B8">
            <w:pPr>
              <w:rPr>
                <w:rFonts w:hint="eastAsia" w:ascii="宋体" w:hAnsi="宋体"/>
                <w:color w:val="auto"/>
                <w:sz w:val="24"/>
                <w:highlight w:val="none"/>
              </w:rPr>
            </w:pPr>
          </w:p>
        </w:tc>
        <w:tc>
          <w:tcPr>
            <w:tcW w:w="3046" w:type="dxa"/>
            <w:tcBorders>
              <w:top w:val="single" w:color="auto" w:sz="4" w:space="0"/>
              <w:left w:val="single" w:color="auto" w:sz="4" w:space="0"/>
              <w:bottom w:val="single" w:color="auto" w:sz="4" w:space="0"/>
              <w:right w:val="single" w:color="auto" w:sz="4" w:space="0"/>
            </w:tcBorders>
            <w:noWrap w:val="0"/>
            <w:vAlign w:val="top"/>
          </w:tcPr>
          <w:p w14:paraId="117BBF85">
            <w:pPr>
              <w:snapToGrid w:val="0"/>
              <w:spacing w:before="120" w:beforeLines="50"/>
              <w:rPr>
                <w:rFonts w:hint="eastAsia" w:ascii="宋体" w:hAnsi="宋体"/>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703AB3FA">
            <w:pPr>
              <w:snapToGrid w:val="0"/>
              <w:spacing w:before="120" w:beforeLines="50"/>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1DDC70BF">
            <w:pPr>
              <w:snapToGrid w:val="0"/>
              <w:spacing w:before="120" w:beforeLines="50"/>
              <w:jc w:val="center"/>
              <w:rPr>
                <w:rFonts w:hint="eastAsia" w:ascii="宋体" w:hAnsi="宋体"/>
                <w:color w:val="auto"/>
                <w:sz w:val="24"/>
                <w:highlight w:val="none"/>
              </w:rPr>
            </w:pPr>
          </w:p>
        </w:tc>
      </w:tr>
      <w:tr w14:paraId="62515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B7520E3">
            <w:pPr>
              <w:rPr>
                <w:rFonts w:hint="eastAsia" w:ascii="宋体" w:hAnsi="宋体"/>
                <w:color w:val="auto"/>
                <w:sz w:val="24"/>
                <w:highlight w:val="none"/>
              </w:rPr>
            </w:pPr>
          </w:p>
        </w:tc>
        <w:tc>
          <w:tcPr>
            <w:tcW w:w="3046" w:type="dxa"/>
            <w:tcBorders>
              <w:top w:val="single" w:color="auto" w:sz="4" w:space="0"/>
              <w:left w:val="single" w:color="auto" w:sz="4" w:space="0"/>
              <w:bottom w:val="single" w:color="auto" w:sz="4" w:space="0"/>
              <w:right w:val="single" w:color="auto" w:sz="4" w:space="0"/>
            </w:tcBorders>
            <w:noWrap w:val="0"/>
            <w:vAlign w:val="top"/>
          </w:tcPr>
          <w:p w14:paraId="4B59866D">
            <w:pPr>
              <w:snapToGrid w:val="0"/>
              <w:spacing w:before="120" w:beforeLines="50"/>
              <w:rPr>
                <w:rFonts w:hint="eastAsia" w:ascii="宋体" w:hAnsi="宋体"/>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12FE9007">
            <w:pPr>
              <w:snapToGrid w:val="0"/>
              <w:spacing w:before="120" w:beforeLines="50"/>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41AE0E6D">
            <w:pPr>
              <w:snapToGrid w:val="0"/>
              <w:spacing w:before="120" w:beforeLines="50"/>
              <w:jc w:val="center"/>
              <w:rPr>
                <w:rFonts w:hint="eastAsia" w:ascii="宋体" w:hAnsi="宋体"/>
                <w:color w:val="auto"/>
                <w:sz w:val="24"/>
                <w:highlight w:val="none"/>
              </w:rPr>
            </w:pPr>
          </w:p>
        </w:tc>
      </w:tr>
      <w:tr w14:paraId="3AE54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461A188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046" w:type="dxa"/>
            <w:tcBorders>
              <w:top w:val="single" w:color="auto" w:sz="4" w:space="0"/>
              <w:left w:val="single" w:color="auto" w:sz="4" w:space="0"/>
              <w:bottom w:val="single" w:color="auto" w:sz="4" w:space="0"/>
              <w:right w:val="single" w:color="auto" w:sz="4" w:space="0"/>
            </w:tcBorders>
            <w:noWrap w:val="0"/>
            <w:vAlign w:val="top"/>
          </w:tcPr>
          <w:p w14:paraId="0A56F891">
            <w:pPr>
              <w:snapToGrid w:val="0"/>
              <w:spacing w:before="120" w:beforeLines="50"/>
              <w:jc w:val="center"/>
              <w:rPr>
                <w:rFonts w:hint="eastAsia" w:ascii="宋体" w:hAnsi="宋体"/>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top"/>
          </w:tcPr>
          <w:p w14:paraId="3F1065D5">
            <w:pPr>
              <w:snapToGrid w:val="0"/>
              <w:spacing w:before="120" w:beforeLines="50"/>
              <w:jc w:val="center"/>
              <w:rPr>
                <w:rFonts w:hint="eastAsia" w:ascii="宋体" w:hAnsi="宋体"/>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5F3C61DB">
            <w:pPr>
              <w:snapToGrid w:val="0"/>
              <w:spacing w:before="120" w:beforeLines="50"/>
              <w:jc w:val="center"/>
              <w:rPr>
                <w:rFonts w:hint="eastAsia" w:ascii="宋体" w:hAnsi="宋体"/>
                <w:color w:val="auto"/>
                <w:sz w:val="24"/>
                <w:highlight w:val="none"/>
              </w:rPr>
            </w:pPr>
          </w:p>
        </w:tc>
      </w:tr>
    </w:tbl>
    <w:p w14:paraId="7B24A06B">
      <w:pPr>
        <w:pStyle w:val="17"/>
        <w:rPr>
          <w:rFonts w:hint="eastAsia" w:ascii="宋体" w:hAnsi="宋体" w:cs="宋体"/>
          <w:color w:val="auto"/>
          <w:highlight w:val="none"/>
        </w:rPr>
      </w:pPr>
      <w:r>
        <w:rPr>
          <w:rFonts w:hint="eastAsia" w:ascii="宋体" w:hAnsi="宋体" w:cs="宋体"/>
          <w:color w:val="auto"/>
          <w:highlight w:val="none"/>
        </w:rPr>
        <w:t>注：</w:t>
      </w:r>
    </w:p>
    <w:p w14:paraId="1E699FB0">
      <w:pPr>
        <w:pStyle w:val="19"/>
        <w:spacing w:line="520" w:lineRule="exact"/>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采购需求”中的商务要求逐条作明确的投标响应，并作出偏离说明。</w:t>
      </w:r>
    </w:p>
    <w:p w14:paraId="66465232">
      <w:pPr>
        <w:pStyle w:val="17"/>
        <w:rPr>
          <w:rFonts w:hint="eastAsia"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A97EE13">
      <w:pPr>
        <w:snapToGrid w:val="0"/>
        <w:spacing w:before="50" w:after="50"/>
        <w:rPr>
          <w:rFonts w:hint="eastAsia" w:ascii="宋体" w:hAnsi="宋体" w:cs="宋体"/>
          <w:color w:val="auto"/>
          <w:sz w:val="24"/>
          <w:highlight w:val="none"/>
        </w:rPr>
      </w:pPr>
    </w:p>
    <w:p w14:paraId="749B3CC8">
      <w:pPr>
        <w:snapToGrid w:val="0"/>
        <w:spacing w:before="50" w:after="50"/>
        <w:rPr>
          <w:rFonts w:hint="eastAsia" w:ascii="宋体" w:hAnsi="宋体" w:cs="宋体"/>
          <w:color w:val="auto"/>
          <w:sz w:val="24"/>
          <w:highlight w:val="none"/>
        </w:rPr>
      </w:pPr>
    </w:p>
    <w:p w14:paraId="16F3AFC9">
      <w:pPr>
        <w:pStyle w:val="24"/>
        <w:snapToGrid w:val="0"/>
        <w:spacing w:before="295" w:after="295" w:line="240" w:lineRule="auto"/>
        <w:ind w:firstLine="480" w:firstLineChars="200"/>
        <w:jc w:val="both"/>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36E01F76">
      <w:pPr>
        <w:snapToGrid w:val="0"/>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 xml:space="preserve">或者委托代理人（签字或者电子签名）：_______ </w:t>
      </w:r>
    </w:p>
    <w:p w14:paraId="3E64E4FD">
      <w:pPr>
        <w:pStyle w:val="24"/>
        <w:snapToGrid w:val="0"/>
        <w:spacing w:before="295" w:after="295" w:line="240" w:lineRule="auto"/>
        <w:rPr>
          <w:rFonts w:hint="eastAsia" w:ascii="宋体" w:hAnsi="宋体" w:cs="宋体"/>
          <w:b/>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F3E98D6">
      <w:pPr>
        <w:snapToGrid w:val="0"/>
        <w:spacing w:before="120" w:beforeLines="50"/>
        <w:rPr>
          <w:rFonts w:hint="eastAsia" w:ascii="宋体" w:hAnsi="宋体" w:cs="宋体"/>
          <w:color w:val="auto"/>
          <w:sz w:val="24"/>
          <w:szCs w:val="20"/>
          <w:highlight w:val="none"/>
        </w:rPr>
      </w:pPr>
    </w:p>
    <w:p w14:paraId="753D7F6F">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440" w:right="1069" w:bottom="1440" w:left="1797" w:header="851" w:footer="992" w:gutter="0"/>
          <w:cols w:space="720" w:num="1"/>
          <w:docGrid w:linePitch="312" w:charSpace="0"/>
        </w:sectPr>
      </w:pPr>
    </w:p>
    <w:p w14:paraId="1A3F89F5">
      <w:pPr>
        <w:rPr>
          <w:rFonts w:hint="eastAsia" w:ascii="宋体" w:hAnsi="宋体" w:cs="宋体"/>
          <w:b/>
          <w:color w:val="auto"/>
          <w:sz w:val="28"/>
          <w:szCs w:val="28"/>
          <w:highlight w:val="none"/>
        </w:rPr>
      </w:pPr>
      <w:bookmarkStart w:id="135" w:name="_Toc19686839"/>
      <w:r>
        <w:rPr>
          <w:rFonts w:hint="eastAsia" w:ascii="宋体" w:hAnsi="宋体" w:cs="宋体"/>
          <w:b/>
          <w:color w:val="auto"/>
          <w:sz w:val="28"/>
          <w:szCs w:val="28"/>
          <w:highlight w:val="none"/>
        </w:rPr>
        <w:t>四、技术文件格式</w:t>
      </w:r>
      <w:bookmarkEnd w:id="135"/>
    </w:p>
    <w:p w14:paraId="54C7BDD5">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14726419">
      <w:pPr>
        <w:snapToGrid w:val="0"/>
        <w:spacing w:before="120" w:beforeLines="50" w:after="50" w:line="360" w:lineRule="auto"/>
        <w:ind w:left="142"/>
        <w:jc w:val="center"/>
        <w:rPr>
          <w:rFonts w:hint="eastAsia" w:ascii="宋体" w:hAnsi="宋体" w:cs="宋体"/>
          <w:bCs/>
          <w:color w:val="auto"/>
          <w:sz w:val="48"/>
          <w:szCs w:val="48"/>
          <w:highlight w:val="none"/>
        </w:rPr>
      </w:pPr>
    </w:p>
    <w:p w14:paraId="7562B14E">
      <w:pPr>
        <w:snapToGrid w:val="0"/>
        <w:spacing w:before="120" w:beforeLines="50" w:after="50" w:line="360" w:lineRule="auto"/>
        <w:ind w:left="142"/>
        <w:jc w:val="center"/>
        <w:rPr>
          <w:rFonts w:hint="eastAsia" w:ascii="宋体" w:hAnsi="宋体" w:cs="宋体"/>
          <w:bCs/>
          <w:color w:val="auto"/>
          <w:sz w:val="48"/>
          <w:szCs w:val="48"/>
          <w:highlight w:val="none"/>
        </w:rPr>
      </w:pPr>
    </w:p>
    <w:p w14:paraId="2F78CD32">
      <w:pPr>
        <w:snapToGrid w:val="0"/>
        <w:spacing w:before="120" w:beforeLines="50" w:after="50" w:line="360" w:lineRule="auto"/>
        <w:ind w:left="142"/>
        <w:jc w:val="center"/>
        <w:rPr>
          <w:rFonts w:hint="eastAsia" w:ascii="宋体" w:hAnsi="宋体" w:cs="宋体"/>
          <w:b/>
          <w:bCs w:val="0"/>
          <w:color w:val="auto"/>
          <w:sz w:val="48"/>
          <w:szCs w:val="48"/>
          <w:highlight w:val="none"/>
        </w:rPr>
      </w:pPr>
      <w:r>
        <w:rPr>
          <w:rFonts w:hint="eastAsia" w:ascii="宋体" w:hAnsi="宋体" w:cs="宋体"/>
          <w:b/>
          <w:bCs w:val="0"/>
          <w:color w:val="auto"/>
          <w:sz w:val="48"/>
          <w:szCs w:val="48"/>
          <w:highlight w:val="none"/>
        </w:rPr>
        <w:t>电子投标文件</w:t>
      </w:r>
    </w:p>
    <w:p w14:paraId="721602F2">
      <w:pPr>
        <w:snapToGrid w:val="0"/>
        <w:spacing w:before="120" w:beforeLines="50" w:after="50"/>
        <w:jc w:val="center"/>
        <w:rPr>
          <w:rFonts w:hint="eastAsia" w:ascii="宋体" w:hAnsi="宋体" w:cs="宋体"/>
          <w:b/>
          <w:bCs w:val="0"/>
          <w:color w:val="auto"/>
          <w:sz w:val="48"/>
          <w:szCs w:val="48"/>
          <w:highlight w:val="none"/>
        </w:rPr>
      </w:pPr>
      <w:r>
        <w:rPr>
          <w:rFonts w:hint="eastAsia" w:ascii="宋体" w:hAnsi="宋体" w:cs="宋体"/>
          <w:b/>
          <w:bCs w:val="0"/>
          <w:color w:val="auto"/>
          <w:sz w:val="48"/>
          <w:szCs w:val="48"/>
          <w:highlight w:val="none"/>
        </w:rPr>
        <w:t>技</w:t>
      </w:r>
      <w:r>
        <w:rPr>
          <w:rFonts w:hint="eastAsia" w:ascii="宋体" w:hAnsi="宋体" w:cs="宋体"/>
          <w:b/>
          <w:bCs w:val="0"/>
          <w:color w:val="auto"/>
          <w:sz w:val="48"/>
          <w:szCs w:val="48"/>
          <w:highlight w:val="none"/>
          <w:lang w:val="en-US" w:eastAsia="zh-CN"/>
        </w:rPr>
        <w:t xml:space="preserve"> </w:t>
      </w:r>
      <w:r>
        <w:rPr>
          <w:rFonts w:hint="eastAsia" w:ascii="宋体" w:hAnsi="宋体" w:cs="宋体"/>
          <w:b/>
          <w:bCs w:val="0"/>
          <w:color w:val="auto"/>
          <w:sz w:val="48"/>
          <w:szCs w:val="48"/>
          <w:highlight w:val="none"/>
        </w:rPr>
        <w:t>术</w:t>
      </w:r>
      <w:r>
        <w:rPr>
          <w:rFonts w:hint="eastAsia" w:ascii="宋体" w:hAnsi="宋体" w:cs="宋体"/>
          <w:b/>
          <w:bCs w:val="0"/>
          <w:color w:val="auto"/>
          <w:sz w:val="48"/>
          <w:szCs w:val="48"/>
          <w:highlight w:val="none"/>
          <w:lang w:val="en-US" w:eastAsia="zh-CN"/>
        </w:rPr>
        <w:t xml:space="preserve"> </w:t>
      </w:r>
      <w:r>
        <w:rPr>
          <w:rFonts w:hint="eastAsia" w:ascii="宋体" w:hAnsi="宋体" w:cs="宋体"/>
          <w:b/>
          <w:bCs w:val="0"/>
          <w:color w:val="auto"/>
          <w:sz w:val="48"/>
          <w:szCs w:val="48"/>
          <w:highlight w:val="none"/>
        </w:rPr>
        <w:t>文</w:t>
      </w:r>
      <w:r>
        <w:rPr>
          <w:rFonts w:hint="eastAsia" w:ascii="宋体" w:hAnsi="宋体" w:cs="宋体"/>
          <w:b/>
          <w:bCs w:val="0"/>
          <w:color w:val="auto"/>
          <w:sz w:val="48"/>
          <w:szCs w:val="48"/>
          <w:highlight w:val="none"/>
          <w:lang w:val="en-US" w:eastAsia="zh-CN"/>
        </w:rPr>
        <w:t xml:space="preserve"> </w:t>
      </w:r>
      <w:r>
        <w:rPr>
          <w:rFonts w:hint="eastAsia" w:ascii="宋体" w:hAnsi="宋体" w:cs="宋体"/>
          <w:b/>
          <w:bCs w:val="0"/>
          <w:color w:val="auto"/>
          <w:sz w:val="48"/>
          <w:szCs w:val="48"/>
          <w:highlight w:val="none"/>
        </w:rPr>
        <w:t>件</w:t>
      </w:r>
    </w:p>
    <w:p w14:paraId="12885971">
      <w:pPr>
        <w:snapToGrid w:val="0"/>
        <w:spacing w:before="120" w:beforeLines="50" w:after="50"/>
        <w:rPr>
          <w:rFonts w:hint="eastAsia" w:ascii="宋体" w:hAnsi="宋体" w:cs="宋体"/>
          <w:bCs/>
          <w:color w:val="auto"/>
          <w:sz w:val="24"/>
          <w:szCs w:val="20"/>
          <w:highlight w:val="none"/>
        </w:rPr>
      </w:pPr>
    </w:p>
    <w:p w14:paraId="520252BF">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13BC8B90">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项目名称： </w:t>
      </w:r>
    </w:p>
    <w:p w14:paraId="5AD818D1">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554F869A">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项目编号： </w:t>
      </w:r>
    </w:p>
    <w:p w14:paraId="0ED29B6C">
      <w:pPr>
        <w:snapToGrid w:val="0"/>
        <w:spacing w:before="120" w:beforeLines="50" w:after="50"/>
        <w:ind w:firstLine="452" w:firstLineChars="150"/>
        <w:rPr>
          <w:rFonts w:hint="eastAsia" w:ascii="宋体" w:hAnsi="宋体" w:cs="宋体"/>
          <w:b/>
          <w:bCs w:val="0"/>
          <w:color w:val="auto"/>
          <w:sz w:val="30"/>
          <w:szCs w:val="30"/>
          <w:highlight w:val="none"/>
        </w:rPr>
      </w:pPr>
    </w:p>
    <w:p w14:paraId="477F91A1">
      <w:pPr>
        <w:snapToGrid w:val="0"/>
        <w:spacing w:before="120" w:beforeLines="50" w:after="50" w:line="400" w:lineRule="exact"/>
        <w:ind w:firstLine="452" w:firstLineChars="150"/>
        <w:rPr>
          <w:rFonts w:hint="eastAsia" w:ascii="宋体" w:hAnsi="宋体" w:eastAsia="宋体" w:cs="宋体"/>
          <w:b/>
          <w:bCs w:val="0"/>
          <w:color w:val="auto"/>
          <w:sz w:val="30"/>
          <w:szCs w:val="30"/>
          <w:highlight w:val="none"/>
          <w:lang w:eastAsia="zh-CN"/>
        </w:rPr>
      </w:pPr>
      <w:r>
        <w:rPr>
          <w:rFonts w:hint="eastAsia" w:ascii="宋体" w:hAnsi="宋体" w:cs="宋体"/>
          <w:b/>
          <w:bCs w:val="0"/>
          <w:color w:val="auto"/>
          <w:sz w:val="30"/>
          <w:szCs w:val="30"/>
          <w:highlight w:val="none"/>
          <w:lang w:val="en-US" w:eastAsia="zh-CN"/>
        </w:rPr>
        <w:t>所投</w:t>
      </w:r>
      <w:r>
        <w:rPr>
          <w:rFonts w:hint="eastAsia" w:ascii="宋体" w:hAnsi="宋体" w:cs="宋体"/>
          <w:b/>
          <w:bCs w:val="0"/>
          <w:color w:val="auto"/>
          <w:sz w:val="30"/>
          <w:szCs w:val="30"/>
          <w:highlight w:val="none"/>
        </w:rPr>
        <w:t>分标：</w:t>
      </w:r>
      <w:r>
        <w:rPr>
          <w:rFonts w:hint="eastAsia" w:ascii="宋体" w:hAnsi="宋体" w:cs="宋体"/>
          <w:b/>
          <w:bCs w:val="0"/>
          <w:color w:val="auto"/>
          <w:sz w:val="30"/>
          <w:szCs w:val="30"/>
          <w:highlight w:val="none"/>
          <w:lang w:eastAsia="zh-CN"/>
        </w:rPr>
        <w:t>（</w:t>
      </w:r>
      <w:r>
        <w:rPr>
          <w:rFonts w:hint="eastAsia" w:ascii="宋体" w:hAnsi="宋体" w:cs="宋体"/>
          <w:b/>
          <w:bCs w:val="0"/>
          <w:color w:val="auto"/>
          <w:sz w:val="30"/>
          <w:szCs w:val="30"/>
          <w:highlight w:val="none"/>
          <w:lang w:val="en-US" w:eastAsia="zh-CN"/>
        </w:rPr>
        <w:t>如有</w:t>
      </w:r>
      <w:r>
        <w:rPr>
          <w:rFonts w:hint="eastAsia" w:ascii="宋体" w:hAnsi="宋体" w:cs="宋体"/>
          <w:b/>
          <w:bCs w:val="0"/>
          <w:color w:val="auto"/>
          <w:sz w:val="30"/>
          <w:szCs w:val="30"/>
          <w:highlight w:val="none"/>
          <w:lang w:eastAsia="zh-CN"/>
        </w:rPr>
        <w:t>）</w:t>
      </w:r>
    </w:p>
    <w:p w14:paraId="0E7BA1C7">
      <w:pPr>
        <w:pStyle w:val="6"/>
        <w:rPr>
          <w:rFonts w:hint="eastAsia" w:ascii="宋体" w:hAnsi="宋体" w:eastAsia="宋体" w:cs="宋体"/>
          <w:b/>
          <w:bCs w:val="0"/>
          <w:color w:val="auto"/>
          <w:sz w:val="30"/>
          <w:szCs w:val="30"/>
          <w:highlight w:val="none"/>
        </w:rPr>
      </w:pPr>
    </w:p>
    <w:p w14:paraId="24A154F6">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投标人名称：</w:t>
      </w:r>
    </w:p>
    <w:p w14:paraId="51E76B41">
      <w:pPr>
        <w:snapToGrid w:val="0"/>
        <w:spacing w:before="120" w:beforeLines="50" w:after="50" w:line="400" w:lineRule="exact"/>
        <w:ind w:firstLine="452" w:firstLineChars="150"/>
        <w:rPr>
          <w:rFonts w:hint="eastAsia" w:ascii="宋体" w:hAnsi="宋体" w:cs="宋体"/>
          <w:b/>
          <w:bCs w:val="0"/>
          <w:color w:val="auto"/>
          <w:sz w:val="30"/>
          <w:szCs w:val="30"/>
          <w:highlight w:val="none"/>
        </w:rPr>
      </w:pPr>
    </w:p>
    <w:p w14:paraId="6C60867B">
      <w:pPr>
        <w:snapToGrid w:val="0"/>
        <w:spacing w:before="120" w:beforeLines="50" w:after="50" w:line="400" w:lineRule="exact"/>
        <w:ind w:firstLine="452" w:firstLineChars="150"/>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投标人地址：</w:t>
      </w:r>
    </w:p>
    <w:p w14:paraId="731D1789">
      <w:pPr>
        <w:pStyle w:val="10"/>
        <w:snapToGrid w:val="0"/>
        <w:spacing w:before="50" w:after="50" w:line="400" w:lineRule="exact"/>
        <w:ind w:firstLine="1205" w:firstLineChars="400"/>
        <w:rPr>
          <w:rFonts w:hint="eastAsia" w:ascii="宋体" w:hAnsi="宋体" w:cs="宋体"/>
          <w:b/>
          <w:bCs w:val="0"/>
          <w:color w:val="auto"/>
          <w:sz w:val="30"/>
          <w:szCs w:val="30"/>
          <w:highlight w:val="none"/>
        </w:rPr>
      </w:pPr>
    </w:p>
    <w:p w14:paraId="56B774E0">
      <w:pPr>
        <w:snapToGrid w:val="0"/>
        <w:spacing w:before="120" w:beforeLines="50" w:after="50" w:line="400" w:lineRule="exact"/>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 xml:space="preserve">                                   年  月  日</w:t>
      </w:r>
    </w:p>
    <w:p w14:paraId="73443B9A">
      <w:pPr>
        <w:snapToGrid w:val="0"/>
        <w:spacing w:before="120" w:beforeLines="50" w:after="50"/>
        <w:ind w:firstLine="645"/>
        <w:jc w:val="center"/>
        <w:rPr>
          <w:rFonts w:hint="eastAsia" w:ascii="宋体" w:hAnsi="宋体" w:cs="宋体"/>
          <w:color w:val="auto"/>
          <w:sz w:val="24"/>
          <w:szCs w:val="20"/>
          <w:highlight w:val="none"/>
        </w:rPr>
      </w:pPr>
    </w:p>
    <w:p w14:paraId="1F57F2B6">
      <w:pPr>
        <w:snapToGrid w:val="0"/>
        <w:spacing w:before="120" w:beforeLines="50" w:after="50"/>
        <w:ind w:left="142"/>
        <w:jc w:val="left"/>
        <w:rPr>
          <w:rFonts w:hint="eastAsia" w:ascii="宋体" w:hAnsi="宋体" w:cs="宋体"/>
          <w:b/>
          <w:bCs/>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2.技术文件目录</w:t>
      </w:r>
    </w:p>
    <w:p w14:paraId="229DE778">
      <w:pPr>
        <w:snapToGrid w:val="0"/>
        <w:spacing w:before="50" w:after="120" w:afterLines="50" w:line="280" w:lineRule="exact"/>
        <w:ind w:left="283" w:leftChars="135"/>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09BC5D40">
      <w:pPr>
        <w:snapToGrid w:val="0"/>
        <w:spacing w:before="120" w:beforeLines="50" w:after="50"/>
        <w:jc w:val="left"/>
        <w:rPr>
          <w:rFonts w:hint="eastAsia" w:ascii="宋体" w:hAnsi="宋体" w:cs="宋体"/>
          <w:b/>
          <w:color w:val="auto"/>
          <w:sz w:val="24"/>
          <w:highlight w:val="none"/>
        </w:rPr>
      </w:pPr>
    </w:p>
    <w:p w14:paraId="792C2F48">
      <w:pPr>
        <w:rPr>
          <w:rFonts w:ascii="宋体" w:hAnsi="宋体"/>
          <w:color w:val="auto"/>
          <w:sz w:val="28"/>
          <w:szCs w:val="28"/>
          <w:highlight w:val="none"/>
        </w:rPr>
      </w:pPr>
      <w:r>
        <w:rPr>
          <w:rFonts w:hint="eastAsia" w:ascii="宋体" w:hAnsi="宋体" w:cs="宋体"/>
          <w:b/>
          <w:bCs/>
          <w:color w:val="auto"/>
          <w:sz w:val="24"/>
          <w:highlight w:val="none"/>
        </w:rPr>
        <w:br w:type="page"/>
      </w:r>
      <w:bookmarkStart w:id="136" w:name="_Toc19686840"/>
      <w:r>
        <w:rPr>
          <w:rFonts w:hint="eastAsia" w:ascii="宋体" w:hAnsi="宋体"/>
          <w:b/>
          <w:color w:val="auto"/>
          <w:sz w:val="28"/>
          <w:szCs w:val="28"/>
          <w:highlight w:val="none"/>
        </w:rPr>
        <w:t>3. 技术要求偏离表格式（注：按项目需求表具体项目修改）</w:t>
      </w:r>
    </w:p>
    <w:p w14:paraId="7F3F7784">
      <w:pPr>
        <w:pStyle w:val="24"/>
        <w:rPr>
          <w:rFonts w:hAnsi="宋体"/>
          <w:color w:val="auto"/>
          <w:sz w:val="24"/>
          <w:szCs w:val="24"/>
          <w:highlight w:val="none"/>
        </w:rPr>
      </w:pPr>
    </w:p>
    <w:p w14:paraId="643996EC">
      <w:pPr>
        <w:snapToGrid w:val="0"/>
        <w:spacing w:before="50"/>
        <w:jc w:val="left"/>
        <w:rPr>
          <w:rFonts w:ascii="宋体" w:hAnsi="宋体"/>
          <w:color w:val="auto"/>
          <w:sz w:val="24"/>
          <w:highlight w:val="none"/>
          <w:u w:val="single"/>
        </w:rPr>
      </w:pPr>
    </w:p>
    <w:tbl>
      <w:tblPr>
        <w:tblStyle w:val="49"/>
        <w:tblW w:w="0" w:type="auto"/>
        <w:tblInd w:w="2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3"/>
        <w:gridCol w:w="2985"/>
        <w:gridCol w:w="1938"/>
        <w:gridCol w:w="2241"/>
      </w:tblGrid>
      <w:tr w14:paraId="61B6E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33" w:type="dxa"/>
            <w:tcBorders>
              <w:top w:val="single" w:color="auto" w:sz="4" w:space="0"/>
              <w:left w:val="single" w:color="auto" w:sz="4" w:space="0"/>
              <w:bottom w:val="single" w:color="auto" w:sz="4" w:space="0"/>
              <w:right w:val="single" w:color="auto" w:sz="4" w:space="0"/>
            </w:tcBorders>
            <w:noWrap/>
            <w:vAlign w:val="top"/>
          </w:tcPr>
          <w:p w14:paraId="5D27BF1A">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2985" w:type="dxa"/>
            <w:tcBorders>
              <w:top w:val="single" w:color="auto" w:sz="4" w:space="0"/>
              <w:left w:val="single" w:color="auto" w:sz="4" w:space="0"/>
              <w:bottom w:val="single" w:color="auto" w:sz="4" w:space="0"/>
              <w:right w:val="single" w:color="auto" w:sz="4" w:space="0"/>
            </w:tcBorders>
            <w:noWrap/>
            <w:vAlign w:val="top"/>
          </w:tcPr>
          <w:p w14:paraId="6252984F">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招标文件技术要求</w:t>
            </w:r>
          </w:p>
        </w:tc>
        <w:tc>
          <w:tcPr>
            <w:tcW w:w="1938" w:type="dxa"/>
            <w:tcBorders>
              <w:top w:val="single" w:color="auto" w:sz="4" w:space="0"/>
              <w:left w:val="single" w:color="auto" w:sz="4" w:space="0"/>
              <w:bottom w:val="single" w:color="auto" w:sz="4" w:space="0"/>
              <w:right w:val="single" w:color="auto" w:sz="4" w:space="0"/>
            </w:tcBorders>
            <w:noWrap/>
            <w:vAlign w:val="top"/>
          </w:tcPr>
          <w:p w14:paraId="5A211A94">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241" w:type="dxa"/>
            <w:tcBorders>
              <w:top w:val="single" w:color="auto" w:sz="4" w:space="0"/>
              <w:left w:val="single" w:color="auto" w:sz="4" w:space="0"/>
              <w:bottom w:val="single" w:color="auto" w:sz="4" w:space="0"/>
              <w:right w:val="single" w:color="auto" w:sz="4" w:space="0"/>
            </w:tcBorders>
            <w:noWrap/>
            <w:vAlign w:val="top"/>
          </w:tcPr>
          <w:p w14:paraId="269826E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07191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33" w:type="dxa"/>
            <w:tcBorders>
              <w:top w:val="single" w:color="auto" w:sz="4" w:space="0"/>
              <w:left w:val="single" w:color="auto" w:sz="4" w:space="0"/>
              <w:bottom w:val="single" w:color="auto" w:sz="4" w:space="0"/>
              <w:right w:val="single" w:color="auto" w:sz="4" w:space="0"/>
            </w:tcBorders>
            <w:noWrap/>
            <w:vAlign w:val="center"/>
          </w:tcPr>
          <w:p w14:paraId="405C25BA">
            <w:pPr>
              <w:jc w:val="center"/>
              <w:rPr>
                <w:rFonts w:ascii="宋体" w:hAnsi="宋体"/>
                <w:color w:val="auto"/>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ign w:val="center"/>
          </w:tcPr>
          <w:p w14:paraId="68B43A3A">
            <w:pPr>
              <w:jc w:val="left"/>
              <w:rPr>
                <w:rFonts w:ascii="宋体" w:hAnsi="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ign w:val="top"/>
          </w:tcPr>
          <w:p w14:paraId="49755937">
            <w:pPr>
              <w:snapToGrid w:val="0"/>
              <w:spacing w:before="120" w:beforeLines="50"/>
              <w:jc w:val="center"/>
              <w:rPr>
                <w:rFonts w:ascii="宋体" w:hAnsi="宋体"/>
                <w:color w:val="auto"/>
                <w:sz w:val="24"/>
                <w:highlight w:val="none"/>
              </w:rPr>
            </w:pPr>
          </w:p>
        </w:tc>
        <w:tc>
          <w:tcPr>
            <w:tcW w:w="2241" w:type="dxa"/>
            <w:tcBorders>
              <w:top w:val="single" w:color="auto" w:sz="4" w:space="0"/>
              <w:left w:val="single" w:color="auto" w:sz="4" w:space="0"/>
              <w:bottom w:val="single" w:color="auto" w:sz="4" w:space="0"/>
              <w:right w:val="single" w:color="auto" w:sz="4" w:space="0"/>
            </w:tcBorders>
            <w:noWrap/>
            <w:vAlign w:val="top"/>
          </w:tcPr>
          <w:p w14:paraId="072D65AF">
            <w:pPr>
              <w:snapToGrid w:val="0"/>
              <w:spacing w:before="120" w:beforeLines="50"/>
              <w:jc w:val="center"/>
              <w:rPr>
                <w:rFonts w:ascii="宋体" w:hAnsi="宋体"/>
                <w:color w:val="auto"/>
                <w:sz w:val="24"/>
                <w:highlight w:val="none"/>
              </w:rPr>
            </w:pPr>
          </w:p>
        </w:tc>
      </w:tr>
      <w:tr w14:paraId="31A65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33" w:type="dxa"/>
            <w:tcBorders>
              <w:top w:val="single" w:color="auto" w:sz="4" w:space="0"/>
              <w:left w:val="single" w:color="auto" w:sz="4" w:space="0"/>
              <w:bottom w:val="single" w:color="auto" w:sz="4" w:space="0"/>
              <w:right w:val="single" w:color="auto" w:sz="4" w:space="0"/>
            </w:tcBorders>
            <w:noWrap/>
            <w:vAlign w:val="center"/>
          </w:tcPr>
          <w:p w14:paraId="369B52A5">
            <w:pPr>
              <w:jc w:val="center"/>
              <w:rPr>
                <w:rFonts w:ascii="宋体" w:hAnsi="宋体"/>
                <w:color w:val="auto"/>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ign w:val="center"/>
          </w:tcPr>
          <w:p w14:paraId="72CD0044">
            <w:pPr>
              <w:jc w:val="left"/>
              <w:rPr>
                <w:rFonts w:ascii="宋体" w:hAnsi="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ign w:val="top"/>
          </w:tcPr>
          <w:p w14:paraId="0300AB11">
            <w:pPr>
              <w:snapToGrid w:val="0"/>
              <w:spacing w:before="120" w:beforeLines="50"/>
              <w:ind w:left="43"/>
              <w:jc w:val="center"/>
              <w:rPr>
                <w:rFonts w:ascii="宋体" w:hAnsi="宋体"/>
                <w:color w:val="auto"/>
                <w:sz w:val="24"/>
                <w:highlight w:val="none"/>
              </w:rPr>
            </w:pPr>
          </w:p>
        </w:tc>
        <w:tc>
          <w:tcPr>
            <w:tcW w:w="2241" w:type="dxa"/>
            <w:tcBorders>
              <w:top w:val="single" w:color="auto" w:sz="4" w:space="0"/>
              <w:left w:val="single" w:color="auto" w:sz="4" w:space="0"/>
              <w:bottom w:val="single" w:color="auto" w:sz="4" w:space="0"/>
              <w:right w:val="single" w:color="auto" w:sz="4" w:space="0"/>
            </w:tcBorders>
            <w:noWrap/>
            <w:vAlign w:val="top"/>
          </w:tcPr>
          <w:p w14:paraId="6D768C6D">
            <w:pPr>
              <w:snapToGrid w:val="0"/>
              <w:spacing w:before="120" w:beforeLines="50"/>
              <w:ind w:left="43"/>
              <w:jc w:val="center"/>
              <w:rPr>
                <w:rFonts w:ascii="宋体" w:hAnsi="宋体"/>
                <w:color w:val="auto"/>
                <w:sz w:val="24"/>
                <w:highlight w:val="none"/>
              </w:rPr>
            </w:pPr>
          </w:p>
        </w:tc>
      </w:tr>
      <w:tr w14:paraId="130BE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noWrap/>
            <w:vAlign w:val="top"/>
          </w:tcPr>
          <w:p w14:paraId="2D214CA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2985" w:type="dxa"/>
            <w:tcBorders>
              <w:top w:val="single" w:color="auto" w:sz="4" w:space="0"/>
              <w:left w:val="single" w:color="auto" w:sz="4" w:space="0"/>
              <w:bottom w:val="single" w:color="auto" w:sz="4" w:space="0"/>
              <w:right w:val="single" w:color="auto" w:sz="4" w:space="0"/>
            </w:tcBorders>
            <w:noWrap/>
            <w:vAlign w:val="top"/>
          </w:tcPr>
          <w:p w14:paraId="47089CF9">
            <w:pPr>
              <w:snapToGrid w:val="0"/>
              <w:spacing w:before="120" w:beforeLines="50"/>
              <w:jc w:val="center"/>
              <w:rPr>
                <w:rFonts w:ascii="宋体" w:hAnsi="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ign w:val="top"/>
          </w:tcPr>
          <w:p w14:paraId="33FFDA7C">
            <w:pPr>
              <w:snapToGrid w:val="0"/>
              <w:spacing w:before="120" w:beforeLines="50"/>
              <w:jc w:val="center"/>
              <w:rPr>
                <w:rFonts w:ascii="宋体" w:hAnsi="宋体"/>
                <w:color w:val="auto"/>
                <w:sz w:val="24"/>
                <w:highlight w:val="none"/>
              </w:rPr>
            </w:pPr>
          </w:p>
        </w:tc>
        <w:tc>
          <w:tcPr>
            <w:tcW w:w="2241" w:type="dxa"/>
            <w:tcBorders>
              <w:top w:val="single" w:color="auto" w:sz="4" w:space="0"/>
              <w:left w:val="single" w:color="auto" w:sz="4" w:space="0"/>
              <w:bottom w:val="single" w:color="auto" w:sz="4" w:space="0"/>
              <w:right w:val="single" w:color="auto" w:sz="4" w:space="0"/>
            </w:tcBorders>
            <w:noWrap/>
            <w:vAlign w:val="top"/>
          </w:tcPr>
          <w:p w14:paraId="69ABB92A">
            <w:pPr>
              <w:snapToGrid w:val="0"/>
              <w:spacing w:before="120" w:beforeLines="50"/>
              <w:jc w:val="center"/>
              <w:rPr>
                <w:rFonts w:ascii="宋体" w:hAnsi="宋体"/>
                <w:color w:val="auto"/>
                <w:sz w:val="24"/>
                <w:highlight w:val="none"/>
              </w:rPr>
            </w:pPr>
          </w:p>
        </w:tc>
      </w:tr>
    </w:tbl>
    <w:p w14:paraId="5796F5FE">
      <w:pPr>
        <w:pStyle w:val="17"/>
        <w:ind w:firstLine="241" w:firstLineChars="100"/>
        <w:rPr>
          <w:rFonts w:hint="eastAsia" w:ascii="宋体" w:hAnsi="宋体"/>
          <w:color w:val="auto"/>
          <w:highlight w:val="none"/>
        </w:rPr>
      </w:pPr>
    </w:p>
    <w:p w14:paraId="64911D83">
      <w:pPr>
        <w:pStyle w:val="17"/>
        <w:ind w:firstLine="241" w:firstLineChars="100"/>
        <w:rPr>
          <w:rFonts w:ascii="宋体" w:hAnsi="宋体"/>
          <w:color w:val="auto"/>
          <w:highlight w:val="none"/>
        </w:rPr>
      </w:pPr>
      <w:r>
        <w:rPr>
          <w:rFonts w:hint="eastAsia" w:ascii="宋体" w:hAnsi="宋体"/>
          <w:color w:val="auto"/>
          <w:highlight w:val="none"/>
        </w:rPr>
        <w:t>注：</w:t>
      </w:r>
    </w:p>
    <w:p w14:paraId="0AEAEFC9">
      <w:pPr>
        <w:pStyle w:val="19"/>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采购需求”中的服务内容及技术要求逐条作明确的投标响应，并作出偏离说明。</w:t>
      </w:r>
    </w:p>
    <w:p w14:paraId="0F0B3564">
      <w:pPr>
        <w:pStyle w:val="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B177877">
      <w:pPr>
        <w:snapToGrid w:val="0"/>
        <w:spacing w:before="50" w:after="50"/>
        <w:rPr>
          <w:rFonts w:ascii="宋体" w:hAnsi="宋体"/>
          <w:color w:val="auto"/>
          <w:sz w:val="24"/>
          <w:highlight w:val="none"/>
        </w:rPr>
      </w:pPr>
    </w:p>
    <w:p w14:paraId="4E728045">
      <w:pPr>
        <w:snapToGrid w:val="0"/>
        <w:spacing w:before="50" w:after="50"/>
        <w:rPr>
          <w:rFonts w:ascii="宋体" w:hAnsi="宋体"/>
          <w:color w:val="auto"/>
          <w:sz w:val="24"/>
          <w:highlight w:val="none"/>
        </w:rPr>
      </w:pPr>
    </w:p>
    <w:p w14:paraId="3959AFA2">
      <w:pPr>
        <w:snapToGrid w:val="0"/>
        <w:spacing w:before="120" w:beforeLines="50"/>
        <w:rPr>
          <w:rFonts w:ascii="宋体" w:hAnsi="宋体"/>
          <w:color w:val="auto"/>
          <w:sz w:val="24"/>
          <w:szCs w:val="20"/>
          <w:highlight w:val="none"/>
        </w:rPr>
      </w:pPr>
    </w:p>
    <w:p w14:paraId="756F2659">
      <w:pPr>
        <w:snapToGrid w:val="0"/>
        <w:spacing w:before="50" w:after="120" w:afterLines="50"/>
        <w:jc w:val="left"/>
        <w:rPr>
          <w:rFonts w:hint="eastAsia" w:ascii="宋体" w:hAnsi="宋体"/>
          <w:color w:val="auto"/>
          <w:sz w:val="24"/>
          <w:szCs w:val="20"/>
          <w:highlight w:val="none"/>
        </w:rPr>
      </w:pPr>
    </w:p>
    <w:p w14:paraId="65B33F2E">
      <w:pPr>
        <w:pStyle w:val="24"/>
        <w:snapToGrid w:val="0"/>
        <w:spacing w:before="295" w:after="295" w:line="240" w:lineRule="auto"/>
        <w:ind w:firstLine="480" w:firstLineChars="200"/>
        <w:jc w:val="both"/>
        <w:rPr>
          <w:rFonts w:hint="eastAsia" w:ascii="宋体" w:hAnsi="宋体" w:cs="宋体"/>
          <w:color w:val="auto"/>
          <w:sz w:val="24"/>
          <w:highlight w:val="none"/>
          <w:lang w:eastAsia="zh-CN"/>
        </w:rPr>
      </w:pPr>
      <w:r>
        <w:rPr>
          <w:rFonts w:hint="eastAsia" w:hAnsi="宋体" w:cs="宋体"/>
          <w:color w:val="auto"/>
          <w:sz w:val="24"/>
          <w:highlight w:val="none"/>
        </w:rPr>
        <w:t>投标人名称（电子</w:t>
      </w:r>
      <w:r>
        <w:rPr>
          <w:rFonts w:hint="eastAsia" w:hAnsi="宋体" w:cs="宋体"/>
          <w:color w:val="auto"/>
          <w:sz w:val="24"/>
          <w:highlight w:val="none"/>
          <w:lang w:val="en-US" w:eastAsia="zh-CN"/>
        </w:rPr>
        <w:t>公</w:t>
      </w:r>
      <w:r>
        <w:rPr>
          <w:rFonts w:hint="eastAsia" w:hAnsi="宋体" w:cs="宋体"/>
          <w:color w:val="auto"/>
          <w:sz w:val="24"/>
          <w:highlight w:val="none"/>
        </w:rPr>
        <w:t>章）：</w:t>
      </w:r>
      <w:r>
        <w:rPr>
          <w:rFonts w:hint="eastAsia" w:hAnsi="宋体" w:cs="宋体"/>
          <w:color w:val="auto"/>
          <w:sz w:val="24"/>
          <w:highlight w:val="none"/>
          <w:u w:val="single"/>
          <w:lang w:val="en-US" w:eastAsia="zh-CN"/>
        </w:rPr>
        <w:t xml:space="preserve">                 </w:t>
      </w:r>
    </w:p>
    <w:p w14:paraId="270C0F73">
      <w:pPr>
        <w:snapToGrid w:val="0"/>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或者委托代理人（</w:t>
      </w:r>
      <w:r>
        <w:rPr>
          <w:rFonts w:hint="eastAsia" w:ascii="宋体" w:hAnsi="宋体" w:cs="宋体"/>
          <w:color w:val="auto"/>
          <w:kern w:val="0"/>
          <w:sz w:val="24"/>
          <w:szCs w:val="24"/>
          <w:highlight w:val="none"/>
          <w:lang w:bidi="ar"/>
        </w:rPr>
        <w:t>签字或者盖章或者电子签名</w:t>
      </w:r>
      <w:r>
        <w:rPr>
          <w:rFonts w:hint="eastAsia" w:ascii="宋体" w:hAnsi="宋体" w:cs="宋体"/>
          <w:color w:val="auto"/>
          <w:sz w:val="24"/>
          <w:highlight w:val="none"/>
        </w:rPr>
        <w:t xml:space="preserve">）：_______ </w:t>
      </w:r>
    </w:p>
    <w:p w14:paraId="76D7364C">
      <w:pPr>
        <w:pStyle w:val="24"/>
        <w:snapToGrid w:val="0"/>
        <w:spacing w:before="295" w:after="295" w:line="240" w:lineRule="auto"/>
        <w:rPr>
          <w:rFonts w:hint="eastAsia" w:ascii="宋体" w:hAnsi="宋体" w:cs="宋体"/>
          <w:b/>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7D2F51F4">
      <w:pPr>
        <w:snapToGrid w:val="0"/>
        <w:spacing w:before="50" w:after="120" w:afterLines="50"/>
        <w:jc w:val="left"/>
        <w:rPr>
          <w:rFonts w:hint="eastAsia" w:ascii="宋体" w:hAnsi="宋体"/>
          <w:color w:val="auto"/>
          <w:sz w:val="24"/>
          <w:szCs w:val="20"/>
          <w:highlight w:val="none"/>
        </w:rPr>
      </w:pPr>
    </w:p>
    <w:p w14:paraId="09565FD4">
      <w:pPr>
        <w:snapToGrid w:val="0"/>
        <w:spacing w:before="50" w:after="120" w:afterLines="50"/>
        <w:jc w:val="left"/>
        <w:rPr>
          <w:rFonts w:hint="eastAsia" w:ascii="宋体" w:hAnsi="宋体" w:cs="宋体"/>
          <w:b/>
          <w:color w:val="auto"/>
          <w:sz w:val="28"/>
          <w:szCs w:val="28"/>
          <w:highlight w:val="none"/>
        </w:rPr>
      </w:pPr>
    </w:p>
    <w:p w14:paraId="7BE8A76C">
      <w:pPr>
        <w:snapToGrid w:val="0"/>
        <w:spacing w:before="50" w:after="120" w:afterLines="50"/>
        <w:jc w:val="left"/>
        <w:rPr>
          <w:rFonts w:hint="eastAsia" w:ascii="宋体" w:hAnsi="宋体" w:cs="宋体"/>
          <w:b/>
          <w:color w:val="auto"/>
          <w:sz w:val="28"/>
          <w:szCs w:val="28"/>
          <w:highlight w:val="none"/>
        </w:rPr>
      </w:pPr>
    </w:p>
    <w:p w14:paraId="3158849A">
      <w:pPr>
        <w:snapToGrid w:val="0"/>
        <w:spacing w:before="50" w:after="120" w:afterLines="50"/>
        <w:jc w:val="left"/>
        <w:rPr>
          <w:rFonts w:hint="eastAsia" w:ascii="宋体" w:hAnsi="宋体" w:cs="宋体"/>
          <w:b/>
          <w:color w:val="auto"/>
          <w:sz w:val="28"/>
          <w:szCs w:val="28"/>
          <w:highlight w:val="none"/>
        </w:rPr>
      </w:pPr>
    </w:p>
    <w:p w14:paraId="404FBCBD">
      <w:pPr>
        <w:snapToGrid w:val="0"/>
        <w:spacing w:before="50" w:after="120" w:afterLines="50"/>
        <w:jc w:val="left"/>
        <w:rPr>
          <w:rFonts w:hint="eastAsia" w:ascii="宋体" w:hAnsi="宋体" w:cs="宋体"/>
          <w:b/>
          <w:color w:val="auto"/>
          <w:sz w:val="28"/>
          <w:szCs w:val="28"/>
          <w:highlight w:val="none"/>
        </w:rPr>
      </w:pPr>
    </w:p>
    <w:p w14:paraId="325FFB9B">
      <w:pPr>
        <w:snapToGrid w:val="0"/>
        <w:spacing w:before="50" w:after="120" w:afterLines="50"/>
        <w:jc w:val="left"/>
        <w:rPr>
          <w:rFonts w:hint="eastAsia" w:ascii="宋体" w:hAnsi="宋体" w:cs="宋体"/>
          <w:b/>
          <w:color w:val="auto"/>
          <w:sz w:val="28"/>
          <w:szCs w:val="28"/>
          <w:highlight w:val="none"/>
        </w:rPr>
      </w:pPr>
    </w:p>
    <w:p w14:paraId="195A7D9F">
      <w:pPr>
        <w:snapToGrid w:val="0"/>
        <w:spacing w:before="50" w:after="120" w:afterLines="50"/>
        <w:jc w:val="left"/>
        <w:rPr>
          <w:rFonts w:hint="eastAsia" w:ascii="宋体" w:hAnsi="宋体" w:cs="宋体"/>
          <w:b/>
          <w:color w:val="auto"/>
          <w:sz w:val="28"/>
          <w:szCs w:val="28"/>
          <w:highlight w:val="none"/>
        </w:rPr>
      </w:pPr>
    </w:p>
    <w:p w14:paraId="694952CB">
      <w:pPr>
        <w:snapToGrid w:val="0"/>
        <w:spacing w:before="50" w:after="120" w:afterLines="5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五、其他文书、文件格式</w:t>
      </w:r>
      <w:bookmarkEnd w:id="136"/>
    </w:p>
    <w:p w14:paraId="0DBB8935">
      <w:pPr>
        <w:spacing w:before="120" w:beforeLines="50" w:after="120" w:afterLines="50" w:line="400" w:lineRule="exact"/>
        <w:rPr>
          <w:rFonts w:hint="eastAsia" w:ascii="宋体" w:hAnsi="宋体" w:cs="宋体"/>
          <w:color w:val="auto"/>
          <w:sz w:val="24"/>
          <w:highlight w:val="none"/>
        </w:rPr>
      </w:pPr>
    </w:p>
    <w:p w14:paraId="613099E7">
      <w:pPr>
        <w:snapToGrid w:val="0"/>
        <w:spacing w:before="120" w:beforeLines="50" w:after="50"/>
        <w:jc w:val="left"/>
        <w:rPr>
          <w:rFonts w:hint="eastAsia" w:ascii="宋体" w:hAnsi="宋体" w:cs="宋体"/>
          <w:b/>
          <w:color w:val="auto"/>
          <w:spacing w:val="0"/>
          <w:sz w:val="28"/>
          <w:szCs w:val="28"/>
          <w:highlight w:val="none"/>
        </w:rPr>
      </w:pPr>
      <w:r>
        <w:rPr>
          <w:rFonts w:hint="eastAsia" w:ascii="宋体" w:hAnsi="宋体" w:cs="宋体"/>
          <w:b/>
          <w:color w:val="auto"/>
          <w:spacing w:val="0"/>
          <w:sz w:val="28"/>
          <w:szCs w:val="28"/>
          <w:highlight w:val="none"/>
        </w:rPr>
        <w:t>1.政府采购项目投标资格承诺函</w:t>
      </w:r>
    </w:p>
    <w:p w14:paraId="0B08E97B">
      <w:pPr>
        <w:pStyle w:val="18"/>
        <w:rPr>
          <w:rFonts w:hint="eastAsia" w:ascii="宋体" w:hAnsi="宋体" w:cs="宋体"/>
          <w:color w:val="auto"/>
          <w:sz w:val="24"/>
          <w:szCs w:val="24"/>
          <w:highlight w:val="none"/>
        </w:rPr>
      </w:pPr>
    </w:p>
    <w:p w14:paraId="1D6317BF">
      <w:pPr>
        <w:rPr>
          <w:rFonts w:hint="eastAsia"/>
          <w:color w:val="auto"/>
        </w:rPr>
      </w:pPr>
    </w:p>
    <w:p w14:paraId="0E537F6D">
      <w:pPr>
        <w:widowControl/>
        <w:jc w:val="center"/>
        <w:rPr>
          <w:rFonts w:hint="eastAsia" w:ascii="宋体" w:hAnsi="宋体" w:cs="宋体"/>
          <w:color w:val="auto"/>
          <w:sz w:val="36"/>
          <w:szCs w:val="36"/>
          <w:highlight w:val="none"/>
        </w:rPr>
      </w:pPr>
      <w:r>
        <w:rPr>
          <w:rFonts w:hint="eastAsia" w:ascii="宋体" w:hAnsi="宋体" w:cs="宋体"/>
          <w:b/>
          <w:color w:val="auto"/>
          <w:sz w:val="36"/>
          <w:szCs w:val="36"/>
          <w:highlight w:val="none"/>
        </w:rPr>
        <w:t>政府采购项目投标资格承诺函</w:t>
      </w:r>
    </w:p>
    <w:p w14:paraId="64E02475">
      <w:pPr>
        <w:widowControl/>
        <w:spacing w:line="360" w:lineRule="auto"/>
        <w:ind w:firstLine="480" w:firstLineChars="200"/>
        <w:jc w:val="left"/>
        <w:rPr>
          <w:rFonts w:hint="eastAsia" w:ascii="宋体" w:hAnsi="宋体" w:cs="宋体"/>
          <w:color w:val="auto"/>
          <w:kern w:val="0"/>
          <w:sz w:val="24"/>
          <w:szCs w:val="24"/>
          <w:highlight w:val="none"/>
          <w:lang w:bidi="ar"/>
        </w:rPr>
      </w:pPr>
    </w:p>
    <w:p w14:paraId="455B578F">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本公司郑重承诺，根据《中华人民共和国政府采购法》第二十二条的规定，本公司为参加政府采购活动的合格</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 xml:space="preserve">。即本公司同时满足以下条件： </w:t>
      </w:r>
    </w:p>
    <w:p w14:paraId="68F4B40D">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1.具有独立承担民事责任的能力。 </w:t>
      </w:r>
    </w:p>
    <w:p w14:paraId="5B86B64E">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2.具有良好的商业信誉和健全的财务会计制度。 </w:t>
      </w:r>
    </w:p>
    <w:p w14:paraId="77B66B1B">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3.具有履行合同所必需的设备和专业技术能力。 </w:t>
      </w:r>
    </w:p>
    <w:p w14:paraId="1C84D24E">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4.有依法缴纳税收和社会保障资金的良好记录。 </w:t>
      </w:r>
    </w:p>
    <w:p w14:paraId="601B76A1">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5. 提交投标文件截止日期前三年内，在经营活动中没有重大 </w:t>
      </w:r>
    </w:p>
    <w:p w14:paraId="1CEEBEF0">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违法记录。 </w:t>
      </w:r>
    </w:p>
    <w:p w14:paraId="0C794F84">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4D51D0C1">
      <w:pPr>
        <w:widowControl/>
        <w:spacing w:line="360" w:lineRule="auto"/>
        <w:jc w:val="right"/>
        <w:rPr>
          <w:rFonts w:hint="eastAsia" w:ascii="宋体" w:hAnsi="宋体" w:cs="宋体"/>
          <w:color w:val="auto"/>
          <w:kern w:val="0"/>
          <w:sz w:val="24"/>
          <w:szCs w:val="24"/>
          <w:highlight w:val="none"/>
          <w:lang w:bidi="ar"/>
        </w:rPr>
      </w:pPr>
    </w:p>
    <w:p w14:paraId="5224A5B3">
      <w:pPr>
        <w:widowControl/>
        <w:spacing w:line="360" w:lineRule="auto"/>
        <w:jc w:val="right"/>
        <w:rPr>
          <w:rFonts w:hint="eastAsia" w:ascii="宋体" w:hAnsi="宋体" w:cs="宋体"/>
          <w:color w:val="auto"/>
          <w:kern w:val="0"/>
          <w:sz w:val="24"/>
          <w:szCs w:val="24"/>
          <w:highlight w:val="none"/>
          <w:lang w:bidi="ar"/>
        </w:rPr>
      </w:pPr>
    </w:p>
    <w:p w14:paraId="5D2D41B0">
      <w:pPr>
        <w:widowControl/>
        <w:spacing w:line="360" w:lineRule="auto"/>
        <w:jc w:val="right"/>
        <w:rPr>
          <w:rFonts w:hint="eastAsia" w:ascii="宋体" w:hAnsi="宋体" w:cs="宋体"/>
          <w:color w:val="auto"/>
          <w:kern w:val="0"/>
          <w:sz w:val="24"/>
          <w:szCs w:val="24"/>
          <w:highlight w:val="none"/>
          <w:lang w:bidi="ar"/>
        </w:rPr>
      </w:pPr>
    </w:p>
    <w:p w14:paraId="3DEB3F86">
      <w:pPr>
        <w:widowControl/>
        <w:spacing w:line="360" w:lineRule="auto"/>
        <w:jc w:val="right"/>
        <w:rPr>
          <w:rFonts w:hint="eastAsia" w:ascii="宋体" w:hAnsi="宋体" w:cs="宋体"/>
          <w:color w:val="auto"/>
          <w:kern w:val="0"/>
          <w:sz w:val="24"/>
          <w:szCs w:val="24"/>
          <w:highlight w:val="none"/>
          <w:lang w:bidi="ar"/>
        </w:rPr>
      </w:pPr>
    </w:p>
    <w:p w14:paraId="0B51A455">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                   企业名称（盖公章或电子章）： </w:t>
      </w:r>
    </w:p>
    <w:p w14:paraId="19062A5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eastAsia="zh-CN" w:bidi="ar"/>
        </w:rPr>
        <w:t>法定代表人</w:t>
      </w:r>
      <w:r>
        <w:rPr>
          <w:rFonts w:hint="eastAsia" w:ascii="宋体" w:hAnsi="宋体" w:cs="宋体"/>
          <w:color w:val="auto"/>
          <w:kern w:val="0"/>
          <w:sz w:val="24"/>
          <w:szCs w:val="24"/>
          <w:highlight w:val="none"/>
          <w:lang w:bidi="ar"/>
        </w:rPr>
        <w:t xml:space="preserve">（签字或者盖章或者电子签名）： </w:t>
      </w:r>
    </w:p>
    <w:p w14:paraId="0E5216D6">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 xml:space="preserve">日期： 年 月 日 </w:t>
      </w:r>
    </w:p>
    <w:p w14:paraId="75C12B66">
      <w:pPr>
        <w:pStyle w:val="18"/>
        <w:rPr>
          <w:rFonts w:hint="eastAsia" w:ascii="宋体" w:hAnsi="宋体" w:cs="宋体"/>
          <w:color w:val="auto"/>
          <w:sz w:val="24"/>
          <w:szCs w:val="24"/>
          <w:highlight w:val="none"/>
        </w:rPr>
      </w:pPr>
    </w:p>
    <w:p w14:paraId="7762D6B7">
      <w:pPr>
        <w:snapToGrid w:val="0"/>
        <w:spacing w:before="120" w:beforeLines="50" w:after="50"/>
        <w:jc w:val="left"/>
        <w:rPr>
          <w:rFonts w:hint="eastAsia" w:ascii="宋体" w:hAnsi="宋体" w:cs="宋体"/>
          <w:b/>
          <w:color w:val="auto"/>
          <w:sz w:val="24"/>
          <w:highlight w:val="none"/>
        </w:rPr>
      </w:pPr>
    </w:p>
    <w:p w14:paraId="2D12A840">
      <w:pPr>
        <w:snapToGrid w:val="0"/>
        <w:spacing w:before="120" w:beforeLines="50" w:after="50"/>
        <w:jc w:val="left"/>
        <w:rPr>
          <w:rFonts w:hint="eastAsia" w:ascii="宋体" w:hAnsi="宋体" w:cs="宋体"/>
          <w:b/>
          <w:color w:val="auto"/>
          <w:sz w:val="24"/>
          <w:highlight w:val="none"/>
        </w:rPr>
      </w:pPr>
    </w:p>
    <w:p w14:paraId="30F12317">
      <w:pPr>
        <w:snapToGrid w:val="0"/>
        <w:spacing w:before="120" w:beforeLines="50" w:after="50"/>
        <w:jc w:val="left"/>
        <w:rPr>
          <w:rFonts w:hint="eastAsia" w:ascii="宋体" w:hAnsi="宋体" w:cs="宋体"/>
          <w:b/>
          <w:color w:val="auto"/>
          <w:sz w:val="24"/>
          <w:highlight w:val="none"/>
        </w:rPr>
      </w:pPr>
    </w:p>
    <w:p w14:paraId="58A0459E">
      <w:pPr>
        <w:snapToGrid w:val="0"/>
        <w:spacing w:before="120" w:beforeLines="50" w:after="50"/>
        <w:jc w:val="left"/>
        <w:rPr>
          <w:rFonts w:hint="eastAsia" w:ascii="宋体" w:hAnsi="宋体" w:cs="宋体"/>
          <w:b/>
          <w:color w:val="auto"/>
          <w:sz w:val="24"/>
          <w:highlight w:val="none"/>
        </w:rPr>
      </w:pPr>
    </w:p>
    <w:p w14:paraId="3DA5333D">
      <w:pPr>
        <w:snapToGrid w:val="0"/>
        <w:spacing w:before="120" w:beforeLines="50" w:after="50"/>
        <w:jc w:val="left"/>
        <w:rPr>
          <w:rFonts w:hint="eastAsia" w:ascii="宋体" w:hAnsi="宋体" w:cs="宋体"/>
          <w:b/>
          <w:color w:val="auto"/>
          <w:sz w:val="24"/>
          <w:highlight w:val="none"/>
        </w:rPr>
      </w:pPr>
    </w:p>
    <w:p w14:paraId="3915BDBD">
      <w:pPr>
        <w:snapToGrid w:val="0"/>
        <w:spacing w:before="120" w:beforeLines="50" w:after="50"/>
        <w:jc w:val="left"/>
        <w:rPr>
          <w:rFonts w:hint="eastAsia" w:ascii="宋体" w:hAnsi="宋体" w:cs="宋体"/>
          <w:b/>
          <w:color w:val="auto"/>
          <w:sz w:val="24"/>
          <w:highlight w:val="none"/>
        </w:rPr>
      </w:pPr>
    </w:p>
    <w:p w14:paraId="06EF2BEA">
      <w:pPr>
        <w:snapToGrid w:val="0"/>
        <w:spacing w:before="120" w:beforeLines="50" w:after="50"/>
        <w:jc w:val="left"/>
        <w:rPr>
          <w:rFonts w:hint="eastAsia" w:ascii="宋体" w:hAnsi="宋体" w:cs="宋体"/>
          <w:color w:val="auto"/>
          <w:sz w:val="28"/>
          <w:szCs w:val="28"/>
          <w:highlight w:val="none"/>
        </w:rPr>
      </w:pPr>
      <w:r>
        <w:rPr>
          <w:rFonts w:hint="eastAsia" w:ascii="宋体" w:hAnsi="宋体" w:cs="宋体"/>
          <w:b/>
          <w:color w:val="auto"/>
          <w:sz w:val="28"/>
          <w:szCs w:val="28"/>
          <w:highlight w:val="none"/>
        </w:rPr>
        <w:t>2.中小企业声明函格式</w:t>
      </w:r>
    </w:p>
    <w:p w14:paraId="267126D2">
      <w:pPr>
        <w:rPr>
          <w:rFonts w:hint="eastAsia" w:ascii="宋体" w:hAnsi="宋体" w:cs="宋体"/>
          <w:color w:val="auto"/>
          <w:highlight w:val="none"/>
        </w:rPr>
      </w:pPr>
    </w:p>
    <w:p w14:paraId="574ACF41">
      <w:pPr>
        <w:jc w:val="center"/>
        <w:rPr>
          <w:rFonts w:hint="eastAsia" w:ascii="宋体" w:hAnsi="宋体" w:cs="宋体"/>
          <w:b/>
          <w:bCs/>
          <w:color w:val="auto"/>
          <w:sz w:val="36"/>
          <w:szCs w:val="36"/>
          <w:highlight w:val="none"/>
        </w:rPr>
      </w:pPr>
    </w:p>
    <w:p w14:paraId="52C53D2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中小企业声明函（服务）</w:t>
      </w:r>
    </w:p>
    <w:p w14:paraId="5151CFA9">
      <w:pPr>
        <w:spacing w:before="2" w:line="500" w:lineRule="exact"/>
        <w:rPr>
          <w:rFonts w:hint="eastAsia" w:ascii="宋体" w:hAnsi="宋体" w:cs="宋体"/>
          <w:b/>
          <w:bCs/>
          <w:color w:val="auto"/>
          <w:sz w:val="24"/>
          <w:highlight w:val="none"/>
        </w:rPr>
      </w:pPr>
    </w:p>
    <w:p w14:paraId="4C2B6315">
      <w:pPr>
        <w:pStyle w:val="18"/>
        <w:spacing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7C7B94BD">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F0A8995">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76FD789">
      <w:pPr>
        <w:pStyle w:val="18"/>
        <w:spacing w:before="34"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10F21B68">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0AE7A558">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ECC7EFA">
      <w:pPr>
        <w:rPr>
          <w:rFonts w:hint="eastAsia" w:ascii="宋体" w:hAnsi="宋体" w:cs="宋体"/>
          <w:color w:val="auto"/>
          <w:highlight w:val="none"/>
        </w:rPr>
      </w:pPr>
    </w:p>
    <w:p w14:paraId="5CB59536">
      <w:pPr>
        <w:pStyle w:val="10"/>
        <w:rPr>
          <w:rFonts w:hint="eastAsia"/>
          <w:color w:val="auto"/>
        </w:rPr>
      </w:pPr>
    </w:p>
    <w:p w14:paraId="5D47E36C">
      <w:pPr>
        <w:pStyle w:val="18"/>
        <w:spacing w:before="56" w:line="500" w:lineRule="exact"/>
        <w:ind w:left="3960" w:right="1808"/>
        <w:rPr>
          <w:rFonts w:hint="default" w:ascii="宋体" w:hAnsi="宋体" w:eastAsia="宋体" w:cs="宋体"/>
          <w:color w:val="auto"/>
          <w:highlight w:val="none"/>
          <w:u w:val="single"/>
          <w:lang w:val="en-US" w:eastAsia="zh-CN"/>
        </w:rPr>
      </w:pPr>
      <w:r>
        <w:rPr>
          <w:rFonts w:hint="eastAsia" w:ascii="宋体" w:hAnsi="宋体" w:cs="宋体"/>
          <w:color w:val="auto"/>
          <w:kern w:val="24"/>
          <w:highlight w:val="none"/>
        </w:rPr>
        <w:t>企业名称（电子签章）</w:t>
      </w:r>
      <w:r>
        <w:rPr>
          <w:rFonts w:hint="eastAsia" w:ascii="宋体" w:hAnsi="宋体" w:cs="宋体"/>
          <w:color w:val="auto"/>
          <w:kern w:val="24"/>
          <w:highlight w:val="none"/>
          <w:lang w:eastAsia="zh-CN"/>
        </w:rPr>
        <w:t>：</w:t>
      </w:r>
      <w:r>
        <w:rPr>
          <w:rFonts w:hint="eastAsia" w:ascii="宋体" w:hAnsi="宋体" w:cs="宋体"/>
          <w:color w:val="auto"/>
          <w:highlight w:val="none"/>
          <w:u w:val="single"/>
          <w:lang w:val="en-US" w:eastAsia="zh-CN"/>
        </w:rPr>
        <w:t xml:space="preserve">                   </w:t>
      </w:r>
    </w:p>
    <w:p w14:paraId="388A5167">
      <w:pPr>
        <w:pStyle w:val="18"/>
        <w:spacing w:before="56" w:line="500" w:lineRule="exact"/>
        <w:ind w:left="3960" w:right="1808"/>
        <w:rPr>
          <w:rFonts w:hint="default" w:ascii="宋体" w:hAnsi="宋体" w:eastAsia="宋体" w:cs="宋体"/>
          <w:color w:val="auto"/>
          <w:highlight w:val="none"/>
          <w:u w:val="single"/>
          <w:lang w:val="en-US" w:eastAsia="zh-CN"/>
        </w:rPr>
      </w:pPr>
      <w:r>
        <w:rPr>
          <w:rFonts w:hint="eastAsia" w:ascii="宋体" w:hAnsi="宋体" w:cs="宋体"/>
          <w:color w:val="auto"/>
          <w:highlight w:val="none"/>
        </w:rPr>
        <w:t>日 期：</w:t>
      </w:r>
      <w:r>
        <w:rPr>
          <w:rFonts w:hint="eastAsia" w:ascii="宋体" w:hAnsi="宋体" w:cs="宋体"/>
          <w:color w:val="auto"/>
          <w:highlight w:val="none"/>
          <w:u w:val="single"/>
          <w:lang w:val="en-US" w:eastAsia="zh-CN"/>
        </w:rPr>
        <w:t xml:space="preserve">                           </w:t>
      </w:r>
    </w:p>
    <w:p w14:paraId="7DEFE99C">
      <w:pPr>
        <w:rPr>
          <w:rFonts w:hint="eastAsia" w:ascii="宋体" w:hAnsi="宋体" w:cs="宋体"/>
          <w:color w:val="auto"/>
          <w:spacing w:val="6"/>
          <w:sz w:val="24"/>
          <w:highlight w:val="none"/>
        </w:rPr>
      </w:pPr>
    </w:p>
    <w:p w14:paraId="129733FF">
      <w:pPr>
        <w:rPr>
          <w:rFonts w:hint="eastAsia" w:ascii="宋体" w:hAnsi="宋体" w:cs="宋体"/>
          <w:color w:val="auto"/>
          <w:spacing w:val="6"/>
          <w:sz w:val="24"/>
          <w:highlight w:val="none"/>
        </w:rPr>
      </w:pPr>
    </w:p>
    <w:p w14:paraId="37A76995">
      <w:pPr>
        <w:rPr>
          <w:rFonts w:hint="eastAsia" w:ascii="宋体" w:hAnsi="宋体" w:cs="宋体"/>
          <w:color w:val="auto"/>
          <w:spacing w:val="6"/>
          <w:sz w:val="24"/>
          <w:highlight w:val="none"/>
        </w:rPr>
      </w:pPr>
    </w:p>
    <w:p w14:paraId="1D5E5B02">
      <w:pPr>
        <w:rPr>
          <w:rFonts w:hint="eastAsia" w:ascii="宋体" w:hAnsi="宋体" w:cs="宋体"/>
          <w:color w:val="auto"/>
          <w:sz w:val="24"/>
          <w:highlight w:val="none"/>
        </w:rPr>
      </w:pPr>
    </w:p>
    <w:p w14:paraId="015B59DA">
      <w:pPr>
        <w:rPr>
          <w:rFonts w:hint="eastAsia" w:ascii="宋体" w:hAnsi="宋体" w:cs="宋体"/>
          <w:color w:val="auto"/>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注：享受《政府采购促进中小企业发展管理办法》（财库〔2020〕46号）规定的中小企业扶持政策的，采购人、采购代理机构应当随中标结果公开中标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的《中小企业声明函》。从业人员、营业收入、资产总额填报上一年度数据，无上一年度数据的新成立企业可不填报。</w:t>
      </w:r>
      <w:r>
        <w:rPr>
          <w:rFonts w:hint="eastAsia" w:ascii="宋体" w:hAnsi="宋体" w:cs="宋体"/>
          <w:color w:val="auto"/>
          <w:highlight w:val="none"/>
        </w:rPr>
        <w:br w:type="page"/>
      </w:r>
    </w:p>
    <w:p w14:paraId="61D84190">
      <w:pPr>
        <w:rPr>
          <w:rFonts w:hint="eastAsia" w:ascii="宋体" w:hAnsi="宋体" w:cs="宋体"/>
          <w:b/>
          <w:color w:val="auto"/>
          <w:sz w:val="28"/>
          <w:szCs w:val="28"/>
          <w:highlight w:val="none"/>
        </w:rPr>
      </w:pPr>
      <w:r>
        <w:rPr>
          <w:rFonts w:hint="eastAsia" w:ascii="宋体" w:hAnsi="宋体" w:cs="宋体"/>
          <w:b/>
          <w:color w:val="auto"/>
          <w:sz w:val="28"/>
          <w:szCs w:val="28"/>
          <w:highlight w:val="none"/>
        </w:rPr>
        <w:t>3.残疾人福利性单位声明函格式</w:t>
      </w:r>
    </w:p>
    <w:p w14:paraId="34BC4D0B">
      <w:pPr>
        <w:spacing w:line="588" w:lineRule="exact"/>
        <w:jc w:val="center"/>
        <w:rPr>
          <w:rFonts w:hint="eastAsia" w:ascii="宋体" w:hAnsi="宋体" w:cs="宋体"/>
          <w:b/>
          <w:color w:val="auto"/>
          <w:spacing w:val="6"/>
          <w:sz w:val="32"/>
          <w:szCs w:val="32"/>
          <w:highlight w:val="none"/>
        </w:rPr>
      </w:pPr>
      <w:bookmarkStart w:id="137" w:name="OLE_LINK14"/>
      <w:bookmarkStart w:id="138" w:name="OLE_LINK13"/>
    </w:p>
    <w:p w14:paraId="0AB71EA3">
      <w:pPr>
        <w:spacing w:line="588" w:lineRule="exact"/>
        <w:jc w:val="center"/>
        <w:rPr>
          <w:rFonts w:hint="eastAsia" w:ascii="宋体" w:hAnsi="宋体" w:cs="宋体"/>
          <w:b/>
          <w:bCs w:val="0"/>
          <w:color w:val="auto"/>
          <w:spacing w:val="6"/>
          <w:sz w:val="36"/>
          <w:szCs w:val="36"/>
          <w:highlight w:val="none"/>
        </w:rPr>
      </w:pPr>
      <w:r>
        <w:rPr>
          <w:rFonts w:hint="eastAsia" w:ascii="宋体" w:hAnsi="宋体" w:cs="宋体"/>
          <w:b/>
          <w:bCs w:val="0"/>
          <w:color w:val="auto"/>
          <w:spacing w:val="6"/>
          <w:sz w:val="36"/>
          <w:szCs w:val="36"/>
          <w:highlight w:val="none"/>
        </w:rPr>
        <w:t>残疾人福利性单位声明函</w:t>
      </w:r>
    </w:p>
    <w:bookmarkEnd w:id="137"/>
    <w:bookmarkEnd w:id="138"/>
    <w:p w14:paraId="18193F8A">
      <w:pPr>
        <w:spacing w:line="588" w:lineRule="exact"/>
        <w:rPr>
          <w:rFonts w:hint="eastAsia" w:ascii="宋体" w:hAnsi="宋体" w:cs="宋体"/>
          <w:b/>
          <w:color w:val="auto"/>
          <w:spacing w:val="6"/>
          <w:sz w:val="30"/>
          <w:szCs w:val="30"/>
          <w:highlight w:val="none"/>
        </w:rPr>
      </w:pPr>
    </w:p>
    <w:p w14:paraId="5EFB7C4E">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0C539114">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1CC211D">
      <w:pPr>
        <w:spacing w:line="360" w:lineRule="auto"/>
        <w:ind w:firstLine="504" w:firstLineChars="200"/>
        <w:contextualSpacing/>
        <w:rPr>
          <w:rFonts w:hint="eastAsia" w:ascii="宋体" w:hAnsi="宋体" w:cs="宋体"/>
          <w:color w:val="auto"/>
          <w:spacing w:val="6"/>
          <w:sz w:val="24"/>
          <w:highlight w:val="none"/>
        </w:rPr>
      </w:pPr>
    </w:p>
    <w:p w14:paraId="643DA484">
      <w:pPr>
        <w:spacing w:line="360" w:lineRule="auto"/>
        <w:ind w:firstLine="504" w:firstLineChars="200"/>
        <w:contextualSpacing/>
        <w:rPr>
          <w:rFonts w:hint="eastAsia" w:ascii="宋体" w:hAnsi="宋体" w:cs="宋体"/>
          <w:color w:val="auto"/>
          <w:spacing w:val="6"/>
          <w:sz w:val="24"/>
          <w:highlight w:val="none"/>
        </w:rPr>
      </w:pPr>
    </w:p>
    <w:p w14:paraId="0E90191F">
      <w:pPr>
        <w:pStyle w:val="18"/>
        <w:spacing w:before="56" w:line="500" w:lineRule="exact"/>
        <w:ind w:left="3960" w:right="1808"/>
        <w:rPr>
          <w:rFonts w:hint="eastAsia" w:ascii="宋体" w:hAnsi="宋体" w:cs="宋体"/>
          <w:color w:val="auto"/>
          <w:highlight w:val="none"/>
          <w:u w:val="single"/>
          <w:lang w:val="en-US" w:eastAsia="zh-CN"/>
        </w:rPr>
      </w:pPr>
      <w:r>
        <w:rPr>
          <w:rFonts w:hint="eastAsia" w:ascii="宋体" w:hAnsi="宋体" w:cs="宋体"/>
          <w:color w:val="auto"/>
          <w:kern w:val="24"/>
          <w:highlight w:val="none"/>
        </w:rPr>
        <w:t>企业名称（电子签章）</w:t>
      </w:r>
      <w:r>
        <w:rPr>
          <w:rFonts w:hint="eastAsia" w:ascii="宋体" w:hAnsi="宋体" w:cs="宋体"/>
          <w:color w:val="auto"/>
          <w:kern w:val="24"/>
          <w:highlight w:val="none"/>
          <w:lang w:eastAsia="zh-CN"/>
        </w:rPr>
        <w:t>：</w:t>
      </w:r>
      <w:r>
        <w:rPr>
          <w:rFonts w:hint="eastAsia" w:ascii="宋体" w:hAnsi="宋体" w:cs="宋体"/>
          <w:color w:val="auto"/>
          <w:highlight w:val="none"/>
          <w:u w:val="single"/>
          <w:lang w:val="en-US" w:eastAsia="zh-CN"/>
        </w:rPr>
        <w:t xml:space="preserve">                   </w:t>
      </w:r>
    </w:p>
    <w:p w14:paraId="79D15072">
      <w:pPr>
        <w:pStyle w:val="18"/>
        <w:spacing w:before="56" w:line="500" w:lineRule="exact"/>
        <w:ind w:left="3960" w:right="1808"/>
        <w:rPr>
          <w:rFonts w:hint="eastAsia" w:ascii="宋体" w:hAnsi="宋体" w:cs="宋体"/>
          <w:color w:val="auto"/>
          <w:sz w:val="24"/>
          <w:highlight w:val="none"/>
        </w:rPr>
      </w:pPr>
      <w:r>
        <w:rPr>
          <w:rFonts w:hint="eastAsia" w:ascii="宋体" w:hAnsi="宋体" w:cs="宋体"/>
          <w:color w:val="auto"/>
          <w:highlight w:val="none"/>
        </w:rPr>
        <w:t>日 期：</w:t>
      </w:r>
      <w:r>
        <w:rPr>
          <w:rFonts w:hint="eastAsia" w:ascii="宋体" w:hAnsi="宋体" w:cs="宋体"/>
          <w:color w:val="auto"/>
          <w:highlight w:val="none"/>
          <w:u w:val="single"/>
          <w:lang w:val="en-US" w:eastAsia="zh-CN"/>
        </w:rPr>
        <w:t xml:space="preserve">                        </w:t>
      </w:r>
    </w:p>
    <w:p w14:paraId="7FD99A04">
      <w:pPr>
        <w:spacing w:line="360" w:lineRule="auto"/>
        <w:contextualSpacing/>
        <w:rPr>
          <w:rFonts w:hint="eastAsia" w:ascii="宋体" w:hAnsi="宋体" w:cs="宋体"/>
          <w:color w:val="auto"/>
          <w:sz w:val="24"/>
          <w:highlight w:val="none"/>
        </w:rPr>
      </w:pPr>
    </w:p>
    <w:p w14:paraId="541A4508">
      <w:pPr>
        <w:spacing w:line="360" w:lineRule="auto"/>
        <w:contextualSpacing/>
        <w:rPr>
          <w:rFonts w:hint="eastAsia" w:ascii="宋体" w:hAnsi="宋体" w:cs="宋体"/>
          <w:color w:val="auto"/>
          <w:sz w:val="24"/>
          <w:highlight w:val="none"/>
        </w:rPr>
      </w:pPr>
    </w:p>
    <w:p w14:paraId="030FB015">
      <w:pPr>
        <w:spacing w:line="360" w:lineRule="auto"/>
        <w:contextualSpacing/>
        <w:rPr>
          <w:rFonts w:hint="eastAsia" w:ascii="宋体" w:hAnsi="宋体" w:cs="宋体"/>
          <w:color w:val="auto"/>
          <w:sz w:val="24"/>
          <w:highlight w:val="none"/>
        </w:rPr>
      </w:pPr>
    </w:p>
    <w:p w14:paraId="4D4C9035">
      <w:pPr>
        <w:spacing w:line="360" w:lineRule="auto"/>
        <w:contextualSpacing/>
        <w:rPr>
          <w:rFonts w:hint="eastAsia" w:ascii="宋体" w:hAnsi="宋体" w:cs="宋体"/>
          <w:color w:val="auto"/>
          <w:sz w:val="24"/>
          <w:highlight w:val="none"/>
        </w:rPr>
      </w:pPr>
    </w:p>
    <w:p w14:paraId="03687BD3">
      <w:pPr>
        <w:spacing w:line="360" w:lineRule="auto"/>
        <w:contextualSpacing/>
        <w:rPr>
          <w:rFonts w:hint="eastAsia" w:ascii="宋体" w:hAnsi="宋体" w:cs="宋体"/>
          <w:color w:val="auto"/>
          <w:sz w:val="24"/>
          <w:highlight w:val="none"/>
        </w:rPr>
      </w:pPr>
    </w:p>
    <w:p w14:paraId="1976873D">
      <w:pPr>
        <w:spacing w:line="360" w:lineRule="auto"/>
        <w:contextualSpacing/>
        <w:rPr>
          <w:rFonts w:hint="eastAsia" w:ascii="宋体" w:hAnsi="宋体" w:cs="宋体"/>
          <w:color w:val="auto"/>
          <w:sz w:val="24"/>
          <w:highlight w:val="none"/>
        </w:rPr>
      </w:pPr>
    </w:p>
    <w:p w14:paraId="12B74469">
      <w:pPr>
        <w:spacing w:line="360" w:lineRule="auto"/>
        <w:contextualSpacing/>
        <w:rPr>
          <w:rFonts w:hint="eastAsia" w:ascii="宋体" w:hAnsi="宋体" w:cs="宋体"/>
          <w:color w:val="auto"/>
          <w:sz w:val="24"/>
          <w:highlight w:val="none"/>
        </w:rPr>
      </w:pPr>
    </w:p>
    <w:p w14:paraId="4F333F15">
      <w:pPr>
        <w:spacing w:line="360" w:lineRule="auto"/>
        <w:contextualSpacing/>
        <w:rPr>
          <w:rFonts w:hint="eastAsia" w:ascii="宋体" w:hAnsi="宋体" w:cs="宋体"/>
          <w:color w:val="auto"/>
          <w:sz w:val="24"/>
          <w:highlight w:val="none"/>
        </w:rPr>
      </w:pPr>
    </w:p>
    <w:p w14:paraId="57FDD4ED">
      <w:pPr>
        <w:spacing w:line="360" w:lineRule="auto"/>
        <w:contextualSpacing/>
        <w:rPr>
          <w:rFonts w:hint="eastAsia" w:ascii="宋体" w:hAnsi="宋体" w:cs="宋体"/>
          <w:color w:val="auto"/>
          <w:sz w:val="24"/>
          <w:highlight w:val="none"/>
        </w:rPr>
      </w:pPr>
    </w:p>
    <w:p w14:paraId="2A832E95">
      <w:pPr>
        <w:spacing w:line="360" w:lineRule="auto"/>
        <w:contextualSpacing/>
        <w:rPr>
          <w:rFonts w:hint="eastAsia" w:ascii="宋体" w:hAnsi="宋体" w:cs="宋体"/>
          <w:color w:val="auto"/>
          <w:sz w:val="24"/>
          <w:highlight w:val="none"/>
        </w:rPr>
      </w:pPr>
    </w:p>
    <w:p w14:paraId="5652751A">
      <w:pPr>
        <w:spacing w:line="240" w:lineRule="auto"/>
        <w:contextualSpacing/>
        <w:rPr>
          <w:rFonts w:hint="eastAsia" w:ascii="宋体" w:hAnsi="宋体" w:cs="宋体"/>
          <w:color w:val="auto"/>
          <w:sz w:val="24"/>
          <w:highlight w:val="none"/>
        </w:rPr>
      </w:pPr>
    </w:p>
    <w:p w14:paraId="660095EF">
      <w:pPr>
        <w:spacing w:line="240" w:lineRule="auto"/>
        <w:contextualSpacing/>
        <w:rPr>
          <w:rFonts w:hint="eastAsia" w:ascii="宋体" w:hAnsi="宋体" w:cs="宋体"/>
          <w:color w:val="auto"/>
          <w:sz w:val="24"/>
          <w:highlight w:val="none"/>
        </w:rPr>
      </w:pPr>
    </w:p>
    <w:p w14:paraId="0F545751">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0BB695C">
      <w:pPr>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4.质疑函（格式）</w:t>
      </w:r>
    </w:p>
    <w:p w14:paraId="3CB55064">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质疑函（格式）</w:t>
      </w:r>
    </w:p>
    <w:p w14:paraId="35A568EC">
      <w:pPr>
        <w:pStyle w:val="2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w:t>
      </w:r>
      <w:r>
        <w:rPr>
          <w:rFonts w:hint="eastAsia" w:hAnsi="宋体" w:cs="宋体"/>
          <w:b/>
          <w:bCs/>
          <w:color w:val="auto"/>
          <w:sz w:val="24"/>
          <w:szCs w:val="24"/>
          <w:highlight w:val="none"/>
          <w:lang w:eastAsia="zh-CN"/>
        </w:rPr>
        <w:t>投标人</w:t>
      </w:r>
      <w:r>
        <w:rPr>
          <w:rFonts w:hint="eastAsia" w:hAnsi="宋体" w:cs="宋体"/>
          <w:b/>
          <w:bCs/>
          <w:color w:val="auto"/>
          <w:sz w:val="24"/>
          <w:szCs w:val="24"/>
          <w:highlight w:val="none"/>
        </w:rPr>
        <w:t>基本信息：</w:t>
      </w:r>
    </w:p>
    <w:p w14:paraId="25907C20">
      <w:pPr>
        <w:pStyle w:val="2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284DF4E">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0AE47F">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A427AB6">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9211CAD">
      <w:pPr>
        <w:pStyle w:val="2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FAD562B">
      <w:pPr>
        <w:pStyle w:val="2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CC407D">
      <w:pPr>
        <w:pStyle w:val="2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6D7905D4">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B0243D4">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51EFF58">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41EEFD4">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w:t>
      </w:r>
    </w:p>
    <w:p w14:paraId="70CB6B4D">
      <w:pPr>
        <w:pStyle w:val="24"/>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DA8C67C">
      <w:pPr>
        <w:pStyle w:val="24"/>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0BB78BCE">
      <w:pPr>
        <w:pStyle w:val="24"/>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DB0E73D">
      <w:pPr>
        <w:pStyle w:val="2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48379EF9">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B1C0679">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FE4E44E">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652D18A9">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质疑事项2</w:t>
      </w:r>
    </w:p>
    <w:p w14:paraId="000F0B2D">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w:t>
      </w:r>
    </w:p>
    <w:p w14:paraId="3F4CAD21">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5E2A6904">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C9F7645">
      <w:pPr>
        <w:pStyle w:val="24"/>
        <w:spacing w:line="360" w:lineRule="auto"/>
        <w:ind w:left="25" w:leftChars="12" w:firstLine="352" w:firstLineChars="147"/>
        <w:rPr>
          <w:rFonts w:hint="eastAsia" w:hAnsi="宋体" w:cs="宋体"/>
          <w:color w:val="auto"/>
          <w:sz w:val="24"/>
          <w:szCs w:val="24"/>
          <w:highlight w:val="none"/>
        </w:rPr>
      </w:pPr>
    </w:p>
    <w:p w14:paraId="77106458">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7FF8429A">
      <w:pPr>
        <w:pStyle w:val="24"/>
        <w:spacing w:line="360" w:lineRule="auto"/>
        <w:ind w:left="25" w:leftChars="12" w:firstLine="352" w:firstLineChars="147"/>
        <w:rPr>
          <w:rFonts w:hint="eastAsia" w:hAnsi="宋体" w:cs="宋体"/>
          <w:color w:val="auto"/>
          <w:sz w:val="24"/>
          <w:szCs w:val="24"/>
          <w:highlight w:val="none"/>
        </w:rPr>
      </w:pPr>
    </w:p>
    <w:p w14:paraId="293D7AC0">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446A20A0">
      <w:pPr>
        <w:pStyle w:val="24"/>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5209B463">
      <w:pPr>
        <w:pStyle w:val="24"/>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提出质疑时，应提交质疑函和必要的证明材料</w:t>
      </w:r>
      <w:r>
        <w:rPr>
          <w:rFonts w:hint="eastAsia" w:hAnsi="宋体" w:cs="宋体"/>
          <w:b/>
          <w:bCs/>
          <w:color w:val="auto"/>
          <w:sz w:val="24"/>
          <w:szCs w:val="24"/>
          <w:highlight w:val="none"/>
        </w:rPr>
        <w:t>。</w:t>
      </w:r>
    </w:p>
    <w:p w14:paraId="42EB79D2">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若委托代理人进行质疑的，质疑函应按要求列明“授权代表”的有关内容，并在附件中提交由质疑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签署的授权委托书。授权委托书应载明代理人的姓名或者名称、代理事项、具体权限、期限和相关事项。</w:t>
      </w:r>
    </w:p>
    <w:p w14:paraId="3F5EA4B8">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0B057D6">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5FAB1C3">
      <w:pPr>
        <w:pStyle w:val="24"/>
        <w:spacing w:line="360" w:lineRule="auto"/>
        <w:ind w:left="25" w:leftChars="12" w:firstLine="354" w:firstLineChars="147"/>
        <w:rPr>
          <w:rFonts w:hint="eastAsia" w:hAnsi="宋体" w:cs="宋体"/>
          <w:b/>
          <w:color w:val="auto"/>
          <w:highlight w:val="none"/>
        </w:rPr>
      </w:pPr>
      <w:r>
        <w:rPr>
          <w:rFonts w:hint="eastAsia" w:hAnsi="宋体" w:cs="宋体"/>
          <w:b/>
          <w:color w:val="auto"/>
          <w:sz w:val="24"/>
          <w:szCs w:val="24"/>
          <w:highlight w:val="none"/>
        </w:rPr>
        <w:t>5.质疑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为法人或者其他组织的，质疑函应由法定代表人、主要负责人，或者其授权代表签字或者盖章，并加盖公章。</w:t>
      </w:r>
    </w:p>
    <w:p w14:paraId="0611D242">
      <w:pPr>
        <w:spacing w:line="460" w:lineRule="exact"/>
        <w:rPr>
          <w:rFonts w:hint="eastAsia" w:ascii="宋体" w:hAnsi="宋体" w:cs="宋体"/>
          <w:color w:val="auto"/>
          <w:sz w:val="44"/>
          <w:highlight w:val="none"/>
        </w:rPr>
      </w:pPr>
    </w:p>
    <w:p w14:paraId="377FEBD4">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5.投诉书（格式）</w:t>
      </w:r>
    </w:p>
    <w:p w14:paraId="412E627A">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投诉书（格式）</w:t>
      </w:r>
    </w:p>
    <w:p w14:paraId="44FF12A0">
      <w:pPr>
        <w:pStyle w:val="2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EF50B42">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7D3A706">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A0A667E">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C12D9A6">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1AC2CA7">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69980D1">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162BFAE">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748E49A">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1A0AFE62">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95395BD">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9BC4C7">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A0214F1">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D6D1596">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w:t>
      </w:r>
    </w:p>
    <w:p w14:paraId="3D173B54">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相关</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w:t>
      </w:r>
      <w:r>
        <w:rPr>
          <w:rFonts w:hint="eastAsia" w:hAnsi="宋体" w:cs="宋体"/>
          <w:bCs/>
          <w:color w:val="auto"/>
          <w:sz w:val="24"/>
          <w:szCs w:val="24"/>
          <w:highlight w:val="none"/>
          <w:u w:val="single"/>
        </w:rPr>
        <w:t xml:space="preserve">                                                                       </w:t>
      </w:r>
    </w:p>
    <w:p w14:paraId="25824989">
      <w:pPr>
        <w:pStyle w:val="24"/>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B31C078">
      <w:pPr>
        <w:pStyle w:val="24"/>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9F51BD2">
      <w:pPr>
        <w:pStyle w:val="2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070D134">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D676B96">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E9EFBD3">
      <w:pPr>
        <w:pStyle w:val="2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4E7DEDC">
      <w:pPr>
        <w:pStyle w:val="2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29A8A2F8">
      <w:pPr>
        <w:pStyle w:val="2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70CC0EB">
      <w:pPr>
        <w:pStyle w:val="24"/>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EE8AF60">
      <w:pPr>
        <w:pStyle w:val="2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3B32204A">
      <w:pPr>
        <w:pStyle w:val="24"/>
        <w:spacing w:line="360" w:lineRule="auto"/>
        <w:ind w:left="25" w:leftChars="12"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0DFDC559">
      <w:pPr>
        <w:pStyle w:val="24"/>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988BFE9">
      <w:pPr>
        <w:pStyle w:val="24"/>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6788858">
      <w:pPr>
        <w:pStyle w:val="24"/>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58802A9">
      <w:pPr>
        <w:pStyle w:val="2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20D06E59">
      <w:pPr>
        <w:pStyle w:val="2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898A8FD">
      <w:pPr>
        <w:pStyle w:val="2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2851F3C">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4D46C5FC">
      <w:pPr>
        <w:pStyle w:val="2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6E887DD">
      <w:pPr>
        <w:pStyle w:val="24"/>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700E21D">
      <w:pPr>
        <w:pStyle w:val="24"/>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8C32D7D">
      <w:pPr>
        <w:pStyle w:val="24"/>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1560E764">
      <w:pPr>
        <w:pStyle w:val="2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1A2437E">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9F825D8">
      <w:pPr>
        <w:pStyle w:val="24"/>
        <w:spacing w:line="360" w:lineRule="auto"/>
        <w:ind w:left="25" w:leftChars="12" w:firstLine="352" w:firstLineChars="147"/>
        <w:rPr>
          <w:rFonts w:hint="eastAsia" w:hAnsi="宋体" w:cs="宋体"/>
          <w:color w:val="auto"/>
          <w:sz w:val="24"/>
          <w:szCs w:val="24"/>
          <w:highlight w:val="none"/>
        </w:rPr>
      </w:pPr>
    </w:p>
    <w:p w14:paraId="3DE7D1B0">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5C739F9A">
      <w:pPr>
        <w:pStyle w:val="24"/>
        <w:spacing w:line="360" w:lineRule="auto"/>
        <w:ind w:left="25" w:leftChars="12" w:firstLine="352" w:firstLineChars="147"/>
        <w:rPr>
          <w:rFonts w:hint="eastAsia" w:hAnsi="宋体" w:cs="宋体"/>
          <w:color w:val="auto"/>
          <w:sz w:val="24"/>
          <w:szCs w:val="24"/>
          <w:highlight w:val="none"/>
        </w:rPr>
      </w:pPr>
    </w:p>
    <w:p w14:paraId="2FF5CBE9">
      <w:pPr>
        <w:pStyle w:val="2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65AED91D">
      <w:pPr>
        <w:pStyle w:val="24"/>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 xml:space="preserve">                                                                                </w:t>
      </w:r>
      <w:r>
        <w:rPr>
          <w:rFonts w:hint="eastAsia" w:hAnsi="宋体" w:cs="宋体"/>
          <w:b/>
          <w:color w:val="auto"/>
          <w:sz w:val="24"/>
          <w:szCs w:val="24"/>
          <w:highlight w:val="none"/>
        </w:rPr>
        <w:t>说明：</w:t>
      </w:r>
    </w:p>
    <w:p w14:paraId="1700F796">
      <w:pPr>
        <w:pStyle w:val="24"/>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数量提供投诉书副本</w:t>
      </w:r>
      <w:r>
        <w:rPr>
          <w:rFonts w:hint="eastAsia" w:hAnsi="宋体" w:cs="宋体"/>
          <w:b/>
          <w:bCs/>
          <w:color w:val="auto"/>
          <w:sz w:val="24"/>
          <w:szCs w:val="24"/>
          <w:highlight w:val="none"/>
        </w:rPr>
        <w:t>。</w:t>
      </w:r>
    </w:p>
    <w:p w14:paraId="3D4EADA7">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C5DD6A">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DFE1819">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7B314E93">
      <w:pPr>
        <w:pStyle w:val="24"/>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56E2249">
      <w:pPr>
        <w:pStyle w:val="24"/>
        <w:spacing w:line="360" w:lineRule="auto"/>
        <w:ind w:left="25" w:leftChars="12" w:firstLine="354" w:firstLineChars="147"/>
        <w:rPr>
          <w:rFonts w:hint="eastAsia"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18" w:type="first"/>
      <w:headerReference r:id="rId15" w:type="default"/>
      <w:footerReference r:id="rId16" w:type="default"/>
      <w:footerReference r:id="rId17" w:type="even"/>
      <w:pgSz w:w="11906" w:h="16838"/>
      <w:pgMar w:top="1134" w:right="1247" w:bottom="1559"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821F3E-0AEC-4F7D-89CA-2688C0BF5259}"/>
  </w:font>
  <w:font w:name="Courier New">
    <w:panose1 w:val="02070309020205020404"/>
    <w:charset w:val="01"/>
    <w:family w:val="modern"/>
    <w:pitch w:val="default"/>
    <w:sig w:usb0="E0002AFF" w:usb1="C0007843" w:usb2="00000009" w:usb3="00000000" w:csb0="400001FF" w:csb1="FFFF0000"/>
    <w:embedRegular r:id="rId2" w:fontKey="{558DF46A-7534-4C16-9E7E-9F06AA1D8E3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C29EE99-6A4B-4835-8EB4-7208EB8F2251}"/>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embedRegular r:id="rId4" w:fontKey="{003B9FF8-07FF-4384-BBC1-78F1067BB0D3}"/>
  </w:font>
  <w:font w:name="方正小标宋_GBK">
    <w:panose1 w:val="03000509000000000000"/>
    <w:charset w:val="86"/>
    <w:family w:val="auto"/>
    <w:pitch w:val="default"/>
    <w:sig w:usb0="00000001" w:usb1="080E0000" w:usb2="00000000" w:usb3="00000000" w:csb0="00040000" w:csb1="00000000"/>
    <w:embedRegular r:id="rId5" w:fontKey="{7788C1F4-A2EF-4E53-97B9-1CE0FDA19A8F}"/>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F025">
    <w:pPr>
      <w:pStyle w:val="30"/>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7822">
    <w:pPr>
      <w:pStyle w:val="30"/>
      <w:ind w:right="360"/>
      <w:jc w:val="both"/>
      <w:rPr>
        <w:rFonts w:hint="eastAsia"/>
      </w:rPr>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4C6E136">
                <w:pPr>
                  <w:pStyle w:val="30"/>
                  <w:rPr>
                    <w:rStyle w:val="54"/>
                  </w:rPr>
                </w:pPr>
                <w:r>
                  <w:fldChar w:fldCharType="begin"/>
                </w:r>
                <w:r>
                  <w:rPr>
                    <w:rStyle w:val="54"/>
                  </w:rPr>
                  <w:instrText xml:space="preserve">PAGE  </w:instrText>
                </w:r>
                <w:r>
                  <w:fldChar w:fldCharType="separate"/>
                </w:r>
                <w:r>
                  <w:rPr>
                    <w:rStyle w:val="54"/>
                  </w:rPr>
                  <w:t>68</w:t>
                </w:r>
                <w:r>
                  <w:fldChar w:fldCharType="end"/>
                </w:r>
              </w:p>
            </w:txbxContent>
          </v:textbox>
        </v:shape>
      </w:pict>
    </w: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95A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0052">
    <w:pPr>
      <w:pStyle w:val="30"/>
      <w:tabs>
        <w:tab w:val="center" w:pos="4439"/>
        <w:tab w:val="clear" w:pos="4153"/>
      </w:tabs>
    </w:pPr>
    <w:r>
      <w:pict>
        <v:shape id="文本框 6" o:spid="_x0000_s308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path/>
          <v:fill on="f" focussize="0,0"/>
          <v:stroke on="f"/>
          <v:imagedata o:title=""/>
          <o:lock v:ext="edit" aspectratio="f"/>
          <v:textbox inset="0mm,0mm,0mm,0mm" style="mso-fit-shape-to-text:t;">
            <w:txbxContent>
              <w:p w14:paraId="64402273"/>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B88E">
    <w:pPr>
      <w:pStyle w:val="30"/>
      <w:tabs>
        <w:tab w:val="center" w:pos="4439"/>
        <w:tab w:val="clear" w:pos="4153"/>
      </w:tabs>
      <w:jc w:val="both"/>
    </w:pPr>
    <w:r>
      <w:rPr>
        <w:sz w:val="18"/>
      </w:rPr>
      <w:pict>
        <v:shape id="_x0000_s3085" o:spid="_x0000_s3085" o:spt="202" type="#_x0000_t202" style="position:absolute;left:0pt;margin-left:240.25pt;margin-top:-6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863C274">
                <w:pPr>
                  <w:pStyle w:val="3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BD00">
    <w:pPr>
      <w:pStyle w:val="30"/>
      <w:jc w:val="center"/>
    </w:pPr>
    <w:r>
      <w:pict>
        <v:shape id="_x0000_s3082" o:spid="_x0000_s308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93D2A7">
                <w:pPr>
                  <w:pStyle w:val="3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p>
            </w:txbxContent>
          </v:textbox>
        </v:shape>
      </w:pict>
    </w:r>
  </w:p>
  <w:p w14:paraId="2BAFE845">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1BEF">
    <w:pPr>
      <w:pStyle w:val="30"/>
      <w:framePr w:wrap="around" w:vAnchor="text" w:hAnchor="margin" w:xAlign="center" w:y="1"/>
      <w:rPr>
        <w:rStyle w:val="54"/>
      </w:rPr>
    </w:pPr>
    <w:r>
      <w:fldChar w:fldCharType="begin"/>
    </w:r>
    <w:r>
      <w:rPr>
        <w:rStyle w:val="54"/>
      </w:rPr>
      <w:instrText xml:space="preserve">PAGE  </w:instrText>
    </w:r>
    <w:r>
      <w:fldChar w:fldCharType="end"/>
    </w:r>
  </w:p>
  <w:p w14:paraId="7EF51E72">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3F7B">
    <w:pPr>
      <w:pStyle w:val="30"/>
      <w:framePr w:wrap="around" w:vAnchor="text" w:hAnchor="margin" w:xAlign="right" w:y="1"/>
      <w:rPr>
        <w:rStyle w:val="54"/>
      </w:rPr>
    </w:pPr>
    <w:r>
      <w:fldChar w:fldCharType="begin"/>
    </w:r>
    <w:r>
      <w:rPr>
        <w:rStyle w:val="54"/>
      </w:rPr>
      <w:instrText xml:space="preserve">PAGE  </w:instrText>
    </w:r>
    <w:r>
      <w:fldChar w:fldCharType="separate"/>
    </w:r>
    <w:r>
      <w:rPr>
        <w:rStyle w:val="54"/>
      </w:rPr>
      <w:t>122</w:t>
    </w:r>
    <w:r>
      <w:fldChar w:fldCharType="end"/>
    </w:r>
  </w:p>
  <w:p w14:paraId="45BCA6ED">
    <w:pPr>
      <w:pStyle w:val="30"/>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35C1">
    <w:pPr>
      <w:pStyle w:val="30"/>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D03D877">
                <w:pPr>
                  <w:pStyle w:val="3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78</w:t>
                </w:r>
                <w:r>
                  <w:rPr>
                    <w:rFonts w:hint="eastAsia" w:ascii="宋体" w:hAnsi="宋体" w:eastAsia="宋体" w:cs="宋体"/>
                    <w:sz w:val="24"/>
                    <w:szCs w:val="24"/>
                  </w:rPr>
                  <w:fldChar w:fldCharType="end"/>
                </w:r>
              </w:p>
            </w:txbxContent>
          </v:textbox>
        </v:shape>
      </w:pict>
    </w:r>
  </w:p>
  <w:p w14:paraId="00CC3C63">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965C">
    <w:pPr>
      <w:pStyle w:val="30"/>
      <w:framePr w:wrap="around" w:vAnchor="text" w:hAnchor="margin" w:xAlign="center" w:y="1"/>
      <w:rPr>
        <w:rStyle w:val="54"/>
      </w:rPr>
    </w:pPr>
    <w:r>
      <w:fldChar w:fldCharType="begin"/>
    </w:r>
    <w:r>
      <w:rPr>
        <w:rStyle w:val="54"/>
      </w:rPr>
      <w:instrText xml:space="preserve">PAGE  </w:instrText>
    </w:r>
    <w:r>
      <w:fldChar w:fldCharType="end"/>
    </w:r>
  </w:p>
  <w:p w14:paraId="7C02842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FFC7">
    <w:pPr>
      <w:pStyle w:val="32"/>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091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0696">
    <w:pPr>
      <w:pStyle w:val="32"/>
      <w:pBdr>
        <w:bottom w:val="none" w:color="auto" w:sz="0" w:space="0"/>
      </w:pBdr>
      <w:tabs>
        <w:tab w:val="center" w:pos="4153"/>
        <w:tab w:val="right" w:pos="9460"/>
        <w:tab w:val="clear" w:pos="0"/>
        <w:tab w:val="clear" w:pos="8306"/>
      </w:tabs>
      <w:ind w:right="-241" w:rightChars="-115"/>
      <w:jc w:val="both"/>
      <w:rPr>
        <w:rFonts w:hint="eastAsia" w:ascii="宋体" w:hAnsi="宋体" w:cs="宋体"/>
        <w:color w:val="000000" w:themeColor="text1"/>
        <w:kern w:val="0"/>
        <w:sz w:val="24"/>
        <w:szCs w:val="24"/>
        <w:u w:val="single"/>
      </w:rPr>
    </w:pPr>
    <w:r>
      <w:rPr>
        <w:rFonts w:hint="eastAsia" w:ascii="宋体" w:hAnsi="宋体" w:cs="宋体"/>
        <w:color w:val="000000" w:themeColor="text1"/>
        <w:kern w:val="0"/>
        <w:sz w:val="24"/>
        <w:szCs w:val="24"/>
        <w:u w:val="single"/>
      </w:rPr>
      <w:t>广西德承工程项目管理有限公司</w:t>
    </w:r>
    <w:r>
      <w:rPr>
        <w:rFonts w:hint="eastAsia" w:ascii="宋体" w:hAnsi="宋体" w:cs="宋体"/>
        <w:color w:val="000000" w:themeColor="text1"/>
        <w:kern w:val="0"/>
        <w:sz w:val="24"/>
        <w:szCs w:val="24"/>
        <w:u w:val="single"/>
        <w:lang w:val="en-US" w:eastAsia="zh-CN"/>
      </w:rPr>
      <w:t xml:space="preserve">   </w:t>
    </w:r>
    <w:r>
      <w:rPr>
        <w:rFonts w:hint="eastAsia" w:ascii="宋体" w:hAnsi="宋体" w:cs="宋体"/>
        <w:color w:val="000000" w:themeColor="text1"/>
        <w:kern w:val="0"/>
        <w:sz w:val="24"/>
        <w:szCs w:val="24"/>
        <w:u w:val="single"/>
      </w:rPr>
      <w:t>2026年北流市生产障碍耕地治理项目——采取叶面</w:t>
    </w:r>
  </w:p>
  <w:p w14:paraId="71EB0281">
    <w:pPr>
      <w:pStyle w:val="32"/>
      <w:pBdr>
        <w:bottom w:val="none" w:color="auto" w:sz="0" w:space="0"/>
      </w:pBdr>
      <w:tabs>
        <w:tab w:val="center" w:pos="4153"/>
        <w:tab w:val="right" w:pos="9460"/>
        <w:tab w:val="clear" w:pos="0"/>
        <w:tab w:val="clear" w:pos="8306"/>
      </w:tabs>
      <w:ind w:right="-241" w:rightChars="-115"/>
      <w:jc w:val="both"/>
    </w:pPr>
    <w:r>
      <w:rPr>
        <w:rFonts w:hint="eastAsia" w:ascii="宋体" w:hAnsi="宋体" w:cs="宋体"/>
        <w:color w:val="000000" w:themeColor="text1"/>
        <w:kern w:val="0"/>
        <w:sz w:val="24"/>
        <w:szCs w:val="24"/>
        <w:u w:val="single"/>
      </w:rPr>
      <w:t>阻隔+土壤PH调节技术措施及技术宣传</w:t>
    </w:r>
    <w:r>
      <w:rPr>
        <w:rFonts w:hint="eastAsia" w:ascii="宋体" w:hAnsi="宋体" w:cs="宋体"/>
        <w:color w:val="000000" w:themeColor="text1"/>
        <w:kern w:val="0"/>
        <w:sz w:val="24"/>
        <w:szCs w:val="24"/>
        <w:u w:val="single"/>
        <w:lang w:val="en-US" w:eastAsia="zh-CN"/>
      </w:rPr>
      <w:t>指导</w:t>
    </w:r>
    <w:r>
      <w:rPr>
        <w:rFonts w:hint="eastAsia" w:ascii="宋体" w:hAnsi="宋体" w:cs="宋体"/>
        <w:color w:val="000000" w:themeColor="text1"/>
        <w:kern w:val="0"/>
        <w:sz w:val="24"/>
        <w:szCs w:val="24"/>
        <w:u w:val="single"/>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B099">
    <w:pPr>
      <w:pStyle w:val="32"/>
      <w:pBdr>
        <w:bottom w:val="none" w:color="auto" w:sz="0" w:space="0"/>
      </w:pBdr>
      <w:tabs>
        <w:tab w:val="center" w:pos="4153"/>
        <w:tab w:val="right" w:pos="9460"/>
        <w:tab w:val="clear" w:pos="0"/>
        <w:tab w:val="clear" w:pos="8306"/>
      </w:tabs>
      <w:ind w:right="-241" w:rightChars="-115"/>
      <w:jc w:val="left"/>
      <w:rPr>
        <w:rFonts w:ascii="宋体" w:hAnsi="宋体" w:cs="宋体"/>
        <w:color w:val="000000" w:themeColor="text1"/>
        <w:kern w:val="0"/>
        <w:sz w:val="21"/>
        <w:szCs w:val="21"/>
        <w:u w:val="single"/>
      </w:rPr>
    </w:pPr>
  </w:p>
  <w:p w14:paraId="40883AA0">
    <w:pPr>
      <w:pStyle w:val="32"/>
      <w:pBdr>
        <w:bottom w:val="none" w:color="auto" w:sz="0" w:space="0"/>
      </w:pBdr>
      <w:tabs>
        <w:tab w:val="center" w:pos="4153"/>
        <w:tab w:val="right" w:pos="9460"/>
        <w:tab w:val="clear" w:pos="0"/>
        <w:tab w:val="clear" w:pos="8306"/>
      </w:tabs>
      <w:ind w:right="-241" w:rightChars="-115"/>
      <w:jc w:val="left"/>
      <w:rPr>
        <w:rFonts w:hint="eastAsia" w:ascii="宋体" w:hAnsi="宋体" w:cs="宋体"/>
        <w:color w:val="000000" w:themeColor="text1"/>
        <w:kern w:val="0"/>
        <w:sz w:val="24"/>
        <w:szCs w:val="24"/>
        <w:u w:val="single"/>
      </w:rPr>
    </w:pPr>
  </w:p>
  <w:p w14:paraId="6277553E">
    <w:pPr>
      <w:pStyle w:val="32"/>
      <w:pBdr>
        <w:bottom w:val="none" w:color="auto" w:sz="0" w:space="0"/>
      </w:pBdr>
      <w:tabs>
        <w:tab w:val="center" w:pos="4153"/>
        <w:tab w:val="right" w:pos="9460"/>
        <w:tab w:val="clear" w:pos="0"/>
        <w:tab w:val="clear" w:pos="8306"/>
      </w:tabs>
      <w:ind w:right="-241" w:rightChars="-115"/>
      <w:jc w:val="both"/>
      <w:rPr>
        <w:rFonts w:hint="eastAsia" w:ascii="宋体" w:hAnsi="宋体" w:cs="宋体"/>
        <w:color w:val="000000" w:themeColor="text1"/>
        <w:kern w:val="0"/>
        <w:sz w:val="24"/>
        <w:szCs w:val="24"/>
        <w:u w:val="single"/>
      </w:rPr>
    </w:pPr>
    <w:r>
      <w:rPr>
        <w:rFonts w:hint="eastAsia" w:ascii="宋体" w:hAnsi="宋体" w:cs="宋体"/>
        <w:color w:val="000000" w:themeColor="text1"/>
        <w:kern w:val="0"/>
        <w:sz w:val="24"/>
        <w:szCs w:val="24"/>
        <w:u w:val="single"/>
      </w:rPr>
      <w:t>广西德承工程项目管理有限公司</w:t>
    </w:r>
    <w:r>
      <w:rPr>
        <w:rFonts w:hint="eastAsia" w:ascii="宋体" w:hAnsi="宋体" w:cs="宋体"/>
        <w:color w:val="000000" w:themeColor="text1"/>
        <w:kern w:val="0"/>
        <w:sz w:val="24"/>
        <w:szCs w:val="24"/>
        <w:u w:val="single"/>
        <w:lang w:val="en-US" w:eastAsia="zh-CN"/>
      </w:rPr>
      <w:t xml:space="preserve">          </w:t>
    </w:r>
    <w:r>
      <w:rPr>
        <w:rFonts w:hint="eastAsia" w:ascii="宋体" w:hAnsi="宋体" w:cs="宋体"/>
        <w:color w:val="000000" w:themeColor="text1"/>
        <w:kern w:val="0"/>
        <w:sz w:val="24"/>
        <w:szCs w:val="24"/>
        <w:u w:val="single"/>
      </w:rPr>
      <w:t>2026年北流市生产障碍耕地治理项目——采取叶面</w:t>
    </w:r>
  </w:p>
  <w:p w14:paraId="3DC4A2C3">
    <w:pPr>
      <w:pStyle w:val="32"/>
      <w:pBdr>
        <w:bottom w:val="none" w:color="auto" w:sz="0" w:space="0"/>
      </w:pBdr>
      <w:tabs>
        <w:tab w:val="center" w:pos="4153"/>
        <w:tab w:val="right" w:pos="9460"/>
        <w:tab w:val="clear" w:pos="0"/>
        <w:tab w:val="clear" w:pos="8306"/>
      </w:tabs>
      <w:ind w:right="-241" w:rightChars="-115"/>
      <w:jc w:val="both"/>
      <w:rPr>
        <w:sz w:val="24"/>
        <w:szCs w:val="24"/>
        <w:u w:val="single"/>
      </w:rPr>
    </w:pPr>
    <w:r>
      <w:rPr>
        <w:rFonts w:hint="eastAsia" w:ascii="宋体" w:hAnsi="宋体" w:cs="宋体"/>
        <w:color w:val="000000" w:themeColor="text1"/>
        <w:kern w:val="0"/>
        <w:sz w:val="24"/>
        <w:szCs w:val="24"/>
        <w:u w:val="single"/>
      </w:rPr>
      <w:t>阻隔+土壤PH调节技术措施及技术宣传</w:t>
    </w:r>
    <w:r>
      <w:rPr>
        <w:rFonts w:hint="eastAsia" w:ascii="宋体" w:hAnsi="宋体" w:cs="宋体"/>
        <w:color w:val="000000" w:themeColor="text1"/>
        <w:kern w:val="0"/>
        <w:sz w:val="24"/>
        <w:szCs w:val="24"/>
        <w:u w:val="single"/>
        <w:lang w:val="en-US" w:eastAsia="zh-CN"/>
      </w:rPr>
      <w:t>指导</w:t>
    </w:r>
    <w:r>
      <w:rPr>
        <w:rFonts w:hint="eastAsia" w:ascii="宋体" w:hAnsi="宋体" w:cs="宋体"/>
        <w:color w:val="000000" w:themeColor="text1"/>
        <w:kern w:val="0"/>
        <w:sz w:val="24"/>
        <w:szCs w:val="24"/>
        <w:u w:val="single"/>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7C60">
    <w:pPr>
      <w:pStyle w:val="32"/>
      <w:pBdr>
        <w:bottom w:val="none" w:color="auto" w:sz="0" w:space="0"/>
      </w:pBdr>
      <w:tabs>
        <w:tab w:val="center" w:pos="4153"/>
        <w:tab w:val="right" w:pos="9460"/>
        <w:tab w:val="clear" w:pos="0"/>
        <w:tab w:val="clear" w:pos="8306"/>
      </w:tabs>
      <w:ind w:right="-241" w:rightChars="-115"/>
      <w:jc w:val="both"/>
      <w:rPr>
        <w:rFonts w:hint="eastAsia" w:ascii="宋体" w:hAnsi="宋体" w:cs="宋体"/>
        <w:color w:val="000000" w:themeColor="text1"/>
        <w:kern w:val="0"/>
        <w:sz w:val="24"/>
        <w:szCs w:val="24"/>
        <w:u w:val="single"/>
      </w:rPr>
    </w:pPr>
    <w:r>
      <w:rPr>
        <w:rFonts w:hint="eastAsia" w:ascii="宋体" w:hAnsi="宋体" w:cs="宋体"/>
        <w:color w:val="000000" w:themeColor="text1"/>
        <w:kern w:val="0"/>
        <w:sz w:val="24"/>
        <w:szCs w:val="24"/>
        <w:u w:val="single"/>
      </w:rPr>
      <w:t>广西德承工程项目管理有限公司</w:t>
    </w:r>
    <w:r>
      <w:rPr>
        <w:rFonts w:hint="eastAsia" w:ascii="宋体" w:hAnsi="宋体" w:cs="宋体"/>
        <w:color w:val="000000" w:themeColor="text1"/>
        <w:kern w:val="0"/>
        <w:sz w:val="24"/>
        <w:szCs w:val="24"/>
        <w:u w:val="single"/>
        <w:lang w:val="en-US" w:eastAsia="zh-CN"/>
      </w:rPr>
      <w:t xml:space="preserve">   </w:t>
    </w:r>
    <w:r>
      <w:rPr>
        <w:rFonts w:hint="eastAsia" w:ascii="宋体" w:hAnsi="宋体" w:cs="宋体"/>
        <w:color w:val="000000" w:themeColor="text1"/>
        <w:kern w:val="0"/>
        <w:sz w:val="24"/>
        <w:szCs w:val="24"/>
        <w:u w:val="single"/>
      </w:rPr>
      <w:t>2026年北流市生产障碍耕地治理项目——采取叶面</w:t>
    </w:r>
  </w:p>
  <w:p w14:paraId="0FCABF54">
    <w:pPr>
      <w:pStyle w:val="32"/>
      <w:pBdr>
        <w:bottom w:val="none" w:color="auto" w:sz="0" w:space="0"/>
      </w:pBdr>
      <w:tabs>
        <w:tab w:val="center" w:pos="4153"/>
        <w:tab w:val="right" w:pos="9460"/>
        <w:tab w:val="clear" w:pos="0"/>
        <w:tab w:val="clear" w:pos="8306"/>
      </w:tabs>
      <w:ind w:right="-241" w:rightChars="-115"/>
      <w:jc w:val="both"/>
    </w:pPr>
    <w:r>
      <w:rPr>
        <w:rFonts w:hint="eastAsia" w:ascii="宋体" w:hAnsi="宋体" w:cs="宋体"/>
        <w:color w:val="000000" w:themeColor="text1"/>
        <w:kern w:val="0"/>
        <w:sz w:val="24"/>
        <w:szCs w:val="24"/>
        <w:u w:val="single"/>
      </w:rPr>
      <w:t>阻隔+土壤PH调节技术措施及技术宣传</w:t>
    </w:r>
    <w:r>
      <w:rPr>
        <w:rFonts w:hint="eastAsia" w:ascii="宋体" w:hAnsi="宋体" w:cs="宋体"/>
        <w:color w:val="000000" w:themeColor="text1"/>
        <w:kern w:val="0"/>
        <w:sz w:val="24"/>
        <w:szCs w:val="24"/>
        <w:u w:val="single"/>
        <w:lang w:val="en-US" w:eastAsia="zh-CN"/>
      </w:rPr>
      <w:t>指导</w:t>
    </w:r>
    <w:r>
      <w:rPr>
        <w:rFonts w:hint="eastAsia" w:ascii="宋体" w:hAnsi="宋体" w:cs="宋体"/>
        <w:color w:val="000000" w:themeColor="text1"/>
        <w:kern w:val="0"/>
        <w:sz w:val="24"/>
        <w:szCs w:val="24"/>
        <w:u w:val="single"/>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05B0">
    <w:pPr>
      <w:pStyle w:val="32"/>
      <w:pBdr>
        <w:bottom w:val="none" w:color="auto" w:sz="0" w:space="0"/>
      </w:pBdr>
      <w:tabs>
        <w:tab w:val="center" w:pos="4153"/>
        <w:tab w:val="right" w:pos="9460"/>
        <w:tab w:val="clear" w:pos="0"/>
        <w:tab w:val="clear" w:pos="8306"/>
      </w:tabs>
      <w:ind w:right="-241" w:rightChars="-115"/>
      <w:jc w:val="both"/>
      <w:rPr>
        <w:rFonts w:hint="eastAsia" w:ascii="宋体" w:hAnsi="宋体" w:cs="宋体"/>
        <w:color w:val="000000" w:themeColor="text1"/>
        <w:kern w:val="0"/>
        <w:sz w:val="24"/>
        <w:szCs w:val="24"/>
        <w:u w:val="single"/>
      </w:rPr>
    </w:pPr>
    <w:r>
      <w:rPr>
        <w:rFonts w:hint="eastAsia" w:ascii="宋体" w:hAnsi="宋体" w:cs="宋体"/>
        <w:color w:val="000000" w:themeColor="text1"/>
        <w:kern w:val="0"/>
        <w:sz w:val="24"/>
        <w:szCs w:val="24"/>
        <w:u w:val="single"/>
      </w:rPr>
      <w:t>广西德承工程项目管理有限公司</w:t>
    </w:r>
    <w:r>
      <w:rPr>
        <w:rFonts w:hint="eastAsia" w:ascii="宋体" w:hAnsi="宋体" w:cs="宋体"/>
        <w:color w:val="000000" w:themeColor="text1"/>
        <w:kern w:val="0"/>
        <w:sz w:val="24"/>
        <w:szCs w:val="24"/>
        <w:u w:val="single"/>
        <w:lang w:val="en-US" w:eastAsia="zh-CN"/>
      </w:rPr>
      <w:t xml:space="preserve">   </w:t>
    </w:r>
    <w:r>
      <w:rPr>
        <w:rFonts w:hint="eastAsia" w:ascii="宋体" w:hAnsi="宋体" w:cs="宋体"/>
        <w:color w:val="000000" w:themeColor="text1"/>
        <w:kern w:val="0"/>
        <w:sz w:val="24"/>
        <w:szCs w:val="24"/>
        <w:u w:val="single"/>
      </w:rPr>
      <w:t>2026年北流市生产障碍耕地治理项目——采取叶面</w:t>
    </w:r>
  </w:p>
  <w:p w14:paraId="633C97D6">
    <w:pPr>
      <w:pStyle w:val="32"/>
      <w:pBdr>
        <w:bottom w:val="none" w:color="auto" w:sz="0" w:space="0"/>
      </w:pBdr>
      <w:tabs>
        <w:tab w:val="center" w:pos="4153"/>
        <w:tab w:val="right" w:pos="9460"/>
        <w:tab w:val="clear" w:pos="0"/>
        <w:tab w:val="clear" w:pos="8306"/>
      </w:tabs>
      <w:ind w:right="-241" w:rightChars="-115"/>
      <w:jc w:val="both"/>
      <w:rPr>
        <w:rFonts w:hint="eastAsia" w:eastAsia="宋体"/>
        <w:sz w:val="20"/>
        <w:szCs w:val="22"/>
        <w:u w:val="single"/>
        <w:lang w:eastAsia="zh-CN"/>
      </w:rPr>
    </w:pPr>
    <w:r>
      <w:rPr>
        <w:rFonts w:hint="eastAsia" w:ascii="宋体" w:hAnsi="宋体" w:cs="宋体"/>
        <w:color w:val="000000" w:themeColor="text1"/>
        <w:kern w:val="0"/>
        <w:sz w:val="24"/>
        <w:szCs w:val="24"/>
        <w:u w:val="single"/>
      </w:rPr>
      <w:t>阻隔+土壤PH调节技术措施及技术宣传</w:t>
    </w:r>
    <w:r>
      <w:rPr>
        <w:rFonts w:hint="eastAsia" w:ascii="宋体" w:hAnsi="宋体" w:cs="宋体"/>
        <w:color w:val="000000" w:themeColor="text1"/>
        <w:kern w:val="0"/>
        <w:sz w:val="24"/>
        <w:szCs w:val="24"/>
        <w:u w:val="single"/>
        <w:lang w:val="en-US" w:eastAsia="zh-CN"/>
      </w:rPr>
      <w:t>指导</w:t>
    </w:r>
    <w:r>
      <w:rPr>
        <w:rFonts w:hint="eastAsia" w:ascii="宋体" w:hAnsi="宋体" w:cs="宋体"/>
        <w:color w:val="000000" w:themeColor="text1"/>
        <w:kern w:val="0"/>
        <w:sz w:val="24"/>
        <w:szCs w:val="24"/>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027F5"/>
    <w:multiLevelType w:val="singleLevel"/>
    <w:tmpl w:val="9AF027F5"/>
    <w:lvl w:ilvl="0" w:tentative="0">
      <w:start w:val="4"/>
      <w:numFmt w:val="decimal"/>
      <w:suff w:val="nothing"/>
      <w:lvlText w:val="%1."/>
      <w:lvlJc w:val="left"/>
    </w:lvl>
  </w:abstractNum>
  <w:abstractNum w:abstractNumId="1">
    <w:nsid w:val="C4BD2715"/>
    <w:multiLevelType w:val="singleLevel"/>
    <w:tmpl w:val="C4BD2715"/>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3F4D8B82"/>
    <w:multiLevelType w:val="singleLevel"/>
    <w:tmpl w:val="3F4D8B82"/>
    <w:lvl w:ilvl="0" w:tentative="0">
      <w:start w:val="4"/>
      <w:numFmt w:val="chineseCounting"/>
      <w:suff w:val="nothing"/>
      <w:lvlText w:val="%1、"/>
      <w:lvlJc w:val="left"/>
      <w:rPr>
        <w:rFonts w:hint="eastAsia"/>
      </w:rPr>
    </w:lvl>
  </w:abstractNum>
  <w:abstractNum w:abstractNumId="5">
    <w:nsid w:val="4B1DA7ED"/>
    <w:multiLevelType w:val="singleLevel"/>
    <w:tmpl w:val="4B1DA7ED"/>
    <w:lvl w:ilvl="0" w:tentative="0">
      <w:start w:val="2"/>
      <w:numFmt w:val="chineseCounting"/>
      <w:suff w:val="nothing"/>
      <w:lvlText w:val="（%1）"/>
      <w:lvlJc w:val="left"/>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11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2"/>
  </w:num>
  <w:num w:numId="3">
    <w:abstractNumId w:val="8"/>
  </w:num>
  <w:num w:numId="4">
    <w:abstractNumId w:val="9"/>
  </w:num>
  <w:num w:numId="5">
    <w:abstractNumId w:val="4"/>
  </w:num>
  <w:num w:numId="6">
    <w:abstractNumId w:val="0"/>
  </w:num>
  <w:num w:numId="7">
    <w:abstractNumId w:val="5"/>
  </w:num>
  <w:num w:numId="8">
    <w:abstractNumId w:val="1"/>
  </w:num>
  <w:num w:numId="9">
    <w:abstractNumId w:val="6"/>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0MWRiZTYyOWEzNjM2N2M3MDQzOTIzNTIzNDZmNTQifQ=="/>
  </w:docVars>
  <w:rsids>
    <w:rsidRoot w:val="00F9008B"/>
    <w:rsid w:val="00000FE0"/>
    <w:rsid w:val="00001068"/>
    <w:rsid w:val="0000114A"/>
    <w:rsid w:val="00001C55"/>
    <w:rsid w:val="00001CA8"/>
    <w:rsid w:val="00001FAE"/>
    <w:rsid w:val="00002291"/>
    <w:rsid w:val="00002DBF"/>
    <w:rsid w:val="00002EC0"/>
    <w:rsid w:val="000033F5"/>
    <w:rsid w:val="00003BEF"/>
    <w:rsid w:val="0000431F"/>
    <w:rsid w:val="00004634"/>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5B8"/>
    <w:rsid w:val="00012692"/>
    <w:rsid w:val="00013446"/>
    <w:rsid w:val="00013509"/>
    <w:rsid w:val="000135BC"/>
    <w:rsid w:val="000136D6"/>
    <w:rsid w:val="00014085"/>
    <w:rsid w:val="00014189"/>
    <w:rsid w:val="00014854"/>
    <w:rsid w:val="00014DD9"/>
    <w:rsid w:val="00015084"/>
    <w:rsid w:val="000151E4"/>
    <w:rsid w:val="00015577"/>
    <w:rsid w:val="000156E4"/>
    <w:rsid w:val="000159A7"/>
    <w:rsid w:val="00015FB8"/>
    <w:rsid w:val="00016BF7"/>
    <w:rsid w:val="0001767E"/>
    <w:rsid w:val="0001776D"/>
    <w:rsid w:val="00017F31"/>
    <w:rsid w:val="0002103A"/>
    <w:rsid w:val="000217E4"/>
    <w:rsid w:val="00021852"/>
    <w:rsid w:val="00021A12"/>
    <w:rsid w:val="00023363"/>
    <w:rsid w:val="000235F3"/>
    <w:rsid w:val="00023644"/>
    <w:rsid w:val="00023712"/>
    <w:rsid w:val="00023CFB"/>
    <w:rsid w:val="00024EB0"/>
    <w:rsid w:val="0002646A"/>
    <w:rsid w:val="0002651D"/>
    <w:rsid w:val="00026CFD"/>
    <w:rsid w:val="00027C8B"/>
    <w:rsid w:val="00027CD9"/>
    <w:rsid w:val="00030242"/>
    <w:rsid w:val="00030B06"/>
    <w:rsid w:val="0003282C"/>
    <w:rsid w:val="00032F7A"/>
    <w:rsid w:val="0003304A"/>
    <w:rsid w:val="0003317E"/>
    <w:rsid w:val="00033413"/>
    <w:rsid w:val="00034C27"/>
    <w:rsid w:val="00034E2A"/>
    <w:rsid w:val="0003577F"/>
    <w:rsid w:val="00036466"/>
    <w:rsid w:val="00037F87"/>
    <w:rsid w:val="00037FA2"/>
    <w:rsid w:val="000400D0"/>
    <w:rsid w:val="000425AC"/>
    <w:rsid w:val="00042D51"/>
    <w:rsid w:val="00042F4A"/>
    <w:rsid w:val="00043BE5"/>
    <w:rsid w:val="00044527"/>
    <w:rsid w:val="00044897"/>
    <w:rsid w:val="000454F4"/>
    <w:rsid w:val="00045EF4"/>
    <w:rsid w:val="00046547"/>
    <w:rsid w:val="000466D7"/>
    <w:rsid w:val="00047254"/>
    <w:rsid w:val="0005022B"/>
    <w:rsid w:val="00050771"/>
    <w:rsid w:val="000522E0"/>
    <w:rsid w:val="0005304E"/>
    <w:rsid w:val="000532F4"/>
    <w:rsid w:val="000549B2"/>
    <w:rsid w:val="00054CD5"/>
    <w:rsid w:val="00054D03"/>
    <w:rsid w:val="000550AC"/>
    <w:rsid w:val="0005584D"/>
    <w:rsid w:val="00055CC3"/>
    <w:rsid w:val="00055CEE"/>
    <w:rsid w:val="00056A2B"/>
    <w:rsid w:val="00056E37"/>
    <w:rsid w:val="00056FE2"/>
    <w:rsid w:val="000570FB"/>
    <w:rsid w:val="000575B8"/>
    <w:rsid w:val="0006026B"/>
    <w:rsid w:val="00060293"/>
    <w:rsid w:val="00061BDA"/>
    <w:rsid w:val="00062B90"/>
    <w:rsid w:val="00062C70"/>
    <w:rsid w:val="00062DD0"/>
    <w:rsid w:val="00062E6F"/>
    <w:rsid w:val="000630C7"/>
    <w:rsid w:val="0006400F"/>
    <w:rsid w:val="000645DD"/>
    <w:rsid w:val="00064D7E"/>
    <w:rsid w:val="00064F65"/>
    <w:rsid w:val="00064FD0"/>
    <w:rsid w:val="00065247"/>
    <w:rsid w:val="0006534A"/>
    <w:rsid w:val="00065A5D"/>
    <w:rsid w:val="00065BA2"/>
    <w:rsid w:val="000661CA"/>
    <w:rsid w:val="00067002"/>
    <w:rsid w:val="00067B1C"/>
    <w:rsid w:val="00067CED"/>
    <w:rsid w:val="00067F66"/>
    <w:rsid w:val="0007041A"/>
    <w:rsid w:val="00070634"/>
    <w:rsid w:val="00070883"/>
    <w:rsid w:val="00070A72"/>
    <w:rsid w:val="00070C3F"/>
    <w:rsid w:val="0007102C"/>
    <w:rsid w:val="000713AB"/>
    <w:rsid w:val="00071D68"/>
    <w:rsid w:val="00072661"/>
    <w:rsid w:val="00072CCC"/>
    <w:rsid w:val="00073549"/>
    <w:rsid w:val="0007483E"/>
    <w:rsid w:val="0007578F"/>
    <w:rsid w:val="00077706"/>
    <w:rsid w:val="00077878"/>
    <w:rsid w:val="000804EF"/>
    <w:rsid w:val="00081230"/>
    <w:rsid w:val="000814E2"/>
    <w:rsid w:val="000818C9"/>
    <w:rsid w:val="00081CBB"/>
    <w:rsid w:val="00081D42"/>
    <w:rsid w:val="00081EC3"/>
    <w:rsid w:val="00081FC9"/>
    <w:rsid w:val="000826F5"/>
    <w:rsid w:val="000829B1"/>
    <w:rsid w:val="00082AAB"/>
    <w:rsid w:val="0008307D"/>
    <w:rsid w:val="000831E9"/>
    <w:rsid w:val="000833BB"/>
    <w:rsid w:val="0008452D"/>
    <w:rsid w:val="0008467B"/>
    <w:rsid w:val="0008479D"/>
    <w:rsid w:val="000850FA"/>
    <w:rsid w:val="00085C12"/>
    <w:rsid w:val="00085DA0"/>
    <w:rsid w:val="00085F82"/>
    <w:rsid w:val="00086403"/>
    <w:rsid w:val="00086506"/>
    <w:rsid w:val="00086B6E"/>
    <w:rsid w:val="00086C64"/>
    <w:rsid w:val="0008781A"/>
    <w:rsid w:val="00090951"/>
    <w:rsid w:val="00090A61"/>
    <w:rsid w:val="00091C1D"/>
    <w:rsid w:val="000932E7"/>
    <w:rsid w:val="0009333A"/>
    <w:rsid w:val="00093459"/>
    <w:rsid w:val="00093B8B"/>
    <w:rsid w:val="000951E7"/>
    <w:rsid w:val="00096098"/>
    <w:rsid w:val="00096F37"/>
    <w:rsid w:val="00097FE5"/>
    <w:rsid w:val="000A0354"/>
    <w:rsid w:val="000A091F"/>
    <w:rsid w:val="000A0FCC"/>
    <w:rsid w:val="000A1033"/>
    <w:rsid w:val="000A1B73"/>
    <w:rsid w:val="000A2712"/>
    <w:rsid w:val="000A2877"/>
    <w:rsid w:val="000A355D"/>
    <w:rsid w:val="000A371E"/>
    <w:rsid w:val="000A3DE5"/>
    <w:rsid w:val="000A4011"/>
    <w:rsid w:val="000A45D5"/>
    <w:rsid w:val="000A490E"/>
    <w:rsid w:val="000A5B49"/>
    <w:rsid w:val="000A6B40"/>
    <w:rsid w:val="000A7218"/>
    <w:rsid w:val="000A740A"/>
    <w:rsid w:val="000A7E7F"/>
    <w:rsid w:val="000A7ECD"/>
    <w:rsid w:val="000B0297"/>
    <w:rsid w:val="000B04DD"/>
    <w:rsid w:val="000B0F01"/>
    <w:rsid w:val="000B1914"/>
    <w:rsid w:val="000B1CA2"/>
    <w:rsid w:val="000B2293"/>
    <w:rsid w:val="000B24A4"/>
    <w:rsid w:val="000B255C"/>
    <w:rsid w:val="000B395E"/>
    <w:rsid w:val="000B39C3"/>
    <w:rsid w:val="000B3A00"/>
    <w:rsid w:val="000B4840"/>
    <w:rsid w:val="000B4D79"/>
    <w:rsid w:val="000B4EEE"/>
    <w:rsid w:val="000B7DAF"/>
    <w:rsid w:val="000C071C"/>
    <w:rsid w:val="000C0BEE"/>
    <w:rsid w:val="000C1CB9"/>
    <w:rsid w:val="000C2159"/>
    <w:rsid w:val="000C21BB"/>
    <w:rsid w:val="000C289B"/>
    <w:rsid w:val="000C3DA1"/>
    <w:rsid w:val="000C4773"/>
    <w:rsid w:val="000C4944"/>
    <w:rsid w:val="000C4E24"/>
    <w:rsid w:val="000C5C4A"/>
    <w:rsid w:val="000C5DC7"/>
    <w:rsid w:val="000C5F01"/>
    <w:rsid w:val="000C63C4"/>
    <w:rsid w:val="000C66C1"/>
    <w:rsid w:val="000C6F0B"/>
    <w:rsid w:val="000C6F32"/>
    <w:rsid w:val="000C778C"/>
    <w:rsid w:val="000C7833"/>
    <w:rsid w:val="000C7E1B"/>
    <w:rsid w:val="000C7E73"/>
    <w:rsid w:val="000D001B"/>
    <w:rsid w:val="000D0A45"/>
    <w:rsid w:val="000D14AC"/>
    <w:rsid w:val="000D27A6"/>
    <w:rsid w:val="000D35FD"/>
    <w:rsid w:val="000D3D2D"/>
    <w:rsid w:val="000D3D99"/>
    <w:rsid w:val="000D4653"/>
    <w:rsid w:val="000D4696"/>
    <w:rsid w:val="000D4817"/>
    <w:rsid w:val="000D4CED"/>
    <w:rsid w:val="000D4FB9"/>
    <w:rsid w:val="000D54B4"/>
    <w:rsid w:val="000D5B9D"/>
    <w:rsid w:val="000D5F55"/>
    <w:rsid w:val="000D6372"/>
    <w:rsid w:val="000D6979"/>
    <w:rsid w:val="000D6E63"/>
    <w:rsid w:val="000D711C"/>
    <w:rsid w:val="000D7B6E"/>
    <w:rsid w:val="000E01D7"/>
    <w:rsid w:val="000E0644"/>
    <w:rsid w:val="000E076D"/>
    <w:rsid w:val="000E187C"/>
    <w:rsid w:val="000E1B28"/>
    <w:rsid w:val="000E1EBC"/>
    <w:rsid w:val="000E2173"/>
    <w:rsid w:val="000E30F2"/>
    <w:rsid w:val="000E316B"/>
    <w:rsid w:val="000E3D08"/>
    <w:rsid w:val="000E4728"/>
    <w:rsid w:val="000E4D1F"/>
    <w:rsid w:val="000E5658"/>
    <w:rsid w:val="000E5698"/>
    <w:rsid w:val="000E5723"/>
    <w:rsid w:val="000E581B"/>
    <w:rsid w:val="000E65D2"/>
    <w:rsid w:val="000E6919"/>
    <w:rsid w:val="000E6F0C"/>
    <w:rsid w:val="000E732D"/>
    <w:rsid w:val="000F07ED"/>
    <w:rsid w:val="000F0CF2"/>
    <w:rsid w:val="000F191D"/>
    <w:rsid w:val="000F1D15"/>
    <w:rsid w:val="000F3393"/>
    <w:rsid w:val="000F34C8"/>
    <w:rsid w:val="000F38BC"/>
    <w:rsid w:val="000F3E2A"/>
    <w:rsid w:val="000F4D26"/>
    <w:rsid w:val="000F58A4"/>
    <w:rsid w:val="000F6833"/>
    <w:rsid w:val="000F7616"/>
    <w:rsid w:val="000F7DE9"/>
    <w:rsid w:val="000F7F7A"/>
    <w:rsid w:val="001002F4"/>
    <w:rsid w:val="001011FC"/>
    <w:rsid w:val="00101934"/>
    <w:rsid w:val="00101E7C"/>
    <w:rsid w:val="001023DC"/>
    <w:rsid w:val="00102572"/>
    <w:rsid w:val="00102946"/>
    <w:rsid w:val="00102FBF"/>
    <w:rsid w:val="0010333D"/>
    <w:rsid w:val="0010372A"/>
    <w:rsid w:val="00103A38"/>
    <w:rsid w:val="00103F41"/>
    <w:rsid w:val="00104F34"/>
    <w:rsid w:val="001053C5"/>
    <w:rsid w:val="001055AD"/>
    <w:rsid w:val="00105C14"/>
    <w:rsid w:val="00110AC5"/>
    <w:rsid w:val="0011108B"/>
    <w:rsid w:val="00111136"/>
    <w:rsid w:val="00111164"/>
    <w:rsid w:val="00112164"/>
    <w:rsid w:val="0011241F"/>
    <w:rsid w:val="001128BF"/>
    <w:rsid w:val="00112D09"/>
    <w:rsid w:val="00112F03"/>
    <w:rsid w:val="00112F38"/>
    <w:rsid w:val="0011449E"/>
    <w:rsid w:val="001153EF"/>
    <w:rsid w:val="00115D55"/>
    <w:rsid w:val="00115E45"/>
    <w:rsid w:val="00115F85"/>
    <w:rsid w:val="0011688E"/>
    <w:rsid w:val="001177DF"/>
    <w:rsid w:val="00117B7D"/>
    <w:rsid w:val="00122A64"/>
    <w:rsid w:val="0012388C"/>
    <w:rsid w:val="00123AFA"/>
    <w:rsid w:val="00123C8C"/>
    <w:rsid w:val="00123D3A"/>
    <w:rsid w:val="00123E8B"/>
    <w:rsid w:val="00124B43"/>
    <w:rsid w:val="00124DF8"/>
    <w:rsid w:val="001253EA"/>
    <w:rsid w:val="00125B99"/>
    <w:rsid w:val="00126160"/>
    <w:rsid w:val="00126DB5"/>
    <w:rsid w:val="00127178"/>
    <w:rsid w:val="0013002A"/>
    <w:rsid w:val="0013085D"/>
    <w:rsid w:val="0013089C"/>
    <w:rsid w:val="00131888"/>
    <w:rsid w:val="00131F17"/>
    <w:rsid w:val="001323F9"/>
    <w:rsid w:val="0013251F"/>
    <w:rsid w:val="00133088"/>
    <w:rsid w:val="00133346"/>
    <w:rsid w:val="001346AF"/>
    <w:rsid w:val="0013492C"/>
    <w:rsid w:val="00134990"/>
    <w:rsid w:val="00135A0A"/>
    <w:rsid w:val="0013621D"/>
    <w:rsid w:val="00136354"/>
    <w:rsid w:val="00136674"/>
    <w:rsid w:val="00136B0E"/>
    <w:rsid w:val="001376AB"/>
    <w:rsid w:val="0013777C"/>
    <w:rsid w:val="00140082"/>
    <w:rsid w:val="00140175"/>
    <w:rsid w:val="00140D07"/>
    <w:rsid w:val="00141A3A"/>
    <w:rsid w:val="001423FA"/>
    <w:rsid w:val="001427B5"/>
    <w:rsid w:val="001428CF"/>
    <w:rsid w:val="00142D0C"/>
    <w:rsid w:val="00142E3C"/>
    <w:rsid w:val="00144013"/>
    <w:rsid w:val="00145A17"/>
    <w:rsid w:val="00145BBE"/>
    <w:rsid w:val="001460B5"/>
    <w:rsid w:val="0014641F"/>
    <w:rsid w:val="001467BB"/>
    <w:rsid w:val="00146CA8"/>
    <w:rsid w:val="00147884"/>
    <w:rsid w:val="00150827"/>
    <w:rsid w:val="00150B0D"/>
    <w:rsid w:val="00151B00"/>
    <w:rsid w:val="00151F9B"/>
    <w:rsid w:val="00152289"/>
    <w:rsid w:val="00152C8A"/>
    <w:rsid w:val="00152CE3"/>
    <w:rsid w:val="00153652"/>
    <w:rsid w:val="00153956"/>
    <w:rsid w:val="00154146"/>
    <w:rsid w:val="00154190"/>
    <w:rsid w:val="001545EA"/>
    <w:rsid w:val="001549BA"/>
    <w:rsid w:val="00155099"/>
    <w:rsid w:val="00155C85"/>
    <w:rsid w:val="00156A6C"/>
    <w:rsid w:val="00156B10"/>
    <w:rsid w:val="00157823"/>
    <w:rsid w:val="00157C5E"/>
    <w:rsid w:val="0016015A"/>
    <w:rsid w:val="0016020E"/>
    <w:rsid w:val="00160503"/>
    <w:rsid w:val="00160D7C"/>
    <w:rsid w:val="00160E30"/>
    <w:rsid w:val="0016106D"/>
    <w:rsid w:val="001612E1"/>
    <w:rsid w:val="001614DB"/>
    <w:rsid w:val="0016194E"/>
    <w:rsid w:val="0016236C"/>
    <w:rsid w:val="00162625"/>
    <w:rsid w:val="001630A8"/>
    <w:rsid w:val="00163826"/>
    <w:rsid w:val="00163BA1"/>
    <w:rsid w:val="0016417B"/>
    <w:rsid w:val="001652D7"/>
    <w:rsid w:val="001663E0"/>
    <w:rsid w:val="001664B2"/>
    <w:rsid w:val="00167D4D"/>
    <w:rsid w:val="0017070D"/>
    <w:rsid w:val="00170837"/>
    <w:rsid w:val="00171035"/>
    <w:rsid w:val="00171ADB"/>
    <w:rsid w:val="00172029"/>
    <w:rsid w:val="001733A4"/>
    <w:rsid w:val="00173AB9"/>
    <w:rsid w:val="00173EED"/>
    <w:rsid w:val="00174368"/>
    <w:rsid w:val="001744EA"/>
    <w:rsid w:val="00174D82"/>
    <w:rsid w:val="00174E44"/>
    <w:rsid w:val="00175053"/>
    <w:rsid w:val="001753B7"/>
    <w:rsid w:val="00175873"/>
    <w:rsid w:val="00175C59"/>
    <w:rsid w:val="00176674"/>
    <w:rsid w:val="00176818"/>
    <w:rsid w:val="00176B82"/>
    <w:rsid w:val="00176E3B"/>
    <w:rsid w:val="00176ECB"/>
    <w:rsid w:val="0017752D"/>
    <w:rsid w:val="0017759F"/>
    <w:rsid w:val="00177832"/>
    <w:rsid w:val="00180360"/>
    <w:rsid w:val="00181178"/>
    <w:rsid w:val="0018119E"/>
    <w:rsid w:val="00181EEF"/>
    <w:rsid w:val="00181F3E"/>
    <w:rsid w:val="00182FE0"/>
    <w:rsid w:val="00183911"/>
    <w:rsid w:val="001845FB"/>
    <w:rsid w:val="00185DA6"/>
    <w:rsid w:val="00185E89"/>
    <w:rsid w:val="00186096"/>
    <w:rsid w:val="0018772E"/>
    <w:rsid w:val="00187A94"/>
    <w:rsid w:val="0019029E"/>
    <w:rsid w:val="00190804"/>
    <w:rsid w:val="0019088F"/>
    <w:rsid w:val="00190B7C"/>
    <w:rsid w:val="00190C51"/>
    <w:rsid w:val="001910A3"/>
    <w:rsid w:val="00193ACC"/>
    <w:rsid w:val="00193BFE"/>
    <w:rsid w:val="00194695"/>
    <w:rsid w:val="0019560E"/>
    <w:rsid w:val="001958E3"/>
    <w:rsid w:val="0019601B"/>
    <w:rsid w:val="00196048"/>
    <w:rsid w:val="001966BD"/>
    <w:rsid w:val="00196A82"/>
    <w:rsid w:val="0019769B"/>
    <w:rsid w:val="001977DA"/>
    <w:rsid w:val="001978E2"/>
    <w:rsid w:val="00197FFE"/>
    <w:rsid w:val="001A0D25"/>
    <w:rsid w:val="001A1570"/>
    <w:rsid w:val="001A1917"/>
    <w:rsid w:val="001A1C64"/>
    <w:rsid w:val="001A1E7F"/>
    <w:rsid w:val="001A2918"/>
    <w:rsid w:val="001A2D02"/>
    <w:rsid w:val="001A3076"/>
    <w:rsid w:val="001A31A5"/>
    <w:rsid w:val="001A389C"/>
    <w:rsid w:val="001A3B75"/>
    <w:rsid w:val="001A5FB1"/>
    <w:rsid w:val="001A698A"/>
    <w:rsid w:val="001A6CCC"/>
    <w:rsid w:val="001A70C8"/>
    <w:rsid w:val="001A71C9"/>
    <w:rsid w:val="001A7429"/>
    <w:rsid w:val="001A760C"/>
    <w:rsid w:val="001A799B"/>
    <w:rsid w:val="001A7C38"/>
    <w:rsid w:val="001B02F8"/>
    <w:rsid w:val="001B2279"/>
    <w:rsid w:val="001B2866"/>
    <w:rsid w:val="001B2881"/>
    <w:rsid w:val="001B3675"/>
    <w:rsid w:val="001B4F10"/>
    <w:rsid w:val="001B50FC"/>
    <w:rsid w:val="001B5154"/>
    <w:rsid w:val="001B6E30"/>
    <w:rsid w:val="001B7C83"/>
    <w:rsid w:val="001B7F9E"/>
    <w:rsid w:val="001C0206"/>
    <w:rsid w:val="001C0246"/>
    <w:rsid w:val="001C04D4"/>
    <w:rsid w:val="001C0B34"/>
    <w:rsid w:val="001C12A3"/>
    <w:rsid w:val="001C187E"/>
    <w:rsid w:val="001C1A37"/>
    <w:rsid w:val="001C1C49"/>
    <w:rsid w:val="001C29AE"/>
    <w:rsid w:val="001C2B86"/>
    <w:rsid w:val="001C3308"/>
    <w:rsid w:val="001C40D1"/>
    <w:rsid w:val="001C5001"/>
    <w:rsid w:val="001C5103"/>
    <w:rsid w:val="001C52A8"/>
    <w:rsid w:val="001C6120"/>
    <w:rsid w:val="001C6516"/>
    <w:rsid w:val="001C6B5C"/>
    <w:rsid w:val="001C70FA"/>
    <w:rsid w:val="001C7155"/>
    <w:rsid w:val="001D039B"/>
    <w:rsid w:val="001D1258"/>
    <w:rsid w:val="001D2C94"/>
    <w:rsid w:val="001D33D9"/>
    <w:rsid w:val="001D36F6"/>
    <w:rsid w:val="001D4303"/>
    <w:rsid w:val="001D45E5"/>
    <w:rsid w:val="001D4A9D"/>
    <w:rsid w:val="001D5AFA"/>
    <w:rsid w:val="001E04A4"/>
    <w:rsid w:val="001E07C5"/>
    <w:rsid w:val="001E176D"/>
    <w:rsid w:val="001E1BCE"/>
    <w:rsid w:val="001E1E05"/>
    <w:rsid w:val="001E2086"/>
    <w:rsid w:val="001E339F"/>
    <w:rsid w:val="001E3606"/>
    <w:rsid w:val="001E3629"/>
    <w:rsid w:val="001E40F0"/>
    <w:rsid w:val="001E4EC1"/>
    <w:rsid w:val="001E6352"/>
    <w:rsid w:val="001E6799"/>
    <w:rsid w:val="001E70AD"/>
    <w:rsid w:val="001E7237"/>
    <w:rsid w:val="001E7AF6"/>
    <w:rsid w:val="001F01B8"/>
    <w:rsid w:val="001F0F7A"/>
    <w:rsid w:val="001F0FC3"/>
    <w:rsid w:val="001F1B8D"/>
    <w:rsid w:val="001F274F"/>
    <w:rsid w:val="001F289C"/>
    <w:rsid w:val="001F6008"/>
    <w:rsid w:val="001F641B"/>
    <w:rsid w:val="001F6D4D"/>
    <w:rsid w:val="001F6E01"/>
    <w:rsid w:val="00201D06"/>
    <w:rsid w:val="00201E9F"/>
    <w:rsid w:val="00202F25"/>
    <w:rsid w:val="002035B3"/>
    <w:rsid w:val="00203929"/>
    <w:rsid w:val="00203CD6"/>
    <w:rsid w:val="002041FA"/>
    <w:rsid w:val="00204460"/>
    <w:rsid w:val="00204981"/>
    <w:rsid w:val="002051EA"/>
    <w:rsid w:val="00205CBC"/>
    <w:rsid w:val="002068FE"/>
    <w:rsid w:val="002074B7"/>
    <w:rsid w:val="0020758D"/>
    <w:rsid w:val="00207C7B"/>
    <w:rsid w:val="002111A2"/>
    <w:rsid w:val="00211922"/>
    <w:rsid w:val="0021213A"/>
    <w:rsid w:val="0021265F"/>
    <w:rsid w:val="00214428"/>
    <w:rsid w:val="002145EB"/>
    <w:rsid w:val="00215834"/>
    <w:rsid w:val="00215CC2"/>
    <w:rsid w:val="00217700"/>
    <w:rsid w:val="002177E2"/>
    <w:rsid w:val="002205F3"/>
    <w:rsid w:val="0022085B"/>
    <w:rsid w:val="00220E53"/>
    <w:rsid w:val="0022120D"/>
    <w:rsid w:val="0022176C"/>
    <w:rsid w:val="002225D1"/>
    <w:rsid w:val="002230FA"/>
    <w:rsid w:val="00224C0C"/>
    <w:rsid w:val="002256C2"/>
    <w:rsid w:val="002256D0"/>
    <w:rsid w:val="00226428"/>
    <w:rsid w:val="002265A9"/>
    <w:rsid w:val="002266CB"/>
    <w:rsid w:val="00227052"/>
    <w:rsid w:val="002272D5"/>
    <w:rsid w:val="0022738E"/>
    <w:rsid w:val="00227934"/>
    <w:rsid w:val="00227E21"/>
    <w:rsid w:val="00231D05"/>
    <w:rsid w:val="002336E2"/>
    <w:rsid w:val="00233AC2"/>
    <w:rsid w:val="00233BAF"/>
    <w:rsid w:val="00235420"/>
    <w:rsid w:val="0024065B"/>
    <w:rsid w:val="00240EA5"/>
    <w:rsid w:val="00241132"/>
    <w:rsid w:val="0024183D"/>
    <w:rsid w:val="002418C5"/>
    <w:rsid w:val="0024261D"/>
    <w:rsid w:val="0024285D"/>
    <w:rsid w:val="00243807"/>
    <w:rsid w:val="00244365"/>
    <w:rsid w:val="0024459A"/>
    <w:rsid w:val="00244771"/>
    <w:rsid w:val="00244903"/>
    <w:rsid w:val="00244AFB"/>
    <w:rsid w:val="002453DF"/>
    <w:rsid w:val="00246374"/>
    <w:rsid w:val="00246B86"/>
    <w:rsid w:val="00247335"/>
    <w:rsid w:val="002473EF"/>
    <w:rsid w:val="002477B9"/>
    <w:rsid w:val="00247CBE"/>
    <w:rsid w:val="00250ADA"/>
    <w:rsid w:val="00251FF1"/>
    <w:rsid w:val="002520BA"/>
    <w:rsid w:val="00252234"/>
    <w:rsid w:val="002528E3"/>
    <w:rsid w:val="00252D82"/>
    <w:rsid w:val="00253006"/>
    <w:rsid w:val="002533F5"/>
    <w:rsid w:val="00253C60"/>
    <w:rsid w:val="00253F21"/>
    <w:rsid w:val="0025429D"/>
    <w:rsid w:val="002549E9"/>
    <w:rsid w:val="00254FF6"/>
    <w:rsid w:val="00255099"/>
    <w:rsid w:val="00255E14"/>
    <w:rsid w:val="00257059"/>
    <w:rsid w:val="0025712F"/>
    <w:rsid w:val="00257395"/>
    <w:rsid w:val="00257857"/>
    <w:rsid w:val="00257CBC"/>
    <w:rsid w:val="002602C2"/>
    <w:rsid w:val="0026073E"/>
    <w:rsid w:val="00260802"/>
    <w:rsid w:val="002609E3"/>
    <w:rsid w:val="00261223"/>
    <w:rsid w:val="002617AB"/>
    <w:rsid w:val="00261D08"/>
    <w:rsid w:val="00261DCC"/>
    <w:rsid w:val="002624D0"/>
    <w:rsid w:val="00263EC7"/>
    <w:rsid w:val="0026467F"/>
    <w:rsid w:val="00264B06"/>
    <w:rsid w:val="00264C1B"/>
    <w:rsid w:val="002661AB"/>
    <w:rsid w:val="0026742B"/>
    <w:rsid w:val="002674FE"/>
    <w:rsid w:val="0027117F"/>
    <w:rsid w:val="002712DC"/>
    <w:rsid w:val="00271875"/>
    <w:rsid w:val="002718FF"/>
    <w:rsid w:val="00271955"/>
    <w:rsid w:val="00272278"/>
    <w:rsid w:val="00272FBF"/>
    <w:rsid w:val="00273A10"/>
    <w:rsid w:val="00273A58"/>
    <w:rsid w:val="00274CAB"/>
    <w:rsid w:val="00274E8A"/>
    <w:rsid w:val="00275FCE"/>
    <w:rsid w:val="002766B8"/>
    <w:rsid w:val="0027680F"/>
    <w:rsid w:val="00281006"/>
    <w:rsid w:val="002815B1"/>
    <w:rsid w:val="00281C1F"/>
    <w:rsid w:val="00281EEA"/>
    <w:rsid w:val="00281F88"/>
    <w:rsid w:val="0028288D"/>
    <w:rsid w:val="002829B7"/>
    <w:rsid w:val="00282B82"/>
    <w:rsid w:val="00282C74"/>
    <w:rsid w:val="00283995"/>
    <w:rsid w:val="00283B11"/>
    <w:rsid w:val="002841A9"/>
    <w:rsid w:val="00284313"/>
    <w:rsid w:val="0028445B"/>
    <w:rsid w:val="00285154"/>
    <w:rsid w:val="00285BF2"/>
    <w:rsid w:val="00285C78"/>
    <w:rsid w:val="002860D0"/>
    <w:rsid w:val="002863CE"/>
    <w:rsid w:val="00291527"/>
    <w:rsid w:val="0029199A"/>
    <w:rsid w:val="002928B3"/>
    <w:rsid w:val="00293146"/>
    <w:rsid w:val="0029361E"/>
    <w:rsid w:val="00293D68"/>
    <w:rsid w:val="00293F07"/>
    <w:rsid w:val="00294352"/>
    <w:rsid w:val="002944A0"/>
    <w:rsid w:val="002946E4"/>
    <w:rsid w:val="0029495C"/>
    <w:rsid w:val="00294AF0"/>
    <w:rsid w:val="002957D9"/>
    <w:rsid w:val="00295B52"/>
    <w:rsid w:val="00296293"/>
    <w:rsid w:val="00296AF7"/>
    <w:rsid w:val="002972F9"/>
    <w:rsid w:val="00297ED7"/>
    <w:rsid w:val="002A0007"/>
    <w:rsid w:val="002A03AA"/>
    <w:rsid w:val="002A056D"/>
    <w:rsid w:val="002A0CAF"/>
    <w:rsid w:val="002A1565"/>
    <w:rsid w:val="002A2941"/>
    <w:rsid w:val="002A2DC4"/>
    <w:rsid w:val="002A3E69"/>
    <w:rsid w:val="002A44F9"/>
    <w:rsid w:val="002A49EF"/>
    <w:rsid w:val="002A4B8B"/>
    <w:rsid w:val="002A5107"/>
    <w:rsid w:val="002A535E"/>
    <w:rsid w:val="002A6406"/>
    <w:rsid w:val="002A6CF0"/>
    <w:rsid w:val="002A6FFC"/>
    <w:rsid w:val="002A7010"/>
    <w:rsid w:val="002A70BA"/>
    <w:rsid w:val="002A7A57"/>
    <w:rsid w:val="002A7BB2"/>
    <w:rsid w:val="002A7DCB"/>
    <w:rsid w:val="002B0B53"/>
    <w:rsid w:val="002B1617"/>
    <w:rsid w:val="002B1D11"/>
    <w:rsid w:val="002B21AA"/>
    <w:rsid w:val="002B273B"/>
    <w:rsid w:val="002B29AA"/>
    <w:rsid w:val="002B2F1B"/>
    <w:rsid w:val="002B5AFB"/>
    <w:rsid w:val="002B6320"/>
    <w:rsid w:val="002B66AC"/>
    <w:rsid w:val="002B6852"/>
    <w:rsid w:val="002B77E1"/>
    <w:rsid w:val="002C0714"/>
    <w:rsid w:val="002C0A96"/>
    <w:rsid w:val="002C1BF4"/>
    <w:rsid w:val="002C2266"/>
    <w:rsid w:val="002C28EB"/>
    <w:rsid w:val="002C3265"/>
    <w:rsid w:val="002C414C"/>
    <w:rsid w:val="002C5776"/>
    <w:rsid w:val="002C5EED"/>
    <w:rsid w:val="002C66DE"/>
    <w:rsid w:val="002C7193"/>
    <w:rsid w:val="002C7699"/>
    <w:rsid w:val="002C7A49"/>
    <w:rsid w:val="002D0128"/>
    <w:rsid w:val="002D0FA7"/>
    <w:rsid w:val="002D12FB"/>
    <w:rsid w:val="002D19D1"/>
    <w:rsid w:val="002D1F35"/>
    <w:rsid w:val="002D20CD"/>
    <w:rsid w:val="002D23C6"/>
    <w:rsid w:val="002D24F0"/>
    <w:rsid w:val="002D25EB"/>
    <w:rsid w:val="002D3529"/>
    <w:rsid w:val="002D3D0A"/>
    <w:rsid w:val="002D478E"/>
    <w:rsid w:val="002D4A94"/>
    <w:rsid w:val="002D65FF"/>
    <w:rsid w:val="002D6D10"/>
    <w:rsid w:val="002D71E2"/>
    <w:rsid w:val="002D7B6A"/>
    <w:rsid w:val="002E0026"/>
    <w:rsid w:val="002E0918"/>
    <w:rsid w:val="002E0BAA"/>
    <w:rsid w:val="002E0D96"/>
    <w:rsid w:val="002E0EA5"/>
    <w:rsid w:val="002E283F"/>
    <w:rsid w:val="002E2854"/>
    <w:rsid w:val="002E2E74"/>
    <w:rsid w:val="002E32D2"/>
    <w:rsid w:val="002E361B"/>
    <w:rsid w:val="002E37AB"/>
    <w:rsid w:val="002E3A80"/>
    <w:rsid w:val="002E51DF"/>
    <w:rsid w:val="002E59B1"/>
    <w:rsid w:val="002E5E28"/>
    <w:rsid w:val="002E6885"/>
    <w:rsid w:val="002E72E4"/>
    <w:rsid w:val="002E739D"/>
    <w:rsid w:val="002F1276"/>
    <w:rsid w:val="002F1986"/>
    <w:rsid w:val="002F1E5F"/>
    <w:rsid w:val="002F2A49"/>
    <w:rsid w:val="002F3B63"/>
    <w:rsid w:val="002F3C56"/>
    <w:rsid w:val="002F422E"/>
    <w:rsid w:val="002F46B0"/>
    <w:rsid w:val="002F4B17"/>
    <w:rsid w:val="002F5150"/>
    <w:rsid w:val="002F5463"/>
    <w:rsid w:val="002F58C2"/>
    <w:rsid w:val="002F5932"/>
    <w:rsid w:val="002F603B"/>
    <w:rsid w:val="002F6201"/>
    <w:rsid w:val="002F724B"/>
    <w:rsid w:val="002F72BA"/>
    <w:rsid w:val="00300267"/>
    <w:rsid w:val="003004D2"/>
    <w:rsid w:val="00300D6B"/>
    <w:rsid w:val="003016A8"/>
    <w:rsid w:val="00301E89"/>
    <w:rsid w:val="00302052"/>
    <w:rsid w:val="00302142"/>
    <w:rsid w:val="00302169"/>
    <w:rsid w:val="00302612"/>
    <w:rsid w:val="00303254"/>
    <w:rsid w:val="00303E17"/>
    <w:rsid w:val="003044D9"/>
    <w:rsid w:val="00304D8A"/>
    <w:rsid w:val="00305216"/>
    <w:rsid w:val="0030555B"/>
    <w:rsid w:val="003061F5"/>
    <w:rsid w:val="0030739C"/>
    <w:rsid w:val="00310D51"/>
    <w:rsid w:val="00311B36"/>
    <w:rsid w:val="00311C92"/>
    <w:rsid w:val="00312715"/>
    <w:rsid w:val="003133AE"/>
    <w:rsid w:val="0031371B"/>
    <w:rsid w:val="00314156"/>
    <w:rsid w:val="0031535B"/>
    <w:rsid w:val="003157D2"/>
    <w:rsid w:val="003170F4"/>
    <w:rsid w:val="0032035D"/>
    <w:rsid w:val="00320B28"/>
    <w:rsid w:val="003216D5"/>
    <w:rsid w:val="003216FF"/>
    <w:rsid w:val="00321866"/>
    <w:rsid w:val="00321C1A"/>
    <w:rsid w:val="00321F6B"/>
    <w:rsid w:val="00322389"/>
    <w:rsid w:val="00322BE5"/>
    <w:rsid w:val="0032312D"/>
    <w:rsid w:val="00323AA5"/>
    <w:rsid w:val="0032468D"/>
    <w:rsid w:val="00324926"/>
    <w:rsid w:val="00324A7C"/>
    <w:rsid w:val="00324B25"/>
    <w:rsid w:val="0032522F"/>
    <w:rsid w:val="003252BE"/>
    <w:rsid w:val="003253C4"/>
    <w:rsid w:val="0032550F"/>
    <w:rsid w:val="00325992"/>
    <w:rsid w:val="00325B74"/>
    <w:rsid w:val="00325CBA"/>
    <w:rsid w:val="0032638F"/>
    <w:rsid w:val="00326B59"/>
    <w:rsid w:val="00327C7C"/>
    <w:rsid w:val="00330009"/>
    <w:rsid w:val="003301E6"/>
    <w:rsid w:val="003314D2"/>
    <w:rsid w:val="00331712"/>
    <w:rsid w:val="00331A3F"/>
    <w:rsid w:val="00332191"/>
    <w:rsid w:val="00332720"/>
    <w:rsid w:val="003334A7"/>
    <w:rsid w:val="003337E8"/>
    <w:rsid w:val="00333A14"/>
    <w:rsid w:val="00333B2A"/>
    <w:rsid w:val="00333FD5"/>
    <w:rsid w:val="003351BA"/>
    <w:rsid w:val="0033520F"/>
    <w:rsid w:val="00335918"/>
    <w:rsid w:val="0033596B"/>
    <w:rsid w:val="0033650E"/>
    <w:rsid w:val="00336907"/>
    <w:rsid w:val="003369DF"/>
    <w:rsid w:val="00336C71"/>
    <w:rsid w:val="00336DFC"/>
    <w:rsid w:val="00337230"/>
    <w:rsid w:val="003377D0"/>
    <w:rsid w:val="00337D75"/>
    <w:rsid w:val="00340020"/>
    <w:rsid w:val="00340469"/>
    <w:rsid w:val="00341866"/>
    <w:rsid w:val="00341DAF"/>
    <w:rsid w:val="00342181"/>
    <w:rsid w:val="00343560"/>
    <w:rsid w:val="003439FF"/>
    <w:rsid w:val="00343A20"/>
    <w:rsid w:val="0034402B"/>
    <w:rsid w:val="0034449E"/>
    <w:rsid w:val="00344D46"/>
    <w:rsid w:val="00346185"/>
    <w:rsid w:val="00350DF8"/>
    <w:rsid w:val="00351A8A"/>
    <w:rsid w:val="0035266A"/>
    <w:rsid w:val="0035279C"/>
    <w:rsid w:val="0035384D"/>
    <w:rsid w:val="00353C0B"/>
    <w:rsid w:val="00354AE4"/>
    <w:rsid w:val="0035551B"/>
    <w:rsid w:val="003555ED"/>
    <w:rsid w:val="00355911"/>
    <w:rsid w:val="00357424"/>
    <w:rsid w:val="00361789"/>
    <w:rsid w:val="0036196D"/>
    <w:rsid w:val="003627BD"/>
    <w:rsid w:val="00362997"/>
    <w:rsid w:val="00362C59"/>
    <w:rsid w:val="00363040"/>
    <w:rsid w:val="003630B7"/>
    <w:rsid w:val="003638A4"/>
    <w:rsid w:val="003639BF"/>
    <w:rsid w:val="00363E41"/>
    <w:rsid w:val="00363FD2"/>
    <w:rsid w:val="0036572E"/>
    <w:rsid w:val="003663D9"/>
    <w:rsid w:val="00366A99"/>
    <w:rsid w:val="00366FA9"/>
    <w:rsid w:val="00367E49"/>
    <w:rsid w:val="003700E6"/>
    <w:rsid w:val="00371450"/>
    <w:rsid w:val="00371C86"/>
    <w:rsid w:val="0037236C"/>
    <w:rsid w:val="003735D3"/>
    <w:rsid w:val="0037386D"/>
    <w:rsid w:val="00373956"/>
    <w:rsid w:val="00374153"/>
    <w:rsid w:val="003750E0"/>
    <w:rsid w:val="00375AF1"/>
    <w:rsid w:val="00375C2F"/>
    <w:rsid w:val="00375FC5"/>
    <w:rsid w:val="003769BA"/>
    <w:rsid w:val="00377871"/>
    <w:rsid w:val="003778B2"/>
    <w:rsid w:val="00377E58"/>
    <w:rsid w:val="003805E3"/>
    <w:rsid w:val="0038062E"/>
    <w:rsid w:val="003807F7"/>
    <w:rsid w:val="00381610"/>
    <w:rsid w:val="00382106"/>
    <w:rsid w:val="00382657"/>
    <w:rsid w:val="00382B82"/>
    <w:rsid w:val="003854D5"/>
    <w:rsid w:val="0038552A"/>
    <w:rsid w:val="003859EA"/>
    <w:rsid w:val="0038709E"/>
    <w:rsid w:val="00387D30"/>
    <w:rsid w:val="00391753"/>
    <w:rsid w:val="00391815"/>
    <w:rsid w:val="00391AB5"/>
    <w:rsid w:val="00391C7F"/>
    <w:rsid w:val="00392454"/>
    <w:rsid w:val="00392C85"/>
    <w:rsid w:val="00393E11"/>
    <w:rsid w:val="00394475"/>
    <w:rsid w:val="00395B51"/>
    <w:rsid w:val="00396796"/>
    <w:rsid w:val="00396EC6"/>
    <w:rsid w:val="0039746C"/>
    <w:rsid w:val="00397DC6"/>
    <w:rsid w:val="003A0E82"/>
    <w:rsid w:val="003A184D"/>
    <w:rsid w:val="003A1FB7"/>
    <w:rsid w:val="003A371E"/>
    <w:rsid w:val="003A595F"/>
    <w:rsid w:val="003A5EEC"/>
    <w:rsid w:val="003A717B"/>
    <w:rsid w:val="003A7CA3"/>
    <w:rsid w:val="003B00B6"/>
    <w:rsid w:val="003B0BB0"/>
    <w:rsid w:val="003B0C6B"/>
    <w:rsid w:val="003B11EE"/>
    <w:rsid w:val="003B15F8"/>
    <w:rsid w:val="003B230B"/>
    <w:rsid w:val="003B23BC"/>
    <w:rsid w:val="003B2DB5"/>
    <w:rsid w:val="003B2F05"/>
    <w:rsid w:val="003B3966"/>
    <w:rsid w:val="003B39B7"/>
    <w:rsid w:val="003B5C31"/>
    <w:rsid w:val="003B5F6A"/>
    <w:rsid w:val="003B6B7F"/>
    <w:rsid w:val="003B7820"/>
    <w:rsid w:val="003B7F20"/>
    <w:rsid w:val="003C01A4"/>
    <w:rsid w:val="003C01CD"/>
    <w:rsid w:val="003C0219"/>
    <w:rsid w:val="003C0C12"/>
    <w:rsid w:val="003C1234"/>
    <w:rsid w:val="003C16EE"/>
    <w:rsid w:val="003C1BAA"/>
    <w:rsid w:val="003C1C87"/>
    <w:rsid w:val="003C345E"/>
    <w:rsid w:val="003C4997"/>
    <w:rsid w:val="003C4DA5"/>
    <w:rsid w:val="003C5666"/>
    <w:rsid w:val="003C64F4"/>
    <w:rsid w:val="003C724B"/>
    <w:rsid w:val="003C73DB"/>
    <w:rsid w:val="003D0185"/>
    <w:rsid w:val="003D02CB"/>
    <w:rsid w:val="003D0382"/>
    <w:rsid w:val="003D069C"/>
    <w:rsid w:val="003D191E"/>
    <w:rsid w:val="003D1AB7"/>
    <w:rsid w:val="003D22A5"/>
    <w:rsid w:val="003D3414"/>
    <w:rsid w:val="003D3426"/>
    <w:rsid w:val="003D4C15"/>
    <w:rsid w:val="003D5630"/>
    <w:rsid w:val="003D6722"/>
    <w:rsid w:val="003D77F2"/>
    <w:rsid w:val="003D78CC"/>
    <w:rsid w:val="003D7D01"/>
    <w:rsid w:val="003D7ED8"/>
    <w:rsid w:val="003E0003"/>
    <w:rsid w:val="003E1A72"/>
    <w:rsid w:val="003E2880"/>
    <w:rsid w:val="003E2A00"/>
    <w:rsid w:val="003E382C"/>
    <w:rsid w:val="003E3D00"/>
    <w:rsid w:val="003E4172"/>
    <w:rsid w:val="003E4531"/>
    <w:rsid w:val="003E4771"/>
    <w:rsid w:val="003E54A8"/>
    <w:rsid w:val="003E7109"/>
    <w:rsid w:val="003E77DC"/>
    <w:rsid w:val="003E7BC1"/>
    <w:rsid w:val="003F0453"/>
    <w:rsid w:val="003F0C9F"/>
    <w:rsid w:val="003F144A"/>
    <w:rsid w:val="003F1B02"/>
    <w:rsid w:val="003F2240"/>
    <w:rsid w:val="003F2460"/>
    <w:rsid w:val="003F2E7B"/>
    <w:rsid w:val="003F4CF5"/>
    <w:rsid w:val="003F574E"/>
    <w:rsid w:val="003F60D6"/>
    <w:rsid w:val="003F68E9"/>
    <w:rsid w:val="003F7E15"/>
    <w:rsid w:val="003F7FDA"/>
    <w:rsid w:val="004021C0"/>
    <w:rsid w:val="004028CE"/>
    <w:rsid w:val="0040313D"/>
    <w:rsid w:val="004043FA"/>
    <w:rsid w:val="0040473F"/>
    <w:rsid w:val="00404970"/>
    <w:rsid w:val="00405181"/>
    <w:rsid w:val="00405873"/>
    <w:rsid w:val="00405F09"/>
    <w:rsid w:val="004066F4"/>
    <w:rsid w:val="00406A32"/>
    <w:rsid w:val="0040760B"/>
    <w:rsid w:val="00407FB6"/>
    <w:rsid w:val="00410117"/>
    <w:rsid w:val="00410C32"/>
    <w:rsid w:val="00411237"/>
    <w:rsid w:val="00411557"/>
    <w:rsid w:val="00411994"/>
    <w:rsid w:val="00411D74"/>
    <w:rsid w:val="00411DDE"/>
    <w:rsid w:val="00411F84"/>
    <w:rsid w:val="00412069"/>
    <w:rsid w:val="004121A1"/>
    <w:rsid w:val="00412477"/>
    <w:rsid w:val="004127A2"/>
    <w:rsid w:val="0041280A"/>
    <w:rsid w:val="00412A9D"/>
    <w:rsid w:val="00412CB1"/>
    <w:rsid w:val="004133A5"/>
    <w:rsid w:val="00413D45"/>
    <w:rsid w:val="00414197"/>
    <w:rsid w:val="00414D68"/>
    <w:rsid w:val="00414FD9"/>
    <w:rsid w:val="00415EE7"/>
    <w:rsid w:val="004160FA"/>
    <w:rsid w:val="0041669E"/>
    <w:rsid w:val="00416ACA"/>
    <w:rsid w:val="00416C56"/>
    <w:rsid w:val="004175FE"/>
    <w:rsid w:val="004176B8"/>
    <w:rsid w:val="00417B99"/>
    <w:rsid w:val="00420FAF"/>
    <w:rsid w:val="00421184"/>
    <w:rsid w:val="004212C1"/>
    <w:rsid w:val="004214B7"/>
    <w:rsid w:val="00421FB5"/>
    <w:rsid w:val="00422AB9"/>
    <w:rsid w:val="004235F4"/>
    <w:rsid w:val="004236C9"/>
    <w:rsid w:val="00423CF3"/>
    <w:rsid w:val="00423E18"/>
    <w:rsid w:val="00424B7C"/>
    <w:rsid w:val="0042500C"/>
    <w:rsid w:val="00425514"/>
    <w:rsid w:val="004256BD"/>
    <w:rsid w:val="00425863"/>
    <w:rsid w:val="00425D02"/>
    <w:rsid w:val="00425EDC"/>
    <w:rsid w:val="0042755B"/>
    <w:rsid w:val="004275CD"/>
    <w:rsid w:val="00427FEB"/>
    <w:rsid w:val="00427FF2"/>
    <w:rsid w:val="004305C0"/>
    <w:rsid w:val="0043061E"/>
    <w:rsid w:val="00430B20"/>
    <w:rsid w:val="00430B6C"/>
    <w:rsid w:val="0043227C"/>
    <w:rsid w:val="00435715"/>
    <w:rsid w:val="0043571B"/>
    <w:rsid w:val="00435EE0"/>
    <w:rsid w:val="0043610C"/>
    <w:rsid w:val="00436389"/>
    <w:rsid w:val="004366FF"/>
    <w:rsid w:val="00437D83"/>
    <w:rsid w:val="004401DD"/>
    <w:rsid w:val="00441F89"/>
    <w:rsid w:val="00443D5D"/>
    <w:rsid w:val="00443E52"/>
    <w:rsid w:val="00445CBA"/>
    <w:rsid w:val="004463CB"/>
    <w:rsid w:val="004466F7"/>
    <w:rsid w:val="00446858"/>
    <w:rsid w:val="00447304"/>
    <w:rsid w:val="0045075F"/>
    <w:rsid w:val="004516AD"/>
    <w:rsid w:val="00451EA3"/>
    <w:rsid w:val="004546A7"/>
    <w:rsid w:val="00454831"/>
    <w:rsid w:val="004548DF"/>
    <w:rsid w:val="00457933"/>
    <w:rsid w:val="00457C78"/>
    <w:rsid w:val="00460735"/>
    <w:rsid w:val="00460EB8"/>
    <w:rsid w:val="00461C30"/>
    <w:rsid w:val="00461C43"/>
    <w:rsid w:val="00462125"/>
    <w:rsid w:val="00462467"/>
    <w:rsid w:val="00463216"/>
    <w:rsid w:val="0046334D"/>
    <w:rsid w:val="00463C95"/>
    <w:rsid w:val="00463E1C"/>
    <w:rsid w:val="00465153"/>
    <w:rsid w:val="00465602"/>
    <w:rsid w:val="00466AFD"/>
    <w:rsid w:val="00470696"/>
    <w:rsid w:val="00471D78"/>
    <w:rsid w:val="004724C9"/>
    <w:rsid w:val="00474130"/>
    <w:rsid w:val="00474D2A"/>
    <w:rsid w:val="00475A6C"/>
    <w:rsid w:val="004764AF"/>
    <w:rsid w:val="00476D04"/>
    <w:rsid w:val="0047775E"/>
    <w:rsid w:val="00477A23"/>
    <w:rsid w:val="00477AAE"/>
    <w:rsid w:val="00477AF6"/>
    <w:rsid w:val="00477B3B"/>
    <w:rsid w:val="00477BCB"/>
    <w:rsid w:val="004801A7"/>
    <w:rsid w:val="00480E47"/>
    <w:rsid w:val="00481666"/>
    <w:rsid w:val="0048181B"/>
    <w:rsid w:val="00481F2B"/>
    <w:rsid w:val="004820C5"/>
    <w:rsid w:val="004823D8"/>
    <w:rsid w:val="00483196"/>
    <w:rsid w:val="0048340F"/>
    <w:rsid w:val="00483A69"/>
    <w:rsid w:val="0048423C"/>
    <w:rsid w:val="00484449"/>
    <w:rsid w:val="004852CE"/>
    <w:rsid w:val="0048540C"/>
    <w:rsid w:val="00485F92"/>
    <w:rsid w:val="004903F0"/>
    <w:rsid w:val="00490954"/>
    <w:rsid w:val="0049277A"/>
    <w:rsid w:val="00492B38"/>
    <w:rsid w:val="00492FE4"/>
    <w:rsid w:val="00493035"/>
    <w:rsid w:val="00493321"/>
    <w:rsid w:val="004936DE"/>
    <w:rsid w:val="00495318"/>
    <w:rsid w:val="0049544E"/>
    <w:rsid w:val="00495670"/>
    <w:rsid w:val="0049604B"/>
    <w:rsid w:val="004A040E"/>
    <w:rsid w:val="004A042D"/>
    <w:rsid w:val="004A11E0"/>
    <w:rsid w:val="004A1FC5"/>
    <w:rsid w:val="004A2158"/>
    <w:rsid w:val="004A29A5"/>
    <w:rsid w:val="004A3225"/>
    <w:rsid w:val="004A3C59"/>
    <w:rsid w:val="004A480D"/>
    <w:rsid w:val="004A4D76"/>
    <w:rsid w:val="004A66E0"/>
    <w:rsid w:val="004A6A63"/>
    <w:rsid w:val="004A7D49"/>
    <w:rsid w:val="004A7F21"/>
    <w:rsid w:val="004B08DB"/>
    <w:rsid w:val="004B1422"/>
    <w:rsid w:val="004B24EB"/>
    <w:rsid w:val="004B29AC"/>
    <w:rsid w:val="004B3C8B"/>
    <w:rsid w:val="004B44A9"/>
    <w:rsid w:val="004B4509"/>
    <w:rsid w:val="004B4871"/>
    <w:rsid w:val="004B4ADF"/>
    <w:rsid w:val="004B4C00"/>
    <w:rsid w:val="004B4E06"/>
    <w:rsid w:val="004B5493"/>
    <w:rsid w:val="004B5914"/>
    <w:rsid w:val="004B5E06"/>
    <w:rsid w:val="004B6D0A"/>
    <w:rsid w:val="004B7995"/>
    <w:rsid w:val="004C02B3"/>
    <w:rsid w:val="004C0647"/>
    <w:rsid w:val="004C0BBE"/>
    <w:rsid w:val="004C0E2F"/>
    <w:rsid w:val="004C222E"/>
    <w:rsid w:val="004C2561"/>
    <w:rsid w:val="004C2806"/>
    <w:rsid w:val="004C3ADD"/>
    <w:rsid w:val="004C428E"/>
    <w:rsid w:val="004C4775"/>
    <w:rsid w:val="004C483D"/>
    <w:rsid w:val="004C63C7"/>
    <w:rsid w:val="004C6D39"/>
    <w:rsid w:val="004C6D98"/>
    <w:rsid w:val="004C7743"/>
    <w:rsid w:val="004D039E"/>
    <w:rsid w:val="004D04A3"/>
    <w:rsid w:val="004D0C9F"/>
    <w:rsid w:val="004D15FD"/>
    <w:rsid w:val="004D2369"/>
    <w:rsid w:val="004D2485"/>
    <w:rsid w:val="004D3A57"/>
    <w:rsid w:val="004D47FF"/>
    <w:rsid w:val="004D518F"/>
    <w:rsid w:val="004D54D7"/>
    <w:rsid w:val="004D5BB7"/>
    <w:rsid w:val="004D6053"/>
    <w:rsid w:val="004D6FA4"/>
    <w:rsid w:val="004D7C23"/>
    <w:rsid w:val="004D7C62"/>
    <w:rsid w:val="004E0212"/>
    <w:rsid w:val="004E0ADC"/>
    <w:rsid w:val="004E0FB1"/>
    <w:rsid w:val="004E1043"/>
    <w:rsid w:val="004E1DCA"/>
    <w:rsid w:val="004E21B4"/>
    <w:rsid w:val="004E252B"/>
    <w:rsid w:val="004E2861"/>
    <w:rsid w:val="004E2A85"/>
    <w:rsid w:val="004E3F72"/>
    <w:rsid w:val="004E4A78"/>
    <w:rsid w:val="004E551E"/>
    <w:rsid w:val="004E58F6"/>
    <w:rsid w:val="004E5E4C"/>
    <w:rsid w:val="004E623E"/>
    <w:rsid w:val="004E6CF9"/>
    <w:rsid w:val="004E734E"/>
    <w:rsid w:val="004E7EC0"/>
    <w:rsid w:val="004E7F48"/>
    <w:rsid w:val="004F014E"/>
    <w:rsid w:val="004F0BC6"/>
    <w:rsid w:val="004F1123"/>
    <w:rsid w:val="004F17DA"/>
    <w:rsid w:val="004F3BD2"/>
    <w:rsid w:val="004F4372"/>
    <w:rsid w:val="004F43E0"/>
    <w:rsid w:val="004F45EB"/>
    <w:rsid w:val="004F52BB"/>
    <w:rsid w:val="004F5582"/>
    <w:rsid w:val="004F59B8"/>
    <w:rsid w:val="004F62A7"/>
    <w:rsid w:val="004F62F9"/>
    <w:rsid w:val="004F66B3"/>
    <w:rsid w:val="0050015C"/>
    <w:rsid w:val="00500418"/>
    <w:rsid w:val="00500CCF"/>
    <w:rsid w:val="00500E62"/>
    <w:rsid w:val="005011FD"/>
    <w:rsid w:val="00501DDB"/>
    <w:rsid w:val="00502958"/>
    <w:rsid w:val="00502BD2"/>
    <w:rsid w:val="00502DA4"/>
    <w:rsid w:val="00503F83"/>
    <w:rsid w:val="0050421C"/>
    <w:rsid w:val="00504A9B"/>
    <w:rsid w:val="00504E9A"/>
    <w:rsid w:val="00504F83"/>
    <w:rsid w:val="005059B9"/>
    <w:rsid w:val="00505F64"/>
    <w:rsid w:val="00506DCD"/>
    <w:rsid w:val="00507C56"/>
    <w:rsid w:val="00507F13"/>
    <w:rsid w:val="00510257"/>
    <w:rsid w:val="005109D4"/>
    <w:rsid w:val="0051160A"/>
    <w:rsid w:val="005118BA"/>
    <w:rsid w:val="00512D87"/>
    <w:rsid w:val="005130DA"/>
    <w:rsid w:val="00513DDA"/>
    <w:rsid w:val="00513E19"/>
    <w:rsid w:val="005148B4"/>
    <w:rsid w:val="00514B29"/>
    <w:rsid w:val="005152B1"/>
    <w:rsid w:val="005152F0"/>
    <w:rsid w:val="00515856"/>
    <w:rsid w:val="005163E6"/>
    <w:rsid w:val="005172EC"/>
    <w:rsid w:val="0051740D"/>
    <w:rsid w:val="005178CE"/>
    <w:rsid w:val="00521CAB"/>
    <w:rsid w:val="00522654"/>
    <w:rsid w:val="00522835"/>
    <w:rsid w:val="0052293D"/>
    <w:rsid w:val="00522AF4"/>
    <w:rsid w:val="00523499"/>
    <w:rsid w:val="00523C08"/>
    <w:rsid w:val="00523C10"/>
    <w:rsid w:val="005245D5"/>
    <w:rsid w:val="00524889"/>
    <w:rsid w:val="00525A53"/>
    <w:rsid w:val="00526569"/>
    <w:rsid w:val="00526726"/>
    <w:rsid w:val="0052689D"/>
    <w:rsid w:val="00527256"/>
    <w:rsid w:val="00527C8D"/>
    <w:rsid w:val="00530AC4"/>
    <w:rsid w:val="005326DE"/>
    <w:rsid w:val="00533169"/>
    <w:rsid w:val="00533194"/>
    <w:rsid w:val="005332C8"/>
    <w:rsid w:val="00533C4C"/>
    <w:rsid w:val="0053464E"/>
    <w:rsid w:val="005352C8"/>
    <w:rsid w:val="005354C1"/>
    <w:rsid w:val="00536CBB"/>
    <w:rsid w:val="00537033"/>
    <w:rsid w:val="00540A37"/>
    <w:rsid w:val="00540B49"/>
    <w:rsid w:val="00540F93"/>
    <w:rsid w:val="005418DB"/>
    <w:rsid w:val="005434EA"/>
    <w:rsid w:val="00545DB7"/>
    <w:rsid w:val="00545E60"/>
    <w:rsid w:val="00546C6A"/>
    <w:rsid w:val="00546FBA"/>
    <w:rsid w:val="00547145"/>
    <w:rsid w:val="00547F04"/>
    <w:rsid w:val="00550924"/>
    <w:rsid w:val="00550D63"/>
    <w:rsid w:val="00550EF1"/>
    <w:rsid w:val="00551075"/>
    <w:rsid w:val="005513C8"/>
    <w:rsid w:val="0055352C"/>
    <w:rsid w:val="005538A6"/>
    <w:rsid w:val="00554996"/>
    <w:rsid w:val="00555161"/>
    <w:rsid w:val="00555DE6"/>
    <w:rsid w:val="00555EB3"/>
    <w:rsid w:val="00556438"/>
    <w:rsid w:val="005567F6"/>
    <w:rsid w:val="00557474"/>
    <w:rsid w:val="00561699"/>
    <w:rsid w:val="005619E1"/>
    <w:rsid w:val="00562629"/>
    <w:rsid w:val="005628FE"/>
    <w:rsid w:val="00564191"/>
    <w:rsid w:val="00564557"/>
    <w:rsid w:val="0056458C"/>
    <w:rsid w:val="00564628"/>
    <w:rsid w:val="00564A3C"/>
    <w:rsid w:val="00564F82"/>
    <w:rsid w:val="00565162"/>
    <w:rsid w:val="005653AF"/>
    <w:rsid w:val="00565501"/>
    <w:rsid w:val="00565755"/>
    <w:rsid w:val="0056601E"/>
    <w:rsid w:val="005660CC"/>
    <w:rsid w:val="00566538"/>
    <w:rsid w:val="0056725A"/>
    <w:rsid w:val="0056741F"/>
    <w:rsid w:val="0056781B"/>
    <w:rsid w:val="00567BE2"/>
    <w:rsid w:val="00570102"/>
    <w:rsid w:val="00570505"/>
    <w:rsid w:val="005712E6"/>
    <w:rsid w:val="00572942"/>
    <w:rsid w:val="005730DB"/>
    <w:rsid w:val="00573251"/>
    <w:rsid w:val="005733A8"/>
    <w:rsid w:val="00573F55"/>
    <w:rsid w:val="0057540E"/>
    <w:rsid w:val="005757B6"/>
    <w:rsid w:val="0058000F"/>
    <w:rsid w:val="00580557"/>
    <w:rsid w:val="0058074F"/>
    <w:rsid w:val="00580A76"/>
    <w:rsid w:val="00580B9C"/>
    <w:rsid w:val="00581042"/>
    <w:rsid w:val="00581703"/>
    <w:rsid w:val="0058184D"/>
    <w:rsid w:val="005821DD"/>
    <w:rsid w:val="00583908"/>
    <w:rsid w:val="00584BD1"/>
    <w:rsid w:val="00584E21"/>
    <w:rsid w:val="0058608B"/>
    <w:rsid w:val="005863C1"/>
    <w:rsid w:val="00587729"/>
    <w:rsid w:val="00590147"/>
    <w:rsid w:val="00590BD1"/>
    <w:rsid w:val="00590D26"/>
    <w:rsid w:val="00591276"/>
    <w:rsid w:val="00591490"/>
    <w:rsid w:val="0059151A"/>
    <w:rsid w:val="005916C9"/>
    <w:rsid w:val="005916F8"/>
    <w:rsid w:val="00591C7E"/>
    <w:rsid w:val="00591DCF"/>
    <w:rsid w:val="005929B4"/>
    <w:rsid w:val="00592A3C"/>
    <w:rsid w:val="0059367F"/>
    <w:rsid w:val="00593720"/>
    <w:rsid w:val="00593909"/>
    <w:rsid w:val="00593B0F"/>
    <w:rsid w:val="005941E1"/>
    <w:rsid w:val="005943E2"/>
    <w:rsid w:val="00594B8A"/>
    <w:rsid w:val="005954B7"/>
    <w:rsid w:val="00595A05"/>
    <w:rsid w:val="00595F17"/>
    <w:rsid w:val="00595F89"/>
    <w:rsid w:val="00596873"/>
    <w:rsid w:val="00596BB3"/>
    <w:rsid w:val="00596BD4"/>
    <w:rsid w:val="00596FA8"/>
    <w:rsid w:val="005971A7"/>
    <w:rsid w:val="005977AB"/>
    <w:rsid w:val="005A01C5"/>
    <w:rsid w:val="005A0532"/>
    <w:rsid w:val="005A07E7"/>
    <w:rsid w:val="005A0A57"/>
    <w:rsid w:val="005A0EBD"/>
    <w:rsid w:val="005A1270"/>
    <w:rsid w:val="005A1295"/>
    <w:rsid w:val="005A175D"/>
    <w:rsid w:val="005A1FBF"/>
    <w:rsid w:val="005A29B1"/>
    <w:rsid w:val="005A380B"/>
    <w:rsid w:val="005A4890"/>
    <w:rsid w:val="005A49D4"/>
    <w:rsid w:val="005A4D7C"/>
    <w:rsid w:val="005A51C9"/>
    <w:rsid w:val="005A5DC0"/>
    <w:rsid w:val="005A6F0E"/>
    <w:rsid w:val="005A7235"/>
    <w:rsid w:val="005A7BAF"/>
    <w:rsid w:val="005B0652"/>
    <w:rsid w:val="005B1213"/>
    <w:rsid w:val="005B3EBD"/>
    <w:rsid w:val="005B4812"/>
    <w:rsid w:val="005B48E8"/>
    <w:rsid w:val="005B5BA3"/>
    <w:rsid w:val="005B5E62"/>
    <w:rsid w:val="005B7E97"/>
    <w:rsid w:val="005B7F46"/>
    <w:rsid w:val="005C03F9"/>
    <w:rsid w:val="005C102D"/>
    <w:rsid w:val="005C132C"/>
    <w:rsid w:val="005C17FB"/>
    <w:rsid w:val="005C1833"/>
    <w:rsid w:val="005C1838"/>
    <w:rsid w:val="005C18C2"/>
    <w:rsid w:val="005C244F"/>
    <w:rsid w:val="005C2767"/>
    <w:rsid w:val="005C2922"/>
    <w:rsid w:val="005C2F60"/>
    <w:rsid w:val="005C323D"/>
    <w:rsid w:val="005C3772"/>
    <w:rsid w:val="005C39C3"/>
    <w:rsid w:val="005C4229"/>
    <w:rsid w:val="005C4580"/>
    <w:rsid w:val="005C47D6"/>
    <w:rsid w:val="005C5065"/>
    <w:rsid w:val="005C52F3"/>
    <w:rsid w:val="005C564C"/>
    <w:rsid w:val="005C6234"/>
    <w:rsid w:val="005C6605"/>
    <w:rsid w:val="005C71A0"/>
    <w:rsid w:val="005C7802"/>
    <w:rsid w:val="005C7B50"/>
    <w:rsid w:val="005D029E"/>
    <w:rsid w:val="005D0427"/>
    <w:rsid w:val="005D07AE"/>
    <w:rsid w:val="005D113B"/>
    <w:rsid w:val="005D2D9A"/>
    <w:rsid w:val="005D3B21"/>
    <w:rsid w:val="005D4019"/>
    <w:rsid w:val="005D41DC"/>
    <w:rsid w:val="005D460F"/>
    <w:rsid w:val="005D4DC5"/>
    <w:rsid w:val="005D5C22"/>
    <w:rsid w:val="005D63A9"/>
    <w:rsid w:val="005D65D5"/>
    <w:rsid w:val="005D6781"/>
    <w:rsid w:val="005D6C56"/>
    <w:rsid w:val="005D6F49"/>
    <w:rsid w:val="005D7E8A"/>
    <w:rsid w:val="005E06FA"/>
    <w:rsid w:val="005E11A5"/>
    <w:rsid w:val="005E13D4"/>
    <w:rsid w:val="005E1435"/>
    <w:rsid w:val="005E21F3"/>
    <w:rsid w:val="005E235C"/>
    <w:rsid w:val="005E3078"/>
    <w:rsid w:val="005E5427"/>
    <w:rsid w:val="005E5A7C"/>
    <w:rsid w:val="005E5C33"/>
    <w:rsid w:val="005E74EC"/>
    <w:rsid w:val="005E7CBC"/>
    <w:rsid w:val="005F0A62"/>
    <w:rsid w:val="005F1C5D"/>
    <w:rsid w:val="005F2309"/>
    <w:rsid w:val="005F2317"/>
    <w:rsid w:val="005F2550"/>
    <w:rsid w:val="005F2B2D"/>
    <w:rsid w:val="005F2FD5"/>
    <w:rsid w:val="005F3AE8"/>
    <w:rsid w:val="005F3B09"/>
    <w:rsid w:val="005F4926"/>
    <w:rsid w:val="005F4E81"/>
    <w:rsid w:val="005F5009"/>
    <w:rsid w:val="005F5054"/>
    <w:rsid w:val="005F530F"/>
    <w:rsid w:val="005F6768"/>
    <w:rsid w:val="005F6E39"/>
    <w:rsid w:val="005F6E58"/>
    <w:rsid w:val="005F704C"/>
    <w:rsid w:val="005F7A22"/>
    <w:rsid w:val="005F7B9D"/>
    <w:rsid w:val="00600501"/>
    <w:rsid w:val="00600B0C"/>
    <w:rsid w:val="00601F02"/>
    <w:rsid w:val="006033BF"/>
    <w:rsid w:val="00603B4B"/>
    <w:rsid w:val="00603F20"/>
    <w:rsid w:val="00604F37"/>
    <w:rsid w:val="0060508A"/>
    <w:rsid w:val="006055AF"/>
    <w:rsid w:val="00605942"/>
    <w:rsid w:val="00605C9F"/>
    <w:rsid w:val="006068E8"/>
    <w:rsid w:val="00606ADB"/>
    <w:rsid w:val="006072DE"/>
    <w:rsid w:val="006075F4"/>
    <w:rsid w:val="006078A8"/>
    <w:rsid w:val="00607BAD"/>
    <w:rsid w:val="00607EC7"/>
    <w:rsid w:val="0061048A"/>
    <w:rsid w:val="00611178"/>
    <w:rsid w:val="00611D01"/>
    <w:rsid w:val="00612074"/>
    <w:rsid w:val="00612329"/>
    <w:rsid w:val="006124B3"/>
    <w:rsid w:val="00612611"/>
    <w:rsid w:val="00613009"/>
    <w:rsid w:val="0061401C"/>
    <w:rsid w:val="00614D33"/>
    <w:rsid w:val="0061537D"/>
    <w:rsid w:val="0061537F"/>
    <w:rsid w:val="00615DEA"/>
    <w:rsid w:val="00616EE6"/>
    <w:rsid w:val="006171FB"/>
    <w:rsid w:val="00617966"/>
    <w:rsid w:val="00617A2A"/>
    <w:rsid w:val="006207F4"/>
    <w:rsid w:val="0062091B"/>
    <w:rsid w:val="00620977"/>
    <w:rsid w:val="00620C67"/>
    <w:rsid w:val="00621803"/>
    <w:rsid w:val="006220F1"/>
    <w:rsid w:val="00623E46"/>
    <w:rsid w:val="00624604"/>
    <w:rsid w:val="00624D2C"/>
    <w:rsid w:val="00625145"/>
    <w:rsid w:val="006255D3"/>
    <w:rsid w:val="00627402"/>
    <w:rsid w:val="00630480"/>
    <w:rsid w:val="0063058E"/>
    <w:rsid w:val="006305F8"/>
    <w:rsid w:val="00632B9C"/>
    <w:rsid w:val="0063333D"/>
    <w:rsid w:val="00634225"/>
    <w:rsid w:val="006347CF"/>
    <w:rsid w:val="00635003"/>
    <w:rsid w:val="006351CE"/>
    <w:rsid w:val="006352FD"/>
    <w:rsid w:val="00635B15"/>
    <w:rsid w:val="006362E1"/>
    <w:rsid w:val="006367DA"/>
    <w:rsid w:val="006375B2"/>
    <w:rsid w:val="006375BB"/>
    <w:rsid w:val="00640BF7"/>
    <w:rsid w:val="00640E7D"/>
    <w:rsid w:val="00642576"/>
    <w:rsid w:val="00642631"/>
    <w:rsid w:val="00642DF5"/>
    <w:rsid w:val="0064304A"/>
    <w:rsid w:val="0064380B"/>
    <w:rsid w:val="00643A4F"/>
    <w:rsid w:val="006441FD"/>
    <w:rsid w:val="00645141"/>
    <w:rsid w:val="00645AEE"/>
    <w:rsid w:val="00646428"/>
    <w:rsid w:val="0064707F"/>
    <w:rsid w:val="006471E8"/>
    <w:rsid w:val="00647FA3"/>
    <w:rsid w:val="006500F7"/>
    <w:rsid w:val="00650769"/>
    <w:rsid w:val="006516B7"/>
    <w:rsid w:val="006518E4"/>
    <w:rsid w:val="00651FB8"/>
    <w:rsid w:val="00652BA0"/>
    <w:rsid w:val="00653045"/>
    <w:rsid w:val="00653A25"/>
    <w:rsid w:val="00653D93"/>
    <w:rsid w:val="006544AC"/>
    <w:rsid w:val="00654E99"/>
    <w:rsid w:val="0065548F"/>
    <w:rsid w:val="00655633"/>
    <w:rsid w:val="006559BB"/>
    <w:rsid w:val="00655D93"/>
    <w:rsid w:val="00655E86"/>
    <w:rsid w:val="00655FAE"/>
    <w:rsid w:val="00656614"/>
    <w:rsid w:val="006572FE"/>
    <w:rsid w:val="006577CD"/>
    <w:rsid w:val="00657CCC"/>
    <w:rsid w:val="00660162"/>
    <w:rsid w:val="0066036D"/>
    <w:rsid w:val="00660879"/>
    <w:rsid w:val="00661639"/>
    <w:rsid w:val="0066174D"/>
    <w:rsid w:val="006631D3"/>
    <w:rsid w:val="00663D0F"/>
    <w:rsid w:val="00664525"/>
    <w:rsid w:val="0066465B"/>
    <w:rsid w:val="0066521A"/>
    <w:rsid w:val="00665EAE"/>
    <w:rsid w:val="006661EA"/>
    <w:rsid w:val="00666909"/>
    <w:rsid w:val="00666EBC"/>
    <w:rsid w:val="00667189"/>
    <w:rsid w:val="0066749E"/>
    <w:rsid w:val="00667762"/>
    <w:rsid w:val="00667CCB"/>
    <w:rsid w:val="00667EFD"/>
    <w:rsid w:val="00670475"/>
    <w:rsid w:val="00670B8C"/>
    <w:rsid w:val="00670C4A"/>
    <w:rsid w:val="00671F3E"/>
    <w:rsid w:val="00672482"/>
    <w:rsid w:val="00672A18"/>
    <w:rsid w:val="006735D0"/>
    <w:rsid w:val="00674D52"/>
    <w:rsid w:val="00674F93"/>
    <w:rsid w:val="0067546F"/>
    <w:rsid w:val="00676CE4"/>
    <w:rsid w:val="00676EC2"/>
    <w:rsid w:val="00676FA5"/>
    <w:rsid w:val="006771A4"/>
    <w:rsid w:val="006771AD"/>
    <w:rsid w:val="006774A8"/>
    <w:rsid w:val="00677572"/>
    <w:rsid w:val="00681229"/>
    <w:rsid w:val="0068185E"/>
    <w:rsid w:val="00681BE5"/>
    <w:rsid w:val="00681E30"/>
    <w:rsid w:val="0068201C"/>
    <w:rsid w:val="00683D98"/>
    <w:rsid w:val="00683D99"/>
    <w:rsid w:val="00684079"/>
    <w:rsid w:val="0068629B"/>
    <w:rsid w:val="00686C12"/>
    <w:rsid w:val="00686D75"/>
    <w:rsid w:val="0068736A"/>
    <w:rsid w:val="00687C43"/>
    <w:rsid w:val="00687D17"/>
    <w:rsid w:val="00690024"/>
    <w:rsid w:val="006903A4"/>
    <w:rsid w:val="00690EFB"/>
    <w:rsid w:val="0069137B"/>
    <w:rsid w:val="006914B7"/>
    <w:rsid w:val="00691742"/>
    <w:rsid w:val="00691DEE"/>
    <w:rsid w:val="00692704"/>
    <w:rsid w:val="00692E67"/>
    <w:rsid w:val="0069361C"/>
    <w:rsid w:val="00693EE5"/>
    <w:rsid w:val="006944C5"/>
    <w:rsid w:val="0069561C"/>
    <w:rsid w:val="00695634"/>
    <w:rsid w:val="0069600D"/>
    <w:rsid w:val="006963AE"/>
    <w:rsid w:val="00696BF6"/>
    <w:rsid w:val="00697053"/>
    <w:rsid w:val="006A066A"/>
    <w:rsid w:val="006A083E"/>
    <w:rsid w:val="006A0FFD"/>
    <w:rsid w:val="006A14A3"/>
    <w:rsid w:val="006A159D"/>
    <w:rsid w:val="006A18BF"/>
    <w:rsid w:val="006A1F58"/>
    <w:rsid w:val="006A298D"/>
    <w:rsid w:val="006A3D60"/>
    <w:rsid w:val="006A3FD6"/>
    <w:rsid w:val="006A4076"/>
    <w:rsid w:val="006A436F"/>
    <w:rsid w:val="006A59D8"/>
    <w:rsid w:val="006A6B7B"/>
    <w:rsid w:val="006A78F8"/>
    <w:rsid w:val="006A7E27"/>
    <w:rsid w:val="006B010E"/>
    <w:rsid w:val="006B091F"/>
    <w:rsid w:val="006B0ED0"/>
    <w:rsid w:val="006B0EED"/>
    <w:rsid w:val="006B233F"/>
    <w:rsid w:val="006B28EA"/>
    <w:rsid w:val="006B2FBB"/>
    <w:rsid w:val="006B35B1"/>
    <w:rsid w:val="006B378A"/>
    <w:rsid w:val="006B3BD5"/>
    <w:rsid w:val="006B4185"/>
    <w:rsid w:val="006B4224"/>
    <w:rsid w:val="006B4B62"/>
    <w:rsid w:val="006B5423"/>
    <w:rsid w:val="006B5855"/>
    <w:rsid w:val="006B5AB2"/>
    <w:rsid w:val="006B5C67"/>
    <w:rsid w:val="006B5F52"/>
    <w:rsid w:val="006B6B5D"/>
    <w:rsid w:val="006C1818"/>
    <w:rsid w:val="006C1F8B"/>
    <w:rsid w:val="006C2721"/>
    <w:rsid w:val="006C3868"/>
    <w:rsid w:val="006C38FF"/>
    <w:rsid w:val="006C3E6E"/>
    <w:rsid w:val="006C3EEA"/>
    <w:rsid w:val="006C43A6"/>
    <w:rsid w:val="006C4A4A"/>
    <w:rsid w:val="006C53EB"/>
    <w:rsid w:val="006C650D"/>
    <w:rsid w:val="006C7740"/>
    <w:rsid w:val="006C7A5F"/>
    <w:rsid w:val="006D0389"/>
    <w:rsid w:val="006D0848"/>
    <w:rsid w:val="006D0C15"/>
    <w:rsid w:val="006D0D8B"/>
    <w:rsid w:val="006D10DC"/>
    <w:rsid w:val="006D147B"/>
    <w:rsid w:val="006D19C1"/>
    <w:rsid w:val="006D2827"/>
    <w:rsid w:val="006D2848"/>
    <w:rsid w:val="006D2A1D"/>
    <w:rsid w:val="006D3F40"/>
    <w:rsid w:val="006D3FDF"/>
    <w:rsid w:val="006D4527"/>
    <w:rsid w:val="006D4B05"/>
    <w:rsid w:val="006D4F86"/>
    <w:rsid w:val="006D5F98"/>
    <w:rsid w:val="006D6665"/>
    <w:rsid w:val="006D7098"/>
    <w:rsid w:val="006D740E"/>
    <w:rsid w:val="006D7F72"/>
    <w:rsid w:val="006E00B7"/>
    <w:rsid w:val="006E0E5B"/>
    <w:rsid w:val="006E1C27"/>
    <w:rsid w:val="006E2919"/>
    <w:rsid w:val="006E3023"/>
    <w:rsid w:val="006E449C"/>
    <w:rsid w:val="006E4726"/>
    <w:rsid w:val="006E4E72"/>
    <w:rsid w:val="006E50C4"/>
    <w:rsid w:val="006E50D0"/>
    <w:rsid w:val="006E6EDF"/>
    <w:rsid w:val="006E73FD"/>
    <w:rsid w:val="006E7BA5"/>
    <w:rsid w:val="006F01E8"/>
    <w:rsid w:val="006F02D7"/>
    <w:rsid w:val="006F212E"/>
    <w:rsid w:val="006F2D24"/>
    <w:rsid w:val="006F37F7"/>
    <w:rsid w:val="006F3909"/>
    <w:rsid w:val="006F48E1"/>
    <w:rsid w:val="006F60DF"/>
    <w:rsid w:val="006F68C1"/>
    <w:rsid w:val="006F6CE2"/>
    <w:rsid w:val="006F6E10"/>
    <w:rsid w:val="007014F8"/>
    <w:rsid w:val="0070150D"/>
    <w:rsid w:val="007016D2"/>
    <w:rsid w:val="007018D8"/>
    <w:rsid w:val="00703107"/>
    <w:rsid w:val="00703138"/>
    <w:rsid w:val="0070365A"/>
    <w:rsid w:val="00703981"/>
    <w:rsid w:val="00704336"/>
    <w:rsid w:val="0070495F"/>
    <w:rsid w:val="00704B6E"/>
    <w:rsid w:val="00704F73"/>
    <w:rsid w:val="0070508D"/>
    <w:rsid w:val="0070542E"/>
    <w:rsid w:val="007060D4"/>
    <w:rsid w:val="0070624C"/>
    <w:rsid w:val="00706451"/>
    <w:rsid w:val="00707E0F"/>
    <w:rsid w:val="0071068A"/>
    <w:rsid w:val="00710E19"/>
    <w:rsid w:val="00710E52"/>
    <w:rsid w:val="0071174F"/>
    <w:rsid w:val="0071196A"/>
    <w:rsid w:val="007131CF"/>
    <w:rsid w:val="007133C0"/>
    <w:rsid w:val="00713613"/>
    <w:rsid w:val="007137C6"/>
    <w:rsid w:val="007138FC"/>
    <w:rsid w:val="0071393D"/>
    <w:rsid w:val="00713E79"/>
    <w:rsid w:val="00715441"/>
    <w:rsid w:val="00715739"/>
    <w:rsid w:val="0071576C"/>
    <w:rsid w:val="00716A09"/>
    <w:rsid w:val="007178AD"/>
    <w:rsid w:val="00717CA8"/>
    <w:rsid w:val="007205E7"/>
    <w:rsid w:val="007209C4"/>
    <w:rsid w:val="007217C4"/>
    <w:rsid w:val="00721D68"/>
    <w:rsid w:val="00721E9E"/>
    <w:rsid w:val="00722296"/>
    <w:rsid w:val="007227FE"/>
    <w:rsid w:val="007233C3"/>
    <w:rsid w:val="00723C95"/>
    <w:rsid w:val="007244E7"/>
    <w:rsid w:val="0072505F"/>
    <w:rsid w:val="00725B00"/>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5293"/>
    <w:rsid w:val="007363EA"/>
    <w:rsid w:val="00736E06"/>
    <w:rsid w:val="00736E37"/>
    <w:rsid w:val="00737286"/>
    <w:rsid w:val="007373DB"/>
    <w:rsid w:val="00737F27"/>
    <w:rsid w:val="00737FD3"/>
    <w:rsid w:val="0074046F"/>
    <w:rsid w:val="007407DB"/>
    <w:rsid w:val="00740BFC"/>
    <w:rsid w:val="00741037"/>
    <w:rsid w:val="007422B3"/>
    <w:rsid w:val="007424BF"/>
    <w:rsid w:val="007435F1"/>
    <w:rsid w:val="00743DDD"/>
    <w:rsid w:val="007446BB"/>
    <w:rsid w:val="00745378"/>
    <w:rsid w:val="00745882"/>
    <w:rsid w:val="00745A0F"/>
    <w:rsid w:val="00746197"/>
    <w:rsid w:val="0074689C"/>
    <w:rsid w:val="00746B3F"/>
    <w:rsid w:val="00747B0D"/>
    <w:rsid w:val="00751452"/>
    <w:rsid w:val="007521A5"/>
    <w:rsid w:val="00753959"/>
    <w:rsid w:val="00753DD6"/>
    <w:rsid w:val="00754A4A"/>
    <w:rsid w:val="007567A8"/>
    <w:rsid w:val="00760F66"/>
    <w:rsid w:val="007611F8"/>
    <w:rsid w:val="00761931"/>
    <w:rsid w:val="00761BD1"/>
    <w:rsid w:val="0076291E"/>
    <w:rsid w:val="00762D81"/>
    <w:rsid w:val="0076317B"/>
    <w:rsid w:val="007644EE"/>
    <w:rsid w:val="00765366"/>
    <w:rsid w:val="00765914"/>
    <w:rsid w:val="0076614D"/>
    <w:rsid w:val="00766296"/>
    <w:rsid w:val="00766304"/>
    <w:rsid w:val="007669FF"/>
    <w:rsid w:val="00767A28"/>
    <w:rsid w:val="00767C6C"/>
    <w:rsid w:val="00767DD2"/>
    <w:rsid w:val="00770E60"/>
    <w:rsid w:val="00771C8F"/>
    <w:rsid w:val="0077266E"/>
    <w:rsid w:val="007737D8"/>
    <w:rsid w:val="0077391C"/>
    <w:rsid w:val="00774576"/>
    <w:rsid w:val="0077508A"/>
    <w:rsid w:val="00775567"/>
    <w:rsid w:val="00775E0D"/>
    <w:rsid w:val="00776343"/>
    <w:rsid w:val="00776416"/>
    <w:rsid w:val="00776C7B"/>
    <w:rsid w:val="00776CEF"/>
    <w:rsid w:val="00777E7E"/>
    <w:rsid w:val="007804DD"/>
    <w:rsid w:val="00780A0D"/>
    <w:rsid w:val="00780F3B"/>
    <w:rsid w:val="007816EE"/>
    <w:rsid w:val="00782071"/>
    <w:rsid w:val="00782946"/>
    <w:rsid w:val="0078363B"/>
    <w:rsid w:val="00783CCF"/>
    <w:rsid w:val="00784609"/>
    <w:rsid w:val="00784720"/>
    <w:rsid w:val="0078481D"/>
    <w:rsid w:val="007859FC"/>
    <w:rsid w:val="00785F4C"/>
    <w:rsid w:val="0078609C"/>
    <w:rsid w:val="00786355"/>
    <w:rsid w:val="007874AE"/>
    <w:rsid w:val="0078750B"/>
    <w:rsid w:val="00787F5E"/>
    <w:rsid w:val="0079024D"/>
    <w:rsid w:val="007911B8"/>
    <w:rsid w:val="00791DAE"/>
    <w:rsid w:val="007930E8"/>
    <w:rsid w:val="00793F28"/>
    <w:rsid w:val="007944D2"/>
    <w:rsid w:val="00794B19"/>
    <w:rsid w:val="00795B8D"/>
    <w:rsid w:val="00795F0E"/>
    <w:rsid w:val="007A0C00"/>
    <w:rsid w:val="007A176E"/>
    <w:rsid w:val="007A1B09"/>
    <w:rsid w:val="007A2A69"/>
    <w:rsid w:val="007A41B5"/>
    <w:rsid w:val="007A4486"/>
    <w:rsid w:val="007A4682"/>
    <w:rsid w:val="007A5BDC"/>
    <w:rsid w:val="007A6610"/>
    <w:rsid w:val="007A6FF3"/>
    <w:rsid w:val="007A71DC"/>
    <w:rsid w:val="007A7A04"/>
    <w:rsid w:val="007B04FF"/>
    <w:rsid w:val="007B054E"/>
    <w:rsid w:val="007B0CAC"/>
    <w:rsid w:val="007B15F3"/>
    <w:rsid w:val="007B1701"/>
    <w:rsid w:val="007B1DBB"/>
    <w:rsid w:val="007B2319"/>
    <w:rsid w:val="007B2FBF"/>
    <w:rsid w:val="007B30D8"/>
    <w:rsid w:val="007B3E13"/>
    <w:rsid w:val="007B4046"/>
    <w:rsid w:val="007B4300"/>
    <w:rsid w:val="007B565C"/>
    <w:rsid w:val="007B595F"/>
    <w:rsid w:val="007B736B"/>
    <w:rsid w:val="007C0853"/>
    <w:rsid w:val="007C0E86"/>
    <w:rsid w:val="007C249E"/>
    <w:rsid w:val="007C26CF"/>
    <w:rsid w:val="007C271B"/>
    <w:rsid w:val="007C2C14"/>
    <w:rsid w:val="007C3A55"/>
    <w:rsid w:val="007C44E1"/>
    <w:rsid w:val="007C48DD"/>
    <w:rsid w:val="007C4A05"/>
    <w:rsid w:val="007C5711"/>
    <w:rsid w:val="007C57B9"/>
    <w:rsid w:val="007C6325"/>
    <w:rsid w:val="007C7EF5"/>
    <w:rsid w:val="007D06AC"/>
    <w:rsid w:val="007D0A53"/>
    <w:rsid w:val="007D0FFC"/>
    <w:rsid w:val="007D1013"/>
    <w:rsid w:val="007D102D"/>
    <w:rsid w:val="007D19EC"/>
    <w:rsid w:val="007D36B1"/>
    <w:rsid w:val="007D36D7"/>
    <w:rsid w:val="007D3BA1"/>
    <w:rsid w:val="007D3EC8"/>
    <w:rsid w:val="007D40AC"/>
    <w:rsid w:val="007D4C12"/>
    <w:rsid w:val="007D57E0"/>
    <w:rsid w:val="007D5AC4"/>
    <w:rsid w:val="007D63B2"/>
    <w:rsid w:val="007D651D"/>
    <w:rsid w:val="007D71B7"/>
    <w:rsid w:val="007E0274"/>
    <w:rsid w:val="007E0415"/>
    <w:rsid w:val="007E0991"/>
    <w:rsid w:val="007E0B2C"/>
    <w:rsid w:val="007E0F00"/>
    <w:rsid w:val="007E107F"/>
    <w:rsid w:val="007E2B02"/>
    <w:rsid w:val="007E2FD7"/>
    <w:rsid w:val="007E310B"/>
    <w:rsid w:val="007E38DA"/>
    <w:rsid w:val="007E3D65"/>
    <w:rsid w:val="007E3EE2"/>
    <w:rsid w:val="007E47E7"/>
    <w:rsid w:val="007E4A98"/>
    <w:rsid w:val="007E4EB6"/>
    <w:rsid w:val="007E5DD7"/>
    <w:rsid w:val="007E7139"/>
    <w:rsid w:val="007E7B8D"/>
    <w:rsid w:val="007E7EA1"/>
    <w:rsid w:val="007F03CE"/>
    <w:rsid w:val="007F04D3"/>
    <w:rsid w:val="007F2D8D"/>
    <w:rsid w:val="007F2EBF"/>
    <w:rsid w:val="007F3044"/>
    <w:rsid w:val="007F3249"/>
    <w:rsid w:val="007F4657"/>
    <w:rsid w:val="007F5609"/>
    <w:rsid w:val="007F568A"/>
    <w:rsid w:val="007F59F7"/>
    <w:rsid w:val="007F5E21"/>
    <w:rsid w:val="007F5FC4"/>
    <w:rsid w:val="007F6413"/>
    <w:rsid w:val="007F6B11"/>
    <w:rsid w:val="007F6E2B"/>
    <w:rsid w:val="00801745"/>
    <w:rsid w:val="00802735"/>
    <w:rsid w:val="00803B7E"/>
    <w:rsid w:val="00803DA6"/>
    <w:rsid w:val="0080436E"/>
    <w:rsid w:val="00804937"/>
    <w:rsid w:val="00804E1E"/>
    <w:rsid w:val="00804E43"/>
    <w:rsid w:val="008050F5"/>
    <w:rsid w:val="00805491"/>
    <w:rsid w:val="00810BC2"/>
    <w:rsid w:val="00810F39"/>
    <w:rsid w:val="00811683"/>
    <w:rsid w:val="00811AFF"/>
    <w:rsid w:val="00812373"/>
    <w:rsid w:val="0081266D"/>
    <w:rsid w:val="00813E05"/>
    <w:rsid w:val="00813F3A"/>
    <w:rsid w:val="008140E8"/>
    <w:rsid w:val="00814941"/>
    <w:rsid w:val="00814A65"/>
    <w:rsid w:val="00814BD9"/>
    <w:rsid w:val="008158AC"/>
    <w:rsid w:val="00816BE8"/>
    <w:rsid w:val="00816DBD"/>
    <w:rsid w:val="00816FE2"/>
    <w:rsid w:val="00817062"/>
    <w:rsid w:val="008174F9"/>
    <w:rsid w:val="00817991"/>
    <w:rsid w:val="00817F58"/>
    <w:rsid w:val="008203C5"/>
    <w:rsid w:val="00820B84"/>
    <w:rsid w:val="0082199B"/>
    <w:rsid w:val="008243A8"/>
    <w:rsid w:val="00824925"/>
    <w:rsid w:val="008252E8"/>
    <w:rsid w:val="00825BA8"/>
    <w:rsid w:val="00825C14"/>
    <w:rsid w:val="0082641D"/>
    <w:rsid w:val="008267CA"/>
    <w:rsid w:val="0082722B"/>
    <w:rsid w:val="00827C1B"/>
    <w:rsid w:val="008301F1"/>
    <w:rsid w:val="00830C0E"/>
    <w:rsid w:val="008317EC"/>
    <w:rsid w:val="0083195D"/>
    <w:rsid w:val="00831B7B"/>
    <w:rsid w:val="008324F3"/>
    <w:rsid w:val="0083296B"/>
    <w:rsid w:val="00833852"/>
    <w:rsid w:val="00833AB9"/>
    <w:rsid w:val="0083452A"/>
    <w:rsid w:val="00834820"/>
    <w:rsid w:val="00834A2B"/>
    <w:rsid w:val="00834C82"/>
    <w:rsid w:val="00834DB6"/>
    <w:rsid w:val="00834F93"/>
    <w:rsid w:val="00836174"/>
    <w:rsid w:val="00837728"/>
    <w:rsid w:val="00840C4A"/>
    <w:rsid w:val="008411B9"/>
    <w:rsid w:val="0084122F"/>
    <w:rsid w:val="00841D08"/>
    <w:rsid w:val="00842D43"/>
    <w:rsid w:val="0084323E"/>
    <w:rsid w:val="00843D50"/>
    <w:rsid w:val="0084464E"/>
    <w:rsid w:val="00846262"/>
    <w:rsid w:val="00846370"/>
    <w:rsid w:val="00847538"/>
    <w:rsid w:val="00847665"/>
    <w:rsid w:val="00847BC5"/>
    <w:rsid w:val="00847F11"/>
    <w:rsid w:val="00850010"/>
    <w:rsid w:val="008503F4"/>
    <w:rsid w:val="008504A0"/>
    <w:rsid w:val="00850C2A"/>
    <w:rsid w:val="00850DC0"/>
    <w:rsid w:val="00850DFA"/>
    <w:rsid w:val="00851331"/>
    <w:rsid w:val="008516D1"/>
    <w:rsid w:val="00852003"/>
    <w:rsid w:val="0085212C"/>
    <w:rsid w:val="00854053"/>
    <w:rsid w:val="008543AC"/>
    <w:rsid w:val="008548B8"/>
    <w:rsid w:val="00854965"/>
    <w:rsid w:val="008554D1"/>
    <w:rsid w:val="008558E0"/>
    <w:rsid w:val="00855CC6"/>
    <w:rsid w:val="00860109"/>
    <w:rsid w:val="008601BD"/>
    <w:rsid w:val="00860359"/>
    <w:rsid w:val="00860E43"/>
    <w:rsid w:val="00861252"/>
    <w:rsid w:val="0086171A"/>
    <w:rsid w:val="00861B3D"/>
    <w:rsid w:val="0086226C"/>
    <w:rsid w:val="00864023"/>
    <w:rsid w:val="0086419A"/>
    <w:rsid w:val="008644A4"/>
    <w:rsid w:val="00864A6C"/>
    <w:rsid w:val="00864BB1"/>
    <w:rsid w:val="00864DF7"/>
    <w:rsid w:val="00865278"/>
    <w:rsid w:val="008654F9"/>
    <w:rsid w:val="00866388"/>
    <w:rsid w:val="0086722D"/>
    <w:rsid w:val="00867D56"/>
    <w:rsid w:val="00870BAA"/>
    <w:rsid w:val="008716D1"/>
    <w:rsid w:val="008716ED"/>
    <w:rsid w:val="0087193F"/>
    <w:rsid w:val="00871BFC"/>
    <w:rsid w:val="008728C8"/>
    <w:rsid w:val="00872D04"/>
    <w:rsid w:val="00873205"/>
    <w:rsid w:val="0087377E"/>
    <w:rsid w:val="00874594"/>
    <w:rsid w:val="00874776"/>
    <w:rsid w:val="00874B75"/>
    <w:rsid w:val="008750DB"/>
    <w:rsid w:val="0087527F"/>
    <w:rsid w:val="008754B5"/>
    <w:rsid w:val="00875AF3"/>
    <w:rsid w:val="00875FBE"/>
    <w:rsid w:val="008765E9"/>
    <w:rsid w:val="00876605"/>
    <w:rsid w:val="00876B13"/>
    <w:rsid w:val="00880017"/>
    <w:rsid w:val="00880305"/>
    <w:rsid w:val="0088088A"/>
    <w:rsid w:val="00880A3F"/>
    <w:rsid w:val="00881732"/>
    <w:rsid w:val="008818A2"/>
    <w:rsid w:val="0088213D"/>
    <w:rsid w:val="008821C6"/>
    <w:rsid w:val="0088243D"/>
    <w:rsid w:val="0088251A"/>
    <w:rsid w:val="00882D28"/>
    <w:rsid w:val="00883A19"/>
    <w:rsid w:val="00883A67"/>
    <w:rsid w:val="008848E9"/>
    <w:rsid w:val="00884FD8"/>
    <w:rsid w:val="00885244"/>
    <w:rsid w:val="008858B3"/>
    <w:rsid w:val="008866CF"/>
    <w:rsid w:val="00886782"/>
    <w:rsid w:val="008869A1"/>
    <w:rsid w:val="00886B3F"/>
    <w:rsid w:val="0089015D"/>
    <w:rsid w:val="0089021A"/>
    <w:rsid w:val="0089022E"/>
    <w:rsid w:val="00890A7C"/>
    <w:rsid w:val="00890D11"/>
    <w:rsid w:val="008910EE"/>
    <w:rsid w:val="008919F6"/>
    <w:rsid w:val="00891A26"/>
    <w:rsid w:val="008923F8"/>
    <w:rsid w:val="008928F1"/>
    <w:rsid w:val="00892BBF"/>
    <w:rsid w:val="00892DB5"/>
    <w:rsid w:val="00894284"/>
    <w:rsid w:val="008942BD"/>
    <w:rsid w:val="0089478A"/>
    <w:rsid w:val="00894FE5"/>
    <w:rsid w:val="008956DA"/>
    <w:rsid w:val="00895BA9"/>
    <w:rsid w:val="0089601B"/>
    <w:rsid w:val="00896784"/>
    <w:rsid w:val="00897824"/>
    <w:rsid w:val="00897BCB"/>
    <w:rsid w:val="00897C07"/>
    <w:rsid w:val="008A02FA"/>
    <w:rsid w:val="008A06A8"/>
    <w:rsid w:val="008A1672"/>
    <w:rsid w:val="008A1AAC"/>
    <w:rsid w:val="008A2956"/>
    <w:rsid w:val="008A2EA1"/>
    <w:rsid w:val="008A2EF6"/>
    <w:rsid w:val="008A3480"/>
    <w:rsid w:val="008A4F3C"/>
    <w:rsid w:val="008A51AD"/>
    <w:rsid w:val="008A53BA"/>
    <w:rsid w:val="008A551D"/>
    <w:rsid w:val="008A56BA"/>
    <w:rsid w:val="008A570A"/>
    <w:rsid w:val="008A58E4"/>
    <w:rsid w:val="008A58E7"/>
    <w:rsid w:val="008A5C1D"/>
    <w:rsid w:val="008A615A"/>
    <w:rsid w:val="008A67EC"/>
    <w:rsid w:val="008A6A36"/>
    <w:rsid w:val="008A6DC1"/>
    <w:rsid w:val="008A7100"/>
    <w:rsid w:val="008A7139"/>
    <w:rsid w:val="008A776D"/>
    <w:rsid w:val="008A7C74"/>
    <w:rsid w:val="008B04C0"/>
    <w:rsid w:val="008B0A83"/>
    <w:rsid w:val="008B0E93"/>
    <w:rsid w:val="008B29A4"/>
    <w:rsid w:val="008B2C30"/>
    <w:rsid w:val="008B3C2B"/>
    <w:rsid w:val="008B4679"/>
    <w:rsid w:val="008B4D00"/>
    <w:rsid w:val="008B4D13"/>
    <w:rsid w:val="008B4E78"/>
    <w:rsid w:val="008B4FE2"/>
    <w:rsid w:val="008B5BC7"/>
    <w:rsid w:val="008B66EE"/>
    <w:rsid w:val="008B6793"/>
    <w:rsid w:val="008B6E87"/>
    <w:rsid w:val="008B75C2"/>
    <w:rsid w:val="008B787A"/>
    <w:rsid w:val="008C0A89"/>
    <w:rsid w:val="008C0E71"/>
    <w:rsid w:val="008C1852"/>
    <w:rsid w:val="008C2CFF"/>
    <w:rsid w:val="008C2E22"/>
    <w:rsid w:val="008C2ED2"/>
    <w:rsid w:val="008C3D4D"/>
    <w:rsid w:val="008C4026"/>
    <w:rsid w:val="008C417E"/>
    <w:rsid w:val="008C4BBF"/>
    <w:rsid w:val="008C5CCC"/>
    <w:rsid w:val="008C6105"/>
    <w:rsid w:val="008C6124"/>
    <w:rsid w:val="008C6334"/>
    <w:rsid w:val="008C6968"/>
    <w:rsid w:val="008C742A"/>
    <w:rsid w:val="008C7714"/>
    <w:rsid w:val="008D00F3"/>
    <w:rsid w:val="008D18CD"/>
    <w:rsid w:val="008D20E0"/>
    <w:rsid w:val="008D335C"/>
    <w:rsid w:val="008D35B7"/>
    <w:rsid w:val="008D436A"/>
    <w:rsid w:val="008D4C72"/>
    <w:rsid w:val="008D561B"/>
    <w:rsid w:val="008D5CF9"/>
    <w:rsid w:val="008D6794"/>
    <w:rsid w:val="008D77A1"/>
    <w:rsid w:val="008D7F65"/>
    <w:rsid w:val="008E0178"/>
    <w:rsid w:val="008E02F8"/>
    <w:rsid w:val="008E211C"/>
    <w:rsid w:val="008E2BB3"/>
    <w:rsid w:val="008E2BC5"/>
    <w:rsid w:val="008E2C79"/>
    <w:rsid w:val="008E3176"/>
    <w:rsid w:val="008E3564"/>
    <w:rsid w:val="008E3A0B"/>
    <w:rsid w:val="008E3AAB"/>
    <w:rsid w:val="008E4043"/>
    <w:rsid w:val="008E5868"/>
    <w:rsid w:val="008E5DC8"/>
    <w:rsid w:val="008E6465"/>
    <w:rsid w:val="008E6C57"/>
    <w:rsid w:val="008E7082"/>
    <w:rsid w:val="008E7578"/>
    <w:rsid w:val="008E76D1"/>
    <w:rsid w:val="008F0952"/>
    <w:rsid w:val="008F1154"/>
    <w:rsid w:val="008F1725"/>
    <w:rsid w:val="008F1B84"/>
    <w:rsid w:val="008F1DB6"/>
    <w:rsid w:val="008F39C0"/>
    <w:rsid w:val="008F3B32"/>
    <w:rsid w:val="008F57CD"/>
    <w:rsid w:val="008F5960"/>
    <w:rsid w:val="008F5CBF"/>
    <w:rsid w:val="008F5CD0"/>
    <w:rsid w:val="008F629A"/>
    <w:rsid w:val="008F6A9B"/>
    <w:rsid w:val="008F769D"/>
    <w:rsid w:val="008F76DC"/>
    <w:rsid w:val="009013C5"/>
    <w:rsid w:val="0090147B"/>
    <w:rsid w:val="00901649"/>
    <w:rsid w:val="00903026"/>
    <w:rsid w:val="0090357B"/>
    <w:rsid w:val="009044BE"/>
    <w:rsid w:val="009048EB"/>
    <w:rsid w:val="00904913"/>
    <w:rsid w:val="009050B3"/>
    <w:rsid w:val="00905945"/>
    <w:rsid w:val="00905FEB"/>
    <w:rsid w:val="0090672E"/>
    <w:rsid w:val="00906A4F"/>
    <w:rsid w:val="00906BD6"/>
    <w:rsid w:val="009078BA"/>
    <w:rsid w:val="009079C7"/>
    <w:rsid w:val="009079F7"/>
    <w:rsid w:val="00907C33"/>
    <w:rsid w:val="009108D2"/>
    <w:rsid w:val="00910B8E"/>
    <w:rsid w:val="00910FE1"/>
    <w:rsid w:val="0091106A"/>
    <w:rsid w:val="00911D1C"/>
    <w:rsid w:val="00912F38"/>
    <w:rsid w:val="00913C58"/>
    <w:rsid w:val="009140B4"/>
    <w:rsid w:val="00914174"/>
    <w:rsid w:val="0091428A"/>
    <w:rsid w:val="00914AA5"/>
    <w:rsid w:val="009162DD"/>
    <w:rsid w:val="009163E7"/>
    <w:rsid w:val="0091671A"/>
    <w:rsid w:val="009169F6"/>
    <w:rsid w:val="0091719D"/>
    <w:rsid w:val="009173D2"/>
    <w:rsid w:val="00920B1E"/>
    <w:rsid w:val="00920DD5"/>
    <w:rsid w:val="00921161"/>
    <w:rsid w:val="00922492"/>
    <w:rsid w:val="009224EB"/>
    <w:rsid w:val="0092272F"/>
    <w:rsid w:val="00922BE2"/>
    <w:rsid w:val="00922EDE"/>
    <w:rsid w:val="009237D9"/>
    <w:rsid w:val="0092406C"/>
    <w:rsid w:val="00924096"/>
    <w:rsid w:val="009243BC"/>
    <w:rsid w:val="009244D5"/>
    <w:rsid w:val="009252F1"/>
    <w:rsid w:val="00925AF5"/>
    <w:rsid w:val="00926268"/>
    <w:rsid w:val="009262A1"/>
    <w:rsid w:val="009264A2"/>
    <w:rsid w:val="0092672E"/>
    <w:rsid w:val="0092715D"/>
    <w:rsid w:val="00930632"/>
    <w:rsid w:val="009310BC"/>
    <w:rsid w:val="00931F80"/>
    <w:rsid w:val="009324C4"/>
    <w:rsid w:val="00932671"/>
    <w:rsid w:val="0093274F"/>
    <w:rsid w:val="00932A7A"/>
    <w:rsid w:val="009330BF"/>
    <w:rsid w:val="00933817"/>
    <w:rsid w:val="00934510"/>
    <w:rsid w:val="0093476C"/>
    <w:rsid w:val="00935A1E"/>
    <w:rsid w:val="00935B7C"/>
    <w:rsid w:val="00935E3A"/>
    <w:rsid w:val="0093607C"/>
    <w:rsid w:val="00940008"/>
    <w:rsid w:val="00940FFA"/>
    <w:rsid w:val="00941503"/>
    <w:rsid w:val="00942C90"/>
    <w:rsid w:val="00942F29"/>
    <w:rsid w:val="00942FB6"/>
    <w:rsid w:val="00943EA6"/>
    <w:rsid w:val="009448F2"/>
    <w:rsid w:val="00945759"/>
    <w:rsid w:val="009466E9"/>
    <w:rsid w:val="00946CB3"/>
    <w:rsid w:val="00946D20"/>
    <w:rsid w:val="00946E51"/>
    <w:rsid w:val="009473F4"/>
    <w:rsid w:val="00950231"/>
    <w:rsid w:val="00950794"/>
    <w:rsid w:val="009507AA"/>
    <w:rsid w:val="009509EF"/>
    <w:rsid w:val="00951691"/>
    <w:rsid w:val="00951FCE"/>
    <w:rsid w:val="0095226C"/>
    <w:rsid w:val="00952C05"/>
    <w:rsid w:val="009540B7"/>
    <w:rsid w:val="009543D0"/>
    <w:rsid w:val="00954DAE"/>
    <w:rsid w:val="00955410"/>
    <w:rsid w:val="009558EE"/>
    <w:rsid w:val="009559D5"/>
    <w:rsid w:val="0095605B"/>
    <w:rsid w:val="00956170"/>
    <w:rsid w:val="00956CAC"/>
    <w:rsid w:val="00956D42"/>
    <w:rsid w:val="0095727F"/>
    <w:rsid w:val="009572AF"/>
    <w:rsid w:val="0095749E"/>
    <w:rsid w:val="00957E41"/>
    <w:rsid w:val="009600DF"/>
    <w:rsid w:val="009607AB"/>
    <w:rsid w:val="009615DB"/>
    <w:rsid w:val="00962683"/>
    <w:rsid w:val="00962E23"/>
    <w:rsid w:val="0096487C"/>
    <w:rsid w:val="00964BC2"/>
    <w:rsid w:val="00964D4A"/>
    <w:rsid w:val="00964EAE"/>
    <w:rsid w:val="00965023"/>
    <w:rsid w:val="009650B7"/>
    <w:rsid w:val="00965841"/>
    <w:rsid w:val="00965A99"/>
    <w:rsid w:val="00966623"/>
    <w:rsid w:val="009678DB"/>
    <w:rsid w:val="00970728"/>
    <w:rsid w:val="009707C9"/>
    <w:rsid w:val="00972FB5"/>
    <w:rsid w:val="009736FE"/>
    <w:rsid w:val="00973B96"/>
    <w:rsid w:val="00973E3C"/>
    <w:rsid w:val="00974763"/>
    <w:rsid w:val="00974C51"/>
    <w:rsid w:val="009757CA"/>
    <w:rsid w:val="00976E76"/>
    <w:rsid w:val="00977684"/>
    <w:rsid w:val="00977A14"/>
    <w:rsid w:val="00977E9B"/>
    <w:rsid w:val="009807BF"/>
    <w:rsid w:val="009809CE"/>
    <w:rsid w:val="00981479"/>
    <w:rsid w:val="009829B3"/>
    <w:rsid w:val="00982D45"/>
    <w:rsid w:val="009833C4"/>
    <w:rsid w:val="009834E0"/>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769"/>
    <w:rsid w:val="00990BC5"/>
    <w:rsid w:val="0099177B"/>
    <w:rsid w:val="0099367E"/>
    <w:rsid w:val="00993FE4"/>
    <w:rsid w:val="0099425E"/>
    <w:rsid w:val="00994CDC"/>
    <w:rsid w:val="00995781"/>
    <w:rsid w:val="0099770A"/>
    <w:rsid w:val="00997769"/>
    <w:rsid w:val="00997A2E"/>
    <w:rsid w:val="009A010B"/>
    <w:rsid w:val="009A048E"/>
    <w:rsid w:val="009A119F"/>
    <w:rsid w:val="009A13B3"/>
    <w:rsid w:val="009A1609"/>
    <w:rsid w:val="009A1A7E"/>
    <w:rsid w:val="009A2351"/>
    <w:rsid w:val="009A3DB8"/>
    <w:rsid w:val="009A43B3"/>
    <w:rsid w:val="009A464D"/>
    <w:rsid w:val="009A496F"/>
    <w:rsid w:val="009A4B78"/>
    <w:rsid w:val="009A4D73"/>
    <w:rsid w:val="009A4E41"/>
    <w:rsid w:val="009A5297"/>
    <w:rsid w:val="009A572D"/>
    <w:rsid w:val="009A5D40"/>
    <w:rsid w:val="009A5E10"/>
    <w:rsid w:val="009A6152"/>
    <w:rsid w:val="009A6665"/>
    <w:rsid w:val="009A743F"/>
    <w:rsid w:val="009A74F7"/>
    <w:rsid w:val="009B00F2"/>
    <w:rsid w:val="009B1113"/>
    <w:rsid w:val="009B1C34"/>
    <w:rsid w:val="009B1D22"/>
    <w:rsid w:val="009B1E86"/>
    <w:rsid w:val="009B27C4"/>
    <w:rsid w:val="009B2D92"/>
    <w:rsid w:val="009B3250"/>
    <w:rsid w:val="009B42D2"/>
    <w:rsid w:val="009B4A06"/>
    <w:rsid w:val="009B737C"/>
    <w:rsid w:val="009B742E"/>
    <w:rsid w:val="009C0AC6"/>
    <w:rsid w:val="009C0C1C"/>
    <w:rsid w:val="009C0D3E"/>
    <w:rsid w:val="009C11B2"/>
    <w:rsid w:val="009C1456"/>
    <w:rsid w:val="009C22DD"/>
    <w:rsid w:val="009C359E"/>
    <w:rsid w:val="009C37FE"/>
    <w:rsid w:val="009C4082"/>
    <w:rsid w:val="009C4A38"/>
    <w:rsid w:val="009C55E2"/>
    <w:rsid w:val="009C5A4E"/>
    <w:rsid w:val="009C5EE5"/>
    <w:rsid w:val="009C61E3"/>
    <w:rsid w:val="009C6B56"/>
    <w:rsid w:val="009C7DB8"/>
    <w:rsid w:val="009D010D"/>
    <w:rsid w:val="009D0244"/>
    <w:rsid w:val="009D0F71"/>
    <w:rsid w:val="009D111C"/>
    <w:rsid w:val="009D17A0"/>
    <w:rsid w:val="009D1F7A"/>
    <w:rsid w:val="009D2873"/>
    <w:rsid w:val="009D3A1A"/>
    <w:rsid w:val="009D426A"/>
    <w:rsid w:val="009D6B03"/>
    <w:rsid w:val="009D6B3D"/>
    <w:rsid w:val="009D7422"/>
    <w:rsid w:val="009D78E7"/>
    <w:rsid w:val="009E0742"/>
    <w:rsid w:val="009E1291"/>
    <w:rsid w:val="009E12BC"/>
    <w:rsid w:val="009E224D"/>
    <w:rsid w:val="009E2A07"/>
    <w:rsid w:val="009E3398"/>
    <w:rsid w:val="009E3453"/>
    <w:rsid w:val="009E3E84"/>
    <w:rsid w:val="009E4097"/>
    <w:rsid w:val="009E4D8E"/>
    <w:rsid w:val="009E4E90"/>
    <w:rsid w:val="009E4EB7"/>
    <w:rsid w:val="009E57C1"/>
    <w:rsid w:val="009E624A"/>
    <w:rsid w:val="009E6B32"/>
    <w:rsid w:val="009E70F3"/>
    <w:rsid w:val="009E7303"/>
    <w:rsid w:val="009E7E98"/>
    <w:rsid w:val="009F00EE"/>
    <w:rsid w:val="009F0827"/>
    <w:rsid w:val="009F0BED"/>
    <w:rsid w:val="009F1673"/>
    <w:rsid w:val="009F3255"/>
    <w:rsid w:val="009F34AA"/>
    <w:rsid w:val="009F3DCE"/>
    <w:rsid w:val="009F44FF"/>
    <w:rsid w:val="009F472D"/>
    <w:rsid w:val="009F4A5F"/>
    <w:rsid w:val="009F4CF0"/>
    <w:rsid w:val="009F4E88"/>
    <w:rsid w:val="009F50D1"/>
    <w:rsid w:val="009F573B"/>
    <w:rsid w:val="009F5918"/>
    <w:rsid w:val="009F596D"/>
    <w:rsid w:val="009F6A91"/>
    <w:rsid w:val="009F71AA"/>
    <w:rsid w:val="009F754A"/>
    <w:rsid w:val="009F791F"/>
    <w:rsid w:val="009F7F86"/>
    <w:rsid w:val="00A0034D"/>
    <w:rsid w:val="00A00BFB"/>
    <w:rsid w:val="00A00DCF"/>
    <w:rsid w:val="00A0187E"/>
    <w:rsid w:val="00A026F0"/>
    <w:rsid w:val="00A02F2D"/>
    <w:rsid w:val="00A02F61"/>
    <w:rsid w:val="00A03E0E"/>
    <w:rsid w:val="00A040D1"/>
    <w:rsid w:val="00A04850"/>
    <w:rsid w:val="00A04A0A"/>
    <w:rsid w:val="00A050A8"/>
    <w:rsid w:val="00A056A3"/>
    <w:rsid w:val="00A06286"/>
    <w:rsid w:val="00A06318"/>
    <w:rsid w:val="00A063BC"/>
    <w:rsid w:val="00A0711F"/>
    <w:rsid w:val="00A07B0B"/>
    <w:rsid w:val="00A102A0"/>
    <w:rsid w:val="00A114FA"/>
    <w:rsid w:val="00A11AF3"/>
    <w:rsid w:val="00A1203C"/>
    <w:rsid w:val="00A12C09"/>
    <w:rsid w:val="00A13084"/>
    <w:rsid w:val="00A13817"/>
    <w:rsid w:val="00A15F4F"/>
    <w:rsid w:val="00A160AB"/>
    <w:rsid w:val="00A16745"/>
    <w:rsid w:val="00A16747"/>
    <w:rsid w:val="00A20582"/>
    <w:rsid w:val="00A20C65"/>
    <w:rsid w:val="00A21767"/>
    <w:rsid w:val="00A21FD5"/>
    <w:rsid w:val="00A22751"/>
    <w:rsid w:val="00A22940"/>
    <w:rsid w:val="00A22A21"/>
    <w:rsid w:val="00A2343F"/>
    <w:rsid w:val="00A2428B"/>
    <w:rsid w:val="00A247E5"/>
    <w:rsid w:val="00A24D81"/>
    <w:rsid w:val="00A24EA5"/>
    <w:rsid w:val="00A25173"/>
    <w:rsid w:val="00A252F0"/>
    <w:rsid w:val="00A26463"/>
    <w:rsid w:val="00A2660E"/>
    <w:rsid w:val="00A26916"/>
    <w:rsid w:val="00A26B47"/>
    <w:rsid w:val="00A26FF1"/>
    <w:rsid w:val="00A27806"/>
    <w:rsid w:val="00A3007B"/>
    <w:rsid w:val="00A3068C"/>
    <w:rsid w:val="00A3127F"/>
    <w:rsid w:val="00A31BCC"/>
    <w:rsid w:val="00A325BB"/>
    <w:rsid w:val="00A3297A"/>
    <w:rsid w:val="00A32A58"/>
    <w:rsid w:val="00A32EEC"/>
    <w:rsid w:val="00A333CA"/>
    <w:rsid w:val="00A336C5"/>
    <w:rsid w:val="00A3496B"/>
    <w:rsid w:val="00A35751"/>
    <w:rsid w:val="00A3577F"/>
    <w:rsid w:val="00A35BBC"/>
    <w:rsid w:val="00A36724"/>
    <w:rsid w:val="00A367AF"/>
    <w:rsid w:val="00A36C13"/>
    <w:rsid w:val="00A37A31"/>
    <w:rsid w:val="00A40B4D"/>
    <w:rsid w:val="00A411E2"/>
    <w:rsid w:val="00A41373"/>
    <w:rsid w:val="00A41B15"/>
    <w:rsid w:val="00A4224E"/>
    <w:rsid w:val="00A42ACA"/>
    <w:rsid w:val="00A43AAB"/>
    <w:rsid w:val="00A43E97"/>
    <w:rsid w:val="00A44AAD"/>
    <w:rsid w:val="00A45280"/>
    <w:rsid w:val="00A45BF7"/>
    <w:rsid w:val="00A463B5"/>
    <w:rsid w:val="00A463BA"/>
    <w:rsid w:val="00A46675"/>
    <w:rsid w:val="00A471A3"/>
    <w:rsid w:val="00A47E44"/>
    <w:rsid w:val="00A47F91"/>
    <w:rsid w:val="00A50A5C"/>
    <w:rsid w:val="00A50CC6"/>
    <w:rsid w:val="00A50E40"/>
    <w:rsid w:val="00A51946"/>
    <w:rsid w:val="00A51FF7"/>
    <w:rsid w:val="00A52143"/>
    <w:rsid w:val="00A521E9"/>
    <w:rsid w:val="00A5298E"/>
    <w:rsid w:val="00A52B3E"/>
    <w:rsid w:val="00A5320E"/>
    <w:rsid w:val="00A53593"/>
    <w:rsid w:val="00A53F7B"/>
    <w:rsid w:val="00A54282"/>
    <w:rsid w:val="00A549D3"/>
    <w:rsid w:val="00A54DF0"/>
    <w:rsid w:val="00A56794"/>
    <w:rsid w:val="00A57B5E"/>
    <w:rsid w:val="00A60849"/>
    <w:rsid w:val="00A61355"/>
    <w:rsid w:val="00A628F8"/>
    <w:rsid w:val="00A62B7A"/>
    <w:rsid w:val="00A632EA"/>
    <w:rsid w:val="00A634BE"/>
    <w:rsid w:val="00A63AD7"/>
    <w:rsid w:val="00A63BFD"/>
    <w:rsid w:val="00A6491F"/>
    <w:rsid w:val="00A64C72"/>
    <w:rsid w:val="00A64D1A"/>
    <w:rsid w:val="00A65320"/>
    <w:rsid w:val="00A6569F"/>
    <w:rsid w:val="00A65BA5"/>
    <w:rsid w:val="00A65C45"/>
    <w:rsid w:val="00A66354"/>
    <w:rsid w:val="00A66E37"/>
    <w:rsid w:val="00A67E38"/>
    <w:rsid w:val="00A703E4"/>
    <w:rsid w:val="00A70DC6"/>
    <w:rsid w:val="00A71986"/>
    <w:rsid w:val="00A71E73"/>
    <w:rsid w:val="00A72740"/>
    <w:rsid w:val="00A73A64"/>
    <w:rsid w:val="00A742AD"/>
    <w:rsid w:val="00A7513A"/>
    <w:rsid w:val="00A7565C"/>
    <w:rsid w:val="00A75A46"/>
    <w:rsid w:val="00A75B36"/>
    <w:rsid w:val="00A7663A"/>
    <w:rsid w:val="00A769D4"/>
    <w:rsid w:val="00A804C7"/>
    <w:rsid w:val="00A80A39"/>
    <w:rsid w:val="00A80DF0"/>
    <w:rsid w:val="00A80E64"/>
    <w:rsid w:val="00A81F08"/>
    <w:rsid w:val="00A825C8"/>
    <w:rsid w:val="00A82742"/>
    <w:rsid w:val="00A83984"/>
    <w:rsid w:val="00A83A1E"/>
    <w:rsid w:val="00A83DFD"/>
    <w:rsid w:val="00A84198"/>
    <w:rsid w:val="00A841AB"/>
    <w:rsid w:val="00A847FE"/>
    <w:rsid w:val="00A8511C"/>
    <w:rsid w:val="00A86104"/>
    <w:rsid w:val="00A8655A"/>
    <w:rsid w:val="00A87203"/>
    <w:rsid w:val="00A87744"/>
    <w:rsid w:val="00A87B09"/>
    <w:rsid w:val="00A87C22"/>
    <w:rsid w:val="00A90CB4"/>
    <w:rsid w:val="00A910DA"/>
    <w:rsid w:val="00A920E1"/>
    <w:rsid w:val="00A92581"/>
    <w:rsid w:val="00A933AE"/>
    <w:rsid w:val="00A93863"/>
    <w:rsid w:val="00A9415E"/>
    <w:rsid w:val="00A94EBD"/>
    <w:rsid w:val="00A9510D"/>
    <w:rsid w:val="00A956AC"/>
    <w:rsid w:val="00A95D2A"/>
    <w:rsid w:val="00A96214"/>
    <w:rsid w:val="00A97F4B"/>
    <w:rsid w:val="00A97F97"/>
    <w:rsid w:val="00AA04C5"/>
    <w:rsid w:val="00AA2803"/>
    <w:rsid w:val="00AA2D68"/>
    <w:rsid w:val="00AA2D6F"/>
    <w:rsid w:val="00AA3114"/>
    <w:rsid w:val="00AA3B68"/>
    <w:rsid w:val="00AA3E79"/>
    <w:rsid w:val="00AA4FB4"/>
    <w:rsid w:val="00AA5C0B"/>
    <w:rsid w:val="00AA5E3B"/>
    <w:rsid w:val="00AA65B4"/>
    <w:rsid w:val="00AA745E"/>
    <w:rsid w:val="00AB04AB"/>
    <w:rsid w:val="00AB0733"/>
    <w:rsid w:val="00AB09D2"/>
    <w:rsid w:val="00AB0B64"/>
    <w:rsid w:val="00AB1525"/>
    <w:rsid w:val="00AB176B"/>
    <w:rsid w:val="00AB34DD"/>
    <w:rsid w:val="00AB37E6"/>
    <w:rsid w:val="00AB431C"/>
    <w:rsid w:val="00AB470E"/>
    <w:rsid w:val="00AB533F"/>
    <w:rsid w:val="00AB5A7E"/>
    <w:rsid w:val="00AB7538"/>
    <w:rsid w:val="00AB77F3"/>
    <w:rsid w:val="00AC0AAD"/>
    <w:rsid w:val="00AC1231"/>
    <w:rsid w:val="00AC1992"/>
    <w:rsid w:val="00AC1E14"/>
    <w:rsid w:val="00AC2CFA"/>
    <w:rsid w:val="00AC2E55"/>
    <w:rsid w:val="00AC3263"/>
    <w:rsid w:val="00AC338F"/>
    <w:rsid w:val="00AC3E12"/>
    <w:rsid w:val="00AC430C"/>
    <w:rsid w:val="00AC5C19"/>
    <w:rsid w:val="00AC6657"/>
    <w:rsid w:val="00AC6D7A"/>
    <w:rsid w:val="00AC7363"/>
    <w:rsid w:val="00AC7401"/>
    <w:rsid w:val="00AC7901"/>
    <w:rsid w:val="00AC79F3"/>
    <w:rsid w:val="00AC7FDD"/>
    <w:rsid w:val="00AD0949"/>
    <w:rsid w:val="00AD0F1D"/>
    <w:rsid w:val="00AD1359"/>
    <w:rsid w:val="00AD19F0"/>
    <w:rsid w:val="00AD1FCE"/>
    <w:rsid w:val="00AD26E1"/>
    <w:rsid w:val="00AD29CC"/>
    <w:rsid w:val="00AD3DE2"/>
    <w:rsid w:val="00AD4261"/>
    <w:rsid w:val="00AD46F5"/>
    <w:rsid w:val="00AD51A3"/>
    <w:rsid w:val="00AD7154"/>
    <w:rsid w:val="00AD797D"/>
    <w:rsid w:val="00AE0483"/>
    <w:rsid w:val="00AE13BD"/>
    <w:rsid w:val="00AE1AF9"/>
    <w:rsid w:val="00AE1DDB"/>
    <w:rsid w:val="00AE1E60"/>
    <w:rsid w:val="00AE2258"/>
    <w:rsid w:val="00AE277E"/>
    <w:rsid w:val="00AE2BC6"/>
    <w:rsid w:val="00AE3251"/>
    <w:rsid w:val="00AE5058"/>
    <w:rsid w:val="00AE54AA"/>
    <w:rsid w:val="00AE6872"/>
    <w:rsid w:val="00AE72C4"/>
    <w:rsid w:val="00AE745A"/>
    <w:rsid w:val="00AE7F05"/>
    <w:rsid w:val="00AE7F38"/>
    <w:rsid w:val="00AF15CF"/>
    <w:rsid w:val="00AF24E7"/>
    <w:rsid w:val="00AF291B"/>
    <w:rsid w:val="00AF2DAA"/>
    <w:rsid w:val="00AF2EBD"/>
    <w:rsid w:val="00AF33AE"/>
    <w:rsid w:val="00AF44B1"/>
    <w:rsid w:val="00AF4693"/>
    <w:rsid w:val="00AF525B"/>
    <w:rsid w:val="00AF5800"/>
    <w:rsid w:val="00AF6274"/>
    <w:rsid w:val="00AF6986"/>
    <w:rsid w:val="00AF6DCA"/>
    <w:rsid w:val="00AF7D69"/>
    <w:rsid w:val="00AF7ED2"/>
    <w:rsid w:val="00B004D8"/>
    <w:rsid w:val="00B00CC5"/>
    <w:rsid w:val="00B02091"/>
    <w:rsid w:val="00B02B43"/>
    <w:rsid w:val="00B03D36"/>
    <w:rsid w:val="00B0466F"/>
    <w:rsid w:val="00B05116"/>
    <w:rsid w:val="00B051A7"/>
    <w:rsid w:val="00B05F1A"/>
    <w:rsid w:val="00B06D84"/>
    <w:rsid w:val="00B07B33"/>
    <w:rsid w:val="00B07FA2"/>
    <w:rsid w:val="00B100CF"/>
    <w:rsid w:val="00B10E3D"/>
    <w:rsid w:val="00B10E82"/>
    <w:rsid w:val="00B111A6"/>
    <w:rsid w:val="00B113DB"/>
    <w:rsid w:val="00B118EE"/>
    <w:rsid w:val="00B11B03"/>
    <w:rsid w:val="00B11C5B"/>
    <w:rsid w:val="00B121CD"/>
    <w:rsid w:val="00B12343"/>
    <w:rsid w:val="00B12529"/>
    <w:rsid w:val="00B12B11"/>
    <w:rsid w:val="00B135AB"/>
    <w:rsid w:val="00B137BF"/>
    <w:rsid w:val="00B13A1B"/>
    <w:rsid w:val="00B158A3"/>
    <w:rsid w:val="00B15B25"/>
    <w:rsid w:val="00B15EA0"/>
    <w:rsid w:val="00B175BF"/>
    <w:rsid w:val="00B17A4E"/>
    <w:rsid w:val="00B17B30"/>
    <w:rsid w:val="00B17C2F"/>
    <w:rsid w:val="00B2153E"/>
    <w:rsid w:val="00B21FA7"/>
    <w:rsid w:val="00B22022"/>
    <w:rsid w:val="00B225E4"/>
    <w:rsid w:val="00B23F7A"/>
    <w:rsid w:val="00B240B1"/>
    <w:rsid w:val="00B24208"/>
    <w:rsid w:val="00B248A9"/>
    <w:rsid w:val="00B24D1E"/>
    <w:rsid w:val="00B24D28"/>
    <w:rsid w:val="00B24F1C"/>
    <w:rsid w:val="00B25D76"/>
    <w:rsid w:val="00B27032"/>
    <w:rsid w:val="00B30003"/>
    <w:rsid w:val="00B31201"/>
    <w:rsid w:val="00B31B4B"/>
    <w:rsid w:val="00B31E36"/>
    <w:rsid w:val="00B32E26"/>
    <w:rsid w:val="00B331F3"/>
    <w:rsid w:val="00B338B7"/>
    <w:rsid w:val="00B34441"/>
    <w:rsid w:val="00B35534"/>
    <w:rsid w:val="00B35AFD"/>
    <w:rsid w:val="00B35F9A"/>
    <w:rsid w:val="00B3662E"/>
    <w:rsid w:val="00B366D2"/>
    <w:rsid w:val="00B366FA"/>
    <w:rsid w:val="00B36B97"/>
    <w:rsid w:val="00B36E86"/>
    <w:rsid w:val="00B3740B"/>
    <w:rsid w:val="00B379BA"/>
    <w:rsid w:val="00B412FD"/>
    <w:rsid w:val="00B422BE"/>
    <w:rsid w:val="00B4241D"/>
    <w:rsid w:val="00B426BB"/>
    <w:rsid w:val="00B42EB9"/>
    <w:rsid w:val="00B441FE"/>
    <w:rsid w:val="00B44821"/>
    <w:rsid w:val="00B44AD3"/>
    <w:rsid w:val="00B45E54"/>
    <w:rsid w:val="00B464E4"/>
    <w:rsid w:val="00B46D5F"/>
    <w:rsid w:val="00B4745E"/>
    <w:rsid w:val="00B47DC5"/>
    <w:rsid w:val="00B47EE9"/>
    <w:rsid w:val="00B505B3"/>
    <w:rsid w:val="00B50A74"/>
    <w:rsid w:val="00B520A0"/>
    <w:rsid w:val="00B525CE"/>
    <w:rsid w:val="00B52CFD"/>
    <w:rsid w:val="00B545A8"/>
    <w:rsid w:val="00B56527"/>
    <w:rsid w:val="00B576DA"/>
    <w:rsid w:val="00B57710"/>
    <w:rsid w:val="00B601C9"/>
    <w:rsid w:val="00B603D9"/>
    <w:rsid w:val="00B60B12"/>
    <w:rsid w:val="00B60D04"/>
    <w:rsid w:val="00B61A2E"/>
    <w:rsid w:val="00B61EE8"/>
    <w:rsid w:val="00B63533"/>
    <w:rsid w:val="00B63BDB"/>
    <w:rsid w:val="00B64A0E"/>
    <w:rsid w:val="00B64DDF"/>
    <w:rsid w:val="00B6601E"/>
    <w:rsid w:val="00B663AA"/>
    <w:rsid w:val="00B66DD5"/>
    <w:rsid w:val="00B67B97"/>
    <w:rsid w:val="00B67F01"/>
    <w:rsid w:val="00B70919"/>
    <w:rsid w:val="00B711AB"/>
    <w:rsid w:val="00B714F0"/>
    <w:rsid w:val="00B71A40"/>
    <w:rsid w:val="00B71CB4"/>
    <w:rsid w:val="00B725E7"/>
    <w:rsid w:val="00B72C07"/>
    <w:rsid w:val="00B72DF7"/>
    <w:rsid w:val="00B72F42"/>
    <w:rsid w:val="00B7329C"/>
    <w:rsid w:val="00B73E44"/>
    <w:rsid w:val="00B74290"/>
    <w:rsid w:val="00B74BD4"/>
    <w:rsid w:val="00B74BF7"/>
    <w:rsid w:val="00B74E55"/>
    <w:rsid w:val="00B76185"/>
    <w:rsid w:val="00B76BCD"/>
    <w:rsid w:val="00B77519"/>
    <w:rsid w:val="00B8056B"/>
    <w:rsid w:val="00B811B2"/>
    <w:rsid w:val="00B82B2B"/>
    <w:rsid w:val="00B82EEF"/>
    <w:rsid w:val="00B83A62"/>
    <w:rsid w:val="00B84252"/>
    <w:rsid w:val="00B8468F"/>
    <w:rsid w:val="00B84FC6"/>
    <w:rsid w:val="00B855FC"/>
    <w:rsid w:val="00B857F5"/>
    <w:rsid w:val="00B86D6C"/>
    <w:rsid w:val="00B874B4"/>
    <w:rsid w:val="00B87887"/>
    <w:rsid w:val="00B90123"/>
    <w:rsid w:val="00B90196"/>
    <w:rsid w:val="00B911C1"/>
    <w:rsid w:val="00B922C3"/>
    <w:rsid w:val="00B9272E"/>
    <w:rsid w:val="00B92B9E"/>
    <w:rsid w:val="00B93519"/>
    <w:rsid w:val="00B9425C"/>
    <w:rsid w:val="00B94AAF"/>
    <w:rsid w:val="00B953FF"/>
    <w:rsid w:val="00B9622D"/>
    <w:rsid w:val="00B96263"/>
    <w:rsid w:val="00B968A5"/>
    <w:rsid w:val="00B972CD"/>
    <w:rsid w:val="00B97D02"/>
    <w:rsid w:val="00BA0304"/>
    <w:rsid w:val="00BA1CCC"/>
    <w:rsid w:val="00BA3038"/>
    <w:rsid w:val="00BA3B3D"/>
    <w:rsid w:val="00BA48BC"/>
    <w:rsid w:val="00BA4A29"/>
    <w:rsid w:val="00BA4BE7"/>
    <w:rsid w:val="00BA68D9"/>
    <w:rsid w:val="00BA6E2B"/>
    <w:rsid w:val="00BA7172"/>
    <w:rsid w:val="00BA7B01"/>
    <w:rsid w:val="00BB1031"/>
    <w:rsid w:val="00BB1B33"/>
    <w:rsid w:val="00BB2480"/>
    <w:rsid w:val="00BB2C4E"/>
    <w:rsid w:val="00BB2E29"/>
    <w:rsid w:val="00BB2F74"/>
    <w:rsid w:val="00BB3206"/>
    <w:rsid w:val="00BB3B0D"/>
    <w:rsid w:val="00BB524C"/>
    <w:rsid w:val="00BB5DAB"/>
    <w:rsid w:val="00BB6195"/>
    <w:rsid w:val="00BB61A3"/>
    <w:rsid w:val="00BB707E"/>
    <w:rsid w:val="00BC007C"/>
    <w:rsid w:val="00BC0AB2"/>
    <w:rsid w:val="00BC1308"/>
    <w:rsid w:val="00BC2600"/>
    <w:rsid w:val="00BC2F24"/>
    <w:rsid w:val="00BC33BE"/>
    <w:rsid w:val="00BC3A47"/>
    <w:rsid w:val="00BC3EEB"/>
    <w:rsid w:val="00BC4780"/>
    <w:rsid w:val="00BC52C8"/>
    <w:rsid w:val="00BC549C"/>
    <w:rsid w:val="00BC5A6C"/>
    <w:rsid w:val="00BC5B4B"/>
    <w:rsid w:val="00BC5EDB"/>
    <w:rsid w:val="00BC69A2"/>
    <w:rsid w:val="00BC6FA1"/>
    <w:rsid w:val="00BD0570"/>
    <w:rsid w:val="00BD112D"/>
    <w:rsid w:val="00BD214E"/>
    <w:rsid w:val="00BD2842"/>
    <w:rsid w:val="00BD3120"/>
    <w:rsid w:val="00BD3354"/>
    <w:rsid w:val="00BD384E"/>
    <w:rsid w:val="00BD3E76"/>
    <w:rsid w:val="00BD3EE2"/>
    <w:rsid w:val="00BD3FCF"/>
    <w:rsid w:val="00BD42D2"/>
    <w:rsid w:val="00BD4EFB"/>
    <w:rsid w:val="00BD5231"/>
    <w:rsid w:val="00BD5551"/>
    <w:rsid w:val="00BD7090"/>
    <w:rsid w:val="00BE0C27"/>
    <w:rsid w:val="00BE15BB"/>
    <w:rsid w:val="00BE198F"/>
    <w:rsid w:val="00BE43C3"/>
    <w:rsid w:val="00BE56EE"/>
    <w:rsid w:val="00BE660B"/>
    <w:rsid w:val="00BE6AFE"/>
    <w:rsid w:val="00BE6BBE"/>
    <w:rsid w:val="00BE7300"/>
    <w:rsid w:val="00BE784F"/>
    <w:rsid w:val="00BF0238"/>
    <w:rsid w:val="00BF0717"/>
    <w:rsid w:val="00BF1750"/>
    <w:rsid w:val="00BF189F"/>
    <w:rsid w:val="00BF1F01"/>
    <w:rsid w:val="00BF23CC"/>
    <w:rsid w:val="00BF243F"/>
    <w:rsid w:val="00BF4C2B"/>
    <w:rsid w:val="00BF53F1"/>
    <w:rsid w:val="00BF5717"/>
    <w:rsid w:val="00BF5FA3"/>
    <w:rsid w:val="00BF62F2"/>
    <w:rsid w:val="00BF63A5"/>
    <w:rsid w:val="00BF72A7"/>
    <w:rsid w:val="00BF7558"/>
    <w:rsid w:val="00C005D7"/>
    <w:rsid w:val="00C0111E"/>
    <w:rsid w:val="00C02676"/>
    <w:rsid w:val="00C029AB"/>
    <w:rsid w:val="00C03B05"/>
    <w:rsid w:val="00C03BD5"/>
    <w:rsid w:val="00C03C8B"/>
    <w:rsid w:val="00C03F3C"/>
    <w:rsid w:val="00C049BE"/>
    <w:rsid w:val="00C04A71"/>
    <w:rsid w:val="00C04DF0"/>
    <w:rsid w:val="00C05A4C"/>
    <w:rsid w:val="00C05A67"/>
    <w:rsid w:val="00C066B3"/>
    <w:rsid w:val="00C10521"/>
    <w:rsid w:val="00C11113"/>
    <w:rsid w:val="00C11270"/>
    <w:rsid w:val="00C11687"/>
    <w:rsid w:val="00C11E28"/>
    <w:rsid w:val="00C1225B"/>
    <w:rsid w:val="00C122F9"/>
    <w:rsid w:val="00C128C9"/>
    <w:rsid w:val="00C12CF3"/>
    <w:rsid w:val="00C12F88"/>
    <w:rsid w:val="00C131A8"/>
    <w:rsid w:val="00C1322D"/>
    <w:rsid w:val="00C135A3"/>
    <w:rsid w:val="00C14A62"/>
    <w:rsid w:val="00C158EB"/>
    <w:rsid w:val="00C15939"/>
    <w:rsid w:val="00C159B1"/>
    <w:rsid w:val="00C161F5"/>
    <w:rsid w:val="00C16C92"/>
    <w:rsid w:val="00C1706B"/>
    <w:rsid w:val="00C17E48"/>
    <w:rsid w:val="00C17F67"/>
    <w:rsid w:val="00C201E7"/>
    <w:rsid w:val="00C20AA2"/>
    <w:rsid w:val="00C21155"/>
    <w:rsid w:val="00C2146C"/>
    <w:rsid w:val="00C214D7"/>
    <w:rsid w:val="00C217EE"/>
    <w:rsid w:val="00C22784"/>
    <w:rsid w:val="00C23A4C"/>
    <w:rsid w:val="00C243A4"/>
    <w:rsid w:val="00C248DB"/>
    <w:rsid w:val="00C26170"/>
    <w:rsid w:val="00C26D52"/>
    <w:rsid w:val="00C303E4"/>
    <w:rsid w:val="00C30775"/>
    <w:rsid w:val="00C3134E"/>
    <w:rsid w:val="00C31C4A"/>
    <w:rsid w:val="00C320C5"/>
    <w:rsid w:val="00C32639"/>
    <w:rsid w:val="00C32AD2"/>
    <w:rsid w:val="00C347FD"/>
    <w:rsid w:val="00C34DAE"/>
    <w:rsid w:val="00C34E1E"/>
    <w:rsid w:val="00C34E5A"/>
    <w:rsid w:val="00C3698E"/>
    <w:rsid w:val="00C36CCA"/>
    <w:rsid w:val="00C36E1C"/>
    <w:rsid w:val="00C3718A"/>
    <w:rsid w:val="00C379C5"/>
    <w:rsid w:val="00C37EEE"/>
    <w:rsid w:val="00C40453"/>
    <w:rsid w:val="00C40DEE"/>
    <w:rsid w:val="00C40E71"/>
    <w:rsid w:val="00C41879"/>
    <w:rsid w:val="00C41A7C"/>
    <w:rsid w:val="00C42CEF"/>
    <w:rsid w:val="00C4370E"/>
    <w:rsid w:val="00C43823"/>
    <w:rsid w:val="00C4384B"/>
    <w:rsid w:val="00C44068"/>
    <w:rsid w:val="00C442AE"/>
    <w:rsid w:val="00C44FAF"/>
    <w:rsid w:val="00C458D6"/>
    <w:rsid w:val="00C466BF"/>
    <w:rsid w:val="00C47385"/>
    <w:rsid w:val="00C47555"/>
    <w:rsid w:val="00C476AC"/>
    <w:rsid w:val="00C47E67"/>
    <w:rsid w:val="00C50C1A"/>
    <w:rsid w:val="00C51508"/>
    <w:rsid w:val="00C51D73"/>
    <w:rsid w:val="00C52095"/>
    <w:rsid w:val="00C52E97"/>
    <w:rsid w:val="00C53189"/>
    <w:rsid w:val="00C534F4"/>
    <w:rsid w:val="00C53B15"/>
    <w:rsid w:val="00C54134"/>
    <w:rsid w:val="00C54280"/>
    <w:rsid w:val="00C54929"/>
    <w:rsid w:val="00C556B1"/>
    <w:rsid w:val="00C55A05"/>
    <w:rsid w:val="00C56101"/>
    <w:rsid w:val="00C565F2"/>
    <w:rsid w:val="00C573CC"/>
    <w:rsid w:val="00C57B81"/>
    <w:rsid w:val="00C57FB9"/>
    <w:rsid w:val="00C60950"/>
    <w:rsid w:val="00C60D62"/>
    <w:rsid w:val="00C60DD1"/>
    <w:rsid w:val="00C61565"/>
    <w:rsid w:val="00C61574"/>
    <w:rsid w:val="00C615B4"/>
    <w:rsid w:val="00C6211D"/>
    <w:rsid w:val="00C62B32"/>
    <w:rsid w:val="00C63DED"/>
    <w:rsid w:val="00C64F97"/>
    <w:rsid w:val="00C65585"/>
    <w:rsid w:val="00C656EB"/>
    <w:rsid w:val="00C65DF4"/>
    <w:rsid w:val="00C711F5"/>
    <w:rsid w:val="00C713A1"/>
    <w:rsid w:val="00C71828"/>
    <w:rsid w:val="00C72105"/>
    <w:rsid w:val="00C76028"/>
    <w:rsid w:val="00C76184"/>
    <w:rsid w:val="00C76A80"/>
    <w:rsid w:val="00C76C27"/>
    <w:rsid w:val="00C76F07"/>
    <w:rsid w:val="00C77EF6"/>
    <w:rsid w:val="00C80858"/>
    <w:rsid w:val="00C80B4B"/>
    <w:rsid w:val="00C80D63"/>
    <w:rsid w:val="00C81BEA"/>
    <w:rsid w:val="00C81DF5"/>
    <w:rsid w:val="00C82188"/>
    <w:rsid w:val="00C8242B"/>
    <w:rsid w:val="00C82A50"/>
    <w:rsid w:val="00C83240"/>
    <w:rsid w:val="00C83607"/>
    <w:rsid w:val="00C83768"/>
    <w:rsid w:val="00C83B18"/>
    <w:rsid w:val="00C83DFC"/>
    <w:rsid w:val="00C841B4"/>
    <w:rsid w:val="00C84266"/>
    <w:rsid w:val="00C849E0"/>
    <w:rsid w:val="00C84B74"/>
    <w:rsid w:val="00C8512A"/>
    <w:rsid w:val="00C85970"/>
    <w:rsid w:val="00C874C8"/>
    <w:rsid w:val="00C90165"/>
    <w:rsid w:val="00C90733"/>
    <w:rsid w:val="00C921C4"/>
    <w:rsid w:val="00C9257F"/>
    <w:rsid w:val="00C934F6"/>
    <w:rsid w:val="00C94C81"/>
    <w:rsid w:val="00C94FD2"/>
    <w:rsid w:val="00C95341"/>
    <w:rsid w:val="00C95B76"/>
    <w:rsid w:val="00C964C3"/>
    <w:rsid w:val="00C96635"/>
    <w:rsid w:val="00C969DB"/>
    <w:rsid w:val="00C97EE3"/>
    <w:rsid w:val="00CA12BA"/>
    <w:rsid w:val="00CA165C"/>
    <w:rsid w:val="00CA1C0D"/>
    <w:rsid w:val="00CA1DAE"/>
    <w:rsid w:val="00CA2267"/>
    <w:rsid w:val="00CA2E1D"/>
    <w:rsid w:val="00CA321A"/>
    <w:rsid w:val="00CA38AD"/>
    <w:rsid w:val="00CA5098"/>
    <w:rsid w:val="00CA5503"/>
    <w:rsid w:val="00CA6CAD"/>
    <w:rsid w:val="00CA70A8"/>
    <w:rsid w:val="00CA70D0"/>
    <w:rsid w:val="00CA74A4"/>
    <w:rsid w:val="00CA7683"/>
    <w:rsid w:val="00CA7EA1"/>
    <w:rsid w:val="00CA7EEB"/>
    <w:rsid w:val="00CB009B"/>
    <w:rsid w:val="00CB0231"/>
    <w:rsid w:val="00CB1AFD"/>
    <w:rsid w:val="00CB1EB3"/>
    <w:rsid w:val="00CB24AD"/>
    <w:rsid w:val="00CB2C59"/>
    <w:rsid w:val="00CB2D9C"/>
    <w:rsid w:val="00CB34AB"/>
    <w:rsid w:val="00CB3529"/>
    <w:rsid w:val="00CB4728"/>
    <w:rsid w:val="00CB5E4A"/>
    <w:rsid w:val="00CB6468"/>
    <w:rsid w:val="00CB6FCA"/>
    <w:rsid w:val="00CB724D"/>
    <w:rsid w:val="00CB73EA"/>
    <w:rsid w:val="00CB7D4E"/>
    <w:rsid w:val="00CC002B"/>
    <w:rsid w:val="00CC07E5"/>
    <w:rsid w:val="00CC09F0"/>
    <w:rsid w:val="00CC0C11"/>
    <w:rsid w:val="00CC233F"/>
    <w:rsid w:val="00CC27FD"/>
    <w:rsid w:val="00CC3AB9"/>
    <w:rsid w:val="00CC3C9E"/>
    <w:rsid w:val="00CC45E0"/>
    <w:rsid w:val="00CC4BC3"/>
    <w:rsid w:val="00CC50C7"/>
    <w:rsid w:val="00CC55AC"/>
    <w:rsid w:val="00CC5859"/>
    <w:rsid w:val="00CC72C0"/>
    <w:rsid w:val="00CC757D"/>
    <w:rsid w:val="00CD00DB"/>
    <w:rsid w:val="00CD0119"/>
    <w:rsid w:val="00CD0866"/>
    <w:rsid w:val="00CD0AAE"/>
    <w:rsid w:val="00CD1169"/>
    <w:rsid w:val="00CD16C7"/>
    <w:rsid w:val="00CD1A40"/>
    <w:rsid w:val="00CD25F3"/>
    <w:rsid w:val="00CD305C"/>
    <w:rsid w:val="00CD3A6D"/>
    <w:rsid w:val="00CD3E63"/>
    <w:rsid w:val="00CD40A3"/>
    <w:rsid w:val="00CD4CD3"/>
    <w:rsid w:val="00CD589F"/>
    <w:rsid w:val="00CD60C9"/>
    <w:rsid w:val="00CD6BBB"/>
    <w:rsid w:val="00CD7482"/>
    <w:rsid w:val="00CE07C1"/>
    <w:rsid w:val="00CE186F"/>
    <w:rsid w:val="00CE20E3"/>
    <w:rsid w:val="00CE273A"/>
    <w:rsid w:val="00CE321C"/>
    <w:rsid w:val="00CE3700"/>
    <w:rsid w:val="00CE3B69"/>
    <w:rsid w:val="00CE4559"/>
    <w:rsid w:val="00CE5118"/>
    <w:rsid w:val="00CE59B5"/>
    <w:rsid w:val="00CE59DB"/>
    <w:rsid w:val="00CE5D3A"/>
    <w:rsid w:val="00CE7447"/>
    <w:rsid w:val="00CE74CE"/>
    <w:rsid w:val="00CF0829"/>
    <w:rsid w:val="00CF09E8"/>
    <w:rsid w:val="00CF0E74"/>
    <w:rsid w:val="00CF1833"/>
    <w:rsid w:val="00CF1AEA"/>
    <w:rsid w:val="00CF21F6"/>
    <w:rsid w:val="00CF2278"/>
    <w:rsid w:val="00CF2C62"/>
    <w:rsid w:val="00CF2F66"/>
    <w:rsid w:val="00CF337B"/>
    <w:rsid w:val="00CF3E0D"/>
    <w:rsid w:val="00CF3FE7"/>
    <w:rsid w:val="00CF4416"/>
    <w:rsid w:val="00CF4AA9"/>
    <w:rsid w:val="00CF5762"/>
    <w:rsid w:val="00CF65B4"/>
    <w:rsid w:val="00CF6C05"/>
    <w:rsid w:val="00CF7485"/>
    <w:rsid w:val="00D025CE"/>
    <w:rsid w:val="00D02A0F"/>
    <w:rsid w:val="00D02DF3"/>
    <w:rsid w:val="00D03181"/>
    <w:rsid w:val="00D037DC"/>
    <w:rsid w:val="00D0383B"/>
    <w:rsid w:val="00D03A8A"/>
    <w:rsid w:val="00D03DA5"/>
    <w:rsid w:val="00D03F27"/>
    <w:rsid w:val="00D0470D"/>
    <w:rsid w:val="00D05249"/>
    <w:rsid w:val="00D059FC"/>
    <w:rsid w:val="00D05DEF"/>
    <w:rsid w:val="00D06861"/>
    <w:rsid w:val="00D0688A"/>
    <w:rsid w:val="00D06F22"/>
    <w:rsid w:val="00D07A9C"/>
    <w:rsid w:val="00D1033B"/>
    <w:rsid w:val="00D10477"/>
    <w:rsid w:val="00D10793"/>
    <w:rsid w:val="00D107E2"/>
    <w:rsid w:val="00D10E24"/>
    <w:rsid w:val="00D11D76"/>
    <w:rsid w:val="00D126E4"/>
    <w:rsid w:val="00D131BF"/>
    <w:rsid w:val="00D140E6"/>
    <w:rsid w:val="00D14369"/>
    <w:rsid w:val="00D15C14"/>
    <w:rsid w:val="00D15FAA"/>
    <w:rsid w:val="00D16ECB"/>
    <w:rsid w:val="00D17BA5"/>
    <w:rsid w:val="00D2058D"/>
    <w:rsid w:val="00D2176E"/>
    <w:rsid w:val="00D2182A"/>
    <w:rsid w:val="00D22105"/>
    <w:rsid w:val="00D2211C"/>
    <w:rsid w:val="00D22543"/>
    <w:rsid w:val="00D22B55"/>
    <w:rsid w:val="00D23055"/>
    <w:rsid w:val="00D230AD"/>
    <w:rsid w:val="00D251AB"/>
    <w:rsid w:val="00D261D3"/>
    <w:rsid w:val="00D3007B"/>
    <w:rsid w:val="00D303D0"/>
    <w:rsid w:val="00D319DF"/>
    <w:rsid w:val="00D32090"/>
    <w:rsid w:val="00D324BC"/>
    <w:rsid w:val="00D33565"/>
    <w:rsid w:val="00D33762"/>
    <w:rsid w:val="00D341A9"/>
    <w:rsid w:val="00D34BD1"/>
    <w:rsid w:val="00D35177"/>
    <w:rsid w:val="00D356E1"/>
    <w:rsid w:val="00D40609"/>
    <w:rsid w:val="00D40983"/>
    <w:rsid w:val="00D41188"/>
    <w:rsid w:val="00D417D3"/>
    <w:rsid w:val="00D41DB1"/>
    <w:rsid w:val="00D42798"/>
    <w:rsid w:val="00D42970"/>
    <w:rsid w:val="00D44916"/>
    <w:rsid w:val="00D45CA4"/>
    <w:rsid w:val="00D45EA7"/>
    <w:rsid w:val="00D4752E"/>
    <w:rsid w:val="00D47842"/>
    <w:rsid w:val="00D50826"/>
    <w:rsid w:val="00D51675"/>
    <w:rsid w:val="00D51F73"/>
    <w:rsid w:val="00D529BE"/>
    <w:rsid w:val="00D52CF6"/>
    <w:rsid w:val="00D53D3E"/>
    <w:rsid w:val="00D547E0"/>
    <w:rsid w:val="00D54992"/>
    <w:rsid w:val="00D55C48"/>
    <w:rsid w:val="00D55E47"/>
    <w:rsid w:val="00D56997"/>
    <w:rsid w:val="00D5730F"/>
    <w:rsid w:val="00D5774F"/>
    <w:rsid w:val="00D60809"/>
    <w:rsid w:val="00D60D7F"/>
    <w:rsid w:val="00D61C9C"/>
    <w:rsid w:val="00D625B8"/>
    <w:rsid w:val="00D636DC"/>
    <w:rsid w:val="00D64702"/>
    <w:rsid w:val="00D66BFD"/>
    <w:rsid w:val="00D674EE"/>
    <w:rsid w:val="00D67535"/>
    <w:rsid w:val="00D67BC9"/>
    <w:rsid w:val="00D704D9"/>
    <w:rsid w:val="00D70BD2"/>
    <w:rsid w:val="00D70CFD"/>
    <w:rsid w:val="00D713F2"/>
    <w:rsid w:val="00D72705"/>
    <w:rsid w:val="00D738BF"/>
    <w:rsid w:val="00D73C95"/>
    <w:rsid w:val="00D745C1"/>
    <w:rsid w:val="00D75731"/>
    <w:rsid w:val="00D75B45"/>
    <w:rsid w:val="00D75B5C"/>
    <w:rsid w:val="00D75F8C"/>
    <w:rsid w:val="00D76050"/>
    <w:rsid w:val="00D76423"/>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3ACA"/>
    <w:rsid w:val="00D84157"/>
    <w:rsid w:val="00D84BD7"/>
    <w:rsid w:val="00D84DCA"/>
    <w:rsid w:val="00D85114"/>
    <w:rsid w:val="00D857BC"/>
    <w:rsid w:val="00D86A79"/>
    <w:rsid w:val="00D871B6"/>
    <w:rsid w:val="00D90275"/>
    <w:rsid w:val="00D902F5"/>
    <w:rsid w:val="00D90959"/>
    <w:rsid w:val="00D91410"/>
    <w:rsid w:val="00D91438"/>
    <w:rsid w:val="00D91594"/>
    <w:rsid w:val="00D91ABE"/>
    <w:rsid w:val="00D91B92"/>
    <w:rsid w:val="00D91DFB"/>
    <w:rsid w:val="00D921DA"/>
    <w:rsid w:val="00D92C2F"/>
    <w:rsid w:val="00D92F7F"/>
    <w:rsid w:val="00D9459D"/>
    <w:rsid w:val="00D94858"/>
    <w:rsid w:val="00D94972"/>
    <w:rsid w:val="00D954A1"/>
    <w:rsid w:val="00D95519"/>
    <w:rsid w:val="00D95744"/>
    <w:rsid w:val="00D958FC"/>
    <w:rsid w:val="00D95DC2"/>
    <w:rsid w:val="00D96678"/>
    <w:rsid w:val="00D96D46"/>
    <w:rsid w:val="00D97C27"/>
    <w:rsid w:val="00DA0526"/>
    <w:rsid w:val="00DA0CF7"/>
    <w:rsid w:val="00DA0E96"/>
    <w:rsid w:val="00DA1203"/>
    <w:rsid w:val="00DA1BF9"/>
    <w:rsid w:val="00DA1F0C"/>
    <w:rsid w:val="00DA2349"/>
    <w:rsid w:val="00DA3A5B"/>
    <w:rsid w:val="00DA3D0B"/>
    <w:rsid w:val="00DA3F51"/>
    <w:rsid w:val="00DA48D9"/>
    <w:rsid w:val="00DA49F8"/>
    <w:rsid w:val="00DA4AAE"/>
    <w:rsid w:val="00DA5572"/>
    <w:rsid w:val="00DA6CC2"/>
    <w:rsid w:val="00DA7029"/>
    <w:rsid w:val="00DA77A0"/>
    <w:rsid w:val="00DB0463"/>
    <w:rsid w:val="00DB09A2"/>
    <w:rsid w:val="00DB103D"/>
    <w:rsid w:val="00DB1448"/>
    <w:rsid w:val="00DB1998"/>
    <w:rsid w:val="00DB1FC4"/>
    <w:rsid w:val="00DB21F0"/>
    <w:rsid w:val="00DB2C5F"/>
    <w:rsid w:val="00DB3A58"/>
    <w:rsid w:val="00DB3BDF"/>
    <w:rsid w:val="00DB3C58"/>
    <w:rsid w:val="00DB401C"/>
    <w:rsid w:val="00DB5A63"/>
    <w:rsid w:val="00DB6166"/>
    <w:rsid w:val="00DB656B"/>
    <w:rsid w:val="00DB691E"/>
    <w:rsid w:val="00DB75A3"/>
    <w:rsid w:val="00DC0574"/>
    <w:rsid w:val="00DC16E1"/>
    <w:rsid w:val="00DC1881"/>
    <w:rsid w:val="00DC3A18"/>
    <w:rsid w:val="00DC3A6F"/>
    <w:rsid w:val="00DC3D1C"/>
    <w:rsid w:val="00DC43E1"/>
    <w:rsid w:val="00DC5199"/>
    <w:rsid w:val="00DC5A32"/>
    <w:rsid w:val="00DC5E4E"/>
    <w:rsid w:val="00DC651B"/>
    <w:rsid w:val="00DC729A"/>
    <w:rsid w:val="00DC73B1"/>
    <w:rsid w:val="00DC7519"/>
    <w:rsid w:val="00DC7630"/>
    <w:rsid w:val="00DC7C68"/>
    <w:rsid w:val="00DC7EB5"/>
    <w:rsid w:val="00DD04AC"/>
    <w:rsid w:val="00DD04DD"/>
    <w:rsid w:val="00DD0891"/>
    <w:rsid w:val="00DD0B35"/>
    <w:rsid w:val="00DD0F9F"/>
    <w:rsid w:val="00DD11A7"/>
    <w:rsid w:val="00DD1298"/>
    <w:rsid w:val="00DD2300"/>
    <w:rsid w:val="00DD28B3"/>
    <w:rsid w:val="00DD2DE3"/>
    <w:rsid w:val="00DD2DE8"/>
    <w:rsid w:val="00DD316F"/>
    <w:rsid w:val="00DD357C"/>
    <w:rsid w:val="00DD37CA"/>
    <w:rsid w:val="00DD3DF7"/>
    <w:rsid w:val="00DD4AE2"/>
    <w:rsid w:val="00DD4BFA"/>
    <w:rsid w:val="00DD51F8"/>
    <w:rsid w:val="00DD6388"/>
    <w:rsid w:val="00DD6C53"/>
    <w:rsid w:val="00DD7198"/>
    <w:rsid w:val="00DE0137"/>
    <w:rsid w:val="00DE01BA"/>
    <w:rsid w:val="00DE0DCF"/>
    <w:rsid w:val="00DE137B"/>
    <w:rsid w:val="00DE19D9"/>
    <w:rsid w:val="00DE1DC6"/>
    <w:rsid w:val="00DE1F77"/>
    <w:rsid w:val="00DE21C6"/>
    <w:rsid w:val="00DE2D49"/>
    <w:rsid w:val="00DE3E66"/>
    <w:rsid w:val="00DE3F75"/>
    <w:rsid w:val="00DE4AAD"/>
    <w:rsid w:val="00DE4C0C"/>
    <w:rsid w:val="00DE4FC8"/>
    <w:rsid w:val="00DE5A50"/>
    <w:rsid w:val="00DE60C5"/>
    <w:rsid w:val="00DE75F0"/>
    <w:rsid w:val="00DE77CB"/>
    <w:rsid w:val="00DE7EBA"/>
    <w:rsid w:val="00DF0D3A"/>
    <w:rsid w:val="00DF1A9A"/>
    <w:rsid w:val="00DF1C2D"/>
    <w:rsid w:val="00DF3577"/>
    <w:rsid w:val="00DF4063"/>
    <w:rsid w:val="00DF4254"/>
    <w:rsid w:val="00DF47C2"/>
    <w:rsid w:val="00DF6B62"/>
    <w:rsid w:val="00DF7BD0"/>
    <w:rsid w:val="00DF7BDF"/>
    <w:rsid w:val="00E00303"/>
    <w:rsid w:val="00E00A62"/>
    <w:rsid w:val="00E010A0"/>
    <w:rsid w:val="00E01668"/>
    <w:rsid w:val="00E01849"/>
    <w:rsid w:val="00E020D1"/>
    <w:rsid w:val="00E02B64"/>
    <w:rsid w:val="00E02EAD"/>
    <w:rsid w:val="00E03D3F"/>
    <w:rsid w:val="00E0437C"/>
    <w:rsid w:val="00E0452C"/>
    <w:rsid w:val="00E04D61"/>
    <w:rsid w:val="00E0504C"/>
    <w:rsid w:val="00E05074"/>
    <w:rsid w:val="00E05489"/>
    <w:rsid w:val="00E05741"/>
    <w:rsid w:val="00E05F7F"/>
    <w:rsid w:val="00E06930"/>
    <w:rsid w:val="00E06971"/>
    <w:rsid w:val="00E073A5"/>
    <w:rsid w:val="00E105B3"/>
    <w:rsid w:val="00E10846"/>
    <w:rsid w:val="00E108F4"/>
    <w:rsid w:val="00E1100C"/>
    <w:rsid w:val="00E11489"/>
    <w:rsid w:val="00E11711"/>
    <w:rsid w:val="00E11E63"/>
    <w:rsid w:val="00E1310D"/>
    <w:rsid w:val="00E13359"/>
    <w:rsid w:val="00E138BF"/>
    <w:rsid w:val="00E14EFA"/>
    <w:rsid w:val="00E151B9"/>
    <w:rsid w:val="00E158C4"/>
    <w:rsid w:val="00E161E6"/>
    <w:rsid w:val="00E1698C"/>
    <w:rsid w:val="00E16BA1"/>
    <w:rsid w:val="00E172BE"/>
    <w:rsid w:val="00E17884"/>
    <w:rsid w:val="00E17CF7"/>
    <w:rsid w:val="00E205D6"/>
    <w:rsid w:val="00E216EC"/>
    <w:rsid w:val="00E2189A"/>
    <w:rsid w:val="00E22B5A"/>
    <w:rsid w:val="00E22B68"/>
    <w:rsid w:val="00E231C9"/>
    <w:rsid w:val="00E23EBF"/>
    <w:rsid w:val="00E23FD5"/>
    <w:rsid w:val="00E24669"/>
    <w:rsid w:val="00E25981"/>
    <w:rsid w:val="00E26141"/>
    <w:rsid w:val="00E266F5"/>
    <w:rsid w:val="00E26825"/>
    <w:rsid w:val="00E270D3"/>
    <w:rsid w:val="00E27FC7"/>
    <w:rsid w:val="00E30700"/>
    <w:rsid w:val="00E31360"/>
    <w:rsid w:val="00E31D28"/>
    <w:rsid w:val="00E3440F"/>
    <w:rsid w:val="00E34F3A"/>
    <w:rsid w:val="00E35F99"/>
    <w:rsid w:val="00E35F9A"/>
    <w:rsid w:val="00E3609D"/>
    <w:rsid w:val="00E3637F"/>
    <w:rsid w:val="00E364B6"/>
    <w:rsid w:val="00E36723"/>
    <w:rsid w:val="00E3713C"/>
    <w:rsid w:val="00E37E1C"/>
    <w:rsid w:val="00E40126"/>
    <w:rsid w:val="00E40CBF"/>
    <w:rsid w:val="00E40E7D"/>
    <w:rsid w:val="00E40EE4"/>
    <w:rsid w:val="00E4108A"/>
    <w:rsid w:val="00E413C6"/>
    <w:rsid w:val="00E420D5"/>
    <w:rsid w:val="00E42517"/>
    <w:rsid w:val="00E42D55"/>
    <w:rsid w:val="00E42FFE"/>
    <w:rsid w:val="00E4316E"/>
    <w:rsid w:val="00E435AB"/>
    <w:rsid w:val="00E438D3"/>
    <w:rsid w:val="00E44275"/>
    <w:rsid w:val="00E44777"/>
    <w:rsid w:val="00E4535F"/>
    <w:rsid w:val="00E466BC"/>
    <w:rsid w:val="00E4686A"/>
    <w:rsid w:val="00E479FD"/>
    <w:rsid w:val="00E50F69"/>
    <w:rsid w:val="00E52F05"/>
    <w:rsid w:val="00E533B4"/>
    <w:rsid w:val="00E540CA"/>
    <w:rsid w:val="00E5456E"/>
    <w:rsid w:val="00E56D4A"/>
    <w:rsid w:val="00E57119"/>
    <w:rsid w:val="00E5719E"/>
    <w:rsid w:val="00E57F4B"/>
    <w:rsid w:val="00E602E5"/>
    <w:rsid w:val="00E602F8"/>
    <w:rsid w:val="00E60FBA"/>
    <w:rsid w:val="00E60FBF"/>
    <w:rsid w:val="00E616F9"/>
    <w:rsid w:val="00E61852"/>
    <w:rsid w:val="00E61D22"/>
    <w:rsid w:val="00E61D96"/>
    <w:rsid w:val="00E61E4B"/>
    <w:rsid w:val="00E63DA2"/>
    <w:rsid w:val="00E642AF"/>
    <w:rsid w:val="00E644C6"/>
    <w:rsid w:val="00E64595"/>
    <w:rsid w:val="00E646BB"/>
    <w:rsid w:val="00E6549C"/>
    <w:rsid w:val="00E654B9"/>
    <w:rsid w:val="00E65E8C"/>
    <w:rsid w:val="00E660E5"/>
    <w:rsid w:val="00E665E7"/>
    <w:rsid w:val="00E66C96"/>
    <w:rsid w:val="00E70130"/>
    <w:rsid w:val="00E715FC"/>
    <w:rsid w:val="00E71A45"/>
    <w:rsid w:val="00E71C21"/>
    <w:rsid w:val="00E730FC"/>
    <w:rsid w:val="00E7385A"/>
    <w:rsid w:val="00E73CE6"/>
    <w:rsid w:val="00E74780"/>
    <w:rsid w:val="00E752F7"/>
    <w:rsid w:val="00E75848"/>
    <w:rsid w:val="00E759D4"/>
    <w:rsid w:val="00E76173"/>
    <w:rsid w:val="00E76A3C"/>
    <w:rsid w:val="00E771FC"/>
    <w:rsid w:val="00E773E5"/>
    <w:rsid w:val="00E77BDD"/>
    <w:rsid w:val="00E806D3"/>
    <w:rsid w:val="00E81C34"/>
    <w:rsid w:val="00E81D83"/>
    <w:rsid w:val="00E821BB"/>
    <w:rsid w:val="00E822E9"/>
    <w:rsid w:val="00E8275E"/>
    <w:rsid w:val="00E827AF"/>
    <w:rsid w:val="00E82DE9"/>
    <w:rsid w:val="00E84C97"/>
    <w:rsid w:val="00E85005"/>
    <w:rsid w:val="00E8533B"/>
    <w:rsid w:val="00E85E4E"/>
    <w:rsid w:val="00E86327"/>
    <w:rsid w:val="00E90B33"/>
    <w:rsid w:val="00E911E0"/>
    <w:rsid w:val="00E91DC3"/>
    <w:rsid w:val="00E92671"/>
    <w:rsid w:val="00E92BCE"/>
    <w:rsid w:val="00E93407"/>
    <w:rsid w:val="00E93C98"/>
    <w:rsid w:val="00E940A8"/>
    <w:rsid w:val="00E947E8"/>
    <w:rsid w:val="00E94B0F"/>
    <w:rsid w:val="00E9503F"/>
    <w:rsid w:val="00E9566B"/>
    <w:rsid w:val="00E96E68"/>
    <w:rsid w:val="00E97EA1"/>
    <w:rsid w:val="00EA1FBC"/>
    <w:rsid w:val="00EA20A1"/>
    <w:rsid w:val="00EA212B"/>
    <w:rsid w:val="00EA2F54"/>
    <w:rsid w:val="00EA3A1D"/>
    <w:rsid w:val="00EA3CD7"/>
    <w:rsid w:val="00EA429D"/>
    <w:rsid w:val="00EA4C7C"/>
    <w:rsid w:val="00EA4D4C"/>
    <w:rsid w:val="00EA554F"/>
    <w:rsid w:val="00EA6250"/>
    <w:rsid w:val="00EA66A4"/>
    <w:rsid w:val="00EA6819"/>
    <w:rsid w:val="00EA75BD"/>
    <w:rsid w:val="00EA7C47"/>
    <w:rsid w:val="00EB018D"/>
    <w:rsid w:val="00EB0F0F"/>
    <w:rsid w:val="00EB12A5"/>
    <w:rsid w:val="00EB24D8"/>
    <w:rsid w:val="00EB277B"/>
    <w:rsid w:val="00EB2F20"/>
    <w:rsid w:val="00EB2F35"/>
    <w:rsid w:val="00EB31DB"/>
    <w:rsid w:val="00EB3422"/>
    <w:rsid w:val="00EB4515"/>
    <w:rsid w:val="00EB4EAF"/>
    <w:rsid w:val="00EB548E"/>
    <w:rsid w:val="00EB695E"/>
    <w:rsid w:val="00EB69D1"/>
    <w:rsid w:val="00EB6FE9"/>
    <w:rsid w:val="00EB72FF"/>
    <w:rsid w:val="00EC09C6"/>
    <w:rsid w:val="00EC0EA5"/>
    <w:rsid w:val="00EC1056"/>
    <w:rsid w:val="00EC1809"/>
    <w:rsid w:val="00EC222E"/>
    <w:rsid w:val="00EC2716"/>
    <w:rsid w:val="00EC2DBB"/>
    <w:rsid w:val="00EC358E"/>
    <w:rsid w:val="00EC4095"/>
    <w:rsid w:val="00EC4537"/>
    <w:rsid w:val="00EC4960"/>
    <w:rsid w:val="00EC4AE3"/>
    <w:rsid w:val="00EC4EBE"/>
    <w:rsid w:val="00EC54EE"/>
    <w:rsid w:val="00EC59B2"/>
    <w:rsid w:val="00EC5A3B"/>
    <w:rsid w:val="00EC786C"/>
    <w:rsid w:val="00EC7ADD"/>
    <w:rsid w:val="00ED04FE"/>
    <w:rsid w:val="00ED11C9"/>
    <w:rsid w:val="00ED2836"/>
    <w:rsid w:val="00ED3145"/>
    <w:rsid w:val="00ED3309"/>
    <w:rsid w:val="00ED356E"/>
    <w:rsid w:val="00ED3936"/>
    <w:rsid w:val="00ED3BDA"/>
    <w:rsid w:val="00ED5A3B"/>
    <w:rsid w:val="00ED5C30"/>
    <w:rsid w:val="00ED5E02"/>
    <w:rsid w:val="00ED5EED"/>
    <w:rsid w:val="00ED6B1C"/>
    <w:rsid w:val="00ED6CF7"/>
    <w:rsid w:val="00ED6F33"/>
    <w:rsid w:val="00ED7716"/>
    <w:rsid w:val="00ED7737"/>
    <w:rsid w:val="00ED7747"/>
    <w:rsid w:val="00ED7BCE"/>
    <w:rsid w:val="00ED7CF4"/>
    <w:rsid w:val="00EE0161"/>
    <w:rsid w:val="00EE1B0E"/>
    <w:rsid w:val="00EE22FB"/>
    <w:rsid w:val="00EE26AE"/>
    <w:rsid w:val="00EE2A54"/>
    <w:rsid w:val="00EE2FC2"/>
    <w:rsid w:val="00EE3B88"/>
    <w:rsid w:val="00EE4B75"/>
    <w:rsid w:val="00EE4DBD"/>
    <w:rsid w:val="00EE509C"/>
    <w:rsid w:val="00EE6AC6"/>
    <w:rsid w:val="00EE6E26"/>
    <w:rsid w:val="00EE7662"/>
    <w:rsid w:val="00EE784F"/>
    <w:rsid w:val="00EE7A1D"/>
    <w:rsid w:val="00EF0500"/>
    <w:rsid w:val="00EF1002"/>
    <w:rsid w:val="00EF143F"/>
    <w:rsid w:val="00EF23D8"/>
    <w:rsid w:val="00EF2A5A"/>
    <w:rsid w:val="00EF2A87"/>
    <w:rsid w:val="00EF3A74"/>
    <w:rsid w:val="00EF3AE9"/>
    <w:rsid w:val="00EF3EA5"/>
    <w:rsid w:val="00EF55D6"/>
    <w:rsid w:val="00EF615F"/>
    <w:rsid w:val="00EF644D"/>
    <w:rsid w:val="00EF6D29"/>
    <w:rsid w:val="00EF7138"/>
    <w:rsid w:val="00F00881"/>
    <w:rsid w:val="00F00917"/>
    <w:rsid w:val="00F010BB"/>
    <w:rsid w:val="00F012C1"/>
    <w:rsid w:val="00F0175F"/>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F5E"/>
    <w:rsid w:val="00F106BB"/>
    <w:rsid w:val="00F11027"/>
    <w:rsid w:val="00F116DD"/>
    <w:rsid w:val="00F11E31"/>
    <w:rsid w:val="00F13AA1"/>
    <w:rsid w:val="00F13F2A"/>
    <w:rsid w:val="00F15097"/>
    <w:rsid w:val="00F15671"/>
    <w:rsid w:val="00F202E3"/>
    <w:rsid w:val="00F20C6E"/>
    <w:rsid w:val="00F20D6C"/>
    <w:rsid w:val="00F2186D"/>
    <w:rsid w:val="00F21FC3"/>
    <w:rsid w:val="00F2255F"/>
    <w:rsid w:val="00F225CF"/>
    <w:rsid w:val="00F22882"/>
    <w:rsid w:val="00F22985"/>
    <w:rsid w:val="00F22AEF"/>
    <w:rsid w:val="00F22F7A"/>
    <w:rsid w:val="00F2343C"/>
    <w:rsid w:val="00F23CFC"/>
    <w:rsid w:val="00F24076"/>
    <w:rsid w:val="00F2492F"/>
    <w:rsid w:val="00F2500D"/>
    <w:rsid w:val="00F2596D"/>
    <w:rsid w:val="00F25CAA"/>
    <w:rsid w:val="00F277E8"/>
    <w:rsid w:val="00F27E3D"/>
    <w:rsid w:val="00F301D0"/>
    <w:rsid w:val="00F3069F"/>
    <w:rsid w:val="00F30C60"/>
    <w:rsid w:val="00F311D1"/>
    <w:rsid w:val="00F3158A"/>
    <w:rsid w:val="00F318DB"/>
    <w:rsid w:val="00F31F7D"/>
    <w:rsid w:val="00F32AFF"/>
    <w:rsid w:val="00F33825"/>
    <w:rsid w:val="00F33A8B"/>
    <w:rsid w:val="00F34A96"/>
    <w:rsid w:val="00F34C29"/>
    <w:rsid w:val="00F34E6C"/>
    <w:rsid w:val="00F34EBF"/>
    <w:rsid w:val="00F34F05"/>
    <w:rsid w:val="00F35DF3"/>
    <w:rsid w:val="00F36240"/>
    <w:rsid w:val="00F363EB"/>
    <w:rsid w:val="00F365DE"/>
    <w:rsid w:val="00F3719A"/>
    <w:rsid w:val="00F379BF"/>
    <w:rsid w:val="00F37EA7"/>
    <w:rsid w:val="00F40805"/>
    <w:rsid w:val="00F40C5E"/>
    <w:rsid w:val="00F40E3E"/>
    <w:rsid w:val="00F4163A"/>
    <w:rsid w:val="00F41873"/>
    <w:rsid w:val="00F419C3"/>
    <w:rsid w:val="00F41D91"/>
    <w:rsid w:val="00F41E2B"/>
    <w:rsid w:val="00F42260"/>
    <w:rsid w:val="00F423BE"/>
    <w:rsid w:val="00F424A5"/>
    <w:rsid w:val="00F428AC"/>
    <w:rsid w:val="00F42EE3"/>
    <w:rsid w:val="00F430D4"/>
    <w:rsid w:val="00F43165"/>
    <w:rsid w:val="00F43660"/>
    <w:rsid w:val="00F44542"/>
    <w:rsid w:val="00F44DB8"/>
    <w:rsid w:val="00F45760"/>
    <w:rsid w:val="00F45925"/>
    <w:rsid w:val="00F46B67"/>
    <w:rsid w:val="00F46BA6"/>
    <w:rsid w:val="00F46C97"/>
    <w:rsid w:val="00F50781"/>
    <w:rsid w:val="00F50A0F"/>
    <w:rsid w:val="00F50CA3"/>
    <w:rsid w:val="00F517ED"/>
    <w:rsid w:val="00F51F3F"/>
    <w:rsid w:val="00F5254C"/>
    <w:rsid w:val="00F528B5"/>
    <w:rsid w:val="00F528E7"/>
    <w:rsid w:val="00F52C8A"/>
    <w:rsid w:val="00F54783"/>
    <w:rsid w:val="00F547E9"/>
    <w:rsid w:val="00F5494E"/>
    <w:rsid w:val="00F54ABE"/>
    <w:rsid w:val="00F55F1A"/>
    <w:rsid w:val="00F5684C"/>
    <w:rsid w:val="00F57210"/>
    <w:rsid w:val="00F577FC"/>
    <w:rsid w:val="00F6026F"/>
    <w:rsid w:val="00F602F0"/>
    <w:rsid w:val="00F60C90"/>
    <w:rsid w:val="00F619EE"/>
    <w:rsid w:val="00F61FF9"/>
    <w:rsid w:val="00F62069"/>
    <w:rsid w:val="00F62159"/>
    <w:rsid w:val="00F62B93"/>
    <w:rsid w:val="00F633E5"/>
    <w:rsid w:val="00F63C89"/>
    <w:rsid w:val="00F647EC"/>
    <w:rsid w:val="00F65F15"/>
    <w:rsid w:val="00F675EA"/>
    <w:rsid w:val="00F7074A"/>
    <w:rsid w:val="00F71708"/>
    <w:rsid w:val="00F717C1"/>
    <w:rsid w:val="00F7281E"/>
    <w:rsid w:val="00F72C3D"/>
    <w:rsid w:val="00F737AB"/>
    <w:rsid w:val="00F74216"/>
    <w:rsid w:val="00F74F0F"/>
    <w:rsid w:val="00F75731"/>
    <w:rsid w:val="00F76333"/>
    <w:rsid w:val="00F76844"/>
    <w:rsid w:val="00F77100"/>
    <w:rsid w:val="00F8090F"/>
    <w:rsid w:val="00F8139A"/>
    <w:rsid w:val="00F81470"/>
    <w:rsid w:val="00F81854"/>
    <w:rsid w:val="00F8225E"/>
    <w:rsid w:val="00F82AAE"/>
    <w:rsid w:val="00F830F1"/>
    <w:rsid w:val="00F838A9"/>
    <w:rsid w:val="00F84B4E"/>
    <w:rsid w:val="00F84F60"/>
    <w:rsid w:val="00F851B7"/>
    <w:rsid w:val="00F8566C"/>
    <w:rsid w:val="00F858D4"/>
    <w:rsid w:val="00F85C65"/>
    <w:rsid w:val="00F860EB"/>
    <w:rsid w:val="00F868B6"/>
    <w:rsid w:val="00F86968"/>
    <w:rsid w:val="00F86E42"/>
    <w:rsid w:val="00F876E6"/>
    <w:rsid w:val="00F87825"/>
    <w:rsid w:val="00F87838"/>
    <w:rsid w:val="00F87FCE"/>
    <w:rsid w:val="00F9008B"/>
    <w:rsid w:val="00F909E4"/>
    <w:rsid w:val="00F90A03"/>
    <w:rsid w:val="00F91669"/>
    <w:rsid w:val="00F9184F"/>
    <w:rsid w:val="00F91943"/>
    <w:rsid w:val="00F92A66"/>
    <w:rsid w:val="00F931CF"/>
    <w:rsid w:val="00F93A31"/>
    <w:rsid w:val="00F93D6E"/>
    <w:rsid w:val="00F9423D"/>
    <w:rsid w:val="00F95182"/>
    <w:rsid w:val="00F96F86"/>
    <w:rsid w:val="00FA02B8"/>
    <w:rsid w:val="00FA0980"/>
    <w:rsid w:val="00FA1028"/>
    <w:rsid w:val="00FA181F"/>
    <w:rsid w:val="00FA1E82"/>
    <w:rsid w:val="00FA2137"/>
    <w:rsid w:val="00FA272D"/>
    <w:rsid w:val="00FA338D"/>
    <w:rsid w:val="00FA34A2"/>
    <w:rsid w:val="00FA3742"/>
    <w:rsid w:val="00FA3837"/>
    <w:rsid w:val="00FA39FC"/>
    <w:rsid w:val="00FA44B4"/>
    <w:rsid w:val="00FA4538"/>
    <w:rsid w:val="00FA4998"/>
    <w:rsid w:val="00FA4DC2"/>
    <w:rsid w:val="00FA67E3"/>
    <w:rsid w:val="00FA6884"/>
    <w:rsid w:val="00FA7157"/>
    <w:rsid w:val="00FA73F3"/>
    <w:rsid w:val="00FA7698"/>
    <w:rsid w:val="00FA78C2"/>
    <w:rsid w:val="00FA7A2D"/>
    <w:rsid w:val="00FB0822"/>
    <w:rsid w:val="00FB1093"/>
    <w:rsid w:val="00FB13A0"/>
    <w:rsid w:val="00FB2108"/>
    <w:rsid w:val="00FB227E"/>
    <w:rsid w:val="00FB267D"/>
    <w:rsid w:val="00FB2A18"/>
    <w:rsid w:val="00FB2BF4"/>
    <w:rsid w:val="00FB2C8D"/>
    <w:rsid w:val="00FB6E6C"/>
    <w:rsid w:val="00FB71B0"/>
    <w:rsid w:val="00FB7ABA"/>
    <w:rsid w:val="00FB7C21"/>
    <w:rsid w:val="00FB7C46"/>
    <w:rsid w:val="00FC04E0"/>
    <w:rsid w:val="00FC11C6"/>
    <w:rsid w:val="00FC279A"/>
    <w:rsid w:val="00FC324D"/>
    <w:rsid w:val="00FC39A1"/>
    <w:rsid w:val="00FC3BC3"/>
    <w:rsid w:val="00FC4B53"/>
    <w:rsid w:val="00FC4BAE"/>
    <w:rsid w:val="00FC5160"/>
    <w:rsid w:val="00FC6B0B"/>
    <w:rsid w:val="00FC713B"/>
    <w:rsid w:val="00FC79D5"/>
    <w:rsid w:val="00FC7B35"/>
    <w:rsid w:val="00FC7B53"/>
    <w:rsid w:val="00FD0177"/>
    <w:rsid w:val="00FD0AE7"/>
    <w:rsid w:val="00FD0B44"/>
    <w:rsid w:val="00FD0F70"/>
    <w:rsid w:val="00FD2315"/>
    <w:rsid w:val="00FD29A7"/>
    <w:rsid w:val="00FD2C87"/>
    <w:rsid w:val="00FD3092"/>
    <w:rsid w:val="00FD51F7"/>
    <w:rsid w:val="00FD5258"/>
    <w:rsid w:val="00FD5602"/>
    <w:rsid w:val="00FD5A2A"/>
    <w:rsid w:val="00FD5AE2"/>
    <w:rsid w:val="00FD62B4"/>
    <w:rsid w:val="00FD7142"/>
    <w:rsid w:val="00FE011C"/>
    <w:rsid w:val="00FE07DC"/>
    <w:rsid w:val="00FE1116"/>
    <w:rsid w:val="00FE2075"/>
    <w:rsid w:val="00FE2080"/>
    <w:rsid w:val="00FE27B9"/>
    <w:rsid w:val="00FE2E37"/>
    <w:rsid w:val="00FE3640"/>
    <w:rsid w:val="00FE3780"/>
    <w:rsid w:val="00FE3CF7"/>
    <w:rsid w:val="00FE4071"/>
    <w:rsid w:val="00FE42E3"/>
    <w:rsid w:val="00FE4ECD"/>
    <w:rsid w:val="00FE5807"/>
    <w:rsid w:val="00FE5B0D"/>
    <w:rsid w:val="00FE624E"/>
    <w:rsid w:val="00FE6415"/>
    <w:rsid w:val="00FE69E7"/>
    <w:rsid w:val="00FE6BB8"/>
    <w:rsid w:val="00FF027B"/>
    <w:rsid w:val="00FF0DA2"/>
    <w:rsid w:val="00FF1174"/>
    <w:rsid w:val="00FF165A"/>
    <w:rsid w:val="00FF1B72"/>
    <w:rsid w:val="00FF1CF1"/>
    <w:rsid w:val="00FF1F4C"/>
    <w:rsid w:val="00FF35DC"/>
    <w:rsid w:val="00FF3A6A"/>
    <w:rsid w:val="00FF3C7A"/>
    <w:rsid w:val="00FF3E09"/>
    <w:rsid w:val="00FF40C4"/>
    <w:rsid w:val="00FF411C"/>
    <w:rsid w:val="00FF4B2E"/>
    <w:rsid w:val="00FF4E4B"/>
    <w:rsid w:val="00FF4E4E"/>
    <w:rsid w:val="00FF5049"/>
    <w:rsid w:val="00FF5D1F"/>
    <w:rsid w:val="00FF5F95"/>
    <w:rsid w:val="00FF6126"/>
    <w:rsid w:val="00FF61F5"/>
    <w:rsid w:val="00FF62AA"/>
    <w:rsid w:val="00FF64D7"/>
    <w:rsid w:val="00FF6B6C"/>
    <w:rsid w:val="0112278A"/>
    <w:rsid w:val="011253ED"/>
    <w:rsid w:val="011B378B"/>
    <w:rsid w:val="011C44BE"/>
    <w:rsid w:val="0129233D"/>
    <w:rsid w:val="012C4B99"/>
    <w:rsid w:val="012F2443"/>
    <w:rsid w:val="0130093B"/>
    <w:rsid w:val="013A1F62"/>
    <w:rsid w:val="013B3E14"/>
    <w:rsid w:val="013E3B5F"/>
    <w:rsid w:val="01521C8D"/>
    <w:rsid w:val="015C547E"/>
    <w:rsid w:val="015E69C8"/>
    <w:rsid w:val="01610122"/>
    <w:rsid w:val="016C0FA1"/>
    <w:rsid w:val="016C1DF0"/>
    <w:rsid w:val="0174775E"/>
    <w:rsid w:val="0179546C"/>
    <w:rsid w:val="017C156C"/>
    <w:rsid w:val="0185798E"/>
    <w:rsid w:val="019230F8"/>
    <w:rsid w:val="019D73AC"/>
    <w:rsid w:val="01A0461F"/>
    <w:rsid w:val="01AC574D"/>
    <w:rsid w:val="01C2744E"/>
    <w:rsid w:val="01DB7ED5"/>
    <w:rsid w:val="01EB6738"/>
    <w:rsid w:val="01F80A87"/>
    <w:rsid w:val="020224B9"/>
    <w:rsid w:val="020C68B4"/>
    <w:rsid w:val="020F3590"/>
    <w:rsid w:val="021966FC"/>
    <w:rsid w:val="02283016"/>
    <w:rsid w:val="02341979"/>
    <w:rsid w:val="02413243"/>
    <w:rsid w:val="02430E8A"/>
    <w:rsid w:val="024F7923"/>
    <w:rsid w:val="02597332"/>
    <w:rsid w:val="026505B4"/>
    <w:rsid w:val="026575E8"/>
    <w:rsid w:val="026D6B66"/>
    <w:rsid w:val="027A0510"/>
    <w:rsid w:val="027E4725"/>
    <w:rsid w:val="02A178AD"/>
    <w:rsid w:val="02AA30B8"/>
    <w:rsid w:val="02B250DA"/>
    <w:rsid w:val="02BC1AB4"/>
    <w:rsid w:val="02C60B85"/>
    <w:rsid w:val="02EA10F8"/>
    <w:rsid w:val="02F346B1"/>
    <w:rsid w:val="0300476D"/>
    <w:rsid w:val="03086AA8"/>
    <w:rsid w:val="030B2811"/>
    <w:rsid w:val="03127926"/>
    <w:rsid w:val="031A67DB"/>
    <w:rsid w:val="031C1F1C"/>
    <w:rsid w:val="03391357"/>
    <w:rsid w:val="033B6E7D"/>
    <w:rsid w:val="03564076"/>
    <w:rsid w:val="035C5045"/>
    <w:rsid w:val="035D37EA"/>
    <w:rsid w:val="036D7252"/>
    <w:rsid w:val="037272E1"/>
    <w:rsid w:val="037738D8"/>
    <w:rsid w:val="03795A3B"/>
    <w:rsid w:val="037979A5"/>
    <w:rsid w:val="038C01A2"/>
    <w:rsid w:val="039106AD"/>
    <w:rsid w:val="03923F68"/>
    <w:rsid w:val="039424CA"/>
    <w:rsid w:val="03B024F5"/>
    <w:rsid w:val="03BA052A"/>
    <w:rsid w:val="03D343E1"/>
    <w:rsid w:val="03D400B3"/>
    <w:rsid w:val="03DF1EFE"/>
    <w:rsid w:val="03F57086"/>
    <w:rsid w:val="03F94508"/>
    <w:rsid w:val="03FE7EAB"/>
    <w:rsid w:val="04056A14"/>
    <w:rsid w:val="041301DB"/>
    <w:rsid w:val="041F054D"/>
    <w:rsid w:val="042308C9"/>
    <w:rsid w:val="04420CB6"/>
    <w:rsid w:val="047168CE"/>
    <w:rsid w:val="049329AF"/>
    <w:rsid w:val="049911B6"/>
    <w:rsid w:val="04A24CDA"/>
    <w:rsid w:val="04A42800"/>
    <w:rsid w:val="04A77266"/>
    <w:rsid w:val="04B241F2"/>
    <w:rsid w:val="04BC2297"/>
    <w:rsid w:val="04E13A54"/>
    <w:rsid w:val="04ED23F9"/>
    <w:rsid w:val="04F96FF0"/>
    <w:rsid w:val="05094D59"/>
    <w:rsid w:val="050B50F9"/>
    <w:rsid w:val="0512382A"/>
    <w:rsid w:val="051756C8"/>
    <w:rsid w:val="051E0804"/>
    <w:rsid w:val="05257DE5"/>
    <w:rsid w:val="05412FEB"/>
    <w:rsid w:val="054461FB"/>
    <w:rsid w:val="054D1E6D"/>
    <w:rsid w:val="055A7339"/>
    <w:rsid w:val="05761DD9"/>
    <w:rsid w:val="057A4152"/>
    <w:rsid w:val="058214EC"/>
    <w:rsid w:val="05971D90"/>
    <w:rsid w:val="059A4101"/>
    <w:rsid w:val="05A20B35"/>
    <w:rsid w:val="05A22040"/>
    <w:rsid w:val="05CF5FA2"/>
    <w:rsid w:val="05D42FC4"/>
    <w:rsid w:val="05DD7641"/>
    <w:rsid w:val="05F30436"/>
    <w:rsid w:val="06214A7C"/>
    <w:rsid w:val="063F4ED6"/>
    <w:rsid w:val="06451DC1"/>
    <w:rsid w:val="064716FB"/>
    <w:rsid w:val="06562497"/>
    <w:rsid w:val="0658656D"/>
    <w:rsid w:val="06604F65"/>
    <w:rsid w:val="067A7CBC"/>
    <w:rsid w:val="068B011B"/>
    <w:rsid w:val="069B41A9"/>
    <w:rsid w:val="069B6125"/>
    <w:rsid w:val="06A07A63"/>
    <w:rsid w:val="06AB1555"/>
    <w:rsid w:val="06B65ED2"/>
    <w:rsid w:val="06BC7143"/>
    <w:rsid w:val="06C80E7B"/>
    <w:rsid w:val="06E85333"/>
    <w:rsid w:val="0701236B"/>
    <w:rsid w:val="070966E6"/>
    <w:rsid w:val="07155C37"/>
    <w:rsid w:val="071C4210"/>
    <w:rsid w:val="071E464D"/>
    <w:rsid w:val="07413C37"/>
    <w:rsid w:val="07426674"/>
    <w:rsid w:val="07481B68"/>
    <w:rsid w:val="0749768F"/>
    <w:rsid w:val="074A4BE2"/>
    <w:rsid w:val="074D53D1"/>
    <w:rsid w:val="075F0692"/>
    <w:rsid w:val="075F22C7"/>
    <w:rsid w:val="076541BE"/>
    <w:rsid w:val="07772027"/>
    <w:rsid w:val="07834DF6"/>
    <w:rsid w:val="078733EC"/>
    <w:rsid w:val="078A1350"/>
    <w:rsid w:val="07950B26"/>
    <w:rsid w:val="07AF3996"/>
    <w:rsid w:val="07B12BB5"/>
    <w:rsid w:val="07E07FF3"/>
    <w:rsid w:val="07FA6CEF"/>
    <w:rsid w:val="07FD6DF7"/>
    <w:rsid w:val="08000695"/>
    <w:rsid w:val="08017F69"/>
    <w:rsid w:val="08071442"/>
    <w:rsid w:val="081B13C3"/>
    <w:rsid w:val="08262763"/>
    <w:rsid w:val="08273E74"/>
    <w:rsid w:val="082779D0"/>
    <w:rsid w:val="08297BEC"/>
    <w:rsid w:val="082B3A33"/>
    <w:rsid w:val="0837398B"/>
    <w:rsid w:val="084A44E6"/>
    <w:rsid w:val="087056FC"/>
    <w:rsid w:val="087D3A94"/>
    <w:rsid w:val="08892F7C"/>
    <w:rsid w:val="088A4DD0"/>
    <w:rsid w:val="089D5EE4"/>
    <w:rsid w:val="08AA0F27"/>
    <w:rsid w:val="08AC7C17"/>
    <w:rsid w:val="08B5322E"/>
    <w:rsid w:val="08C02D6F"/>
    <w:rsid w:val="08F10D56"/>
    <w:rsid w:val="08F53B23"/>
    <w:rsid w:val="09104908"/>
    <w:rsid w:val="09140560"/>
    <w:rsid w:val="092F303B"/>
    <w:rsid w:val="0932487E"/>
    <w:rsid w:val="09355067"/>
    <w:rsid w:val="09371E95"/>
    <w:rsid w:val="093C3689"/>
    <w:rsid w:val="094E4194"/>
    <w:rsid w:val="094E5847"/>
    <w:rsid w:val="095F13EB"/>
    <w:rsid w:val="0963712E"/>
    <w:rsid w:val="096802A0"/>
    <w:rsid w:val="096B0532"/>
    <w:rsid w:val="09722BD6"/>
    <w:rsid w:val="09741E4C"/>
    <w:rsid w:val="09774D1B"/>
    <w:rsid w:val="097F728F"/>
    <w:rsid w:val="098A3E66"/>
    <w:rsid w:val="09930E3A"/>
    <w:rsid w:val="09C1335A"/>
    <w:rsid w:val="09C6146A"/>
    <w:rsid w:val="09E0601E"/>
    <w:rsid w:val="09E314E3"/>
    <w:rsid w:val="09E35B78"/>
    <w:rsid w:val="09E86351"/>
    <w:rsid w:val="09FB39AD"/>
    <w:rsid w:val="0A022ACD"/>
    <w:rsid w:val="0A040B7A"/>
    <w:rsid w:val="0A070656"/>
    <w:rsid w:val="0A0C79FA"/>
    <w:rsid w:val="0A157CFC"/>
    <w:rsid w:val="0A215E0D"/>
    <w:rsid w:val="0A512125"/>
    <w:rsid w:val="0A7D6C81"/>
    <w:rsid w:val="0A8245A3"/>
    <w:rsid w:val="0A913ED8"/>
    <w:rsid w:val="0A977BC1"/>
    <w:rsid w:val="0AA571F6"/>
    <w:rsid w:val="0AA950EA"/>
    <w:rsid w:val="0AB570B4"/>
    <w:rsid w:val="0ABA06D3"/>
    <w:rsid w:val="0ABF0394"/>
    <w:rsid w:val="0ACE5135"/>
    <w:rsid w:val="0ADA341F"/>
    <w:rsid w:val="0ADD4CBE"/>
    <w:rsid w:val="0ADE1E9A"/>
    <w:rsid w:val="0ADE636E"/>
    <w:rsid w:val="0AEA2F37"/>
    <w:rsid w:val="0AEB62EA"/>
    <w:rsid w:val="0AF82EE0"/>
    <w:rsid w:val="0B02333A"/>
    <w:rsid w:val="0B077A68"/>
    <w:rsid w:val="0B0B424A"/>
    <w:rsid w:val="0B0E3A05"/>
    <w:rsid w:val="0B144B81"/>
    <w:rsid w:val="0B24171E"/>
    <w:rsid w:val="0B48159C"/>
    <w:rsid w:val="0B520B0D"/>
    <w:rsid w:val="0B521208"/>
    <w:rsid w:val="0B57681E"/>
    <w:rsid w:val="0B6663A8"/>
    <w:rsid w:val="0B680A2B"/>
    <w:rsid w:val="0B6D3E71"/>
    <w:rsid w:val="0B831D71"/>
    <w:rsid w:val="0B8909A2"/>
    <w:rsid w:val="0B8C2AB9"/>
    <w:rsid w:val="0B8D0F28"/>
    <w:rsid w:val="0B903ADE"/>
    <w:rsid w:val="0B9E132D"/>
    <w:rsid w:val="0BA53A2D"/>
    <w:rsid w:val="0BA65800"/>
    <w:rsid w:val="0BAE0816"/>
    <w:rsid w:val="0BAF703D"/>
    <w:rsid w:val="0BBC2B25"/>
    <w:rsid w:val="0BBC2B8A"/>
    <w:rsid w:val="0BC1638D"/>
    <w:rsid w:val="0BC80AA9"/>
    <w:rsid w:val="0BCF0AAA"/>
    <w:rsid w:val="0BE61950"/>
    <w:rsid w:val="0BF53CF5"/>
    <w:rsid w:val="0BFE5271"/>
    <w:rsid w:val="0C065DC3"/>
    <w:rsid w:val="0C1454C8"/>
    <w:rsid w:val="0C2F2671"/>
    <w:rsid w:val="0C3923C8"/>
    <w:rsid w:val="0C48085D"/>
    <w:rsid w:val="0C4E11BE"/>
    <w:rsid w:val="0C6C0957"/>
    <w:rsid w:val="0C6E64A7"/>
    <w:rsid w:val="0C7C126A"/>
    <w:rsid w:val="0C803EEE"/>
    <w:rsid w:val="0C873133"/>
    <w:rsid w:val="0C9342BC"/>
    <w:rsid w:val="0C9829A0"/>
    <w:rsid w:val="0CA5155E"/>
    <w:rsid w:val="0CBB550F"/>
    <w:rsid w:val="0CC22BFE"/>
    <w:rsid w:val="0CCB187D"/>
    <w:rsid w:val="0CCC77CD"/>
    <w:rsid w:val="0CD31CEA"/>
    <w:rsid w:val="0CE340E1"/>
    <w:rsid w:val="0CE4211A"/>
    <w:rsid w:val="0CFB4527"/>
    <w:rsid w:val="0D093B48"/>
    <w:rsid w:val="0D0F6243"/>
    <w:rsid w:val="0D104463"/>
    <w:rsid w:val="0D183D8B"/>
    <w:rsid w:val="0D192D93"/>
    <w:rsid w:val="0D1F6CA7"/>
    <w:rsid w:val="0D2546FA"/>
    <w:rsid w:val="0D3D30EB"/>
    <w:rsid w:val="0D531267"/>
    <w:rsid w:val="0D5430DD"/>
    <w:rsid w:val="0D551489"/>
    <w:rsid w:val="0D584403"/>
    <w:rsid w:val="0D5B47C8"/>
    <w:rsid w:val="0D651406"/>
    <w:rsid w:val="0D693500"/>
    <w:rsid w:val="0D7D55A2"/>
    <w:rsid w:val="0D827B6E"/>
    <w:rsid w:val="0D8E04F1"/>
    <w:rsid w:val="0D915F77"/>
    <w:rsid w:val="0D9378B6"/>
    <w:rsid w:val="0D9A0F63"/>
    <w:rsid w:val="0DA67086"/>
    <w:rsid w:val="0DA83F64"/>
    <w:rsid w:val="0DAF107C"/>
    <w:rsid w:val="0DB032B9"/>
    <w:rsid w:val="0DB735A4"/>
    <w:rsid w:val="0DBE0DD6"/>
    <w:rsid w:val="0DC363ED"/>
    <w:rsid w:val="0DC91529"/>
    <w:rsid w:val="0DD84D6E"/>
    <w:rsid w:val="0DD84DFE"/>
    <w:rsid w:val="0DF46F9C"/>
    <w:rsid w:val="0DFE6E01"/>
    <w:rsid w:val="0E072A2F"/>
    <w:rsid w:val="0E1D2C34"/>
    <w:rsid w:val="0E1E10B0"/>
    <w:rsid w:val="0E35096D"/>
    <w:rsid w:val="0E483226"/>
    <w:rsid w:val="0E6301A5"/>
    <w:rsid w:val="0E721BC1"/>
    <w:rsid w:val="0E87566C"/>
    <w:rsid w:val="0EA3213F"/>
    <w:rsid w:val="0ECA4CFE"/>
    <w:rsid w:val="0ED71034"/>
    <w:rsid w:val="0ED85268"/>
    <w:rsid w:val="0EEA79A9"/>
    <w:rsid w:val="0EF4370D"/>
    <w:rsid w:val="0F0C7DB4"/>
    <w:rsid w:val="0F0F7410"/>
    <w:rsid w:val="0F192EAB"/>
    <w:rsid w:val="0F220EF1"/>
    <w:rsid w:val="0F225395"/>
    <w:rsid w:val="0F2509E1"/>
    <w:rsid w:val="0F2A5FF8"/>
    <w:rsid w:val="0F307EB7"/>
    <w:rsid w:val="0F320D3E"/>
    <w:rsid w:val="0F3572AA"/>
    <w:rsid w:val="0F380715"/>
    <w:rsid w:val="0F6459AD"/>
    <w:rsid w:val="0F7715B4"/>
    <w:rsid w:val="0F7D25CB"/>
    <w:rsid w:val="0F827BE2"/>
    <w:rsid w:val="0F8B1015"/>
    <w:rsid w:val="0FA05580"/>
    <w:rsid w:val="0FA61B22"/>
    <w:rsid w:val="0FAC7DF3"/>
    <w:rsid w:val="0FAD1733"/>
    <w:rsid w:val="0FAE64A2"/>
    <w:rsid w:val="0FB32491"/>
    <w:rsid w:val="0FBB1F3E"/>
    <w:rsid w:val="0FC03B56"/>
    <w:rsid w:val="0FC665C8"/>
    <w:rsid w:val="0FD45DB1"/>
    <w:rsid w:val="0FDD12BC"/>
    <w:rsid w:val="0FEA282E"/>
    <w:rsid w:val="0FEB2196"/>
    <w:rsid w:val="101C0A97"/>
    <w:rsid w:val="102278FF"/>
    <w:rsid w:val="102B2027"/>
    <w:rsid w:val="10323887"/>
    <w:rsid w:val="1042358C"/>
    <w:rsid w:val="1057106E"/>
    <w:rsid w:val="10595C94"/>
    <w:rsid w:val="10635C65"/>
    <w:rsid w:val="10667503"/>
    <w:rsid w:val="10797237"/>
    <w:rsid w:val="107E2A9F"/>
    <w:rsid w:val="10864EB9"/>
    <w:rsid w:val="108E3DDD"/>
    <w:rsid w:val="109615A3"/>
    <w:rsid w:val="109678E5"/>
    <w:rsid w:val="109911E1"/>
    <w:rsid w:val="10AE16E8"/>
    <w:rsid w:val="10CA5CE4"/>
    <w:rsid w:val="10D1748D"/>
    <w:rsid w:val="10E24DDC"/>
    <w:rsid w:val="10ED15DE"/>
    <w:rsid w:val="10ED1A91"/>
    <w:rsid w:val="10EF74F9"/>
    <w:rsid w:val="10F67974"/>
    <w:rsid w:val="10F8220B"/>
    <w:rsid w:val="111A6B38"/>
    <w:rsid w:val="112076B2"/>
    <w:rsid w:val="1124554C"/>
    <w:rsid w:val="1142372A"/>
    <w:rsid w:val="11427629"/>
    <w:rsid w:val="114F15AD"/>
    <w:rsid w:val="117463E2"/>
    <w:rsid w:val="11895257"/>
    <w:rsid w:val="118F65E6"/>
    <w:rsid w:val="1193658F"/>
    <w:rsid w:val="11985C90"/>
    <w:rsid w:val="11A06298"/>
    <w:rsid w:val="11A402E3"/>
    <w:rsid w:val="11E65705"/>
    <w:rsid w:val="11EC32D1"/>
    <w:rsid w:val="11F92CFD"/>
    <w:rsid w:val="11FF35C7"/>
    <w:rsid w:val="121637D2"/>
    <w:rsid w:val="12176CD2"/>
    <w:rsid w:val="121E2084"/>
    <w:rsid w:val="12335533"/>
    <w:rsid w:val="124F7981"/>
    <w:rsid w:val="12543AB7"/>
    <w:rsid w:val="12643DE7"/>
    <w:rsid w:val="126C1BD1"/>
    <w:rsid w:val="12734987"/>
    <w:rsid w:val="1275219A"/>
    <w:rsid w:val="127579BC"/>
    <w:rsid w:val="127C1E28"/>
    <w:rsid w:val="129465AA"/>
    <w:rsid w:val="12971BF6"/>
    <w:rsid w:val="129C19C4"/>
    <w:rsid w:val="129E2F84"/>
    <w:rsid w:val="12AB357D"/>
    <w:rsid w:val="12AB7CFE"/>
    <w:rsid w:val="12BA7692"/>
    <w:rsid w:val="12C405AF"/>
    <w:rsid w:val="12C627C3"/>
    <w:rsid w:val="12CE32F7"/>
    <w:rsid w:val="12D06431"/>
    <w:rsid w:val="12D3115C"/>
    <w:rsid w:val="12E71E83"/>
    <w:rsid w:val="12E82452"/>
    <w:rsid w:val="12F04BA9"/>
    <w:rsid w:val="12F075EA"/>
    <w:rsid w:val="12F7727B"/>
    <w:rsid w:val="130A061A"/>
    <w:rsid w:val="130A7C63"/>
    <w:rsid w:val="131119A8"/>
    <w:rsid w:val="13162B73"/>
    <w:rsid w:val="131C1446"/>
    <w:rsid w:val="13432435"/>
    <w:rsid w:val="135875D7"/>
    <w:rsid w:val="135D699C"/>
    <w:rsid w:val="136046DE"/>
    <w:rsid w:val="13750189"/>
    <w:rsid w:val="13827929"/>
    <w:rsid w:val="13833747"/>
    <w:rsid w:val="138F12B4"/>
    <w:rsid w:val="1393045B"/>
    <w:rsid w:val="13937613"/>
    <w:rsid w:val="13975A19"/>
    <w:rsid w:val="139B1D03"/>
    <w:rsid w:val="13B01BA8"/>
    <w:rsid w:val="13C50D8E"/>
    <w:rsid w:val="13CC1D73"/>
    <w:rsid w:val="13CC3B21"/>
    <w:rsid w:val="14117786"/>
    <w:rsid w:val="14292626"/>
    <w:rsid w:val="14294AD0"/>
    <w:rsid w:val="142C45C0"/>
    <w:rsid w:val="142E3B87"/>
    <w:rsid w:val="14322954"/>
    <w:rsid w:val="143B02AF"/>
    <w:rsid w:val="143B7796"/>
    <w:rsid w:val="143C5E43"/>
    <w:rsid w:val="143C772E"/>
    <w:rsid w:val="143F42F3"/>
    <w:rsid w:val="146F2C7A"/>
    <w:rsid w:val="147F2942"/>
    <w:rsid w:val="1499542D"/>
    <w:rsid w:val="149E4992"/>
    <w:rsid w:val="149F62FB"/>
    <w:rsid w:val="14B378C3"/>
    <w:rsid w:val="14BE4F02"/>
    <w:rsid w:val="14C6096D"/>
    <w:rsid w:val="14DC5FE6"/>
    <w:rsid w:val="14E14C31"/>
    <w:rsid w:val="14E76E65"/>
    <w:rsid w:val="14F14A7B"/>
    <w:rsid w:val="14F577A6"/>
    <w:rsid w:val="14F84469"/>
    <w:rsid w:val="15086913"/>
    <w:rsid w:val="1517701E"/>
    <w:rsid w:val="151A266A"/>
    <w:rsid w:val="151B6B0E"/>
    <w:rsid w:val="151E17CC"/>
    <w:rsid w:val="15323E58"/>
    <w:rsid w:val="15335936"/>
    <w:rsid w:val="153366E0"/>
    <w:rsid w:val="1537554C"/>
    <w:rsid w:val="15407F05"/>
    <w:rsid w:val="15477425"/>
    <w:rsid w:val="154835CB"/>
    <w:rsid w:val="154F67B8"/>
    <w:rsid w:val="15511EAE"/>
    <w:rsid w:val="155F233B"/>
    <w:rsid w:val="15610299"/>
    <w:rsid w:val="157B135B"/>
    <w:rsid w:val="158A7F4C"/>
    <w:rsid w:val="159643E7"/>
    <w:rsid w:val="15981D08"/>
    <w:rsid w:val="15BB6EB3"/>
    <w:rsid w:val="15BE4B4E"/>
    <w:rsid w:val="15CC520E"/>
    <w:rsid w:val="15DD2742"/>
    <w:rsid w:val="15F35395"/>
    <w:rsid w:val="1609105D"/>
    <w:rsid w:val="160D3B16"/>
    <w:rsid w:val="160F24DB"/>
    <w:rsid w:val="161411BF"/>
    <w:rsid w:val="16181C5C"/>
    <w:rsid w:val="161A5018"/>
    <w:rsid w:val="162302EF"/>
    <w:rsid w:val="16271784"/>
    <w:rsid w:val="162B4B2F"/>
    <w:rsid w:val="163E24EE"/>
    <w:rsid w:val="16424B08"/>
    <w:rsid w:val="16521C58"/>
    <w:rsid w:val="166457C9"/>
    <w:rsid w:val="16646293"/>
    <w:rsid w:val="166F10FF"/>
    <w:rsid w:val="1679643D"/>
    <w:rsid w:val="16826719"/>
    <w:rsid w:val="168A3957"/>
    <w:rsid w:val="168B54CA"/>
    <w:rsid w:val="169818F5"/>
    <w:rsid w:val="169A1CB5"/>
    <w:rsid w:val="169D5042"/>
    <w:rsid w:val="16A95793"/>
    <w:rsid w:val="16B70AB9"/>
    <w:rsid w:val="16B730C0"/>
    <w:rsid w:val="16D63E48"/>
    <w:rsid w:val="16DD5BAA"/>
    <w:rsid w:val="170F26A3"/>
    <w:rsid w:val="17106F8A"/>
    <w:rsid w:val="171E118D"/>
    <w:rsid w:val="171E741D"/>
    <w:rsid w:val="17332CF7"/>
    <w:rsid w:val="173914CE"/>
    <w:rsid w:val="173F5D85"/>
    <w:rsid w:val="174A38E2"/>
    <w:rsid w:val="174C1201"/>
    <w:rsid w:val="174E605E"/>
    <w:rsid w:val="17664BC7"/>
    <w:rsid w:val="17701A8F"/>
    <w:rsid w:val="17720BD3"/>
    <w:rsid w:val="17791EEB"/>
    <w:rsid w:val="177E5132"/>
    <w:rsid w:val="178F2EA7"/>
    <w:rsid w:val="1791130A"/>
    <w:rsid w:val="179761F4"/>
    <w:rsid w:val="17A27073"/>
    <w:rsid w:val="17AF1790"/>
    <w:rsid w:val="17B172B6"/>
    <w:rsid w:val="17BE5CB6"/>
    <w:rsid w:val="17C37D1A"/>
    <w:rsid w:val="17C55120"/>
    <w:rsid w:val="17CA0378"/>
    <w:rsid w:val="17D94A63"/>
    <w:rsid w:val="181635BD"/>
    <w:rsid w:val="183C74C7"/>
    <w:rsid w:val="18575227"/>
    <w:rsid w:val="18656E6E"/>
    <w:rsid w:val="18657D26"/>
    <w:rsid w:val="186E33F9"/>
    <w:rsid w:val="188E75F7"/>
    <w:rsid w:val="189649C3"/>
    <w:rsid w:val="189D4A56"/>
    <w:rsid w:val="18A650BB"/>
    <w:rsid w:val="18AC2047"/>
    <w:rsid w:val="18B51E6B"/>
    <w:rsid w:val="18BA03EC"/>
    <w:rsid w:val="18C15C1F"/>
    <w:rsid w:val="18CE3E98"/>
    <w:rsid w:val="18D2591F"/>
    <w:rsid w:val="18D6503E"/>
    <w:rsid w:val="18D87858"/>
    <w:rsid w:val="18D92F68"/>
    <w:rsid w:val="18D94030"/>
    <w:rsid w:val="18F43CC0"/>
    <w:rsid w:val="18FE1C7E"/>
    <w:rsid w:val="19067AD5"/>
    <w:rsid w:val="19112D11"/>
    <w:rsid w:val="19397563"/>
    <w:rsid w:val="193C1263"/>
    <w:rsid w:val="193D412E"/>
    <w:rsid w:val="194128BC"/>
    <w:rsid w:val="194346D2"/>
    <w:rsid w:val="19441426"/>
    <w:rsid w:val="194B45AF"/>
    <w:rsid w:val="194C6160"/>
    <w:rsid w:val="195B51F0"/>
    <w:rsid w:val="195C34B3"/>
    <w:rsid w:val="195C5947"/>
    <w:rsid w:val="19622F5E"/>
    <w:rsid w:val="197616B9"/>
    <w:rsid w:val="19766A09"/>
    <w:rsid w:val="197F542E"/>
    <w:rsid w:val="19874772"/>
    <w:rsid w:val="198A015E"/>
    <w:rsid w:val="19955A14"/>
    <w:rsid w:val="19A03A86"/>
    <w:rsid w:val="19AD7F51"/>
    <w:rsid w:val="19BB0246"/>
    <w:rsid w:val="19CC0292"/>
    <w:rsid w:val="19CE12D1"/>
    <w:rsid w:val="19EB1658"/>
    <w:rsid w:val="19F704E3"/>
    <w:rsid w:val="1A02029D"/>
    <w:rsid w:val="1A065923"/>
    <w:rsid w:val="1A087B0F"/>
    <w:rsid w:val="1A0B042D"/>
    <w:rsid w:val="1A134258"/>
    <w:rsid w:val="1A1D58B1"/>
    <w:rsid w:val="1A226249"/>
    <w:rsid w:val="1A2366C4"/>
    <w:rsid w:val="1A277D03"/>
    <w:rsid w:val="1A2B77F4"/>
    <w:rsid w:val="1A2C70C8"/>
    <w:rsid w:val="1A320751"/>
    <w:rsid w:val="1A424778"/>
    <w:rsid w:val="1A453701"/>
    <w:rsid w:val="1A4C1518"/>
    <w:rsid w:val="1A5B0255"/>
    <w:rsid w:val="1A654388"/>
    <w:rsid w:val="1A676352"/>
    <w:rsid w:val="1A687E74"/>
    <w:rsid w:val="1A696E9B"/>
    <w:rsid w:val="1A734CF7"/>
    <w:rsid w:val="1A7840BB"/>
    <w:rsid w:val="1A8011C2"/>
    <w:rsid w:val="1A80514A"/>
    <w:rsid w:val="1A82318C"/>
    <w:rsid w:val="1A950225"/>
    <w:rsid w:val="1A9A0701"/>
    <w:rsid w:val="1AEA05DF"/>
    <w:rsid w:val="1AEA17F4"/>
    <w:rsid w:val="1AEB698D"/>
    <w:rsid w:val="1AFE72B7"/>
    <w:rsid w:val="1AFF5C6C"/>
    <w:rsid w:val="1B0011DE"/>
    <w:rsid w:val="1B0342CC"/>
    <w:rsid w:val="1B051B0D"/>
    <w:rsid w:val="1B083691"/>
    <w:rsid w:val="1B362314"/>
    <w:rsid w:val="1B777AC9"/>
    <w:rsid w:val="1B79633D"/>
    <w:rsid w:val="1B910DB4"/>
    <w:rsid w:val="1B917B2A"/>
    <w:rsid w:val="1BB235FD"/>
    <w:rsid w:val="1BB51318"/>
    <w:rsid w:val="1BB92BDD"/>
    <w:rsid w:val="1BC22D4C"/>
    <w:rsid w:val="1BE12964"/>
    <w:rsid w:val="1BEA0AC8"/>
    <w:rsid w:val="1BEA723A"/>
    <w:rsid w:val="1BF9350F"/>
    <w:rsid w:val="1C054074"/>
    <w:rsid w:val="1C0D081B"/>
    <w:rsid w:val="1C1A0099"/>
    <w:rsid w:val="1C1F2D8E"/>
    <w:rsid w:val="1C31353B"/>
    <w:rsid w:val="1C380FDF"/>
    <w:rsid w:val="1C454471"/>
    <w:rsid w:val="1C4921B3"/>
    <w:rsid w:val="1C512E16"/>
    <w:rsid w:val="1C5A616E"/>
    <w:rsid w:val="1C5F0804"/>
    <w:rsid w:val="1C8B0068"/>
    <w:rsid w:val="1C8C02F2"/>
    <w:rsid w:val="1C9E3D80"/>
    <w:rsid w:val="1CA85F37"/>
    <w:rsid w:val="1CA910AD"/>
    <w:rsid w:val="1CB4038B"/>
    <w:rsid w:val="1CB533A4"/>
    <w:rsid w:val="1CC063B3"/>
    <w:rsid w:val="1CCC5668"/>
    <w:rsid w:val="1CD47BD7"/>
    <w:rsid w:val="1CD7558D"/>
    <w:rsid w:val="1CF10304"/>
    <w:rsid w:val="1CFA6639"/>
    <w:rsid w:val="1D024523"/>
    <w:rsid w:val="1D123B65"/>
    <w:rsid w:val="1D183933"/>
    <w:rsid w:val="1D18457B"/>
    <w:rsid w:val="1D255D54"/>
    <w:rsid w:val="1D2C13B3"/>
    <w:rsid w:val="1D2E6D01"/>
    <w:rsid w:val="1D321E13"/>
    <w:rsid w:val="1D4E37F9"/>
    <w:rsid w:val="1D4F1A4B"/>
    <w:rsid w:val="1D632696"/>
    <w:rsid w:val="1D6B1A8C"/>
    <w:rsid w:val="1D7E5E8C"/>
    <w:rsid w:val="1D872B54"/>
    <w:rsid w:val="1D890B16"/>
    <w:rsid w:val="1D910DF8"/>
    <w:rsid w:val="1D9C6312"/>
    <w:rsid w:val="1D9F5E03"/>
    <w:rsid w:val="1DA5166B"/>
    <w:rsid w:val="1DAC2107"/>
    <w:rsid w:val="1DC35F95"/>
    <w:rsid w:val="1DD0420E"/>
    <w:rsid w:val="1DD57D7F"/>
    <w:rsid w:val="1DD63243"/>
    <w:rsid w:val="1DDE0A06"/>
    <w:rsid w:val="1DF93B57"/>
    <w:rsid w:val="1DFB4367"/>
    <w:rsid w:val="1DFB74DD"/>
    <w:rsid w:val="1E024ED4"/>
    <w:rsid w:val="1E0E1351"/>
    <w:rsid w:val="1E0F11DA"/>
    <w:rsid w:val="1E0F7EEB"/>
    <w:rsid w:val="1E1B36DB"/>
    <w:rsid w:val="1E1C22CD"/>
    <w:rsid w:val="1E242665"/>
    <w:rsid w:val="1E303662"/>
    <w:rsid w:val="1E390005"/>
    <w:rsid w:val="1E470974"/>
    <w:rsid w:val="1E5052D0"/>
    <w:rsid w:val="1E565B9D"/>
    <w:rsid w:val="1E594203"/>
    <w:rsid w:val="1E5C1E2D"/>
    <w:rsid w:val="1E641526"/>
    <w:rsid w:val="1E7E2161"/>
    <w:rsid w:val="1E8522FD"/>
    <w:rsid w:val="1E873853"/>
    <w:rsid w:val="1E87469A"/>
    <w:rsid w:val="1E894AE9"/>
    <w:rsid w:val="1E8D7878"/>
    <w:rsid w:val="1E8F7C25"/>
    <w:rsid w:val="1E917E41"/>
    <w:rsid w:val="1E984D2C"/>
    <w:rsid w:val="1E9B0399"/>
    <w:rsid w:val="1E9F255E"/>
    <w:rsid w:val="1EAA0146"/>
    <w:rsid w:val="1EBF3159"/>
    <w:rsid w:val="1ECF224C"/>
    <w:rsid w:val="1EE14DB9"/>
    <w:rsid w:val="1EEF4EB7"/>
    <w:rsid w:val="1EFB6DEE"/>
    <w:rsid w:val="1EFD52D1"/>
    <w:rsid w:val="1F0A567B"/>
    <w:rsid w:val="1F0F5E4B"/>
    <w:rsid w:val="1F125D5A"/>
    <w:rsid w:val="1F1B770B"/>
    <w:rsid w:val="1F1E250E"/>
    <w:rsid w:val="1F1F3B65"/>
    <w:rsid w:val="1F200769"/>
    <w:rsid w:val="1F252B42"/>
    <w:rsid w:val="1F291E28"/>
    <w:rsid w:val="1F2C76A0"/>
    <w:rsid w:val="1F2F3E68"/>
    <w:rsid w:val="1F3016DA"/>
    <w:rsid w:val="1F3D1BCB"/>
    <w:rsid w:val="1F44705C"/>
    <w:rsid w:val="1F456F8F"/>
    <w:rsid w:val="1F4B6242"/>
    <w:rsid w:val="1F5A6485"/>
    <w:rsid w:val="1F5C044F"/>
    <w:rsid w:val="1F666BD8"/>
    <w:rsid w:val="1F681363"/>
    <w:rsid w:val="1F68671D"/>
    <w:rsid w:val="1F732792"/>
    <w:rsid w:val="1F7A75EA"/>
    <w:rsid w:val="1F855CBB"/>
    <w:rsid w:val="1F953961"/>
    <w:rsid w:val="1F9B20EC"/>
    <w:rsid w:val="1FC25411"/>
    <w:rsid w:val="1FC821F3"/>
    <w:rsid w:val="1FD06747"/>
    <w:rsid w:val="1FD55B0C"/>
    <w:rsid w:val="1FE20E19"/>
    <w:rsid w:val="1FEC7A60"/>
    <w:rsid w:val="1FEF4E1F"/>
    <w:rsid w:val="1FF269E9"/>
    <w:rsid w:val="1FFF1961"/>
    <w:rsid w:val="20172E3F"/>
    <w:rsid w:val="20176124"/>
    <w:rsid w:val="201900EE"/>
    <w:rsid w:val="20234C81"/>
    <w:rsid w:val="20270A5D"/>
    <w:rsid w:val="20364C65"/>
    <w:rsid w:val="2040567B"/>
    <w:rsid w:val="204A0B09"/>
    <w:rsid w:val="20531017"/>
    <w:rsid w:val="2058178A"/>
    <w:rsid w:val="20752936"/>
    <w:rsid w:val="207A2CBA"/>
    <w:rsid w:val="209B0B03"/>
    <w:rsid w:val="209E23A2"/>
    <w:rsid w:val="20D11A21"/>
    <w:rsid w:val="20D52267"/>
    <w:rsid w:val="20D61B3B"/>
    <w:rsid w:val="20D6660E"/>
    <w:rsid w:val="20D866D6"/>
    <w:rsid w:val="20D86FB6"/>
    <w:rsid w:val="20E27B05"/>
    <w:rsid w:val="20E57FD0"/>
    <w:rsid w:val="20E64474"/>
    <w:rsid w:val="20FC140B"/>
    <w:rsid w:val="21010675"/>
    <w:rsid w:val="210E5779"/>
    <w:rsid w:val="212136FE"/>
    <w:rsid w:val="21224D81"/>
    <w:rsid w:val="213571AA"/>
    <w:rsid w:val="213A47C0"/>
    <w:rsid w:val="213D7067"/>
    <w:rsid w:val="21416183"/>
    <w:rsid w:val="21455F84"/>
    <w:rsid w:val="214F7F7B"/>
    <w:rsid w:val="215018EE"/>
    <w:rsid w:val="215123EA"/>
    <w:rsid w:val="21556F04"/>
    <w:rsid w:val="21747CD2"/>
    <w:rsid w:val="217F21D3"/>
    <w:rsid w:val="218477E9"/>
    <w:rsid w:val="218A4D0C"/>
    <w:rsid w:val="218E0668"/>
    <w:rsid w:val="219676E9"/>
    <w:rsid w:val="21972FC5"/>
    <w:rsid w:val="2198698A"/>
    <w:rsid w:val="21C61BB0"/>
    <w:rsid w:val="21CA5B44"/>
    <w:rsid w:val="21CA7EB0"/>
    <w:rsid w:val="21E10C54"/>
    <w:rsid w:val="21FA5CFD"/>
    <w:rsid w:val="21FB3F4F"/>
    <w:rsid w:val="21FF043C"/>
    <w:rsid w:val="22121C35"/>
    <w:rsid w:val="221E3C93"/>
    <w:rsid w:val="221F4F53"/>
    <w:rsid w:val="222543C7"/>
    <w:rsid w:val="222D60D3"/>
    <w:rsid w:val="223F6814"/>
    <w:rsid w:val="224A1F84"/>
    <w:rsid w:val="22511DC1"/>
    <w:rsid w:val="225D0B38"/>
    <w:rsid w:val="22602004"/>
    <w:rsid w:val="2260542B"/>
    <w:rsid w:val="228C3FCE"/>
    <w:rsid w:val="22934A61"/>
    <w:rsid w:val="229F7B67"/>
    <w:rsid w:val="22B100A1"/>
    <w:rsid w:val="22B440FE"/>
    <w:rsid w:val="22C414A3"/>
    <w:rsid w:val="22CA56D0"/>
    <w:rsid w:val="22CD6F6E"/>
    <w:rsid w:val="22CE51C0"/>
    <w:rsid w:val="22D24584"/>
    <w:rsid w:val="22E80938"/>
    <w:rsid w:val="22F95FB5"/>
    <w:rsid w:val="23201794"/>
    <w:rsid w:val="2323523A"/>
    <w:rsid w:val="232F0909"/>
    <w:rsid w:val="233A0E7B"/>
    <w:rsid w:val="233E4CBC"/>
    <w:rsid w:val="2345783B"/>
    <w:rsid w:val="23503CDB"/>
    <w:rsid w:val="2366189C"/>
    <w:rsid w:val="23696C97"/>
    <w:rsid w:val="23871813"/>
    <w:rsid w:val="23873E10"/>
    <w:rsid w:val="238D5B79"/>
    <w:rsid w:val="23930F8A"/>
    <w:rsid w:val="239857CE"/>
    <w:rsid w:val="239A7F15"/>
    <w:rsid w:val="23A1052B"/>
    <w:rsid w:val="23C32ADB"/>
    <w:rsid w:val="23CE3CAC"/>
    <w:rsid w:val="23DF1FEF"/>
    <w:rsid w:val="23E17175"/>
    <w:rsid w:val="23E46C65"/>
    <w:rsid w:val="23E51285"/>
    <w:rsid w:val="23EA058E"/>
    <w:rsid w:val="23F24EDE"/>
    <w:rsid w:val="240115C5"/>
    <w:rsid w:val="24061357"/>
    <w:rsid w:val="24162974"/>
    <w:rsid w:val="24183F62"/>
    <w:rsid w:val="24184308"/>
    <w:rsid w:val="24213802"/>
    <w:rsid w:val="24260178"/>
    <w:rsid w:val="24303C58"/>
    <w:rsid w:val="243A2CE3"/>
    <w:rsid w:val="24433734"/>
    <w:rsid w:val="24476E69"/>
    <w:rsid w:val="24573843"/>
    <w:rsid w:val="24682D7B"/>
    <w:rsid w:val="247475A9"/>
    <w:rsid w:val="247752DF"/>
    <w:rsid w:val="24792235"/>
    <w:rsid w:val="24794E46"/>
    <w:rsid w:val="247E6CBF"/>
    <w:rsid w:val="24974276"/>
    <w:rsid w:val="24977600"/>
    <w:rsid w:val="249B5E17"/>
    <w:rsid w:val="24A53ED6"/>
    <w:rsid w:val="24AA3A0B"/>
    <w:rsid w:val="24AF44A1"/>
    <w:rsid w:val="24B8569E"/>
    <w:rsid w:val="24BB1774"/>
    <w:rsid w:val="24C5104D"/>
    <w:rsid w:val="24D171E9"/>
    <w:rsid w:val="24DB36CA"/>
    <w:rsid w:val="24DC4CD6"/>
    <w:rsid w:val="24DD54EB"/>
    <w:rsid w:val="24EC7DC1"/>
    <w:rsid w:val="24F14C4E"/>
    <w:rsid w:val="24FD1D8D"/>
    <w:rsid w:val="24FE78B3"/>
    <w:rsid w:val="25085417"/>
    <w:rsid w:val="25114EA9"/>
    <w:rsid w:val="25137802"/>
    <w:rsid w:val="25186BC6"/>
    <w:rsid w:val="252217F3"/>
    <w:rsid w:val="25225722"/>
    <w:rsid w:val="25341D52"/>
    <w:rsid w:val="25392921"/>
    <w:rsid w:val="253F47A6"/>
    <w:rsid w:val="25432122"/>
    <w:rsid w:val="254672A4"/>
    <w:rsid w:val="25585215"/>
    <w:rsid w:val="256B19DB"/>
    <w:rsid w:val="2573204F"/>
    <w:rsid w:val="25790B25"/>
    <w:rsid w:val="2589143D"/>
    <w:rsid w:val="25891C28"/>
    <w:rsid w:val="258F4359"/>
    <w:rsid w:val="259A3A7F"/>
    <w:rsid w:val="25C603D0"/>
    <w:rsid w:val="25D65707"/>
    <w:rsid w:val="25D948F1"/>
    <w:rsid w:val="25DC5AF8"/>
    <w:rsid w:val="25DF4532"/>
    <w:rsid w:val="25E371D4"/>
    <w:rsid w:val="25E656F0"/>
    <w:rsid w:val="25EB7E37"/>
    <w:rsid w:val="261B225E"/>
    <w:rsid w:val="261C26E6"/>
    <w:rsid w:val="261C6242"/>
    <w:rsid w:val="26375A10"/>
    <w:rsid w:val="264668B5"/>
    <w:rsid w:val="265E685B"/>
    <w:rsid w:val="26A36964"/>
    <w:rsid w:val="26B4574B"/>
    <w:rsid w:val="26CA247E"/>
    <w:rsid w:val="26D46B1D"/>
    <w:rsid w:val="26DD00C8"/>
    <w:rsid w:val="26E26B2D"/>
    <w:rsid w:val="26E3314F"/>
    <w:rsid w:val="26E40E09"/>
    <w:rsid w:val="26F176CF"/>
    <w:rsid w:val="27054F28"/>
    <w:rsid w:val="270D486D"/>
    <w:rsid w:val="272B5640"/>
    <w:rsid w:val="272B6314"/>
    <w:rsid w:val="272D10FC"/>
    <w:rsid w:val="272F1A96"/>
    <w:rsid w:val="27351CB2"/>
    <w:rsid w:val="273677D8"/>
    <w:rsid w:val="2737306A"/>
    <w:rsid w:val="2744175B"/>
    <w:rsid w:val="274B7E86"/>
    <w:rsid w:val="27541A0C"/>
    <w:rsid w:val="275D5D7F"/>
    <w:rsid w:val="277E667F"/>
    <w:rsid w:val="279462AC"/>
    <w:rsid w:val="27A26C1B"/>
    <w:rsid w:val="27B32152"/>
    <w:rsid w:val="27C66067"/>
    <w:rsid w:val="27CB7DEE"/>
    <w:rsid w:val="27D05536"/>
    <w:rsid w:val="27DA7376"/>
    <w:rsid w:val="27DD7C53"/>
    <w:rsid w:val="27E21894"/>
    <w:rsid w:val="28080B57"/>
    <w:rsid w:val="280E3D33"/>
    <w:rsid w:val="280E605F"/>
    <w:rsid w:val="280F3B34"/>
    <w:rsid w:val="28123DA1"/>
    <w:rsid w:val="28172DAA"/>
    <w:rsid w:val="2819686D"/>
    <w:rsid w:val="281B0D05"/>
    <w:rsid w:val="282B6C11"/>
    <w:rsid w:val="28460CE9"/>
    <w:rsid w:val="28694999"/>
    <w:rsid w:val="2869714F"/>
    <w:rsid w:val="28726E69"/>
    <w:rsid w:val="28823125"/>
    <w:rsid w:val="28892427"/>
    <w:rsid w:val="28A95D87"/>
    <w:rsid w:val="28AA1EC3"/>
    <w:rsid w:val="28CD4216"/>
    <w:rsid w:val="28CF4C5E"/>
    <w:rsid w:val="28D1264B"/>
    <w:rsid w:val="28D747F8"/>
    <w:rsid w:val="28EC45F2"/>
    <w:rsid w:val="28F20601"/>
    <w:rsid w:val="28F840DA"/>
    <w:rsid w:val="28FE60D3"/>
    <w:rsid w:val="290677A2"/>
    <w:rsid w:val="291F1F40"/>
    <w:rsid w:val="29451F54"/>
    <w:rsid w:val="294D707D"/>
    <w:rsid w:val="295126A7"/>
    <w:rsid w:val="29743B91"/>
    <w:rsid w:val="297B0CF7"/>
    <w:rsid w:val="298A7E62"/>
    <w:rsid w:val="298E7FCC"/>
    <w:rsid w:val="29997167"/>
    <w:rsid w:val="29A638EC"/>
    <w:rsid w:val="29AA5BAE"/>
    <w:rsid w:val="29B16C46"/>
    <w:rsid w:val="29B570DA"/>
    <w:rsid w:val="29BB0F74"/>
    <w:rsid w:val="29BB62C0"/>
    <w:rsid w:val="29C15A7E"/>
    <w:rsid w:val="29E84772"/>
    <w:rsid w:val="2A035A2C"/>
    <w:rsid w:val="2A1262DA"/>
    <w:rsid w:val="2A13795C"/>
    <w:rsid w:val="2A165DFF"/>
    <w:rsid w:val="2A1A0CEB"/>
    <w:rsid w:val="2A1D4C7F"/>
    <w:rsid w:val="2A31098C"/>
    <w:rsid w:val="2A385615"/>
    <w:rsid w:val="2A565288"/>
    <w:rsid w:val="2A5A37DD"/>
    <w:rsid w:val="2A9C1CF0"/>
    <w:rsid w:val="2A9D186C"/>
    <w:rsid w:val="2AD37D0A"/>
    <w:rsid w:val="2AD57308"/>
    <w:rsid w:val="2AD738E9"/>
    <w:rsid w:val="2AE61515"/>
    <w:rsid w:val="2AE632C3"/>
    <w:rsid w:val="2AE7106A"/>
    <w:rsid w:val="2AF35E64"/>
    <w:rsid w:val="2B204A27"/>
    <w:rsid w:val="2B396377"/>
    <w:rsid w:val="2B3F0565"/>
    <w:rsid w:val="2B403FD0"/>
    <w:rsid w:val="2B560448"/>
    <w:rsid w:val="2B595843"/>
    <w:rsid w:val="2B6867B6"/>
    <w:rsid w:val="2B7408CF"/>
    <w:rsid w:val="2B770F5A"/>
    <w:rsid w:val="2B7B1166"/>
    <w:rsid w:val="2B7D0C10"/>
    <w:rsid w:val="2B9920E3"/>
    <w:rsid w:val="2BA70CA4"/>
    <w:rsid w:val="2BAA0E41"/>
    <w:rsid w:val="2BB156BC"/>
    <w:rsid w:val="2BC75DCA"/>
    <w:rsid w:val="2BC929C8"/>
    <w:rsid w:val="2BD63337"/>
    <w:rsid w:val="2BD96984"/>
    <w:rsid w:val="2BE21CDC"/>
    <w:rsid w:val="2BE501D7"/>
    <w:rsid w:val="2BE9306B"/>
    <w:rsid w:val="2BF11F1F"/>
    <w:rsid w:val="2BFD6B16"/>
    <w:rsid w:val="2C052664"/>
    <w:rsid w:val="2C0559CB"/>
    <w:rsid w:val="2C104C6B"/>
    <w:rsid w:val="2C1149EF"/>
    <w:rsid w:val="2C161986"/>
    <w:rsid w:val="2C167BD8"/>
    <w:rsid w:val="2C1A1476"/>
    <w:rsid w:val="2C251BC9"/>
    <w:rsid w:val="2C285599"/>
    <w:rsid w:val="2C437F96"/>
    <w:rsid w:val="2C56786F"/>
    <w:rsid w:val="2C573DDC"/>
    <w:rsid w:val="2C583D4C"/>
    <w:rsid w:val="2C5E6435"/>
    <w:rsid w:val="2C665DE4"/>
    <w:rsid w:val="2C6721E1"/>
    <w:rsid w:val="2C6A68E3"/>
    <w:rsid w:val="2C7F577D"/>
    <w:rsid w:val="2C88243E"/>
    <w:rsid w:val="2C8D5F82"/>
    <w:rsid w:val="2C9066A4"/>
    <w:rsid w:val="2CA17943"/>
    <w:rsid w:val="2CA82B60"/>
    <w:rsid w:val="2CC6515A"/>
    <w:rsid w:val="2CC80ED2"/>
    <w:rsid w:val="2CCB09C2"/>
    <w:rsid w:val="2CD57A22"/>
    <w:rsid w:val="2CD94E8D"/>
    <w:rsid w:val="2CDA50C4"/>
    <w:rsid w:val="2CDE5F9F"/>
    <w:rsid w:val="2CEA7F67"/>
    <w:rsid w:val="2CF36F4E"/>
    <w:rsid w:val="2CF65B93"/>
    <w:rsid w:val="2CFC5020"/>
    <w:rsid w:val="2D207477"/>
    <w:rsid w:val="2D23435A"/>
    <w:rsid w:val="2D261EB0"/>
    <w:rsid w:val="2D2C0A07"/>
    <w:rsid w:val="2D3278A1"/>
    <w:rsid w:val="2D366DE6"/>
    <w:rsid w:val="2D390CD6"/>
    <w:rsid w:val="2D4F15F3"/>
    <w:rsid w:val="2D5A77C0"/>
    <w:rsid w:val="2D614E83"/>
    <w:rsid w:val="2D6A26D9"/>
    <w:rsid w:val="2D8C48B8"/>
    <w:rsid w:val="2D980133"/>
    <w:rsid w:val="2D99286E"/>
    <w:rsid w:val="2DA134D1"/>
    <w:rsid w:val="2DA333ED"/>
    <w:rsid w:val="2DB14A9A"/>
    <w:rsid w:val="2DD357DE"/>
    <w:rsid w:val="2DD85145"/>
    <w:rsid w:val="2DD91849"/>
    <w:rsid w:val="2DE53D06"/>
    <w:rsid w:val="2DE71EA1"/>
    <w:rsid w:val="2DEE2BBA"/>
    <w:rsid w:val="2E074F7B"/>
    <w:rsid w:val="2E190DDE"/>
    <w:rsid w:val="2E254102"/>
    <w:rsid w:val="2E255EB0"/>
    <w:rsid w:val="2E3A195C"/>
    <w:rsid w:val="2E4577C9"/>
    <w:rsid w:val="2E490CAA"/>
    <w:rsid w:val="2E4B5422"/>
    <w:rsid w:val="2E4B796B"/>
    <w:rsid w:val="2E5207C6"/>
    <w:rsid w:val="2E552C39"/>
    <w:rsid w:val="2E5F751E"/>
    <w:rsid w:val="2E663975"/>
    <w:rsid w:val="2E6A474E"/>
    <w:rsid w:val="2E7956C5"/>
    <w:rsid w:val="2E7B24EF"/>
    <w:rsid w:val="2EAA1EAA"/>
    <w:rsid w:val="2EAB1E00"/>
    <w:rsid w:val="2EB84F76"/>
    <w:rsid w:val="2ED00512"/>
    <w:rsid w:val="2EDD2DD9"/>
    <w:rsid w:val="2EFE3F3B"/>
    <w:rsid w:val="2F0F103A"/>
    <w:rsid w:val="2F1033F6"/>
    <w:rsid w:val="2F1A353B"/>
    <w:rsid w:val="2F1B6430"/>
    <w:rsid w:val="2F283EAA"/>
    <w:rsid w:val="2F337822"/>
    <w:rsid w:val="2F3445FD"/>
    <w:rsid w:val="2F416D1A"/>
    <w:rsid w:val="2F5B3C41"/>
    <w:rsid w:val="2F6871D8"/>
    <w:rsid w:val="2F6F1196"/>
    <w:rsid w:val="2F723467"/>
    <w:rsid w:val="2F794705"/>
    <w:rsid w:val="2F86523C"/>
    <w:rsid w:val="2F8B61E7"/>
    <w:rsid w:val="2F917175"/>
    <w:rsid w:val="2F927BF0"/>
    <w:rsid w:val="2FB026FE"/>
    <w:rsid w:val="2FBB5CAE"/>
    <w:rsid w:val="2FDF59F2"/>
    <w:rsid w:val="2FE57FED"/>
    <w:rsid w:val="2FEF6776"/>
    <w:rsid w:val="2FF80E15"/>
    <w:rsid w:val="2FFB336C"/>
    <w:rsid w:val="3001171B"/>
    <w:rsid w:val="300246FB"/>
    <w:rsid w:val="300541EB"/>
    <w:rsid w:val="300A1A54"/>
    <w:rsid w:val="300E727A"/>
    <w:rsid w:val="30131B4A"/>
    <w:rsid w:val="30176F34"/>
    <w:rsid w:val="301B2D20"/>
    <w:rsid w:val="30296190"/>
    <w:rsid w:val="303040BA"/>
    <w:rsid w:val="303074BA"/>
    <w:rsid w:val="303A059B"/>
    <w:rsid w:val="303A20E7"/>
    <w:rsid w:val="303D2268"/>
    <w:rsid w:val="30415B15"/>
    <w:rsid w:val="3047542C"/>
    <w:rsid w:val="3048315F"/>
    <w:rsid w:val="304F5B3B"/>
    <w:rsid w:val="30522BD9"/>
    <w:rsid w:val="305A1F1D"/>
    <w:rsid w:val="305B02AF"/>
    <w:rsid w:val="305B46FA"/>
    <w:rsid w:val="30663C63"/>
    <w:rsid w:val="307176D2"/>
    <w:rsid w:val="30717AD3"/>
    <w:rsid w:val="3078745D"/>
    <w:rsid w:val="3087063C"/>
    <w:rsid w:val="30A65041"/>
    <w:rsid w:val="30EF1562"/>
    <w:rsid w:val="310444A3"/>
    <w:rsid w:val="31183FE8"/>
    <w:rsid w:val="311876AB"/>
    <w:rsid w:val="312A2B8F"/>
    <w:rsid w:val="312B7C81"/>
    <w:rsid w:val="31305298"/>
    <w:rsid w:val="3133683A"/>
    <w:rsid w:val="31463FE5"/>
    <w:rsid w:val="31745F1B"/>
    <w:rsid w:val="31784B0F"/>
    <w:rsid w:val="31857B8B"/>
    <w:rsid w:val="31866D56"/>
    <w:rsid w:val="318A0E4C"/>
    <w:rsid w:val="318B0720"/>
    <w:rsid w:val="31A34B0E"/>
    <w:rsid w:val="31AF308C"/>
    <w:rsid w:val="31B83782"/>
    <w:rsid w:val="31BF2FDB"/>
    <w:rsid w:val="31C32191"/>
    <w:rsid w:val="31D06974"/>
    <w:rsid w:val="31D40319"/>
    <w:rsid w:val="31EA7C1D"/>
    <w:rsid w:val="31F37E4E"/>
    <w:rsid w:val="320F75A3"/>
    <w:rsid w:val="32262EF0"/>
    <w:rsid w:val="32290665"/>
    <w:rsid w:val="322E7A29"/>
    <w:rsid w:val="323D6AD7"/>
    <w:rsid w:val="32420558"/>
    <w:rsid w:val="324F4985"/>
    <w:rsid w:val="3257307C"/>
    <w:rsid w:val="325A618B"/>
    <w:rsid w:val="325A770E"/>
    <w:rsid w:val="32613DFC"/>
    <w:rsid w:val="327710F5"/>
    <w:rsid w:val="32880CEA"/>
    <w:rsid w:val="329830F5"/>
    <w:rsid w:val="32A02B99"/>
    <w:rsid w:val="32AD7514"/>
    <w:rsid w:val="32AF26BE"/>
    <w:rsid w:val="32BF4B25"/>
    <w:rsid w:val="32C06814"/>
    <w:rsid w:val="32C563D2"/>
    <w:rsid w:val="32CD2AA3"/>
    <w:rsid w:val="32CE7FEF"/>
    <w:rsid w:val="32D229C0"/>
    <w:rsid w:val="32D60EDE"/>
    <w:rsid w:val="32ED1980"/>
    <w:rsid w:val="32F171B1"/>
    <w:rsid w:val="32FB781C"/>
    <w:rsid w:val="330C36A6"/>
    <w:rsid w:val="33107BE2"/>
    <w:rsid w:val="33233306"/>
    <w:rsid w:val="332A0AE5"/>
    <w:rsid w:val="33353386"/>
    <w:rsid w:val="33370B5F"/>
    <w:rsid w:val="334B1401"/>
    <w:rsid w:val="3369683F"/>
    <w:rsid w:val="3377403C"/>
    <w:rsid w:val="337E112D"/>
    <w:rsid w:val="33857B1D"/>
    <w:rsid w:val="339868BE"/>
    <w:rsid w:val="33AE7800"/>
    <w:rsid w:val="33C16D3A"/>
    <w:rsid w:val="33CD3272"/>
    <w:rsid w:val="33D414D0"/>
    <w:rsid w:val="33D62126"/>
    <w:rsid w:val="33DB598F"/>
    <w:rsid w:val="33E01DF8"/>
    <w:rsid w:val="33FC2F47"/>
    <w:rsid w:val="34164C19"/>
    <w:rsid w:val="341B0ACA"/>
    <w:rsid w:val="34344253"/>
    <w:rsid w:val="34384AF9"/>
    <w:rsid w:val="347418BF"/>
    <w:rsid w:val="34767032"/>
    <w:rsid w:val="348B7719"/>
    <w:rsid w:val="34950B34"/>
    <w:rsid w:val="349F26BC"/>
    <w:rsid w:val="34A51AF9"/>
    <w:rsid w:val="34A915E9"/>
    <w:rsid w:val="34AC6754"/>
    <w:rsid w:val="34AC732B"/>
    <w:rsid w:val="34B14942"/>
    <w:rsid w:val="34B7311E"/>
    <w:rsid w:val="34B90A7B"/>
    <w:rsid w:val="34BD2BDE"/>
    <w:rsid w:val="34C23EB4"/>
    <w:rsid w:val="34C518B3"/>
    <w:rsid w:val="34C77852"/>
    <w:rsid w:val="34CC7CED"/>
    <w:rsid w:val="34D128EE"/>
    <w:rsid w:val="34DB0272"/>
    <w:rsid w:val="34DB19BE"/>
    <w:rsid w:val="34DC5A26"/>
    <w:rsid w:val="34EE562D"/>
    <w:rsid w:val="34F2044E"/>
    <w:rsid w:val="34FF56AD"/>
    <w:rsid w:val="35026601"/>
    <w:rsid w:val="35045912"/>
    <w:rsid w:val="350E7CEF"/>
    <w:rsid w:val="35267E20"/>
    <w:rsid w:val="35366BF5"/>
    <w:rsid w:val="354C50F2"/>
    <w:rsid w:val="3568190D"/>
    <w:rsid w:val="35807CB1"/>
    <w:rsid w:val="358356AB"/>
    <w:rsid w:val="358463F8"/>
    <w:rsid w:val="35857CC2"/>
    <w:rsid w:val="358861CB"/>
    <w:rsid w:val="358E7663"/>
    <w:rsid w:val="359335C4"/>
    <w:rsid w:val="35AA4E23"/>
    <w:rsid w:val="35B75F88"/>
    <w:rsid w:val="35BF4E3C"/>
    <w:rsid w:val="35CE46BD"/>
    <w:rsid w:val="35D95EFE"/>
    <w:rsid w:val="35DE52C2"/>
    <w:rsid w:val="35FB2318"/>
    <w:rsid w:val="35FE6F21"/>
    <w:rsid w:val="36054F45"/>
    <w:rsid w:val="36064819"/>
    <w:rsid w:val="360B1150"/>
    <w:rsid w:val="361138EA"/>
    <w:rsid w:val="36252EF1"/>
    <w:rsid w:val="36353BF9"/>
    <w:rsid w:val="36536358"/>
    <w:rsid w:val="366511AC"/>
    <w:rsid w:val="366A124C"/>
    <w:rsid w:val="36732BE6"/>
    <w:rsid w:val="3674681F"/>
    <w:rsid w:val="3676199F"/>
    <w:rsid w:val="36791218"/>
    <w:rsid w:val="36906B92"/>
    <w:rsid w:val="36A24542"/>
    <w:rsid w:val="36AE539C"/>
    <w:rsid w:val="36B25474"/>
    <w:rsid w:val="36B9188B"/>
    <w:rsid w:val="36BC1AF0"/>
    <w:rsid w:val="36C26992"/>
    <w:rsid w:val="36C704DB"/>
    <w:rsid w:val="36CF23D3"/>
    <w:rsid w:val="36E508D2"/>
    <w:rsid w:val="36E80EB0"/>
    <w:rsid w:val="36F37DD4"/>
    <w:rsid w:val="370B23E3"/>
    <w:rsid w:val="37113475"/>
    <w:rsid w:val="37113EEF"/>
    <w:rsid w:val="37187871"/>
    <w:rsid w:val="37240498"/>
    <w:rsid w:val="3724640E"/>
    <w:rsid w:val="372541DD"/>
    <w:rsid w:val="37316561"/>
    <w:rsid w:val="373760F4"/>
    <w:rsid w:val="37393DDE"/>
    <w:rsid w:val="3739688A"/>
    <w:rsid w:val="37490265"/>
    <w:rsid w:val="374B4BD9"/>
    <w:rsid w:val="3750378C"/>
    <w:rsid w:val="377063EE"/>
    <w:rsid w:val="378B5143"/>
    <w:rsid w:val="37904CE2"/>
    <w:rsid w:val="37A80B62"/>
    <w:rsid w:val="37BF1123"/>
    <w:rsid w:val="37BF3B8B"/>
    <w:rsid w:val="37D030C6"/>
    <w:rsid w:val="37DE5A4E"/>
    <w:rsid w:val="37E41C4B"/>
    <w:rsid w:val="37E92035"/>
    <w:rsid w:val="37EF7C5B"/>
    <w:rsid w:val="37F878A1"/>
    <w:rsid w:val="38060B00"/>
    <w:rsid w:val="3830238B"/>
    <w:rsid w:val="38377AE6"/>
    <w:rsid w:val="38481119"/>
    <w:rsid w:val="38490F18"/>
    <w:rsid w:val="384B2A13"/>
    <w:rsid w:val="385A322E"/>
    <w:rsid w:val="38640B01"/>
    <w:rsid w:val="386B1F05"/>
    <w:rsid w:val="387271A6"/>
    <w:rsid w:val="387B14EE"/>
    <w:rsid w:val="38860D1D"/>
    <w:rsid w:val="3894392B"/>
    <w:rsid w:val="38983E4E"/>
    <w:rsid w:val="38997BC6"/>
    <w:rsid w:val="38A4412D"/>
    <w:rsid w:val="38A85D8D"/>
    <w:rsid w:val="38AA1DD4"/>
    <w:rsid w:val="38AA54D8"/>
    <w:rsid w:val="38C57856"/>
    <w:rsid w:val="38E2331B"/>
    <w:rsid w:val="38E35FF9"/>
    <w:rsid w:val="38E362F3"/>
    <w:rsid w:val="38EB631B"/>
    <w:rsid w:val="38F0305B"/>
    <w:rsid w:val="38F21F8D"/>
    <w:rsid w:val="390414E4"/>
    <w:rsid w:val="39054540"/>
    <w:rsid w:val="39074B30"/>
    <w:rsid w:val="390A2D93"/>
    <w:rsid w:val="39133899"/>
    <w:rsid w:val="391C5D0E"/>
    <w:rsid w:val="393B0C7E"/>
    <w:rsid w:val="39430C4F"/>
    <w:rsid w:val="394F7CCF"/>
    <w:rsid w:val="39673821"/>
    <w:rsid w:val="396B1563"/>
    <w:rsid w:val="396E1053"/>
    <w:rsid w:val="398B750F"/>
    <w:rsid w:val="39986581"/>
    <w:rsid w:val="399D7242"/>
    <w:rsid w:val="399E221C"/>
    <w:rsid w:val="39A54A28"/>
    <w:rsid w:val="39A864B6"/>
    <w:rsid w:val="39B4295D"/>
    <w:rsid w:val="39C00F31"/>
    <w:rsid w:val="39C87DAE"/>
    <w:rsid w:val="39CE0BEE"/>
    <w:rsid w:val="39D22D7C"/>
    <w:rsid w:val="39DC5FBD"/>
    <w:rsid w:val="39E63E30"/>
    <w:rsid w:val="39F16A99"/>
    <w:rsid w:val="39F41558"/>
    <w:rsid w:val="39FC040D"/>
    <w:rsid w:val="3A0A0D7C"/>
    <w:rsid w:val="3A163515"/>
    <w:rsid w:val="3A173499"/>
    <w:rsid w:val="3A1A4D37"/>
    <w:rsid w:val="3A2D05C6"/>
    <w:rsid w:val="3A2F3C86"/>
    <w:rsid w:val="3A371445"/>
    <w:rsid w:val="3A3B2D78"/>
    <w:rsid w:val="3A485B2A"/>
    <w:rsid w:val="3A5B3A0E"/>
    <w:rsid w:val="3A631614"/>
    <w:rsid w:val="3A802DEC"/>
    <w:rsid w:val="3A8B0C83"/>
    <w:rsid w:val="3A8B7D4A"/>
    <w:rsid w:val="3A8C3348"/>
    <w:rsid w:val="3A951BDA"/>
    <w:rsid w:val="3A96661D"/>
    <w:rsid w:val="3A990DBB"/>
    <w:rsid w:val="3ADB77A7"/>
    <w:rsid w:val="3AE155B8"/>
    <w:rsid w:val="3AF5378F"/>
    <w:rsid w:val="3AF70BD4"/>
    <w:rsid w:val="3AF81C12"/>
    <w:rsid w:val="3AFD443D"/>
    <w:rsid w:val="3B0569C4"/>
    <w:rsid w:val="3B0A169F"/>
    <w:rsid w:val="3B176099"/>
    <w:rsid w:val="3B230AF7"/>
    <w:rsid w:val="3B2927FD"/>
    <w:rsid w:val="3B2C2F74"/>
    <w:rsid w:val="3B383F54"/>
    <w:rsid w:val="3B4A33FA"/>
    <w:rsid w:val="3B53405D"/>
    <w:rsid w:val="3B600D05"/>
    <w:rsid w:val="3B6278DD"/>
    <w:rsid w:val="3B64626A"/>
    <w:rsid w:val="3B6C71B5"/>
    <w:rsid w:val="3B7B1FE2"/>
    <w:rsid w:val="3B7F12F6"/>
    <w:rsid w:val="3B862684"/>
    <w:rsid w:val="3B8D4555"/>
    <w:rsid w:val="3B957B2B"/>
    <w:rsid w:val="3B9C3C56"/>
    <w:rsid w:val="3BA80B19"/>
    <w:rsid w:val="3BB122EF"/>
    <w:rsid w:val="3BB333B7"/>
    <w:rsid w:val="3BB910CA"/>
    <w:rsid w:val="3BBB1AA5"/>
    <w:rsid w:val="3BFA46F0"/>
    <w:rsid w:val="3BFC46F4"/>
    <w:rsid w:val="3C11070A"/>
    <w:rsid w:val="3C1D6AA3"/>
    <w:rsid w:val="3C3519B4"/>
    <w:rsid w:val="3C3A1B64"/>
    <w:rsid w:val="3C4240EC"/>
    <w:rsid w:val="3C4A1903"/>
    <w:rsid w:val="3C502C92"/>
    <w:rsid w:val="3C5D7B3F"/>
    <w:rsid w:val="3C5F6722"/>
    <w:rsid w:val="3C6276EB"/>
    <w:rsid w:val="3C656BC7"/>
    <w:rsid w:val="3C896863"/>
    <w:rsid w:val="3CA90DC1"/>
    <w:rsid w:val="3CAC611A"/>
    <w:rsid w:val="3CC65551"/>
    <w:rsid w:val="3CD45671"/>
    <w:rsid w:val="3CEC4769"/>
    <w:rsid w:val="3D0228C2"/>
    <w:rsid w:val="3D0715A3"/>
    <w:rsid w:val="3D0777F5"/>
    <w:rsid w:val="3D0A2E41"/>
    <w:rsid w:val="3D0D3E49"/>
    <w:rsid w:val="3D127F47"/>
    <w:rsid w:val="3D18555E"/>
    <w:rsid w:val="3D1B504E"/>
    <w:rsid w:val="3D1D2B74"/>
    <w:rsid w:val="3D2429C3"/>
    <w:rsid w:val="3D2C1009"/>
    <w:rsid w:val="3D406048"/>
    <w:rsid w:val="3D4C0A44"/>
    <w:rsid w:val="3D5642D8"/>
    <w:rsid w:val="3D81284F"/>
    <w:rsid w:val="3D934BE4"/>
    <w:rsid w:val="3D9C1D8E"/>
    <w:rsid w:val="3DA10B51"/>
    <w:rsid w:val="3DC734CE"/>
    <w:rsid w:val="3DC8357D"/>
    <w:rsid w:val="3DCB1BD3"/>
    <w:rsid w:val="3DD10B11"/>
    <w:rsid w:val="3DD1570D"/>
    <w:rsid w:val="3DD4312E"/>
    <w:rsid w:val="3DE10046"/>
    <w:rsid w:val="3DE433FB"/>
    <w:rsid w:val="3DF902CA"/>
    <w:rsid w:val="3DFF75BC"/>
    <w:rsid w:val="3E063608"/>
    <w:rsid w:val="3E153933"/>
    <w:rsid w:val="3E255E57"/>
    <w:rsid w:val="3E3068D7"/>
    <w:rsid w:val="3E686071"/>
    <w:rsid w:val="3E907947"/>
    <w:rsid w:val="3EB839A4"/>
    <w:rsid w:val="3ED656D0"/>
    <w:rsid w:val="3EEC6CA2"/>
    <w:rsid w:val="3EF66A31"/>
    <w:rsid w:val="3F0A5AC5"/>
    <w:rsid w:val="3F1D6C16"/>
    <w:rsid w:val="3F242032"/>
    <w:rsid w:val="3F250F30"/>
    <w:rsid w:val="3F2B54FB"/>
    <w:rsid w:val="3F32042D"/>
    <w:rsid w:val="3F3A1FEB"/>
    <w:rsid w:val="3F40312F"/>
    <w:rsid w:val="3F454604"/>
    <w:rsid w:val="3F473ED8"/>
    <w:rsid w:val="3F501284"/>
    <w:rsid w:val="3F5F3313"/>
    <w:rsid w:val="3F632CA0"/>
    <w:rsid w:val="3F64519B"/>
    <w:rsid w:val="3F780536"/>
    <w:rsid w:val="3F7E5048"/>
    <w:rsid w:val="3F8364B9"/>
    <w:rsid w:val="3F9966FE"/>
    <w:rsid w:val="3F9C7F93"/>
    <w:rsid w:val="3FA24EE8"/>
    <w:rsid w:val="3FA27361"/>
    <w:rsid w:val="3FA5377A"/>
    <w:rsid w:val="3FA72BC9"/>
    <w:rsid w:val="3FAF2997"/>
    <w:rsid w:val="3FBE3C2E"/>
    <w:rsid w:val="3FC1513B"/>
    <w:rsid w:val="3FC75019"/>
    <w:rsid w:val="3FD70083"/>
    <w:rsid w:val="3FD94099"/>
    <w:rsid w:val="3FE372DD"/>
    <w:rsid w:val="3FE9009B"/>
    <w:rsid w:val="3FF61ECB"/>
    <w:rsid w:val="3FF930B7"/>
    <w:rsid w:val="400138B6"/>
    <w:rsid w:val="4010076E"/>
    <w:rsid w:val="401F19AE"/>
    <w:rsid w:val="402356CB"/>
    <w:rsid w:val="403326AF"/>
    <w:rsid w:val="403647E7"/>
    <w:rsid w:val="403C7D3C"/>
    <w:rsid w:val="403F2694"/>
    <w:rsid w:val="40531C9F"/>
    <w:rsid w:val="40572841"/>
    <w:rsid w:val="40642868"/>
    <w:rsid w:val="40644F5E"/>
    <w:rsid w:val="407A208B"/>
    <w:rsid w:val="407E7215"/>
    <w:rsid w:val="40853CD6"/>
    <w:rsid w:val="408B6047"/>
    <w:rsid w:val="40997EE9"/>
    <w:rsid w:val="40AE1073"/>
    <w:rsid w:val="40B24170"/>
    <w:rsid w:val="40B54CDF"/>
    <w:rsid w:val="40C91530"/>
    <w:rsid w:val="40CA3B4B"/>
    <w:rsid w:val="40CD0F43"/>
    <w:rsid w:val="40D6256C"/>
    <w:rsid w:val="40E56496"/>
    <w:rsid w:val="410302D3"/>
    <w:rsid w:val="41033C0C"/>
    <w:rsid w:val="410423F9"/>
    <w:rsid w:val="41044576"/>
    <w:rsid w:val="412F731A"/>
    <w:rsid w:val="41405083"/>
    <w:rsid w:val="41433D8D"/>
    <w:rsid w:val="41506DED"/>
    <w:rsid w:val="417E10DC"/>
    <w:rsid w:val="418F1FA7"/>
    <w:rsid w:val="419378A9"/>
    <w:rsid w:val="41A14143"/>
    <w:rsid w:val="41C738BB"/>
    <w:rsid w:val="41CC2DBB"/>
    <w:rsid w:val="41D61543"/>
    <w:rsid w:val="41E11F0A"/>
    <w:rsid w:val="41FA7928"/>
    <w:rsid w:val="41FB71FC"/>
    <w:rsid w:val="41FD2F74"/>
    <w:rsid w:val="420C1409"/>
    <w:rsid w:val="420E7A2F"/>
    <w:rsid w:val="42253D73"/>
    <w:rsid w:val="422C3774"/>
    <w:rsid w:val="42425BDF"/>
    <w:rsid w:val="425A3F23"/>
    <w:rsid w:val="42620C57"/>
    <w:rsid w:val="42700D6D"/>
    <w:rsid w:val="428B18EF"/>
    <w:rsid w:val="428E1E1E"/>
    <w:rsid w:val="4291793D"/>
    <w:rsid w:val="42982C9D"/>
    <w:rsid w:val="42A7702B"/>
    <w:rsid w:val="42B06238"/>
    <w:rsid w:val="42C817D4"/>
    <w:rsid w:val="42C83582"/>
    <w:rsid w:val="42D33864"/>
    <w:rsid w:val="42D45294"/>
    <w:rsid w:val="42D5459A"/>
    <w:rsid w:val="42E87780"/>
    <w:rsid w:val="42EB54C2"/>
    <w:rsid w:val="42FE57D8"/>
    <w:rsid w:val="431579F5"/>
    <w:rsid w:val="432471AF"/>
    <w:rsid w:val="43291B47"/>
    <w:rsid w:val="432D1CE0"/>
    <w:rsid w:val="432E1F35"/>
    <w:rsid w:val="43436436"/>
    <w:rsid w:val="43486A76"/>
    <w:rsid w:val="434B3A9D"/>
    <w:rsid w:val="4356615F"/>
    <w:rsid w:val="435B5AD4"/>
    <w:rsid w:val="437C5702"/>
    <w:rsid w:val="439873F8"/>
    <w:rsid w:val="439D0B2B"/>
    <w:rsid w:val="43A00A6F"/>
    <w:rsid w:val="43A150DB"/>
    <w:rsid w:val="43D55E7B"/>
    <w:rsid w:val="43E23A1A"/>
    <w:rsid w:val="43E55DC0"/>
    <w:rsid w:val="43F42155"/>
    <w:rsid w:val="43FB34E3"/>
    <w:rsid w:val="440C2CE7"/>
    <w:rsid w:val="441709AA"/>
    <w:rsid w:val="441D78FE"/>
    <w:rsid w:val="44287660"/>
    <w:rsid w:val="443304A8"/>
    <w:rsid w:val="443A04B0"/>
    <w:rsid w:val="443B1206"/>
    <w:rsid w:val="443F7874"/>
    <w:rsid w:val="44514424"/>
    <w:rsid w:val="445826E4"/>
    <w:rsid w:val="44616D36"/>
    <w:rsid w:val="44623562"/>
    <w:rsid w:val="447C53F1"/>
    <w:rsid w:val="447F4128"/>
    <w:rsid w:val="44944B08"/>
    <w:rsid w:val="4496320C"/>
    <w:rsid w:val="44965602"/>
    <w:rsid w:val="4497710F"/>
    <w:rsid w:val="449B5470"/>
    <w:rsid w:val="44BA37FA"/>
    <w:rsid w:val="44BB6CCD"/>
    <w:rsid w:val="44BC66A0"/>
    <w:rsid w:val="44C77951"/>
    <w:rsid w:val="44D212C3"/>
    <w:rsid w:val="44EB53AA"/>
    <w:rsid w:val="44EC4ED1"/>
    <w:rsid w:val="44F22B38"/>
    <w:rsid w:val="44FA37F7"/>
    <w:rsid w:val="44FA7C3F"/>
    <w:rsid w:val="44FD23DF"/>
    <w:rsid w:val="450705BE"/>
    <w:rsid w:val="45145AF8"/>
    <w:rsid w:val="451A4A5C"/>
    <w:rsid w:val="4525645E"/>
    <w:rsid w:val="45457685"/>
    <w:rsid w:val="45464C32"/>
    <w:rsid w:val="45484BEE"/>
    <w:rsid w:val="45575E9B"/>
    <w:rsid w:val="455D3943"/>
    <w:rsid w:val="45693216"/>
    <w:rsid w:val="45725A27"/>
    <w:rsid w:val="4579257A"/>
    <w:rsid w:val="457933AD"/>
    <w:rsid w:val="45A04342"/>
    <w:rsid w:val="45AC2177"/>
    <w:rsid w:val="45B42812"/>
    <w:rsid w:val="45BE39AA"/>
    <w:rsid w:val="45C86727"/>
    <w:rsid w:val="45DC6C56"/>
    <w:rsid w:val="45E523E2"/>
    <w:rsid w:val="45E830BF"/>
    <w:rsid w:val="45EB3712"/>
    <w:rsid w:val="45F4618F"/>
    <w:rsid w:val="460A4AC8"/>
    <w:rsid w:val="4613175B"/>
    <w:rsid w:val="461E67C6"/>
    <w:rsid w:val="462C24F9"/>
    <w:rsid w:val="46384DBE"/>
    <w:rsid w:val="4640713B"/>
    <w:rsid w:val="464266D5"/>
    <w:rsid w:val="46545FB4"/>
    <w:rsid w:val="46556E08"/>
    <w:rsid w:val="465D081B"/>
    <w:rsid w:val="466C0CCE"/>
    <w:rsid w:val="46714E47"/>
    <w:rsid w:val="46764A15"/>
    <w:rsid w:val="46777388"/>
    <w:rsid w:val="46836D8D"/>
    <w:rsid w:val="46840FB0"/>
    <w:rsid w:val="468E4EA4"/>
    <w:rsid w:val="46A14816"/>
    <w:rsid w:val="46A2233C"/>
    <w:rsid w:val="46A3401E"/>
    <w:rsid w:val="46C329DE"/>
    <w:rsid w:val="46C65B88"/>
    <w:rsid w:val="46C710AE"/>
    <w:rsid w:val="46E841F3"/>
    <w:rsid w:val="46EA6EAB"/>
    <w:rsid w:val="46EE732F"/>
    <w:rsid w:val="46F54B62"/>
    <w:rsid w:val="46F801AE"/>
    <w:rsid w:val="46FB2EB7"/>
    <w:rsid w:val="47011D0D"/>
    <w:rsid w:val="470E2954"/>
    <w:rsid w:val="471054F8"/>
    <w:rsid w:val="47135977"/>
    <w:rsid w:val="47352807"/>
    <w:rsid w:val="47381007"/>
    <w:rsid w:val="47525B10"/>
    <w:rsid w:val="475826AF"/>
    <w:rsid w:val="47633879"/>
    <w:rsid w:val="47694A65"/>
    <w:rsid w:val="47794E4B"/>
    <w:rsid w:val="47844C36"/>
    <w:rsid w:val="478B037B"/>
    <w:rsid w:val="47971775"/>
    <w:rsid w:val="47A006D6"/>
    <w:rsid w:val="47A17017"/>
    <w:rsid w:val="47A3636C"/>
    <w:rsid w:val="47B440D5"/>
    <w:rsid w:val="47B916EB"/>
    <w:rsid w:val="47C6205A"/>
    <w:rsid w:val="47D46AAB"/>
    <w:rsid w:val="47E10C42"/>
    <w:rsid w:val="47E66258"/>
    <w:rsid w:val="47F15329"/>
    <w:rsid w:val="47F334B6"/>
    <w:rsid w:val="480E2755"/>
    <w:rsid w:val="480F1C53"/>
    <w:rsid w:val="48142A86"/>
    <w:rsid w:val="481F0E98"/>
    <w:rsid w:val="482C60D7"/>
    <w:rsid w:val="48307C36"/>
    <w:rsid w:val="48403BBB"/>
    <w:rsid w:val="48423580"/>
    <w:rsid w:val="48435459"/>
    <w:rsid w:val="484F08F4"/>
    <w:rsid w:val="484F2050"/>
    <w:rsid w:val="48552B81"/>
    <w:rsid w:val="48587156"/>
    <w:rsid w:val="48587866"/>
    <w:rsid w:val="485B457D"/>
    <w:rsid w:val="486378A9"/>
    <w:rsid w:val="48741AB6"/>
    <w:rsid w:val="487970CD"/>
    <w:rsid w:val="487D3246"/>
    <w:rsid w:val="4882740D"/>
    <w:rsid w:val="488553D7"/>
    <w:rsid w:val="48914416"/>
    <w:rsid w:val="489474A0"/>
    <w:rsid w:val="489D2DBB"/>
    <w:rsid w:val="48AE59D5"/>
    <w:rsid w:val="48C447EC"/>
    <w:rsid w:val="48CC3A96"/>
    <w:rsid w:val="48CC544E"/>
    <w:rsid w:val="48DA58D3"/>
    <w:rsid w:val="48DD23BE"/>
    <w:rsid w:val="48E7672C"/>
    <w:rsid w:val="48E85B81"/>
    <w:rsid w:val="48FD1AAC"/>
    <w:rsid w:val="48FE7EB6"/>
    <w:rsid w:val="49003303"/>
    <w:rsid w:val="490C7315"/>
    <w:rsid w:val="49146652"/>
    <w:rsid w:val="491A08B0"/>
    <w:rsid w:val="49311755"/>
    <w:rsid w:val="49332935"/>
    <w:rsid w:val="493D00FA"/>
    <w:rsid w:val="493F0316"/>
    <w:rsid w:val="4950329E"/>
    <w:rsid w:val="4960423F"/>
    <w:rsid w:val="49673163"/>
    <w:rsid w:val="497E0E3E"/>
    <w:rsid w:val="49877B61"/>
    <w:rsid w:val="498B70B7"/>
    <w:rsid w:val="498C3945"/>
    <w:rsid w:val="49957F36"/>
    <w:rsid w:val="49A10689"/>
    <w:rsid w:val="49A14B2D"/>
    <w:rsid w:val="49A168DB"/>
    <w:rsid w:val="49A540DA"/>
    <w:rsid w:val="49B91461"/>
    <w:rsid w:val="49BA6199"/>
    <w:rsid w:val="49C41465"/>
    <w:rsid w:val="49C53CBB"/>
    <w:rsid w:val="49CE0AF4"/>
    <w:rsid w:val="49DF5F0D"/>
    <w:rsid w:val="49ED7D72"/>
    <w:rsid w:val="49FB248F"/>
    <w:rsid w:val="4A0F5F3A"/>
    <w:rsid w:val="4A151548"/>
    <w:rsid w:val="4A172FED"/>
    <w:rsid w:val="4A1D3218"/>
    <w:rsid w:val="4A2969C4"/>
    <w:rsid w:val="4A3A1DD6"/>
    <w:rsid w:val="4A4060F4"/>
    <w:rsid w:val="4A4E0D0F"/>
    <w:rsid w:val="4A4F4589"/>
    <w:rsid w:val="4A527BD5"/>
    <w:rsid w:val="4A5971B6"/>
    <w:rsid w:val="4A5C3E44"/>
    <w:rsid w:val="4A6175BB"/>
    <w:rsid w:val="4A6C6557"/>
    <w:rsid w:val="4A6E2E16"/>
    <w:rsid w:val="4A7B35D0"/>
    <w:rsid w:val="4A964092"/>
    <w:rsid w:val="4A98179B"/>
    <w:rsid w:val="4AA27D8E"/>
    <w:rsid w:val="4AA448D5"/>
    <w:rsid w:val="4AA97BE1"/>
    <w:rsid w:val="4AAA5C63"/>
    <w:rsid w:val="4AB70A36"/>
    <w:rsid w:val="4AC07235"/>
    <w:rsid w:val="4ACA3C0F"/>
    <w:rsid w:val="4ACD77C9"/>
    <w:rsid w:val="4AD373AC"/>
    <w:rsid w:val="4AD6016A"/>
    <w:rsid w:val="4AE01685"/>
    <w:rsid w:val="4AF8490A"/>
    <w:rsid w:val="4B1802FC"/>
    <w:rsid w:val="4B184F42"/>
    <w:rsid w:val="4B2178E0"/>
    <w:rsid w:val="4B38327F"/>
    <w:rsid w:val="4B3D3F04"/>
    <w:rsid w:val="4B3F641D"/>
    <w:rsid w:val="4B4A1509"/>
    <w:rsid w:val="4B5430D1"/>
    <w:rsid w:val="4B5A1437"/>
    <w:rsid w:val="4B6776B0"/>
    <w:rsid w:val="4B8F5B9C"/>
    <w:rsid w:val="4B8F5C21"/>
    <w:rsid w:val="4B92472D"/>
    <w:rsid w:val="4B966CAF"/>
    <w:rsid w:val="4BA229C5"/>
    <w:rsid w:val="4BA3693A"/>
    <w:rsid w:val="4BD56D10"/>
    <w:rsid w:val="4BE31D73"/>
    <w:rsid w:val="4BE551D7"/>
    <w:rsid w:val="4BE926ED"/>
    <w:rsid w:val="4BF354EC"/>
    <w:rsid w:val="4BF453E8"/>
    <w:rsid w:val="4BF47196"/>
    <w:rsid w:val="4BFE1FBE"/>
    <w:rsid w:val="4C056544"/>
    <w:rsid w:val="4C124D5F"/>
    <w:rsid w:val="4C201769"/>
    <w:rsid w:val="4C231829"/>
    <w:rsid w:val="4C2A0E0A"/>
    <w:rsid w:val="4C2A1395"/>
    <w:rsid w:val="4C3E5491"/>
    <w:rsid w:val="4C4B653D"/>
    <w:rsid w:val="4C556D10"/>
    <w:rsid w:val="4C5F09C9"/>
    <w:rsid w:val="4C612351"/>
    <w:rsid w:val="4C6267F5"/>
    <w:rsid w:val="4C68117A"/>
    <w:rsid w:val="4C73534A"/>
    <w:rsid w:val="4C8A5633"/>
    <w:rsid w:val="4C8F2F43"/>
    <w:rsid w:val="4C9078BA"/>
    <w:rsid w:val="4C940979"/>
    <w:rsid w:val="4C942727"/>
    <w:rsid w:val="4CA11718"/>
    <w:rsid w:val="4CA228A1"/>
    <w:rsid w:val="4CA87F80"/>
    <w:rsid w:val="4CAC0D83"/>
    <w:rsid w:val="4CB16E35"/>
    <w:rsid w:val="4CCF375F"/>
    <w:rsid w:val="4D057181"/>
    <w:rsid w:val="4D587BF8"/>
    <w:rsid w:val="4D6C610E"/>
    <w:rsid w:val="4D7C5695"/>
    <w:rsid w:val="4D8C33FE"/>
    <w:rsid w:val="4D932D83"/>
    <w:rsid w:val="4D9D385D"/>
    <w:rsid w:val="4DA42A71"/>
    <w:rsid w:val="4DB06052"/>
    <w:rsid w:val="4DB12E65"/>
    <w:rsid w:val="4DB766CD"/>
    <w:rsid w:val="4DB841F3"/>
    <w:rsid w:val="4DBC7DCF"/>
    <w:rsid w:val="4DC30665"/>
    <w:rsid w:val="4DCD2485"/>
    <w:rsid w:val="4DD60450"/>
    <w:rsid w:val="4DDE1EAC"/>
    <w:rsid w:val="4DE665E6"/>
    <w:rsid w:val="4DEB47E9"/>
    <w:rsid w:val="4DEF5FB2"/>
    <w:rsid w:val="4DF711BF"/>
    <w:rsid w:val="4E01035B"/>
    <w:rsid w:val="4E067654"/>
    <w:rsid w:val="4E0D453F"/>
    <w:rsid w:val="4E515F0D"/>
    <w:rsid w:val="4E5740AF"/>
    <w:rsid w:val="4E600B13"/>
    <w:rsid w:val="4E73608C"/>
    <w:rsid w:val="4E7520E4"/>
    <w:rsid w:val="4E7A4EA7"/>
    <w:rsid w:val="4E920EE8"/>
    <w:rsid w:val="4E9609D8"/>
    <w:rsid w:val="4E9C0BA0"/>
    <w:rsid w:val="4E9F7009"/>
    <w:rsid w:val="4EA51B0D"/>
    <w:rsid w:val="4EAC5711"/>
    <w:rsid w:val="4ECA68D4"/>
    <w:rsid w:val="4ECF7547"/>
    <w:rsid w:val="4ED630ED"/>
    <w:rsid w:val="4EE66F89"/>
    <w:rsid w:val="4EEC1547"/>
    <w:rsid w:val="4EF01056"/>
    <w:rsid w:val="4EF2069E"/>
    <w:rsid w:val="4F041D45"/>
    <w:rsid w:val="4F133DD7"/>
    <w:rsid w:val="4F3A35EC"/>
    <w:rsid w:val="4F3D2C02"/>
    <w:rsid w:val="4F3E7FC5"/>
    <w:rsid w:val="4F404546"/>
    <w:rsid w:val="4F5F701C"/>
    <w:rsid w:val="4F6603AB"/>
    <w:rsid w:val="4F6A0C38"/>
    <w:rsid w:val="4F6E725F"/>
    <w:rsid w:val="4F7830B7"/>
    <w:rsid w:val="4F894099"/>
    <w:rsid w:val="4FA10C42"/>
    <w:rsid w:val="4FA74FBE"/>
    <w:rsid w:val="4FB31116"/>
    <w:rsid w:val="4FD96283"/>
    <w:rsid w:val="4FE237A9"/>
    <w:rsid w:val="4FED248D"/>
    <w:rsid w:val="4FF57980"/>
    <w:rsid w:val="4FFC0D0F"/>
    <w:rsid w:val="50037B8F"/>
    <w:rsid w:val="50081462"/>
    <w:rsid w:val="5012400A"/>
    <w:rsid w:val="502838B2"/>
    <w:rsid w:val="503A67E1"/>
    <w:rsid w:val="503F4889"/>
    <w:rsid w:val="50441224"/>
    <w:rsid w:val="50595A45"/>
    <w:rsid w:val="505A3A22"/>
    <w:rsid w:val="505D37DE"/>
    <w:rsid w:val="50716043"/>
    <w:rsid w:val="507858D7"/>
    <w:rsid w:val="50790387"/>
    <w:rsid w:val="50807161"/>
    <w:rsid w:val="50962F12"/>
    <w:rsid w:val="50AC44E3"/>
    <w:rsid w:val="50AD3030"/>
    <w:rsid w:val="50BE4216"/>
    <w:rsid w:val="50C57B7D"/>
    <w:rsid w:val="50C8299F"/>
    <w:rsid w:val="50DB55BF"/>
    <w:rsid w:val="50DC1EB2"/>
    <w:rsid w:val="50DD68FC"/>
    <w:rsid w:val="50F6750C"/>
    <w:rsid w:val="512E314A"/>
    <w:rsid w:val="513F72A3"/>
    <w:rsid w:val="51676299"/>
    <w:rsid w:val="516E79EA"/>
    <w:rsid w:val="5176064D"/>
    <w:rsid w:val="51786173"/>
    <w:rsid w:val="51912727"/>
    <w:rsid w:val="51974BDA"/>
    <w:rsid w:val="51A258E6"/>
    <w:rsid w:val="51A72746"/>
    <w:rsid w:val="51B2004B"/>
    <w:rsid w:val="51B30B7F"/>
    <w:rsid w:val="51B70DDA"/>
    <w:rsid w:val="51BA49DE"/>
    <w:rsid w:val="51BF638A"/>
    <w:rsid w:val="51C07B1A"/>
    <w:rsid w:val="51CB0999"/>
    <w:rsid w:val="51D33CF1"/>
    <w:rsid w:val="51DD38FD"/>
    <w:rsid w:val="51DF2ACC"/>
    <w:rsid w:val="51F74881"/>
    <w:rsid w:val="51FD114C"/>
    <w:rsid w:val="51FE2294"/>
    <w:rsid w:val="52064694"/>
    <w:rsid w:val="52097E00"/>
    <w:rsid w:val="520D2CCB"/>
    <w:rsid w:val="52196E62"/>
    <w:rsid w:val="521970B1"/>
    <w:rsid w:val="521D34D3"/>
    <w:rsid w:val="522E72A8"/>
    <w:rsid w:val="523A5B1F"/>
    <w:rsid w:val="523D116B"/>
    <w:rsid w:val="524D1652"/>
    <w:rsid w:val="524D19FA"/>
    <w:rsid w:val="525A20DB"/>
    <w:rsid w:val="525D2F2D"/>
    <w:rsid w:val="526D3D56"/>
    <w:rsid w:val="52701540"/>
    <w:rsid w:val="529821C2"/>
    <w:rsid w:val="52997189"/>
    <w:rsid w:val="529D2A4C"/>
    <w:rsid w:val="52A5743C"/>
    <w:rsid w:val="52A86EEA"/>
    <w:rsid w:val="52A87C5A"/>
    <w:rsid w:val="52B166AD"/>
    <w:rsid w:val="52B4142D"/>
    <w:rsid w:val="52C56335"/>
    <w:rsid w:val="52D12A6E"/>
    <w:rsid w:val="52D82ECC"/>
    <w:rsid w:val="52DB4C0C"/>
    <w:rsid w:val="52EF4B5B"/>
    <w:rsid w:val="531004E1"/>
    <w:rsid w:val="531C6EDB"/>
    <w:rsid w:val="53246BF7"/>
    <w:rsid w:val="532E70D2"/>
    <w:rsid w:val="535007E3"/>
    <w:rsid w:val="53566988"/>
    <w:rsid w:val="536C1D08"/>
    <w:rsid w:val="536D1AD0"/>
    <w:rsid w:val="536F33C6"/>
    <w:rsid w:val="5376292D"/>
    <w:rsid w:val="538C23AA"/>
    <w:rsid w:val="538F16B6"/>
    <w:rsid w:val="539179C0"/>
    <w:rsid w:val="5396384D"/>
    <w:rsid w:val="53A54B1A"/>
    <w:rsid w:val="53B0094A"/>
    <w:rsid w:val="53B02679"/>
    <w:rsid w:val="53BF4823"/>
    <w:rsid w:val="53C34270"/>
    <w:rsid w:val="53D37FD9"/>
    <w:rsid w:val="53DD5F79"/>
    <w:rsid w:val="53E359BA"/>
    <w:rsid w:val="53E977FC"/>
    <w:rsid w:val="53F73CC7"/>
    <w:rsid w:val="54077B20"/>
    <w:rsid w:val="54135AF2"/>
    <w:rsid w:val="542C7436"/>
    <w:rsid w:val="542D128D"/>
    <w:rsid w:val="5449029B"/>
    <w:rsid w:val="544E58B1"/>
    <w:rsid w:val="54580EB1"/>
    <w:rsid w:val="545B7CED"/>
    <w:rsid w:val="546409C8"/>
    <w:rsid w:val="547146BE"/>
    <w:rsid w:val="54715E17"/>
    <w:rsid w:val="54751090"/>
    <w:rsid w:val="547C4BC5"/>
    <w:rsid w:val="54827A2A"/>
    <w:rsid w:val="548D0188"/>
    <w:rsid w:val="5491324A"/>
    <w:rsid w:val="549903EA"/>
    <w:rsid w:val="54A871D7"/>
    <w:rsid w:val="54CB0353"/>
    <w:rsid w:val="54E05C5E"/>
    <w:rsid w:val="54E171D9"/>
    <w:rsid w:val="54EB07AC"/>
    <w:rsid w:val="54F76A90"/>
    <w:rsid w:val="54F903E1"/>
    <w:rsid w:val="550C5F12"/>
    <w:rsid w:val="552944C6"/>
    <w:rsid w:val="5535497A"/>
    <w:rsid w:val="553C17D1"/>
    <w:rsid w:val="554A4296"/>
    <w:rsid w:val="555553D9"/>
    <w:rsid w:val="555649EC"/>
    <w:rsid w:val="5558264B"/>
    <w:rsid w:val="556C1E24"/>
    <w:rsid w:val="55741C33"/>
    <w:rsid w:val="557E6C84"/>
    <w:rsid w:val="55825812"/>
    <w:rsid w:val="5586193D"/>
    <w:rsid w:val="558F7F2F"/>
    <w:rsid w:val="55935A9E"/>
    <w:rsid w:val="55B86257"/>
    <w:rsid w:val="55D57E84"/>
    <w:rsid w:val="55F0380D"/>
    <w:rsid w:val="55F1544B"/>
    <w:rsid w:val="55F46ED2"/>
    <w:rsid w:val="55FD20AC"/>
    <w:rsid w:val="56000E0D"/>
    <w:rsid w:val="560E5951"/>
    <w:rsid w:val="5615195D"/>
    <w:rsid w:val="56156687"/>
    <w:rsid w:val="561A3C9D"/>
    <w:rsid w:val="561E566F"/>
    <w:rsid w:val="562D0004"/>
    <w:rsid w:val="564B5009"/>
    <w:rsid w:val="5653130A"/>
    <w:rsid w:val="56605106"/>
    <w:rsid w:val="56674A08"/>
    <w:rsid w:val="568F6454"/>
    <w:rsid w:val="56981066"/>
    <w:rsid w:val="56A25A40"/>
    <w:rsid w:val="56A47A0A"/>
    <w:rsid w:val="56B61ABA"/>
    <w:rsid w:val="56BC4D54"/>
    <w:rsid w:val="56BE16E4"/>
    <w:rsid w:val="56C1680E"/>
    <w:rsid w:val="56CF5460"/>
    <w:rsid w:val="56D227CA"/>
    <w:rsid w:val="56D9431F"/>
    <w:rsid w:val="56DA342C"/>
    <w:rsid w:val="56DF6C95"/>
    <w:rsid w:val="56E10CAD"/>
    <w:rsid w:val="56E465C8"/>
    <w:rsid w:val="56F97D56"/>
    <w:rsid w:val="5714096B"/>
    <w:rsid w:val="571E77BD"/>
    <w:rsid w:val="5728606E"/>
    <w:rsid w:val="573935DB"/>
    <w:rsid w:val="573E4B45"/>
    <w:rsid w:val="573F0159"/>
    <w:rsid w:val="57433CA4"/>
    <w:rsid w:val="575E5E0B"/>
    <w:rsid w:val="576176AA"/>
    <w:rsid w:val="57803FD4"/>
    <w:rsid w:val="57851241"/>
    <w:rsid w:val="57867100"/>
    <w:rsid w:val="5789411D"/>
    <w:rsid w:val="578C32C7"/>
    <w:rsid w:val="57953A24"/>
    <w:rsid w:val="57A50401"/>
    <w:rsid w:val="57BB14B0"/>
    <w:rsid w:val="57CF0AB7"/>
    <w:rsid w:val="57D85BBE"/>
    <w:rsid w:val="57DD7B1E"/>
    <w:rsid w:val="57EE312A"/>
    <w:rsid w:val="57FB6085"/>
    <w:rsid w:val="57FC1389"/>
    <w:rsid w:val="5806442D"/>
    <w:rsid w:val="58083E1F"/>
    <w:rsid w:val="580C5867"/>
    <w:rsid w:val="580D591E"/>
    <w:rsid w:val="58134E48"/>
    <w:rsid w:val="581C5A14"/>
    <w:rsid w:val="581F07F7"/>
    <w:rsid w:val="582362AD"/>
    <w:rsid w:val="5824161B"/>
    <w:rsid w:val="582A07F8"/>
    <w:rsid w:val="582C415B"/>
    <w:rsid w:val="582F5EE5"/>
    <w:rsid w:val="583F2C50"/>
    <w:rsid w:val="584375EF"/>
    <w:rsid w:val="5848254B"/>
    <w:rsid w:val="584E5E80"/>
    <w:rsid w:val="58601B42"/>
    <w:rsid w:val="58607961"/>
    <w:rsid w:val="586456A3"/>
    <w:rsid w:val="588B41E5"/>
    <w:rsid w:val="58A20233"/>
    <w:rsid w:val="58B33F35"/>
    <w:rsid w:val="58B45F80"/>
    <w:rsid w:val="58C148A4"/>
    <w:rsid w:val="58CB74D0"/>
    <w:rsid w:val="58D9674E"/>
    <w:rsid w:val="58F0272E"/>
    <w:rsid w:val="58F12A95"/>
    <w:rsid w:val="58F85DEC"/>
    <w:rsid w:val="58FF53CC"/>
    <w:rsid w:val="590649AC"/>
    <w:rsid w:val="5909132F"/>
    <w:rsid w:val="59140BF0"/>
    <w:rsid w:val="59163BCF"/>
    <w:rsid w:val="592F7A5F"/>
    <w:rsid w:val="594A785E"/>
    <w:rsid w:val="596F60AE"/>
    <w:rsid w:val="59777658"/>
    <w:rsid w:val="5988305F"/>
    <w:rsid w:val="599E1F17"/>
    <w:rsid w:val="59B368E2"/>
    <w:rsid w:val="59BA5EBD"/>
    <w:rsid w:val="59C304D5"/>
    <w:rsid w:val="59CA59DA"/>
    <w:rsid w:val="59D51D01"/>
    <w:rsid w:val="59DA0C84"/>
    <w:rsid w:val="59DD395F"/>
    <w:rsid w:val="59DF2619"/>
    <w:rsid w:val="59F3345E"/>
    <w:rsid w:val="59FB3DE5"/>
    <w:rsid w:val="59FB5B93"/>
    <w:rsid w:val="5A096502"/>
    <w:rsid w:val="5A175510"/>
    <w:rsid w:val="5A1940A4"/>
    <w:rsid w:val="5A1B2858"/>
    <w:rsid w:val="5A236E98"/>
    <w:rsid w:val="5A2734CC"/>
    <w:rsid w:val="5A337BDA"/>
    <w:rsid w:val="5A3A2DDD"/>
    <w:rsid w:val="5A3F499A"/>
    <w:rsid w:val="5A407A4A"/>
    <w:rsid w:val="5A427419"/>
    <w:rsid w:val="5A461504"/>
    <w:rsid w:val="5A5C0D28"/>
    <w:rsid w:val="5A5D05FC"/>
    <w:rsid w:val="5A5F1E8D"/>
    <w:rsid w:val="5A65694F"/>
    <w:rsid w:val="5A6C2DC6"/>
    <w:rsid w:val="5A7A1105"/>
    <w:rsid w:val="5A845CF1"/>
    <w:rsid w:val="5A90452E"/>
    <w:rsid w:val="5AAC047B"/>
    <w:rsid w:val="5AAF7962"/>
    <w:rsid w:val="5AB40B80"/>
    <w:rsid w:val="5ABE7E1B"/>
    <w:rsid w:val="5ACB37B8"/>
    <w:rsid w:val="5AD158FF"/>
    <w:rsid w:val="5AD63B1B"/>
    <w:rsid w:val="5AE7571E"/>
    <w:rsid w:val="5AEA7B76"/>
    <w:rsid w:val="5AF5291D"/>
    <w:rsid w:val="5AFF5CDD"/>
    <w:rsid w:val="5B050CD2"/>
    <w:rsid w:val="5B2305AE"/>
    <w:rsid w:val="5B28634B"/>
    <w:rsid w:val="5B2F1F99"/>
    <w:rsid w:val="5B456E93"/>
    <w:rsid w:val="5B4A6A55"/>
    <w:rsid w:val="5B5B744B"/>
    <w:rsid w:val="5B5F3716"/>
    <w:rsid w:val="5B61236E"/>
    <w:rsid w:val="5B7165EB"/>
    <w:rsid w:val="5B9A0FAF"/>
    <w:rsid w:val="5BBF5B63"/>
    <w:rsid w:val="5BC23BF3"/>
    <w:rsid w:val="5BCA3C0B"/>
    <w:rsid w:val="5BCA6EF7"/>
    <w:rsid w:val="5BE85F1E"/>
    <w:rsid w:val="5BE963CF"/>
    <w:rsid w:val="5BEF71F0"/>
    <w:rsid w:val="5BFB00CD"/>
    <w:rsid w:val="5C031F85"/>
    <w:rsid w:val="5C255D7A"/>
    <w:rsid w:val="5C2B17B0"/>
    <w:rsid w:val="5C364376"/>
    <w:rsid w:val="5C385185"/>
    <w:rsid w:val="5C420954"/>
    <w:rsid w:val="5C4731BB"/>
    <w:rsid w:val="5C4C0928"/>
    <w:rsid w:val="5C5123E2"/>
    <w:rsid w:val="5C5546B5"/>
    <w:rsid w:val="5C584186"/>
    <w:rsid w:val="5C966047"/>
    <w:rsid w:val="5C997ECC"/>
    <w:rsid w:val="5C9F3FFC"/>
    <w:rsid w:val="5CA574CA"/>
    <w:rsid w:val="5CAD4B46"/>
    <w:rsid w:val="5CB07109"/>
    <w:rsid w:val="5CB63FF4"/>
    <w:rsid w:val="5CE41CEB"/>
    <w:rsid w:val="5CE8322A"/>
    <w:rsid w:val="5CEB123C"/>
    <w:rsid w:val="5CFE3653"/>
    <w:rsid w:val="5D1C02FB"/>
    <w:rsid w:val="5D1D7158"/>
    <w:rsid w:val="5D274796"/>
    <w:rsid w:val="5D3048C4"/>
    <w:rsid w:val="5D3A2E77"/>
    <w:rsid w:val="5D3A3900"/>
    <w:rsid w:val="5D3F223B"/>
    <w:rsid w:val="5D3F4DA5"/>
    <w:rsid w:val="5D475B2E"/>
    <w:rsid w:val="5D496632"/>
    <w:rsid w:val="5D551ACF"/>
    <w:rsid w:val="5D5C4B9B"/>
    <w:rsid w:val="5D670A4E"/>
    <w:rsid w:val="5D6E0A26"/>
    <w:rsid w:val="5D7E0FB5"/>
    <w:rsid w:val="5D814602"/>
    <w:rsid w:val="5D855CCD"/>
    <w:rsid w:val="5D881E34"/>
    <w:rsid w:val="5D9718EE"/>
    <w:rsid w:val="5DAA35EC"/>
    <w:rsid w:val="5DAF0436"/>
    <w:rsid w:val="5DB50C85"/>
    <w:rsid w:val="5DBC7D30"/>
    <w:rsid w:val="5DD010E5"/>
    <w:rsid w:val="5DE057B4"/>
    <w:rsid w:val="5DE335CB"/>
    <w:rsid w:val="5DE7093A"/>
    <w:rsid w:val="5DEE2A72"/>
    <w:rsid w:val="5DF87773"/>
    <w:rsid w:val="5E037EBB"/>
    <w:rsid w:val="5E1473AD"/>
    <w:rsid w:val="5E1A2466"/>
    <w:rsid w:val="5E1B28DA"/>
    <w:rsid w:val="5E251431"/>
    <w:rsid w:val="5E2D1741"/>
    <w:rsid w:val="5E2F10B1"/>
    <w:rsid w:val="5E373284"/>
    <w:rsid w:val="5E5A1A12"/>
    <w:rsid w:val="5E5E4943"/>
    <w:rsid w:val="5E5F5D7D"/>
    <w:rsid w:val="5E602898"/>
    <w:rsid w:val="5E6957C1"/>
    <w:rsid w:val="5E753A90"/>
    <w:rsid w:val="5E7A3EB3"/>
    <w:rsid w:val="5E802F15"/>
    <w:rsid w:val="5E810EFE"/>
    <w:rsid w:val="5E843CD7"/>
    <w:rsid w:val="5E8D309B"/>
    <w:rsid w:val="5E9A5EF8"/>
    <w:rsid w:val="5E9E2A79"/>
    <w:rsid w:val="5EA34D77"/>
    <w:rsid w:val="5EAA74B3"/>
    <w:rsid w:val="5EAB402C"/>
    <w:rsid w:val="5EB020A9"/>
    <w:rsid w:val="5EB76635"/>
    <w:rsid w:val="5EC743E2"/>
    <w:rsid w:val="5ED72C07"/>
    <w:rsid w:val="5EDA0DEF"/>
    <w:rsid w:val="5EDE20D0"/>
    <w:rsid w:val="5EDF11B4"/>
    <w:rsid w:val="5EE412EC"/>
    <w:rsid w:val="5EEB20E7"/>
    <w:rsid w:val="5EF97984"/>
    <w:rsid w:val="5F0413E9"/>
    <w:rsid w:val="5F06356B"/>
    <w:rsid w:val="5F1467FA"/>
    <w:rsid w:val="5F1A4D0E"/>
    <w:rsid w:val="5F1A7206"/>
    <w:rsid w:val="5F2070C8"/>
    <w:rsid w:val="5F381CFE"/>
    <w:rsid w:val="5F5939C3"/>
    <w:rsid w:val="5F6366EF"/>
    <w:rsid w:val="5F675552"/>
    <w:rsid w:val="5F69359F"/>
    <w:rsid w:val="5F7F2DC3"/>
    <w:rsid w:val="5F8B4180"/>
    <w:rsid w:val="5F990328"/>
    <w:rsid w:val="5F9A649E"/>
    <w:rsid w:val="5FA10496"/>
    <w:rsid w:val="5FA97E40"/>
    <w:rsid w:val="5FB707AE"/>
    <w:rsid w:val="5FC71EF1"/>
    <w:rsid w:val="5FD6410F"/>
    <w:rsid w:val="5FD83A25"/>
    <w:rsid w:val="5FDC6467"/>
    <w:rsid w:val="5FF11F12"/>
    <w:rsid w:val="6001322D"/>
    <w:rsid w:val="600472AF"/>
    <w:rsid w:val="60064E30"/>
    <w:rsid w:val="600B63C8"/>
    <w:rsid w:val="60174CA1"/>
    <w:rsid w:val="602A0F80"/>
    <w:rsid w:val="602B7FF1"/>
    <w:rsid w:val="60320017"/>
    <w:rsid w:val="60327E35"/>
    <w:rsid w:val="603C0CB4"/>
    <w:rsid w:val="604007A4"/>
    <w:rsid w:val="604B7DE5"/>
    <w:rsid w:val="60563B24"/>
    <w:rsid w:val="60651FB9"/>
    <w:rsid w:val="60683AA0"/>
    <w:rsid w:val="6069743C"/>
    <w:rsid w:val="60787F3E"/>
    <w:rsid w:val="60886F21"/>
    <w:rsid w:val="60A30D33"/>
    <w:rsid w:val="60A67B8D"/>
    <w:rsid w:val="60A8075C"/>
    <w:rsid w:val="60AD607D"/>
    <w:rsid w:val="60AF1486"/>
    <w:rsid w:val="60B371C8"/>
    <w:rsid w:val="60B373D2"/>
    <w:rsid w:val="60B46A9C"/>
    <w:rsid w:val="60C116AE"/>
    <w:rsid w:val="60D56C19"/>
    <w:rsid w:val="60E90E3C"/>
    <w:rsid w:val="60EB4299"/>
    <w:rsid w:val="60F2357F"/>
    <w:rsid w:val="60F50B54"/>
    <w:rsid w:val="60F877AE"/>
    <w:rsid w:val="60FF065F"/>
    <w:rsid w:val="61032B13"/>
    <w:rsid w:val="6109328C"/>
    <w:rsid w:val="61096DE8"/>
    <w:rsid w:val="610D687E"/>
    <w:rsid w:val="61135AF6"/>
    <w:rsid w:val="611B3299"/>
    <w:rsid w:val="611C2B1E"/>
    <w:rsid w:val="61227EAA"/>
    <w:rsid w:val="612E684E"/>
    <w:rsid w:val="613227E3"/>
    <w:rsid w:val="614442C4"/>
    <w:rsid w:val="614658E6"/>
    <w:rsid w:val="61550AB6"/>
    <w:rsid w:val="615703FA"/>
    <w:rsid w:val="615844FD"/>
    <w:rsid w:val="616D0DB6"/>
    <w:rsid w:val="617B10C5"/>
    <w:rsid w:val="617E3934"/>
    <w:rsid w:val="617F12D0"/>
    <w:rsid w:val="618038BB"/>
    <w:rsid w:val="61947FC4"/>
    <w:rsid w:val="61981990"/>
    <w:rsid w:val="61A66D2D"/>
    <w:rsid w:val="61A860ED"/>
    <w:rsid w:val="61AD1E69"/>
    <w:rsid w:val="61B9080E"/>
    <w:rsid w:val="61BA4765"/>
    <w:rsid w:val="61C272CE"/>
    <w:rsid w:val="61D70C94"/>
    <w:rsid w:val="61E11B13"/>
    <w:rsid w:val="620121C5"/>
    <w:rsid w:val="62050A5A"/>
    <w:rsid w:val="6208035B"/>
    <w:rsid w:val="62092E18"/>
    <w:rsid w:val="621517BC"/>
    <w:rsid w:val="62165964"/>
    <w:rsid w:val="62195119"/>
    <w:rsid w:val="62531F7A"/>
    <w:rsid w:val="625E52A9"/>
    <w:rsid w:val="62662018"/>
    <w:rsid w:val="62742588"/>
    <w:rsid w:val="62821AAC"/>
    <w:rsid w:val="62935CB2"/>
    <w:rsid w:val="62A019CE"/>
    <w:rsid w:val="62A74B0A"/>
    <w:rsid w:val="62B0001A"/>
    <w:rsid w:val="62B35A2A"/>
    <w:rsid w:val="62B72874"/>
    <w:rsid w:val="62CD3A64"/>
    <w:rsid w:val="6300310C"/>
    <w:rsid w:val="63062C29"/>
    <w:rsid w:val="63180C62"/>
    <w:rsid w:val="63192C3F"/>
    <w:rsid w:val="631A1780"/>
    <w:rsid w:val="631D677C"/>
    <w:rsid w:val="63304269"/>
    <w:rsid w:val="633B6004"/>
    <w:rsid w:val="63583F66"/>
    <w:rsid w:val="635E5D51"/>
    <w:rsid w:val="636831B2"/>
    <w:rsid w:val="636F1D94"/>
    <w:rsid w:val="63736A93"/>
    <w:rsid w:val="637708F4"/>
    <w:rsid w:val="637B6237"/>
    <w:rsid w:val="637F1B3E"/>
    <w:rsid w:val="6381405D"/>
    <w:rsid w:val="639E415F"/>
    <w:rsid w:val="63A92582"/>
    <w:rsid w:val="63AD43A2"/>
    <w:rsid w:val="63B03E93"/>
    <w:rsid w:val="63B3128D"/>
    <w:rsid w:val="63B527AA"/>
    <w:rsid w:val="63B9141C"/>
    <w:rsid w:val="63BA6ABF"/>
    <w:rsid w:val="63E0213E"/>
    <w:rsid w:val="63F21DB5"/>
    <w:rsid w:val="642263CD"/>
    <w:rsid w:val="64236413"/>
    <w:rsid w:val="6424218B"/>
    <w:rsid w:val="643F0D73"/>
    <w:rsid w:val="643F5931"/>
    <w:rsid w:val="644A511E"/>
    <w:rsid w:val="6452303E"/>
    <w:rsid w:val="64556F1A"/>
    <w:rsid w:val="645760BC"/>
    <w:rsid w:val="645A3CDB"/>
    <w:rsid w:val="645B6C72"/>
    <w:rsid w:val="646031C3"/>
    <w:rsid w:val="647508DA"/>
    <w:rsid w:val="647E2B97"/>
    <w:rsid w:val="64880EF5"/>
    <w:rsid w:val="648D1ADE"/>
    <w:rsid w:val="64921BDB"/>
    <w:rsid w:val="64BC23C3"/>
    <w:rsid w:val="64BE438D"/>
    <w:rsid w:val="64CF321D"/>
    <w:rsid w:val="64D740A3"/>
    <w:rsid w:val="64DE67DD"/>
    <w:rsid w:val="64F41B5D"/>
    <w:rsid w:val="64F63C3A"/>
    <w:rsid w:val="65130235"/>
    <w:rsid w:val="65147F81"/>
    <w:rsid w:val="651609CD"/>
    <w:rsid w:val="65221085"/>
    <w:rsid w:val="65257F68"/>
    <w:rsid w:val="65331C67"/>
    <w:rsid w:val="65442AE4"/>
    <w:rsid w:val="654611A1"/>
    <w:rsid w:val="654A5C21"/>
    <w:rsid w:val="655011F7"/>
    <w:rsid w:val="655D3BA6"/>
    <w:rsid w:val="656B62C3"/>
    <w:rsid w:val="6577032D"/>
    <w:rsid w:val="658F4C77"/>
    <w:rsid w:val="659678DE"/>
    <w:rsid w:val="65B0017A"/>
    <w:rsid w:val="65C47781"/>
    <w:rsid w:val="65C93C6D"/>
    <w:rsid w:val="65CE0600"/>
    <w:rsid w:val="65D57BE0"/>
    <w:rsid w:val="65E240AB"/>
    <w:rsid w:val="65EA4B78"/>
    <w:rsid w:val="65EB7404"/>
    <w:rsid w:val="66044022"/>
    <w:rsid w:val="660C18CA"/>
    <w:rsid w:val="660E6579"/>
    <w:rsid w:val="661A65B0"/>
    <w:rsid w:val="661E1587"/>
    <w:rsid w:val="662D17CA"/>
    <w:rsid w:val="662F720C"/>
    <w:rsid w:val="66304E17"/>
    <w:rsid w:val="66393841"/>
    <w:rsid w:val="663A1B12"/>
    <w:rsid w:val="663E5786"/>
    <w:rsid w:val="663F1F11"/>
    <w:rsid w:val="664D6AA2"/>
    <w:rsid w:val="66703465"/>
    <w:rsid w:val="667B2536"/>
    <w:rsid w:val="667D2270"/>
    <w:rsid w:val="668803AF"/>
    <w:rsid w:val="6691456A"/>
    <w:rsid w:val="66A3383B"/>
    <w:rsid w:val="66B9305E"/>
    <w:rsid w:val="66BB13CF"/>
    <w:rsid w:val="66C16402"/>
    <w:rsid w:val="66CA0391"/>
    <w:rsid w:val="66DC30D4"/>
    <w:rsid w:val="66E7693A"/>
    <w:rsid w:val="66EA1469"/>
    <w:rsid w:val="66F347C2"/>
    <w:rsid w:val="67087D3C"/>
    <w:rsid w:val="670E1211"/>
    <w:rsid w:val="6716400D"/>
    <w:rsid w:val="67227B2F"/>
    <w:rsid w:val="672A7AB8"/>
    <w:rsid w:val="6740038A"/>
    <w:rsid w:val="67484558"/>
    <w:rsid w:val="6749381D"/>
    <w:rsid w:val="675277AA"/>
    <w:rsid w:val="67830108"/>
    <w:rsid w:val="679B2764"/>
    <w:rsid w:val="679D2288"/>
    <w:rsid w:val="67A27F96"/>
    <w:rsid w:val="67AA29A7"/>
    <w:rsid w:val="67B101D9"/>
    <w:rsid w:val="67B2446B"/>
    <w:rsid w:val="67B33F51"/>
    <w:rsid w:val="67BD6B7E"/>
    <w:rsid w:val="67C33BD8"/>
    <w:rsid w:val="67E16C5A"/>
    <w:rsid w:val="67ED268F"/>
    <w:rsid w:val="67F4149B"/>
    <w:rsid w:val="6835615A"/>
    <w:rsid w:val="68356714"/>
    <w:rsid w:val="683A1966"/>
    <w:rsid w:val="68427AAB"/>
    <w:rsid w:val="684E5A28"/>
    <w:rsid w:val="685047AB"/>
    <w:rsid w:val="685779FF"/>
    <w:rsid w:val="685A43CD"/>
    <w:rsid w:val="68646FFA"/>
    <w:rsid w:val="68675EC9"/>
    <w:rsid w:val="68692862"/>
    <w:rsid w:val="687450B5"/>
    <w:rsid w:val="68925915"/>
    <w:rsid w:val="68DF1251"/>
    <w:rsid w:val="68EE651C"/>
    <w:rsid w:val="68F42624"/>
    <w:rsid w:val="68FE74B6"/>
    <w:rsid w:val="690507DD"/>
    <w:rsid w:val="691C78D4"/>
    <w:rsid w:val="69211B8D"/>
    <w:rsid w:val="693B7B9E"/>
    <w:rsid w:val="694D38E6"/>
    <w:rsid w:val="6950453D"/>
    <w:rsid w:val="69556225"/>
    <w:rsid w:val="69586B2F"/>
    <w:rsid w:val="6965127B"/>
    <w:rsid w:val="69675C26"/>
    <w:rsid w:val="696C085C"/>
    <w:rsid w:val="69722A52"/>
    <w:rsid w:val="697275E7"/>
    <w:rsid w:val="697748E8"/>
    <w:rsid w:val="697A5BAD"/>
    <w:rsid w:val="69831701"/>
    <w:rsid w:val="699561D6"/>
    <w:rsid w:val="69A00505"/>
    <w:rsid w:val="69BA3507"/>
    <w:rsid w:val="69D33BE7"/>
    <w:rsid w:val="69D85641"/>
    <w:rsid w:val="69DB153D"/>
    <w:rsid w:val="69F1325F"/>
    <w:rsid w:val="69FA0D2E"/>
    <w:rsid w:val="6A072332"/>
    <w:rsid w:val="6A136F29"/>
    <w:rsid w:val="6A144968"/>
    <w:rsid w:val="6A1567FD"/>
    <w:rsid w:val="6A21446A"/>
    <w:rsid w:val="6A323655"/>
    <w:rsid w:val="6A395153"/>
    <w:rsid w:val="6A484E25"/>
    <w:rsid w:val="6A4A2421"/>
    <w:rsid w:val="6A503012"/>
    <w:rsid w:val="6A507102"/>
    <w:rsid w:val="6A5C61DA"/>
    <w:rsid w:val="6A5D789B"/>
    <w:rsid w:val="6A5F5FDF"/>
    <w:rsid w:val="6A634AFB"/>
    <w:rsid w:val="6A8A76F3"/>
    <w:rsid w:val="6A9F1EAC"/>
    <w:rsid w:val="6AAA7194"/>
    <w:rsid w:val="6AB85185"/>
    <w:rsid w:val="6AC55D71"/>
    <w:rsid w:val="6AD351FE"/>
    <w:rsid w:val="6AE02F74"/>
    <w:rsid w:val="6AF23A29"/>
    <w:rsid w:val="6AF503DD"/>
    <w:rsid w:val="6B103532"/>
    <w:rsid w:val="6B1271E1"/>
    <w:rsid w:val="6B170353"/>
    <w:rsid w:val="6B1E7213"/>
    <w:rsid w:val="6B241A17"/>
    <w:rsid w:val="6B2668AF"/>
    <w:rsid w:val="6B2E7375"/>
    <w:rsid w:val="6B321631"/>
    <w:rsid w:val="6B3453A9"/>
    <w:rsid w:val="6B40753E"/>
    <w:rsid w:val="6B4078AA"/>
    <w:rsid w:val="6B43739A"/>
    <w:rsid w:val="6B466FEC"/>
    <w:rsid w:val="6B4A0729"/>
    <w:rsid w:val="6B4F21E3"/>
    <w:rsid w:val="6B4F3718"/>
    <w:rsid w:val="6B505123"/>
    <w:rsid w:val="6B551C67"/>
    <w:rsid w:val="6B6572EA"/>
    <w:rsid w:val="6B6A28D7"/>
    <w:rsid w:val="6B741C4A"/>
    <w:rsid w:val="6B741E23"/>
    <w:rsid w:val="6B764150"/>
    <w:rsid w:val="6B7B4D86"/>
    <w:rsid w:val="6B9B737D"/>
    <w:rsid w:val="6BA804F1"/>
    <w:rsid w:val="6BC80D8A"/>
    <w:rsid w:val="6BCF1020"/>
    <w:rsid w:val="6BD61FBC"/>
    <w:rsid w:val="6BE7485B"/>
    <w:rsid w:val="6BF05AE5"/>
    <w:rsid w:val="6BFA6462"/>
    <w:rsid w:val="6C274D53"/>
    <w:rsid w:val="6C2902ED"/>
    <w:rsid w:val="6C2C44D4"/>
    <w:rsid w:val="6C2C6080"/>
    <w:rsid w:val="6C2E1DF8"/>
    <w:rsid w:val="6C506160"/>
    <w:rsid w:val="6C507FC1"/>
    <w:rsid w:val="6C537AB1"/>
    <w:rsid w:val="6C5A3EF1"/>
    <w:rsid w:val="6C5C07A8"/>
    <w:rsid w:val="6C5D448C"/>
    <w:rsid w:val="6C5F365B"/>
    <w:rsid w:val="6C622CF6"/>
    <w:rsid w:val="6C6770B8"/>
    <w:rsid w:val="6C791226"/>
    <w:rsid w:val="6C911CA4"/>
    <w:rsid w:val="6C94636D"/>
    <w:rsid w:val="6CAD7BA2"/>
    <w:rsid w:val="6CB62CE8"/>
    <w:rsid w:val="6CBC5656"/>
    <w:rsid w:val="6CD7423E"/>
    <w:rsid w:val="6CD75FEC"/>
    <w:rsid w:val="6CFC5A53"/>
    <w:rsid w:val="6D057490"/>
    <w:rsid w:val="6D1502AB"/>
    <w:rsid w:val="6D16193B"/>
    <w:rsid w:val="6D194DE2"/>
    <w:rsid w:val="6D287285"/>
    <w:rsid w:val="6D292D2C"/>
    <w:rsid w:val="6D2C7385"/>
    <w:rsid w:val="6D2C7E90"/>
    <w:rsid w:val="6D2F5E28"/>
    <w:rsid w:val="6D372470"/>
    <w:rsid w:val="6D463172"/>
    <w:rsid w:val="6D5238C5"/>
    <w:rsid w:val="6D560302"/>
    <w:rsid w:val="6D587280"/>
    <w:rsid w:val="6D5C604F"/>
    <w:rsid w:val="6D747729"/>
    <w:rsid w:val="6D8E6FF3"/>
    <w:rsid w:val="6DA02882"/>
    <w:rsid w:val="6DA04747"/>
    <w:rsid w:val="6DA06B15"/>
    <w:rsid w:val="6DB30AEE"/>
    <w:rsid w:val="6DC5053A"/>
    <w:rsid w:val="6DC9627D"/>
    <w:rsid w:val="6DCA0612"/>
    <w:rsid w:val="6DCF4F15"/>
    <w:rsid w:val="6DDB2FD8"/>
    <w:rsid w:val="6DE05374"/>
    <w:rsid w:val="6DE34933"/>
    <w:rsid w:val="6DE64DD5"/>
    <w:rsid w:val="6DE74955"/>
    <w:rsid w:val="6DF130DE"/>
    <w:rsid w:val="6E11552E"/>
    <w:rsid w:val="6E155830"/>
    <w:rsid w:val="6E16427D"/>
    <w:rsid w:val="6E2579F9"/>
    <w:rsid w:val="6E293371"/>
    <w:rsid w:val="6E3557E7"/>
    <w:rsid w:val="6E4B7F5A"/>
    <w:rsid w:val="6E4D42D4"/>
    <w:rsid w:val="6E5A6ED5"/>
    <w:rsid w:val="6E5C256C"/>
    <w:rsid w:val="6E5D69C5"/>
    <w:rsid w:val="6E655989"/>
    <w:rsid w:val="6E6968B0"/>
    <w:rsid w:val="6E6B7334"/>
    <w:rsid w:val="6E7D7067"/>
    <w:rsid w:val="6E9248C1"/>
    <w:rsid w:val="6E9C0F6F"/>
    <w:rsid w:val="6EAB7730"/>
    <w:rsid w:val="6EAC2F8A"/>
    <w:rsid w:val="6EB060B1"/>
    <w:rsid w:val="6EB37A18"/>
    <w:rsid w:val="6EDA1DC4"/>
    <w:rsid w:val="6EE04542"/>
    <w:rsid w:val="6EE36ECA"/>
    <w:rsid w:val="6EE82732"/>
    <w:rsid w:val="6F0912E7"/>
    <w:rsid w:val="6F1057E5"/>
    <w:rsid w:val="6F216B2B"/>
    <w:rsid w:val="6F264707"/>
    <w:rsid w:val="6F280D81"/>
    <w:rsid w:val="6F2E0ABC"/>
    <w:rsid w:val="6F322CFB"/>
    <w:rsid w:val="6F392F8E"/>
    <w:rsid w:val="6F4214EB"/>
    <w:rsid w:val="6F435BBB"/>
    <w:rsid w:val="6F533586"/>
    <w:rsid w:val="6F5C6481"/>
    <w:rsid w:val="6F5E2459"/>
    <w:rsid w:val="6F60051B"/>
    <w:rsid w:val="6F8E3870"/>
    <w:rsid w:val="6F9925DA"/>
    <w:rsid w:val="6F9A672B"/>
    <w:rsid w:val="6F9B1553"/>
    <w:rsid w:val="6FA87D63"/>
    <w:rsid w:val="6FBC59BA"/>
    <w:rsid w:val="6FBC771B"/>
    <w:rsid w:val="6FBD5461"/>
    <w:rsid w:val="6FE70C3C"/>
    <w:rsid w:val="70020A96"/>
    <w:rsid w:val="700C5830"/>
    <w:rsid w:val="700C682E"/>
    <w:rsid w:val="703059F1"/>
    <w:rsid w:val="7036571F"/>
    <w:rsid w:val="70510E31"/>
    <w:rsid w:val="70567A76"/>
    <w:rsid w:val="706001A1"/>
    <w:rsid w:val="70756E57"/>
    <w:rsid w:val="70790844"/>
    <w:rsid w:val="707D6950"/>
    <w:rsid w:val="70A408C8"/>
    <w:rsid w:val="70BC074C"/>
    <w:rsid w:val="70E17439"/>
    <w:rsid w:val="70EB02B8"/>
    <w:rsid w:val="70EE5FFA"/>
    <w:rsid w:val="70F76C5D"/>
    <w:rsid w:val="71080E6A"/>
    <w:rsid w:val="710D5D74"/>
    <w:rsid w:val="71193077"/>
    <w:rsid w:val="712D08D1"/>
    <w:rsid w:val="712E63F7"/>
    <w:rsid w:val="714E7E00"/>
    <w:rsid w:val="715427AA"/>
    <w:rsid w:val="715E4F2E"/>
    <w:rsid w:val="71683239"/>
    <w:rsid w:val="716F241F"/>
    <w:rsid w:val="717354F7"/>
    <w:rsid w:val="718970F8"/>
    <w:rsid w:val="718A3126"/>
    <w:rsid w:val="718B7637"/>
    <w:rsid w:val="71950F82"/>
    <w:rsid w:val="719E17CE"/>
    <w:rsid w:val="71A768D5"/>
    <w:rsid w:val="71AA0FA5"/>
    <w:rsid w:val="71C717E1"/>
    <w:rsid w:val="71D2088C"/>
    <w:rsid w:val="71D670BC"/>
    <w:rsid w:val="71E57C5C"/>
    <w:rsid w:val="72020FBC"/>
    <w:rsid w:val="721D26F3"/>
    <w:rsid w:val="722F29B2"/>
    <w:rsid w:val="724B4B7D"/>
    <w:rsid w:val="7252339E"/>
    <w:rsid w:val="725A0CA1"/>
    <w:rsid w:val="726001B4"/>
    <w:rsid w:val="72623E6B"/>
    <w:rsid w:val="726D70E7"/>
    <w:rsid w:val="726F60CF"/>
    <w:rsid w:val="72A9549D"/>
    <w:rsid w:val="72AB5F51"/>
    <w:rsid w:val="72BC0FCB"/>
    <w:rsid w:val="72C17C56"/>
    <w:rsid w:val="72CB03A1"/>
    <w:rsid w:val="72EA161E"/>
    <w:rsid w:val="72F575F5"/>
    <w:rsid w:val="72FC49FE"/>
    <w:rsid w:val="730218E9"/>
    <w:rsid w:val="730333A6"/>
    <w:rsid w:val="73124F7F"/>
    <w:rsid w:val="731735E6"/>
    <w:rsid w:val="731955B0"/>
    <w:rsid w:val="73331EF0"/>
    <w:rsid w:val="733676C5"/>
    <w:rsid w:val="733C304D"/>
    <w:rsid w:val="733F2B3D"/>
    <w:rsid w:val="734A7717"/>
    <w:rsid w:val="735A34D3"/>
    <w:rsid w:val="73637428"/>
    <w:rsid w:val="7372081D"/>
    <w:rsid w:val="737C2478"/>
    <w:rsid w:val="73880093"/>
    <w:rsid w:val="7399250F"/>
    <w:rsid w:val="73A330CC"/>
    <w:rsid w:val="73B71742"/>
    <w:rsid w:val="73BB35B0"/>
    <w:rsid w:val="73C60B68"/>
    <w:rsid w:val="73C85546"/>
    <w:rsid w:val="73CB617F"/>
    <w:rsid w:val="73D8585A"/>
    <w:rsid w:val="73DD691A"/>
    <w:rsid w:val="740022CC"/>
    <w:rsid w:val="740578E3"/>
    <w:rsid w:val="74093265"/>
    <w:rsid w:val="741C3C5E"/>
    <w:rsid w:val="742B2139"/>
    <w:rsid w:val="742F02EA"/>
    <w:rsid w:val="745E5245"/>
    <w:rsid w:val="74730CF0"/>
    <w:rsid w:val="74872CA4"/>
    <w:rsid w:val="748C590E"/>
    <w:rsid w:val="74956EB9"/>
    <w:rsid w:val="749723B6"/>
    <w:rsid w:val="74A115CC"/>
    <w:rsid w:val="74A50CBE"/>
    <w:rsid w:val="74B80DF9"/>
    <w:rsid w:val="74BB61F3"/>
    <w:rsid w:val="74CA3550"/>
    <w:rsid w:val="74D4757B"/>
    <w:rsid w:val="74E219D2"/>
    <w:rsid w:val="75034E09"/>
    <w:rsid w:val="75214747"/>
    <w:rsid w:val="75264044"/>
    <w:rsid w:val="753978F2"/>
    <w:rsid w:val="754B57C9"/>
    <w:rsid w:val="75776643"/>
    <w:rsid w:val="75784DC3"/>
    <w:rsid w:val="757F758C"/>
    <w:rsid w:val="75943576"/>
    <w:rsid w:val="75951940"/>
    <w:rsid w:val="75A31161"/>
    <w:rsid w:val="75AD3D8E"/>
    <w:rsid w:val="75CA2B92"/>
    <w:rsid w:val="75F47B98"/>
    <w:rsid w:val="75F714AD"/>
    <w:rsid w:val="760342F6"/>
    <w:rsid w:val="76076F09"/>
    <w:rsid w:val="76116A13"/>
    <w:rsid w:val="762A6F15"/>
    <w:rsid w:val="763F27B5"/>
    <w:rsid w:val="764C7A4B"/>
    <w:rsid w:val="764F7400"/>
    <w:rsid w:val="76537DA0"/>
    <w:rsid w:val="766034F6"/>
    <w:rsid w:val="767B3317"/>
    <w:rsid w:val="768A2321"/>
    <w:rsid w:val="768E0063"/>
    <w:rsid w:val="76975769"/>
    <w:rsid w:val="76A64E36"/>
    <w:rsid w:val="76A97802"/>
    <w:rsid w:val="76C21ABB"/>
    <w:rsid w:val="76C435B5"/>
    <w:rsid w:val="76CC752B"/>
    <w:rsid w:val="76CF0104"/>
    <w:rsid w:val="76D03B72"/>
    <w:rsid w:val="76E95965"/>
    <w:rsid w:val="76EC08E6"/>
    <w:rsid w:val="76F0479D"/>
    <w:rsid w:val="76FB0C8A"/>
    <w:rsid w:val="77026379"/>
    <w:rsid w:val="77093CF3"/>
    <w:rsid w:val="771804DB"/>
    <w:rsid w:val="77185D9B"/>
    <w:rsid w:val="77286A7D"/>
    <w:rsid w:val="773B361B"/>
    <w:rsid w:val="77433A7A"/>
    <w:rsid w:val="774E2E0B"/>
    <w:rsid w:val="775D7A36"/>
    <w:rsid w:val="77903967"/>
    <w:rsid w:val="77906E40"/>
    <w:rsid w:val="779579DC"/>
    <w:rsid w:val="77974289"/>
    <w:rsid w:val="77A32211"/>
    <w:rsid w:val="77AA0817"/>
    <w:rsid w:val="77AE203F"/>
    <w:rsid w:val="77B27D81"/>
    <w:rsid w:val="77BA49C7"/>
    <w:rsid w:val="77C155D2"/>
    <w:rsid w:val="77C8358B"/>
    <w:rsid w:val="77CD6969"/>
    <w:rsid w:val="77DC095A"/>
    <w:rsid w:val="77E719B3"/>
    <w:rsid w:val="77E85551"/>
    <w:rsid w:val="77F404C6"/>
    <w:rsid w:val="77F549FE"/>
    <w:rsid w:val="780F50C8"/>
    <w:rsid w:val="78213880"/>
    <w:rsid w:val="782557C0"/>
    <w:rsid w:val="782E1682"/>
    <w:rsid w:val="782F3570"/>
    <w:rsid w:val="783B1B25"/>
    <w:rsid w:val="783C589D"/>
    <w:rsid w:val="784C1F84"/>
    <w:rsid w:val="78523232"/>
    <w:rsid w:val="787212BF"/>
    <w:rsid w:val="78791C6C"/>
    <w:rsid w:val="7887669B"/>
    <w:rsid w:val="78916D6B"/>
    <w:rsid w:val="789D458E"/>
    <w:rsid w:val="78B92562"/>
    <w:rsid w:val="78CE53CD"/>
    <w:rsid w:val="78D36201"/>
    <w:rsid w:val="78DC7A8A"/>
    <w:rsid w:val="78E21FA1"/>
    <w:rsid w:val="78E47822"/>
    <w:rsid w:val="78F11CFB"/>
    <w:rsid w:val="78F34ECC"/>
    <w:rsid w:val="78F85C68"/>
    <w:rsid w:val="78FB5A1D"/>
    <w:rsid w:val="79164340"/>
    <w:rsid w:val="7924425A"/>
    <w:rsid w:val="79277E07"/>
    <w:rsid w:val="79305402"/>
    <w:rsid w:val="79382508"/>
    <w:rsid w:val="79427FFF"/>
    <w:rsid w:val="794A1228"/>
    <w:rsid w:val="795D3561"/>
    <w:rsid w:val="79646E59"/>
    <w:rsid w:val="796908FB"/>
    <w:rsid w:val="79726150"/>
    <w:rsid w:val="798017B9"/>
    <w:rsid w:val="79A67237"/>
    <w:rsid w:val="79A951B4"/>
    <w:rsid w:val="79B05039"/>
    <w:rsid w:val="79D31B49"/>
    <w:rsid w:val="79FA77BE"/>
    <w:rsid w:val="7A0D129F"/>
    <w:rsid w:val="7A0F3269"/>
    <w:rsid w:val="7A140880"/>
    <w:rsid w:val="7A150E27"/>
    <w:rsid w:val="7A1563A6"/>
    <w:rsid w:val="7A276D0A"/>
    <w:rsid w:val="7A362009"/>
    <w:rsid w:val="7A41719B"/>
    <w:rsid w:val="7A453D6E"/>
    <w:rsid w:val="7A4A42A1"/>
    <w:rsid w:val="7A504295"/>
    <w:rsid w:val="7A546F18"/>
    <w:rsid w:val="7A5E7D4D"/>
    <w:rsid w:val="7A657A29"/>
    <w:rsid w:val="7A6D5C02"/>
    <w:rsid w:val="7A6F3B2A"/>
    <w:rsid w:val="7A8A6D94"/>
    <w:rsid w:val="7A8F21F8"/>
    <w:rsid w:val="7A9B556C"/>
    <w:rsid w:val="7AA64AEE"/>
    <w:rsid w:val="7AB43F76"/>
    <w:rsid w:val="7AB600E4"/>
    <w:rsid w:val="7AC046A0"/>
    <w:rsid w:val="7AC34054"/>
    <w:rsid w:val="7ADA3941"/>
    <w:rsid w:val="7ADD4431"/>
    <w:rsid w:val="7AF24EBB"/>
    <w:rsid w:val="7B0F1047"/>
    <w:rsid w:val="7B1448AF"/>
    <w:rsid w:val="7B191C40"/>
    <w:rsid w:val="7B214C63"/>
    <w:rsid w:val="7B2D42DD"/>
    <w:rsid w:val="7B362A78"/>
    <w:rsid w:val="7B3D5BB4"/>
    <w:rsid w:val="7B3F1056"/>
    <w:rsid w:val="7B462BCA"/>
    <w:rsid w:val="7B4B3C35"/>
    <w:rsid w:val="7B506E45"/>
    <w:rsid w:val="7B5A57DB"/>
    <w:rsid w:val="7B5D104C"/>
    <w:rsid w:val="7B6171A7"/>
    <w:rsid w:val="7B6969A9"/>
    <w:rsid w:val="7B6E142E"/>
    <w:rsid w:val="7B701B04"/>
    <w:rsid w:val="7B7D30DF"/>
    <w:rsid w:val="7B8060CD"/>
    <w:rsid w:val="7B974D78"/>
    <w:rsid w:val="7BB10350"/>
    <w:rsid w:val="7BD02BBA"/>
    <w:rsid w:val="7BD17F40"/>
    <w:rsid w:val="7BD76009"/>
    <w:rsid w:val="7BE11479"/>
    <w:rsid w:val="7C1508DF"/>
    <w:rsid w:val="7C211032"/>
    <w:rsid w:val="7C244DCF"/>
    <w:rsid w:val="7C2E6C17"/>
    <w:rsid w:val="7C354ADD"/>
    <w:rsid w:val="7C3F4BBF"/>
    <w:rsid w:val="7C42756F"/>
    <w:rsid w:val="7C5B571D"/>
    <w:rsid w:val="7C5C02BC"/>
    <w:rsid w:val="7C635AEE"/>
    <w:rsid w:val="7C66738C"/>
    <w:rsid w:val="7C683105"/>
    <w:rsid w:val="7C8C4B5A"/>
    <w:rsid w:val="7C955B3B"/>
    <w:rsid w:val="7C9C4E59"/>
    <w:rsid w:val="7CB579CC"/>
    <w:rsid w:val="7CBD0F91"/>
    <w:rsid w:val="7CCB6143"/>
    <w:rsid w:val="7CE02C9B"/>
    <w:rsid w:val="7D012C11"/>
    <w:rsid w:val="7D0149B0"/>
    <w:rsid w:val="7D0A5E91"/>
    <w:rsid w:val="7D0D68CC"/>
    <w:rsid w:val="7D106264"/>
    <w:rsid w:val="7D1738E7"/>
    <w:rsid w:val="7D1E420E"/>
    <w:rsid w:val="7D5645DA"/>
    <w:rsid w:val="7D6E0458"/>
    <w:rsid w:val="7D7A7D07"/>
    <w:rsid w:val="7D831D6A"/>
    <w:rsid w:val="7D853AE4"/>
    <w:rsid w:val="7D8F77CC"/>
    <w:rsid w:val="7D93600A"/>
    <w:rsid w:val="7D972EFD"/>
    <w:rsid w:val="7DA278F7"/>
    <w:rsid w:val="7DA35F28"/>
    <w:rsid w:val="7DA912DF"/>
    <w:rsid w:val="7DBD122E"/>
    <w:rsid w:val="7DBD6729"/>
    <w:rsid w:val="7DBF4FA6"/>
    <w:rsid w:val="7DC91981"/>
    <w:rsid w:val="7DC9372F"/>
    <w:rsid w:val="7DCD16D8"/>
    <w:rsid w:val="7DD32800"/>
    <w:rsid w:val="7DD3597A"/>
    <w:rsid w:val="7DD520D4"/>
    <w:rsid w:val="7DE032BE"/>
    <w:rsid w:val="7E0230E5"/>
    <w:rsid w:val="7E0F5CFA"/>
    <w:rsid w:val="7E185273"/>
    <w:rsid w:val="7E1B0EC8"/>
    <w:rsid w:val="7E20414C"/>
    <w:rsid w:val="7E331D78"/>
    <w:rsid w:val="7E3C5CA0"/>
    <w:rsid w:val="7E470AF8"/>
    <w:rsid w:val="7E4B683A"/>
    <w:rsid w:val="7E4F3030"/>
    <w:rsid w:val="7E582D05"/>
    <w:rsid w:val="7E584AB3"/>
    <w:rsid w:val="7E5B37F7"/>
    <w:rsid w:val="7E773077"/>
    <w:rsid w:val="7E795155"/>
    <w:rsid w:val="7E8C747A"/>
    <w:rsid w:val="7E8D29AE"/>
    <w:rsid w:val="7E8D6E52"/>
    <w:rsid w:val="7E916D01"/>
    <w:rsid w:val="7E97144F"/>
    <w:rsid w:val="7E9E4241"/>
    <w:rsid w:val="7EA44A8A"/>
    <w:rsid w:val="7ECD35DF"/>
    <w:rsid w:val="7ED350D7"/>
    <w:rsid w:val="7ED50BC3"/>
    <w:rsid w:val="7ED815C5"/>
    <w:rsid w:val="7EE01070"/>
    <w:rsid w:val="7EE30820"/>
    <w:rsid w:val="7EE32840"/>
    <w:rsid w:val="7EEA25C1"/>
    <w:rsid w:val="7F01514B"/>
    <w:rsid w:val="7F0F1E6E"/>
    <w:rsid w:val="7F19437B"/>
    <w:rsid w:val="7F1C410C"/>
    <w:rsid w:val="7F225A16"/>
    <w:rsid w:val="7F34107C"/>
    <w:rsid w:val="7F565AFB"/>
    <w:rsid w:val="7F5D76CD"/>
    <w:rsid w:val="7F791185"/>
    <w:rsid w:val="7F863237"/>
    <w:rsid w:val="7F914720"/>
    <w:rsid w:val="7FAB54CF"/>
    <w:rsid w:val="7FB37EF6"/>
    <w:rsid w:val="7FC26D5F"/>
    <w:rsid w:val="7FCA4890"/>
    <w:rsid w:val="7FD155BD"/>
    <w:rsid w:val="7FDC4888"/>
    <w:rsid w:val="7FF0247F"/>
    <w:rsid w:val="7FFC1D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1"/>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10"/>
    <w:link w:val="65"/>
    <w:qFormat/>
    <w:uiPriority w:val="0"/>
    <w:pPr>
      <w:keepNext/>
      <w:keepLines/>
      <w:numPr>
        <w:ilvl w:val="6"/>
        <w:numId w:val="1"/>
      </w:numPr>
      <w:spacing w:before="240" w:after="64" w:line="320" w:lineRule="auto"/>
      <w:outlineLvl w:val="6"/>
    </w:pPr>
    <w:rPr>
      <w:b/>
      <w:sz w:val="24"/>
    </w:rPr>
  </w:style>
  <w:style w:type="paragraph" w:styleId="11">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paragraph" w:styleId="10">
    <w:name w:val="Normal Indent"/>
    <w:basedOn w:val="1"/>
    <w:next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eastAsia="宋体" w:cs="Times New Roman"/>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w:basedOn w:val="1"/>
    <w:link w:val="70"/>
    <w:qFormat/>
    <w:uiPriority w:val="0"/>
    <w:pPr>
      <w:spacing w:line="380" w:lineRule="exact"/>
    </w:pPr>
    <w:rPr>
      <w:kern w:val="0"/>
      <w:sz w:val="24"/>
    </w:rPr>
  </w:style>
  <w:style w:type="paragraph" w:styleId="19">
    <w:name w:val="Body Text Indent"/>
    <w:basedOn w:val="1"/>
    <w:link w:val="71"/>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39"/>
    <w:pPr>
      <w:ind w:left="840" w:leftChars="400"/>
    </w:pPr>
    <w:rPr>
      <w:rFonts w:ascii="Calibri" w:hAnsi="Calibri" w:eastAsia="宋体" w:cs="Times New Roman"/>
      <w:szCs w:val="22"/>
    </w:rPr>
  </w:style>
  <w:style w:type="paragraph" w:styleId="24">
    <w:name w:val="Plain Text"/>
    <w:basedOn w:val="1"/>
    <w:next w:val="1"/>
    <w:link w:val="72"/>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3"/>
    <w:qFormat/>
    <w:uiPriority w:val="0"/>
    <w:pPr>
      <w:ind w:left="100" w:leftChars="2500"/>
    </w:pPr>
    <w:rPr>
      <w:rFonts w:ascii="宋体" w:hAnsi="Courier New"/>
      <w:kern w:val="0"/>
      <w:sz w:val="20"/>
      <w:szCs w:val="21"/>
    </w:rPr>
  </w:style>
  <w:style w:type="paragraph" w:styleId="27">
    <w:name w:val="Body Text Indent 2"/>
    <w:basedOn w:val="1"/>
    <w:link w:val="74"/>
    <w:qFormat/>
    <w:uiPriority w:val="0"/>
    <w:pPr>
      <w:ind w:firstLine="630"/>
    </w:pPr>
    <w:rPr>
      <w:kern w:val="0"/>
      <w:sz w:val="32"/>
      <w:szCs w:val="20"/>
    </w:rPr>
  </w:style>
  <w:style w:type="paragraph" w:styleId="28">
    <w:name w:val="endnote text"/>
    <w:basedOn w:val="1"/>
    <w:link w:val="75"/>
    <w:unhideWhenUsed/>
    <w:qFormat/>
    <w:uiPriority w:val="99"/>
    <w:pPr>
      <w:snapToGrid w:val="0"/>
      <w:jc w:val="left"/>
    </w:pPr>
  </w:style>
  <w:style w:type="paragraph" w:styleId="29">
    <w:name w:val="Balloon Text"/>
    <w:basedOn w:val="1"/>
    <w:link w:val="76"/>
    <w:semiHidden/>
    <w:qFormat/>
    <w:uiPriority w:val="0"/>
    <w:rPr>
      <w:kern w:val="0"/>
      <w:sz w:val="18"/>
      <w:szCs w:val="18"/>
    </w:rPr>
  </w:style>
  <w:style w:type="paragraph" w:styleId="30">
    <w:name w:val="footer"/>
    <w:basedOn w:val="1"/>
    <w:link w:val="77"/>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Body Text Indent 3"/>
    <w:basedOn w:val="1"/>
    <w:link w:val="8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eastAsia="宋体" w:cs="Times New Roman"/>
      <w:szCs w:val="22"/>
    </w:rPr>
  </w:style>
  <w:style w:type="paragraph" w:styleId="41">
    <w:name w:val="Body Text 2"/>
    <w:basedOn w:val="1"/>
    <w:link w:val="81"/>
    <w:qFormat/>
    <w:uiPriority w:val="0"/>
    <w:pPr>
      <w:spacing w:after="120" w:line="480" w:lineRule="auto"/>
    </w:pPr>
    <w:rPr>
      <w:kern w:val="0"/>
      <w:sz w:val="20"/>
    </w:rPr>
  </w:style>
  <w:style w:type="paragraph" w:styleId="4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2"/>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83"/>
    <w:unhideWhenUsed/>
    <w:qFormat/>
    <w:uiPriority w:val="99"/>
    <w:rPr>
      <w:b/>
      <w:bCs/>
    </w:rPr>
  </w:style>
  <w:style w:type="paragraph" w:styleId="47">
    <w:name w:val="Body Text First Indent"/>
    <w:basedOn w:val="18"/>
    <w:next w:val="17"/>
    <w:qFormat/>
    <w:uiPriority w:val="0"/>
    <w:pPr>
      <w:widowControl/>
      <w:spacing w:after="160"/>
      <w:ind w:firstLine="420" w:firstLineChars="100"/>
      <w:jc w:val="left"/>
    </w:pPr>
    <w:rPr>
      <w:rFonts w:ascii="仿宋体" w:eastAsia="仿宋体"/>
      <w:sz w:val="20"/>
      <w:lang w:eastAsia="en-US"/>
    </w:rPr>
  </w:style>
  <w:style w:type="paragraph" w:styleId="48">
    <w:name w:val="Body Text First Indent 2"/>
    <w:basedOn w:val="1"/>
    <w:qFormat/>
    <w:uiPriority w:val="0"/>
    <w:pPr>
      <w:widowControl w:val="0"/>
      <w:ind w:firstLine="420" w:firstLineChars="200"/>
      <w:jc w:val="both"/>
    </w:pPr>
    <w:rPr>
      <w:rFonts w:ascii="Calibri" w:hAnsi="Calibri"/>
      <w:kern w:val="2"/>
    </w:r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character" w:styleId="59">
    <w:name w:val="HTML Sample"/>
    <w:unhideWhenUsed/>
    <w:qFormat/>
    <w:uiPriority w:val="99"/>
    <w:rPr>
      <w:rFonts w:ascii="Courier New" w:hAnsi="Courier New"/>
    </w:rPr>
  </w:style>
  <w:style w:type="character" w:customStyle="1" w:styleId="60">
    <w:name w:val="标题 1 Char"/>
    <w:link w:val="3"/>
    <w:qFormat/>
    <w:uiPriority w:val="0"/>
    <w:rPr>
      <w:rFonts w:ascii="Times New Roman" w:hAnsi="Times New Roman" w:eastAsia="宋体" w:cs="Times New Roman"/>
      <w:b/>
      <w:bCs/>
      <w:kern w:val="44"/>
      <w:sz w:val="44"/>
      <w:szCs w:val="44"/>
    </w:rPr>
  </w:style>
  <w:style w:type="character" w:customStyle="1" w:styleId="61">
    <w:name w:val="标题 2 Char"/>
    <w:link w:val="4"/>
    <w:qFormat/>
    <w:uiPriority w:val="0"/>
    <w:rPr>
      <w:rFonts w:ascii="Arial" w:hAnsi="Arial" w:eastAsia="黑体" w:cs="Times New Roman"/>
      <w:b/>
      <w:bCs/>
      <w:sz w:val="32"/>
      <w:szCs w:val="32"/>
    </w:rPr>
  </w:style>
  <w:style w:type="character" w:customStyle="1" w:styleId="62">
    <w:name w:val="标题 3 Char"/>
    <w:link w:val="5"/>
    <w:qFormat/>
    <w:uiPriority w:val="0"/>
    <w:rPr>
      <w:rFonts w:ascii="Times New Roman" w:hAnsi="Times New Roman" w:eastAsia="宋体" w:cs="Times New Roman"/>
      <w:b/>
      <w:bCs/>
      <w:sz w:val="32"/>
      <w:szCs w:val="32"/>
    </w:rPr>
  </w:style>
  <w:style w:type="character" w:customStyle="1" w:styleId="63">
    <w:name w:val="标题 5 Char"/>
    <w:link w:val="7"/>
    <w:qFormat/>
    <w:uiPriority w:val="0"/>
    <w:rPr>
      <w:rFonts w:ascii="Times New Roman" w:hAnsi="Times New Roman"/>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rFonts w:ascii="Times New Roman" w:hAnsi="Times New Roman"/>
      <w:b/>
      <w:kern w:val="2"/>
      <w:sz w:val="24"/>
      <w:szCs w:val="24"/>
    </w:rPr>
  </w:style>
  <w:style w:type="character" w:customStyle="1" w:styleId="66">
    <w:name w:val="标题 8 Char"/>
    <w:link w:val="11"/>
    <w:qFormat/>
    <w:uiPriority w:val="0"/>
    <w:rPr>
      <w:rFonts w:ascii="Arial" w:hAnsi="Arial" w:eastAsia="黑体"/>
      <w:kern w:val="2"/>
      <w:sz w:val="24"/>
      <w:szCs w:val="24"/>
    </w:rPr>
  </w:style>
  <w:style w:type="character" w:customStyle="1" w:styleId="67">
    <w:name w:val="标题 9 Char"/>
    <w:link w:val="12"/>
    <w:qFormat/>
    <w:uiPriority w:val="0"/>
    <w:rPr>
      <w:rFonts w:ascii="Arial" w:hAnsi="Arial" w:eastAsia="黑体"/>
      <w:kern w:val="2"/>
      <w:sz w:val="21"/>
      <w:szCs w:val="24"/>
    </w:rPr>
  </w:style>
  <w:style w:type="character" w:customStyle="1" w:styleId="68">
    <w:name w:val="批注文字 Char"/>
    <w:link w:val="16"/>
    <w:qFormat/>
    <w:uiPriority w:val="0"/>
    <w:rPr>
      <w:rFonts w:ascii="Times New Roman" w:hAnsi="Times New Roman"/>
      <w:kern w:val="2"/>
      <w:sz w:val="21"/>
      <w:szCs w:val="24"/>
    </w:rPr>
  </w:style>
  <w:style w:type="character" w:customStyle="1" w:styleId="69">
    <w:name w:val="正文文本 3 Char"/>
    <w:link w:val="17"/>
    <w:qFormat/>
    <w:uiPriority w:val="0"/>
    <w:rPr>
      <w:rFonts w:ascii="Times New Roman" w:hAnsi="Times New Roman" w:eastAsia="宋体" w:cs="Times New Roman"/>
      <w:b/>
      <w:bCs/>
      <w:sz w:val="24"/>
      <w:szCs w:val="24"/>
    </w:rPr>
  </w:style>
  <w:style w:type="character" w:customStyle="1" w:styleId="70">
    <w:name w:val="正文文本 Char"/>
    <w:link w:val="18"/>
    <w:qFormat/>
    <w:uiPriority w:val="0"/>
    <w:rPr>
      <w:rFonts w:ascii="Times New Roman" w:hAnsi="Times New Roman" w:eastAsia="宋体" w:cs="Times New Roman"/>
      <w:sz w:val="24"/>
      <w:szCs w:val="24"/>
    </w:rPr>
  </w:style>
  <w:style w:type="character" w:customStyle="1" w:styleId="71">
    <w:name w:val="正文文本缩进 Char"/>
    <w:link w:val="19"/>
    <w:qFormat/>
    <w:uiPriority w:val="0"/>
    <w:rPr>
      <w:rFonts w:ascii="仿宋_GB2312" w:hAnsi="Times New Roman" w:eastAsia="仿宋_GB2312" w:cs="Times New Roman"/>
      <w:sz w:val="32"/>
      <w:szCs w:val="20"/>
    </w:rPr>
  </w:style>
  <w:style w:type="character" w:customStyle="1" w:styleId="72">
    <w:name w:val="纯文本 Char"/>
    <w:link w:val="24"/>
    <w:qFormat/>
    <w:uiPriority w:val="0"/>
    <w:rPr>
      <w:rFonts w:ascii="宋体" w:hAnsi="Courier New" w:eastAsia="宋体" w:cs="Courier New"/>
      <w:szCs w:val="21"/>
    </w:rPr>
  </w:style>
  <w:style w:type="character" w:customStyle="1" w:styleId="73">
    <w:name w:val="日期 Char"/>
    <w:link w:val="26"/>
    <w:qFormat/>
    <w:uiPriority w:val="0"/>
    <w:rPr>
      <w:rFonts w:ascii="宋体" w:hAnsi="Courier New" w:eastAsia="宋体" w:cs="Courier New"/>
      <w:szCs w:val="21"/>
    </w:rPr>
  </w:style>
  <w:style w:type="character" w:customStyle="1" w:styleId="74">
    <w:name w:val="正文文本缩进 2 Char"/>
    <w:link w:val="27"/>
    <w:qFormat/>
    <w:uiPriority w:val="0"/>
    <w:rPr>
      <w:rFonts w:ascii="Times New Roman" w:hAnsi="Times New Roman" w:eastAsia="宋体" w:cs="Times New Roman"/>
      <w:sz w:val="32"/>
      <w:szCs w:val="20"/>
    </w:rPr>
  </w:style>
  <w:style w:type="character" w:customStyle="1" w:styleId="75">
    <w:name w:val="尾注文本 Char"/>
    <w:link w:val="28"/>
    <w:semiHidden/>
    <w:qFormat/>
    <w:uiPriority w:val="99"/>
    <w:rPr>
      <w:rFonts w:ascii="Times New Roman" w:hAnsi="Times New Roman"/>
      <w:kern w:val="2"/>
      <w:sz w:val="21"/>
      <w:szCs w:val="24"/>
    </w:rPr>
  </w:style>
  <w:style w:type="character" w:customStyle="1" w:styleId="76">
    <w:name w:val="批注框文本 Char"/>
    <w:link w:val="29"/>
    <w:semiHidden/>
    <w:qFormat/>
    <w:uiPriority w:val="0"/>
    <w:rPr>
      <w:rFonts w:ascii="Times New Roman" w:hAnsi="Times New Roman" w:eastAsia="宋体" w:cs="Times New Roman"/>
      <w:sz w:val="18"/>
      <w:szCs w:val="18"/>
    </w:rPr>
  </w:style>
  <w:style w:type="character" w:customStyle="1" w:styleId="77">
    <w:name w:val="页脚 Char"/>
    <w:link w:val="30"/>
    <w:qFormat/>
    <w:uiPriority w:val="99"/>
    <w:rPr>
      <w:sz w:val="18"/>
      <w:szCs w:val="18"/>
    </w:rPr>
  </w:style>
  <w:style w:type="character" w:customStyle="1" w:styleId="78">
    <w:name w:val="页眉 Char"/>
    <w:link w:val="32"/>
    <w:qFormat/>
    <w:uiPriority w:val="99"/>
    <w:rPr>
      <w:rFonts w:ascii="Times New Roman" w:hAnsi="Times New Roman"/>
      <w:kern w:val="2"/>
      <w:sz w:val="18"/>
      <w:szCs w:val="18"/>
    </w:rPr>
  </w:style>
  <w:style w:type="character" w:customStyle="1" w:styleId="79">
    <w:name w:val="脚注文本 Char"/>
    <w:link w:val="36"/>
    <w:semiHidden/>
    <w:qFormat/>
    <w:uiPriority w:val="99"/>
    <w:rPr>
      <w:rFonts w:ascii="Times New Roman" w:hAnsi="Times New Roman"/>
      <w:kern w:val="2"/>
      <w:sz w:val="18"/>
      <w:szCs w:val="18"/>
    </w:rPr>
  </w:style>
  <w:style w:type="character" w:customStyle="1" w:styleId="80">
    <w:name w:val="正文文本缩进 3 Char"/>
    <w:link w:val="38"/>
    <w:qFormat/>
    <w:uiPriority w:val="0"/>
    <w:rPr>
      <w:rFonts w:ascii="Times New Roman" w:hAnsi="Times New Roman" w:eastAsia="宋体" w:cs="Times New Roman"/>
      <w:sz w:val="16"/>
      <w:szCs w:val="16"/>
    </w:rPr>
  </w:style>
  <w:style w:type="character" w:customStyle="1" w:styleId="81">
    <w:name w:val="正文文本 2 Char"/>
    <w:link w:val="41"/>
    <w:qFormat/>
    <w:uiPriority w:val="0"/>
    <w:rPr>
      <w:rFonts w:ascii="Times New Roman" w:hAnsi="Times New Roman" w:eastAsia="宋体" w:cs="Times New Roman"/>
      <w:szCs w:val="24"/>
    </w:rPr>
  </w:style>
  <w:style w:type="character" w:customStyle="1" w:styleId="82">
    <w:name w:val="标题 Char"/>
    <w:link w:val="45"/>
    <w:qFormat/>
    <w:uiPriority w:val="10"/>
    <w:rPr>
      <w:rFonts w:ascii="Cambria" w:hAnsi="Cambria" w:cs="Times New Roman"/>
      <w:b/>
      <w:bCs/>
      <w:kern w:val="2"/>
      <w:sz w:val="32"/>
      <w:szCs w:val="32"/>
    </w:rPr>
  </w:style>
  <w:style w:type="character" w:customStyle="1" w:styleId="83">
    <w:name w:val="批注主题 Char"/>
    <w:link w:val="46"/>
    <w:semiHidden/>
    <w:qFormat/>
    <w:uiPriority w:val="99"/>
    <w:rPr>
      <w:rFonts w:ascii="Times New Roman" w:hAnsi="Times New Roman"/>
      <w:b/>
      <w:bCs/>
      <w:kern w:val="2"/>
      <w:sz w:val="21"/>
      <w:szCs w:val="24"/>
    </w:rPr>
  </w:style>
  <w:style w:type="paragraph" w:customStyle="1" w:styleId="84">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5">
    <w:name w:val="表格文字115"/>
    <w:basedOn w:val="1"/>
    <w:qFormat/>
    <w:uiPriority w:val="0"/>
    <w:pPr>
      <w:jc w:val="left"/>
    </w:pPr>
    <w:rPr>
      <w:bCs/>
      <w:spacing w:val="10"/>
      <w:kern w:val="0"/>
      <w:sz w:val="24"/>
    </w:rPr>
  </w:style>
  <w:style w:type="paragraph" w:customStyle="1" w:styleId="8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87">
    <w:name w:val="case31"/>
    <w:qFormat/>
    <w:uiPriority w:val="0"/>
    <w:rPr>
      <w:rFonts w:hint="default" w:ascii="_x000B__x000C_" w:hAnsi="_x000B__x000C_"/>
      <w:sz w:val="21"/>
      <w:szCs w:val="21"/>
    </w:rPr>
  </w:style>
  <w:style w:type="character" w:customStyle="1" w:styleId="88">
    <w:name w:val="apple-style-span"/>
    <w:qFormat/>
    <w:uiPriority w:val="0"/>
  </w:style>
  <w:style w:type="character" w:customStyle="1" w:styleId="89">
    <w:name w:val="无"/>
    <w:qFormat/>
    <w:uiPriority w:val="0"/>
  </w:style>
  <w:style w:type="character" w:customStyle="1" w:styleId="90">
    <w:name w:val="font41"/>
    <w:qFormat/>
    <w:uiPriority w:val="0"/>
    <w:rPr>
      <w:rFonts w:hint="eastAsia" w:ascii="宋体" w:hAnsi="宋体" w:eastAsia="宋体" w:cs="宋体"/>
      <w:color w:val="000000"/>
      <w:sz w:val="20"/>
      <w:szCs w:val="20"/>
      <w:u w:val="none"/>
    </w:rPr>
  </w:style>
  <w:style w:type="character" w:customStyle="1" w:styleId="91">
    <w:name w:val="font21"/>
    <w:qFormat/>
    <w:uiPriority w:val="0"/>
    <w:rPr>
      <w:rFonts w:hint="default" w:ascii="Times New Roman" w:hAnsi="Times New Roman" w:cs="Times New Roman"/>
      <w:color w:val="000000"/>
      <w:sz w:val="20"/>
      <w:szCs w:val="20"/>
      <w:u w:val="none"/>
    </w:rPr>
  </w:style>
  <w:style w:type="character" w:customStyle="1" w:styleId="92">
    <w:name w:val="font51"/>
    <w:qFormat/>
    <w:uiPriority w:val="0"/>
    <w:rPr>
      <w:rFonts w:hint="default" w:ascii="Times New Roman" w:hAnsi="Times New Roman" w:cs="Times New Roman"/>
      <w:color w:val="000000"/>
      <w:sz w:val="20"/>
      <w:szCs w:val="20"/>
      <w:u w:val="none"/>
    </w:rPr>
  </w:style>
  <w:style w:type="character" w:customStyle="1" w:styleId="93">
    <w:name w:val="textcontents"/>
    <w:qFormat/>
    <w:uiPriority w:val="0"/>
  </w:style>
  <w:style w:type="character" w:customStyle="1" w:styleId="94">
    <w:name w:val="headline-content4"/>
    <w:qFormat/>
    <w:uiPriority w:val="0"/>
  </w:style>
  <w:style w:type="character" w:customStyle="1" w:styleId="95">
    <w:name w:val="font01"/>
    <w:basedOn w:val="51"/>
    <w:qFormat/>
    <w:uiPriority w:val="0"/>
    <w:rPr>
      <w:rFonts w:hint="eastAsia" w:ascii="宋体" w:hAnsi="宋体" w:eastAsia="宋体" w:cs="宋体"/>
      <w:color w:val="000000"/>
      <w:sz w:val="24"/>
      <w:szCs w:val="24"/>
      <w:u w:val="none"/>
    </w:rPr>
  </w:style>
  <w:style w:type="character" w:customStyle="1" w:styleId="96">
    <w:name w:val="正文文本缩进 Char1"/>
    <w:semiHidden/>
    <w:qFormat/>
    <w:locked/>
    <w:uiPriority w:val="0"/>
    <w:rPr>
      <w:rFonts w:ascii="仿宋_GB2312" w:hAnsi="Times New Roman" w:eastAsia="仿宋_GB2312"/>
      <w:sz w:val="32"/>
    </w:rPr>
  </w:style>
  <w:style w:type="character" w:customStyle="1" w:styleId="97">
    <w:name w:val="font31"/>
    <w:qFormat/>
    <w:uiPriority w:val="0"/>
    <w:rPr>
      <w:rFonts w:hint="default" w:ascii="Times New Roman" w:hAnsi="Times New Roman" w:cs="Times New Roman"/>
      <w:color w:val="000000"/>
      <w:sz w:val="20"/>
      <w:szCs w:val="20"/>
      <w:u w:val="none"/>
    </w:rPr>
  </w:style>
  <w:style w:type="character" w:customStyle="1" w:styleId="98">
    <w:name w:val="批注文字 Char1"/>
    <w:semiHidden/>
    <w:qFormat/>
    <w:locked/>
    <w:uiPriority w:val="0"/>
    <w:rPr>
      <w:rFonts w:ascii="Times New Roman" w:hAnsi="Times New Roman"/>
      <w:kern w:val="2"/>
      <w:sz w:val="21"/>
      <w:szCs w:val="24"/>
    </w:rPr>
  </w:style>
  <w:style w:type="paragraph" w:customStyle="1" w:styleId="99">
    <w:name w:val="表格"/>
    <w:basedOn w:val="1"/>
    <w:qFormat/>
    <w:uiPriority w:val="0"/>
    <w:pPr>
      <w:spacing w:line="400" w:lineRule="exact"/>
    </w:pPr>
    <w:rPr>
      <w:sz w:val="24"/>
    </w:rPr>
  </w:style>
  <w:style w:type="paragraph" w:customStyle="1" w:styleId="100">
    <w:name w:val="样式 首行缩进:  2 字符"/>
    <w:basedOn w:val="1"/>
    <w:qFormat/>
    <w:uiPriority w:val="0"/>
    <w:pPr>
      <w:spacing w:line="400" w:lineRule="exact"/>
      <w:ind w:firstLine="200" w:firstLineChars="200"/>
    </w:pPr>
    <w:rPr>
      <w:rFonts w:cs="宋体"/>
      <w:sz w:val="24"/>
    </w:rPr>
  </w:style>
  <w:style w:type="paragraph" w:customStyle="1" w:styleId="101">
    <w:name w:val="Char1"/>
    <w:basedOn w:val="1"/>
    <w:qFormat/>
    <w:uiPriority w:val="0"/>
    <w:rPr>
      <w:szCs w:val="21"/>
    </w:rPr>
  </w:style>
  <w:style w:type="paragraph" w:customStyle="1" w:styleId="102">
    <w:name w:val="默认段落字体 Para Char Char Char Char Char Char Char Char Char1 Char Char Char Char"/>
    <w:basedOn w:val="1"/>
    <w:uiPriority w:val="0"/>
    <w:rPr>
      <w:rFonts w:ascii="Tahoma" w:hAnsi="Tahoma"/>
      <w:sz w:val="24"/>
      <w:szCs w:val="20"/>
    </w:rPr>
  </w:style>
  <w:style w:type="paragraph" w:customStyle="1" w:styleId="103">
    <w:name w:val="正文段"/>
    <w:basedOn w:val="1"/>
    <w:qFormat/>
    <w:uiPriority w:val="0"/>
    <w:pPr>
      <w:widowControl/>
      <w:snapToGrid w:val="0"/>
      <w:spacing w:after="50" w:afterLines="50"/>
      <w:ind w:firstLine="200" w:firstLineChars="200"/>
    </w:pPr>
    <w:rPr>
      <w:kern w:val="0"/>
      <w:sz w:val="24"/>
      <w:szCs w:val="20"/>
    </w:rPr>
  </w:style>
  <w:style w:type="paragraph" w:customStyle="1" w:styleId="1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5">
    <w:name w:val="Plain Text"/>
    <w:basedOn w:val="1"/>
    <w:qFormat/>
    <w:uiPriority w:val="0"/>
    <w:rPr>
      <w:rFonts w:ascii="宋体" w:hAnsi="Courier New" w:cs="Century"/>
      <w:szCs w:val="21"/>
    </w:rPr>
  </w:style>
  <w:style w:type="paragraph" w:customStyle="1" w:styleId="10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07">
    <w:name w:val="正文首行缩进两字符"/>
    <w:basedOn w:val="1"/>
    <w:qFormat/>
    <w:uiPriority w:val="0"/>
    <w:pPr>
      <w:spacing w:line="360" w:lineRule="auto"/>
      <w:ind w:firstLine="200" w:firstLineChars="200"/>
    </w:pPr>
  </w:style>
  <w:style w:type="paragraph" w:styleId="108">
    <w:name w:val="List Paragraph"/>
    <w:basedOn w:val="1"/>
    <w:qFormat/>
    <w:uiPriority w:val="34"/>
    <w:pPr>
      <w:ind w:firstLine="420" w:firstLineChars="200"/>
    </w:pPr>
  </w:style>
  <w:style w:type="paragraph" w:customStyle="1" w:styleId="10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2">
    <w:name w:val="标题3（采购需求）"/>
    <w:basedOn w:val="113"/>
    <w:next w:val="1"/>
    <w:qFormat/>
    <w:uiPriority w:val="0"/>
    <w:pPr>
      <w:spacing w:before="0" w:after="0"/>
    </w:pPr>
    <w:rPr>
      <w:rFonts w:ascii="宋体" w:hAnsi="宋体" w:eastAsia="宋体"/>
    </w:rPr>
  </w:style>
  <w:style w:type="paragraph" w:customStyle="1" w:styleId="113">
    <w:name w:val="标题3"/>
    <w:basedOn w:val="5"/>
    <w:next w:val="1"/>
    <w:qFormat/>
    <w:uiPriority w:val="0"/>
    <w:pPr>
      <w:spacing w:before="200" w:after="200" w:line="360" w:lineRule="auto"/>
      <w:ind w:firstLine="0" w:firstLineChars="0"/>
    </w:pPr>
    <w:rPr>
      <w:rFonts w:ascii="黑体" w:hAnsi="黑体" w:eastAsia="黑体"/>
      <w:bCs w:val="0"/>
      <w:sz w:val="24"/>
      <w:szCs w:val="24"/>
    </w:rPr>
  </w:style>
  <w:style w:type="character" w:customStyle="1" w:styleId="114">
    <w:name w:val="NormalCharacter"/>
    <w:semiHidden/>
    <w:qFormat/>
    <w:uiPriority w:val="0"/>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paragraph" w:customStyle="1" w:styleId="116">
    <w:name w:val="表格文字"/>
    <w:basedOn w:val="1"/>
    <w:qFormat/>
    <w:uiPriority w:val="0"/>
    <w:pPr>
      <w:autoSpaceDE/>
      <w:autoSpaceDN/>
      <w:adjustRightInd/>
      <w:spacing w:before="25" w:after="25"/>
    </w:pPr>
    <w:rPr>
      <w:rFonts w:ascii="Times New Roman"/>
      <w:bCs/>
      <w:spacing w:val="10"/>
      <w:szCs w:val="20"/>
    </w:rPr>
  </w:style>
  <w:style w:type="paragraph" w:customStyle="1" w:styleId="117">
    <w:name w:val="正文首行缩进1"/>
    <w:qFormat/>
    <w:uiPriority w:val="0"/>
    <w:pPr>
      <w:ind w:firstLine="672"/>
    </w:pPr>
    <w:rPr>
      <w:rFonts w:ascii="宋体" w:hAnsi="宋体" w:eastAsia="宋体" w:cs="宋体"/>
      <w:lang w:val="en-US" w:eastAsia="zh-CN" w:bidi="ar-SA"/>
    </w:rPr>
  </w:style>
  <w:style w:type="paragraph" w:customStyle="1" w:styleId="118">
    <w:name w:val="附录标识"/>
    <w:basedOn w:val="119"/>
    <w:qFormat/>
    <w:uiPriority w:val="0"/>
    <w:pPr>
      <w:numPr>
        <w:ilvl w:val="0"/>
        <w:numId w:val="3"/>
      </w:numPr>
      <w:tabs>
        <w:tab w:val="left" w:pos="6405"/>
      </w:tabs>
      <w:spacing w:after="200"/>
    </w:pPr>
    <w:rPr>
      <w:sz w:val="21"/>
    </w:rPr>
  </w:style>
  <w:style w:type="paragraph" w:customStyle="1" w:styleId="119">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附录章标题"/>
    <w:next w:val="121"/>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附录表标题"/>
    <w:next w:val="12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125">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26">
    <w:name w:val="一级条标题"/>
    <w:basedOn w:val="127"/>
    <w:next w:val="121"/>
    <w:qFormat/>
    <w:uiPriority w:val="0"/>
    <w:pPr>
      <w:spacing w:line="240" w:lineRule="auto"/>
      <w:ind w:left="420"/>
      <w:outlineLvl w:val="2"/>
    </w:pPr>
  </w:style>
  <w:style w:type="paragraph" w:customStyle="1" w:styleId="12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28">
    <w:name w:val="Table Text"/>
    <w:basedOn w:val="1"/>
    <w:semiHidden/>
    <w:qFormat/>
    <w:uiPriority w:val="0"/>
    <w:rPr>
      <w:rFonts w:ascii="宋体" w:hAnsi="宋体" w:eastAsia="宋体" w:cs="宋体"/>
      <w:sz w:val="20"/>
      <w:szCs w:val="20"/>
      <w:lang w:val="en-US" w:eastAsia="en-US" w:bidi="ar-SA"/>
    </w:rPr>
  </w:style>
  <w:style w:type="character" w:customStyle="1" w:styleId="129">
    <w:name w:val="font11"/>
    <w:basedOn w:val="51"/>
    <w:qFormat/>
    <w:uiPriority w:val="0"/>
    <w:rPr>
      <w:rFonts w:hint="eastAsia" w:ascii="宋体" w:hAnsi="宋体" w:eastAsia="宋体" w:cs="宋体"/>
      <w:color w:val="000000"/>
      <w:sz w:val="20"/>
      <w:szCs w:val="20"/>
      <w:u w:val="none"/>
    </w:rPr>
  </w:style>
  <w:style w:type="character" w:customStyle="1" w:styleId="13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84"/>
    <customShpInfo spid="_x0000_s3085" textRotate="1"/>
    <customShpInfo spid="_x0000_s3082" textRotate="1"/>
    <customShpInfo spid="_x0000_s3075" textRotate="1"/>
    <customShpInfo spid="_x0000_s3076"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8302</Words>
  <Characters>9430</Characters>
  <Lines>369</Lines>
  <Paragraphs>104</Paragraphs>
  <TotalTime>3</TotalTime>
  <ScaleCrop>false</ScaleCrop>
  <LinksUpToDate>false</LinksUpToDate>
  <CharactersWithSpaces>9648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2019-09-06T07:06:00Z</dcterms:created>
  <dc:creator>番茄花园</dc:creator>
  <cp:lastModifiedBy>黄小胖</cp:lastModifiedBy>
  <cp:lastPrinted>2025-07-09T10:18:00Z</cp:lastPrinted>
  <dcterms:modified xsi:type="dcterms:W3CDTF">2026-06-29T07:39:03Z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65BC1FD98347419A9F854600939F6216_13</vt:lpwstr>
  </property>
  <property fmtid="{D5CDD505-2E9C-101B-9397-08002B2CF9AE}" pid="4" name="KSOTemplateDocerSaveRecord">
    <vt:lpwstr>eyJoZGlkIjoiMjI4ZDUwMWFmNDhkNzRhOWFkM2Q4MDI2ZDUxZGM4MWEiLCJ1c2VySWQiOiI4NTQzMjg5NjkifQ==</vt:lpwstr>
  </property>
</Properties>
</file>