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AD333">
      <w:pPr>
        <w:pStyle w:val="17"/>
        <w:bidi w:val="0"/>
        <w:spacing w:line="480" w:lineRule="auto"/>
        <w:jc w:val="center"/>
        <w:rPr>
          <w:rFonts w:hint="eastAsia"/>
          <w:color w:val="auto"/>
          <w:sz w:val="44"/>
          <w:szCs w:val="44"/>
          <w:highlight w:val="none"/>
          <w:lang w:val="en-US" w:eastAsia="zh-CN"/>
        </w:rPr>
      </w:pPr>
      <w:bookmarkStart w:id="143" w:name="_GoBack"/>
      <w:bookmarkEnd w:id="143"/>
      <w:r>
        <w:rPr>
          <w:rFonts w:hint="eastAsia"/>
          <w:color w:val="auto"/>
          <w:sz w:val="44"/>
          <w:szCs w:val="44"/>
          <w:highlight w:val="none"/>
          <w:lang w:val="en-US" w:eastAsia="zh-CN"/>
        </w:rPr>
        <w:t>广西晨华工程咨询有限公司</w:t>
      </w:r>
    </w:p>
    <w:p w14:paraId="39E52A76">
      <w:pPr>
        <w:spacing w:line="360" w:lineRule="auto"/>
        <w:jc w:val="center"/>
        <w:rPr>
          <w:rFonts w:ascii="微软雅黑" w:hAnsi="微软雅黑" w:eastAsia="微软雅黑" w:cs="微软雅黑"/>
          <w:b/>
          <w:color w:val="auto"/>
          <w:sz w:val="44"/>
          <w:szCs w:val="44"/>
          <w:highlight w:val="none"/>
        </w:rPr>
      </w:pPr>
      <w:r>
        <w:rPr>
          <w:color w:val="auto"/>
          <w:highlight w:val="none"/>
          <w:lang w:eastAsia="zh-CN"/>
        </w:rPr>
        <w:drawing>
          <wp:anchor distT="0" distB="0" distL="114300" distR="114300" simplePos="0" relativeHeight="251660288" behindDoc="1" locked="0" layoutInCell="1" allowOverlap="1">
            <wp:simplePos x="0" y="0"/>
            <wp:positionH relativeFrom="column">
              <wp:posOffset>1300480</wp:posOffset>
            </wp:positionH>
            <wp:positionV relativeFrom="paragraph">
              <wp:posOffset>51435</wp:posOffset>
            </wp:positionV>
            <wp:extent cx="2903220" cy="2028825"/>
            <wp:effectExtent l="0" t="0" r="0" b="0"/>
            <wp:wrapTight wrapText="bothSides">
              <wp:wrapPolygon>
                <wp:start x="9921" y="2434"/>
                <wp:lineTo x="8220" y="2637"/>
                <wp:lineTo x="5386" y="4868"/>
                <wp:lineTo x="5386" y="5679"/>
                <wp:lineTo x="4819" y="7099"/>
                <wp:lineTo x="4252" y="8924"/>
                <wp:lineTo x="4110" y="12169"/>
                <wp:lineTo x="4819" y="15414"/>
                <wp:lineTo x="6803" y="18659"/>
                <wp:lineTo x="8646" y="19673"/>
                <wp:lineTo x="8929" y="20079"/>
                <wp:lineTo x="11622" y="20079"/>
                <wp:lineTo x="11764" y="19673"/>
                <wp:lineTo x="13748" y="18659"/>
                <wp:lineTo x="15732" y="15617"/>
                <wp:lineTo x="15732" y="15414"/>
                <wp:lineTo x="16583" y="12169"/>
                <wp:lineTo x="16441" y="8924"/>
                <wp:lineTo x="15449" y="5070"/>
                <wp:lineTo x="12331" y="2637"/>
                <wp:lineTo x="11055" y="2434"/>
                <wp:lineTo x="9921" y="2434"/>
              </wp:wrapPolygon>
            </wp:wrapTight>
            <wp:docPr id="5" name="图片 35" descr="广西晨华工程咨询有限公司 标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5" descr="广西晨华工程咨询有限公司 标_画板 1"/>
                    <pic:cNvPicPr>
                      <a:picLocks noChangeAspect="1"/>
                    </pic:cNvPicPr>
                  </pic:nvPicPr>
                  <pic:blipFill>
                    <a:blip r:embed="rId18"/>
                    <a:srcRect l="2516" t="17720" b="14153"/>
                    <a:stretch>
                      <a:fillRect/>
                    </a:stretch>
                  </pic:blipFill>
                  <pic:spPr>
                    <a:xfrm>
                      <a:off x="0" y="0"/>
                      <a:ext cx="2903220" cy="2028825"/>
                    </a:xfrm>
                    <a:prstGeom prst="rect">
                      <a:avLst/>
                    </a:prstGeom>
                    <a:noFill/>
                    <a:ln>
                      <a:noFill/>
                    </a:ln>
                  </pic:spPr>
                </pic:pic>
              </a:graphicData>
            </a:graphic>
          </wp:anchor>
        </w:drawing>
      </w:r>
    </w:p>
    <w:p w14:paraId="6A212CB4">
      <w:pPr>
        <w:snapToGrid w:val="0"/>
        <w:spacing w:before="120" w:beforeLines="50" w:line="360" w:lineRule="auto"/>
        <w:jc w:val="both"/>
        <w:rPr>
          <w:rFonts w:hint="eastAsia" w:ascii="华文新魏" w:hAnsi="宋体" w:eastAsia="华文新魏"/>
          <w:color w:val="auto"/>
          <w:sz w:val="120"/>
          <w:szCs w:val="120"/>
          <w:highlight w:val="none"/>
        </w:rPr>
      </w:pPr>
    </w:p>
    <w:p w14:paraId="03E9D789">
      <w:pPr>
        <w:snapToGrid w:val="0"/>
        <w:spacing w:before="120" w:beforeLines="50" w:line="360" w:lineRule="auto"/>
        <w:jc w:val="center"/>
        <w:rPr>
          <w:rFonts w:ascii="仿宋_GB2312" w:hAnsi="宋体" w:eastAsia="仿宋_GB2312"/>
          <w:color w:val="auto"/>
          <w:sz w:val="30"/>
          <w:szCs w:val="72"/>
          <w:highlight w:val="none"/>
        </w:rPr>
      </w:pPr>
      <w:r>
        <w:rPr>
          <w:rFonts w:hint="eastAsia" w:ascii="华文新魏" w:hAnsi="宋体" w:eastAsia="华文新魏"/>
          <w:color w:val="auto"/>
          <w:sz w:val="120"/>
          <w:szCs w:val="120"/>
          <w:highlight w:val="none"/>
        </w:rPr>
        <w:t>招 标 文 件</w:t>
      </w:r>
    </w:p>
    <w:p w14:paraId="3CFE5AAB">
      <w:pPr>
        <w:pStyle w:val="23"/>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lang w:eastAsia="zh-CN"/>
        </w:rPr>
        <w:t>项目名称：北流市大里镇、新圩镇、西埌镇、隆盛镇、民乐镇等5个镇级污水处理设施（含泵站、污水管网）运营维护</w:t>
      </w:r>
    </w:p>
    <w:p w14:paraId="57B90A6D">
      <w:pPr>
        <w:snapToGrid w:val="0"/>
        <w:spacing w:line="360" w:lineRule="auto"/>
        <w:ind w:firstLine="1145" w:firstLineChars="400"/>
        <w:rPr>
          <w:rFonts w:hint="eastAsia" w:ascii="仿宋_GB2312" w:hAnsi="宋体" w:eastAsia="仿宋_GB2312" w:cs="Courier New"/>
          <w:b/>
          <w:bCs/>
          <w:color w:val="auto"/>
          <w:w w:val="95"/>
          <w:sz w:val="30"/>
          <w:szCs w:val="30"/>
          <w:highlight w:val="none"/>
        </w:rPr>
      </w:pPr>
    </w:p>
    <w:p w14:paraId="04E918EF">
      <w:pPr>
        <w:snapToGrid w:val="0"/>
        <w:spacing w:line="360" w:lineRule="auto"/>
        <w:ind w:firstLine="1145" w:firstLineChars="400"/>
        <w:rPr>
          <w:rFonts w:hint="eastAsia" w:ascii="宋体" w:hAnsi="宋体" w:eastAsia="宋体" w:cs="宋体"/>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宋体" w:hAnsi="宋体" w:eastAsia="宋体" w:cs="宋体"/>
          <w:b/>
          <w:bCs/>
          <w:color w:val="auto"/>
          <w:w w:val="95"/>
          <w:sz w:val="30"/>
          <w:szCs w:val="30"/>
          <w:highlight w:val="none"/>
          <w:lang w:eastAsia="zh-CN"/>
        </w:rPr>
        <w:t>YLZC2026-G3-810087-CHGC</w:t>
      </w:r>
    </w:p>
    <w:p w14:paraId="1326A6F7">
      <w:pPr>
        <w:pStyle w:val="23"/>
        <w:snapToGrid w:val="0"/>
        <w:spacing w:line="360" w:lineRule="auto"/>
        <w:ind w:firstLine="1125" w:firstLineChars="393"/>
        <w:rPr>
          <w:rFonts w:hint="eastAsia" w:ascii="仿宋_GB2312" w:hAnsi="宋体" w:eastAsia="仿宋_GB2312"/>
          <w:b/>
          <w:bCs/>
          <w:color w:val="auto"/>
          <w:w w:val="95"/>
          <w:sz w:val="30"/>
          <w:szCs w:val="30"/>
          <w:highlight w:val="none"/>
        </w:rPr>
      </w:pPr>
    </w:p>
    <w:p w14:paraId="4DA9E19D">
      <w:pPr>
        <w:pStyle w:val="23"/>
        <w:snapToGrid w:val="0"/>
        <w:spacing w:line="360" w:lineRule="auto"/>
        <w:ind w:firstLine="1125" w:firstLineChars="393"/>
        <w:rPr>
          <w:rFonts w:hint="eastAsia" w:ascii="仿宋_GB2312" w:hAnsi="宋体" w:eastAsia="仿宋_GB2312"/>
          <w:b/>
          <w:bCs/>
          <w:color w:val="auto"/>
          <w:w w:val="95"/>
          <w:sz w:val="30"/>
          <w:szCs w:val="30"/>
          <w:highlight w:val="none"/>
        </w:rPr>
      </w:pPr>
    </w:p>
    <w:p w14:paraId="5827DDBA">
      <w:pPr>
        <w:pStyle w:val="23"/>
        <w:snapToGrid w:val="0"/>
        <w:spacing w:line="360" w:lineRule="auto"/>
        <w:ind w:firstLine="1125" w:firstLineChars="393"/>
        <w:rPr>
          <w:rFonts w:hint="eastAsia" w:ascii="仿宋_GB2312" w:hAnsi="宋体" w:eastAsia="仿宋_GB2312"/>
          <w:b/>
          <w:bCs/>
          <w:color w:val="auto"/>
          <w:w w:val="95"/>
          <w:sz w:val="30"/>
          <w:szCs w:val="30"/>
          <w:highlight w:val="none"/>
        </w:rPr>
      </w:pPr>
    </w:p>
    <w:p w14:paraId="7D6E2EE2">
      <w:pPr>
        <w:pStyle w:val="23"/>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北流市城市管理监督局</w:t>
      </w:r>
    </w:p>
    <w:p w14:paraId="662BF77A">
      <w:pPr>
        <w:pStyle w:val="23"/>
        <w:snapToGrid w:val="0"/>
        <w:spacing w:line="360" w:lineRule="auto"/>
        <w:ind w:firstLine="1125" w:firstLineChars="393"/>
        <w:rPr>
          <w:rFonts w:hint="eastAsia" w:ascii="仿宋_GB2312" w:hAnsi="宋体" w:eastAsia="仿宋_GB2312"/>
          <w:b/>
          <w:bCs/>
          <w:color w:val="auto"/>
          <w:w w:val="95"/>
          <w:sz w:val="30"/>
          <w:szCs w:val="30"/>
          <w:highlight w:val="none"/>
        </w:rPr>
      </w:pPr>
    </w:p>
    <w:p w14:paraId="698E5CAD">
      <w:pPr>
        <w:pStyle w:val="23"/>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广西晨华工程咨询有限公司</w:t>
      </w:r>
    </w:p>
    <w:p w14:paraId="15865768">
      <w:pPr>
        <w:pStyle w:val="23"/>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2026年</w:t>
      </w:r>
      <w:r>
        <w:rPr>
          <w:rFonts w:hint="eastAsia" w:ascii="仿宋_GB2312" w:hAnsi="宋体" w:eastAsia="仿宋_GB2312"/>
          <w:b/>
          <w:bCs/>
          <w:color w:val="auto"/>
          <w:w w:val="95"/>
          <w:sz w:val="30"/>
          <w:szCs w:val="30"/>
          <w:highlight w:val="none"/>
          <w:lang w:val="en-US" w:eastAsia="zh-CN"/>
        </w:rPr>
        <w:t xml:space="preserve"> </w:t>
      </w:r>
      <w:r>
        <w:rPr>
          <w:rFonts w:hint="eastAsia" w:ascii="仿宋_GB2312" w:hAnsi="宋体" w:eastAsia="仿宋_GB2312"/>
          <w:b/>
          <w:bCs/>
          <w:color w:val="auto"/>
          <w:w w:val="95"/>
          <w:sz w:val="30"/>
          <w:szCs w:val="30"/>
          <w:highlight w:val="none"/>
        </w:rPr>
        <w:t>月</w:t>
      </w:r>
    </w:p>
    <w:p w14:paraId="70873C64">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F24BB32">
      <w:pPr>
        <w:spacing w:line="400" w:lineRule="exact"/>
        <w:jc w:val="center"/>
        <w:rPr>
          <w:rFonts w:ascii="宋体" w:hAnsi="宋体"/>
          <w:b/>
          <w:color w:val="auto"/>
          <w:sz w:val="44"/>
          <w:szCs w:val="44"/>
          <w:highlight w:val="none"/>
        </w:rPr>
      </w:pPr>
    </w:p>
    <w:p w14:paraId="0F2E322D">
      <w:pPr>
        <w:pStyle w:val="31"/>
        <w:tabs>
          <w:tab w:val="right" w:leader="dot" w:pos="8730"/>
          <w:tab w:val="clear" w:pos="8398"/>
        </w:tabs>
        <w:spacing w:line="360" w:lineRule="auto"/>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"_Toc26956" </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A47A6FC">
      <w:pPr>
        <w:pStyle w:val="31"/>
        <w:tabs>
          <w:tab w:val="right" w:leader="dot" w:pos="8730"/>
          <w:tab w:val="clear" w:pos="8398"/>
        </w:tabs>
        <w:spacing w:line="360" w:lineRule="auto"/>
        <w:ind w:firstLine="241"/>
        <w:rPr>
          <w:color w:val="auto"/>
          <w:highlight w:val="none"/>
        </w:rPr>
      </w:pPr>
      <w:r>
        <w:rPr>
          <w:color w:val="auto"/>
          <w:highlight w:val="none"/>
        </w:rPr>
        <w:fldChar w:fldCharType="begin"/>
      </w:r>
      <w:r>
        <w:rPr>
          <w:color w:val="auto"/>
          <w:highlight w:val="none"/>
        </w:rPr>
        <w:instrText xml:space="preserve"> HYPERLINK \l "_Toc27979" </w:instrText>
      </w:r>
      <w:r>
        <w:rPr>
          <w:color w:val="auto"/>
          <w:highlight w:val="none"/>
        </w:rPr>
        <w:fldChar w:fldCharType="separate"/>
      </w:r>
      <w:r>
        <w:rPr>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9DE0C0E">
      <w:pPr>
        <w:pStyle w:val="31"/>
        <w:tabs>
          <w:tab w:val="right" w:leader="dot" w:pos="8730"/>
          <w:tab w:val="clear" w:pos="8398"/>
        </w:tabs>
        <w:spacing w:line="360" w:lineRule="auto"/>
        <w:ind w:firstLine="241"/>
        <w:rPr>
          <w:color w:val="auto"/>
          <w:highlight w:val="none"/>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6814E53">
      <w:pPr>
        <w:pStyle w:val="31"/>
        <w:tabs>
          <w:tab w:val="right" w:leader="dot" w:pos="8730"/>
          <w:tab w:val="clear" w:pos="8398"/>
        </w:tabs>
        <w:spacing w:line="360" w:lineRule="auto"/>
        <w:ind w:firstLine="241"/>
        <w:rPr>
          <w:color w:val="auto"/>
          <w:highlight w:val="none"/>
        </w:rPr>
      </w:pPr>
      <w:r>
        <w:rPr>
          <w:color w:val="auto"/>
          <w:highlight w:val="none"/>
        </w:rPr>
        <w:fldChar w:fldCharType="begin"/>
      </w:r>
      <w:r>
        <w:rPr>
          <w:color w:val="auto"/>
          <w:highlight w:val="none"/>
        </w:rPr>
        <w:instrText xml:space="preserve"> HYPERLINK \l "_Toc15687" </w:instrText>
      </w:r>
      <w:r>
        <w:rPr>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9A6ACCD">
      <w:pPr>
        <w:pStyle w:val="31"/>
        <w:tabs>
          <w:tab w:val="right" w:leader="dot" w:pos="8730"/>
          <w:tab w:val="clear" w:pos="8398"/>
        </w:tabs>
        <w:spacing w:line="360" w:lineRule="auto"/>
        <w:ind w:firstLine="241"/>
        <w:rPr>
          <w:color w:val="auto"/>
          <w:highlight w:val="none"/>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A402ED5">
      <w:pPr>
        <w:pStyle w:val="31"/>
        <w:tabs>
          <w:tab w:val="right" w:leader="dot" w:pos="8730"/>
          <w:tab w:val="clear" w:pos="8398"/>
        </w:tabs>
        <w:spacing w:line="360" w:lineRule="auto"/>
        <w:ind w:firstLine="241"/>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4B516C9B">
      <w:pPr>
        <w:tabs>
          <w:tab w:val="right" w:leader="dot" w:pos="8789"/>
        </w:tabs>
        <w:snapToGrid w:val="0"/>
        <w:spacing w:line="360" w:lineRule="auto"/>
        <w:rPr>
          <w:rFonts w:ascii="仿宋_GB2312" w:hAnsi="宋体" w:eastAsia="仿宋_GB2312"/>
          <w:color w:val="auto"/>
          <w:sz w:val="24"/>
          <w:highlight w:val="none"/>
        </w:rPr>
      </w:pPr>
      <w:r>
        <w:rPr>
          <w:rFonts w:ascii="仿宋_GB2312" w:hAnsi="宋体" w:eastAsia="仿宋_GB2312"/>
          <w:color w:val="auto"/>
          <w:highlight w:val="none"/>
        </w:rPr>
        <w:fldChar w:fldCharType="end"/>
      </w:r>
    </w:p>
    <w:p w14:paraId="0DC05E3D">
      <w:pPr>
        <w:spacing w:before="120" w:beforeLines="50" w:line="480" w:lineRule="exact"/>
        <w:rPr>
          <w:rFonts w:ascii="仿宋_GB2312" w:hAnsi="宋体" w:eastAsia="仿宋_GB2312"/>
          <w:color w:val="auto"/>
          <w:sz w:val="30"/>
          <w:highlight w:val="none"/>
        </w:rPr>
      </w:pPr>
    </w:p>
    <w:p w14:paraId="27EBFB2A">
      <w:pPr>
        <w:rPr>
          <w:color w:val="auto"/>
          <w:highlight w:val="none"/>
        </w:rPr>
      </w:pPr>
    </w:p>
    <w:p w14:paraId="230F4C28">
      <w:pPr>
        <w:spacing w:before="120" w:beforeLines="50" w:line="480" w:lineRule="exact"/>
        <w:rPr>
          <w:rFonts w:ascii="仿宋_GB2312" w:hAnsi="宋体" w:eastAsia="仿宋_GB2312"/>
          <w:color w:val="auto"/>
          <w:sz w:val="30"/>
          <w:highlight w:val="none"/>
        </w:rPr>
      </w:pPr>
    </w:p>
    <w:p w14:paraId="1CE96277">
      <w:pPr>
        <w:spacing w:before="120" w:beforeLines="50" w:line="480" w:lineRule="exact"/>
        <w:rPr>
          <w:rFonts w:ascii="仿宋_GB2312" w:hAnsi="宋体" w:eastAsia="仿宋_GB2312"/>
          <w:color w:val="auto"/>
          <w:sz w:val="30"/>
          <w:highlight w:val="none"/>
        </w:rPr>
      </w:pPr>
    </w:p>
    <w:p w14:paraId="40733118">
      <w:pPr>
        <w:pStyle w:val="15"/>
        <w:rPr>
          <w:rFonts w:ascii="宋体" w:hAnsi="宋体" w:cs="宋体"/>
          <w:b/>
          <w:bCs/>
          <w:color w:val="auto"/>
          <w:highlight w:val="none"/>
        </w:rPr>
      </w:pPr>
      <w:bookmarkStart w:id="0" w:name="_Toc254970489"/>
      <w:bookmarkStart w:id="1" w:name="_Toc254970630"/>
    </w:p>
    <w:p w14:paraId="1E2F3299">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sectPr>
          <w:headerReference r:id="rId3" w:type="first"/>
          <w:footerReference r:id="rId5" w:type="first"/>
          <w:footerReference r:id="rId4" w:type="default"/>
          <w:pgSz w:w="11910" w:h="16840"/>
          <w:pgMar w:top="1520" w:right="1500" w:bottom="280" w:left="1680" w:header="720" w:footer="720" w:gutter="0"/>
          <w:pgNumType w:start="0"/>
          <w:cols w:space="720" w:num="1"/>
          <w:titlePg/>
          <w:docGrid w:linePitch="286" w:charSpace="0"/>
        </w:sectPr>
      </w:pPr>
      <w:bookmarkStart w:id="2" w:name="_Toc26956"/>
    </w:p>
    <w:p w14:paraId="13B4D8FF">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1BF57812">
      <w:pPr>
        <w:spacing w:line="360" w:lineRule="auto"/>
        <w:rPr>
          <w:rFonts w:ascii="宋体" w:hAnsi="宋体"/>
          <w:color w:val="auto"/>
          <w:szCs w:val="21"/>
          <w:highlight w:val="none"/>
        </w:rPr>
      </w:pPr>
    </w:p>
    <w:p w14:paraId="330BFE5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6E28309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北流市大里镇、新圩镇、西埌镇、隆盛镇、民乐镇等5个镇级污水处理设施（含泵站、污水管网）运营维护</w:t>
      </w:r>
      <w:r>
        <w:rPr>
          <w:rFonts w:hint="eastAsia" w:ascii="宋体" w:hAnsi="宋体"/>
          <w:color w:val="auto"/>
          <w:szCs w:val="21"/>
          <w:highlight w:val="none"/>
        </w:rPr>
        <w:t>项目的潜在投标人应在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lang w:eastAsia="zh-CN"/>
        </w:rPr>
        <w:t>2026年  月  日9时00分</w:t>
      </w:r>
      <w:r>
        <w:rPr>
          <w:rFonts w:hint="eastAsia" w:ascii="宋体" w:hAnsi="宋体"/>
          <w:bCs/>
          <w:color w:val="auto"/>
          <w:szCs w:val="21"/>
          <w:highlight w:val="none"/>
          <w:u w:val="single"/>
        </w:rPr>
        <w:t>（</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16DD9994">
      <w:pPr>
        <w:spacing w:line="360" w:lineRule="auto"/>
        <w:rPr>
          <w:rFonts w:ascii="宋体" w:hAnsi="宋体"/>
          <w:color w:val="auto"/>
          <w:szCs w:val="21"/>
          <w:highlight w:val="none"/>
        </w:rPr>
      </w:pPr>
    </w:p>
    <w:p w14:paraId="4E599290">
      <w:pPr>
        <w:spacing w:line="360" w:lineRule="auto"/>
        <w:rPr>
          <w:rFonts w:ascii="黑体" w:hAnsi="黑体" w:eastAsia="黑体"/>
          <w:b/>
          <w:bCs/>
          <w:color w:val="auto"/>
          <w:sz w:val="24"/>
          <w:highlight w:val="none"/>
        </w:rPr>
      </w:pPr>
      <w:bookmarkStart w:id="5" w:name="_Toc35393621"/>
      <w:bookmarkStart w:id="6" w:name="_Toc35393790"/>
      <w:bookmarkStart w:id="7" w:name="_Toc28359079"/>
      <w:bookmarkStart w:id="8" w:name="_Toc28359002"/>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5D58894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s="宋体"/>
          <w:color w:val="auto"/>
          <w:szCs w:val="21"/>
          <w:highlight w:val="none"/>
          <w:lang w:eastAsia="zh-CN"/>
        </w:rPr>
        <w:t>YLZC2026-G3-810087-CHGC</w:t>
      </w:r>
    </w:p>
    <w:p w14:paraId="2898843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北流市大里镇、新圩镇、西埌镇、隆盛镇、民乐镇等5个镇级污水处理设施（含泵站、污水管网）运营维护</w:t>
      </w:r>
    </w:p>
    <w:p w14:paraId="7E156774">
      <w:pPr>
        <w:spacing w:line="360" w:lineRule="auto"/>
        <w:ind w:firstLine="420" w:firstLineChars="200"/>
        <w:rPr>
          <w:rFonts w:ascii="宋体" w:hAnsi="宋体"/>
          <w:color w:val="auto"/>
          <w:szCs w:val="21"/>
          <w:highlight w:val="none"/>
          <w:u w:val="single"/>
        </w:rPr>
      </w:pPr>
      <w:r>
        <w:rPr>
          <w:rFonts w:hint="eastAsia"/>
          <w:color w:val="auto"/>
          <w:highlight w:val="none"/>
        </w:rPr>
        <w:t>预算总金额</w:t>
      </w:r>
      <w:r>
        <w:rPr>
          <w:rFonts w:hint="eastAsia" w:ascii="宋体" w:hAnsi="宋体"/>
          <w:color w:val="auto"/>
          <w:szCs w:val="21"/>
          <w:highlight w:val="none"/>
        </w:rPr>
        <w:t>：</w:t>
      </w:r>
      <w:r>
        <w:rPr>
          <w:rFonts w:hint="eastAsia" w:ascii="宋体" w:hAnsi="宋体"/>
          <w:color w:val="auto"/>
          <w:szCs w:val="21"/>
          <w:highlight w:val="none"/>
          <w:lang w:eastAsia="zh-CN"/>
        </w:rPr>
        <w:t>16711260.00</w:t>
      </w:r>
      <w:r>
        <w:rPr>
          <w:rFonts w:hint="eastAsia" w:ascii="宋体" w:hAnsi="宋体"/>
          <w:color w:val="auto"/>
          <w:szCs w:val="21"/>
          <w:highlight w:val="none"/>
        </w:rPr>
        <w:t>元</w:t>
      </w:r>
    </w:p>
    <w:p w14:paraId="162ECA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16711260.00</w:t>
      </w:r>
      <w:r>
        <w:rPr>
          <w:rFonts w:hint="eastAsia" w:ascii="宋体" w:hAnsi="宋体"/>
          <w:color w:val="auto"/>
          <w:szCs w:val="21"/>
          <w:highlight w:val="none"/>
        </w:rPr>
        <w:t>元</w:t>
      </w:r>
    </w:p>
    <w:p w14:paraId="1C26BF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4"/>
        <w:tblW w:w="93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
        <w:gridCol w:w="2095"/>
        <w:gridCol w:w="883"/>
        <w:gridCol w:w="4483"/>
        <w:gridCol w:w="1417"/>
      </w:tblGrid>
      <w:tr w14:paraId="6C460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57E8E8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095" w:type="dxa"/>
            <w:tcBorders>
              <w:top w:val="single" w:color="auto" w:sz="4" w:space="0"/>
              <w:left w:val="single" w:color="auto" w:sz="4" w:space="0"/>
              <w:bottom w:val="single" w:color="auto" w:sz="4" w:space="0"/>
              <w:right w:val="single" w:color="auto" w:sz="4" w:space="0"/>
            </w:tcBorders>
            <w:vAlign w:val="center"/>
          </w:tcPr>
          <w:p w14:paraId="332FC15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883" w:type="dxa"/>
            <w:tcBorders>
              <w:top w:val="single" w:color="auto" w:sz="4" w:space="0"/>
              <w:left w:val="single" w:color="auto" w:sz="4" w:space="0"/>
              <w:bottom w:val="single" w:color="auto" w:sz="4" w:space="0"/>
              <w:right w:val="single" w:color="auto" w:sz="4" w:space="0"/>
            </w:tcBorders>
            <w:vAlign w:val="center"/>
          </w:tcPr>
          <w:p w14:paraId="4A18113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1858A40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4483" w:type="dxa"/>
            <w:tcBorders>
              <w:top w:val="single" w:color="auto" w:sz="4" w:space="0"/>
              <w:left w:val="single" w:color="auto" w:sz="4" w:space="0"/>
              <w:bottom w:val="single" w:color="auto" w:sz="4" w:space="0"/>
              <w:right w:val="single" w:color="auto" w:sz="4" w:space="0"/>
            </w:tcBorders>
            <w:vAlign w:val="center"/>
          </w:tcPr>
          <w:p w14:paraId="1B99537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c>
          <w:tcPr>
            <w:tcW w:w="1417" w:type="dxa"/>
            <w:tcBorders>
              <w:top w:val="single" w:color="auto" w:sz="4" w:space="0"/>
              <w:left w:val="single" w:color="auto" w:sz="4" w:space="0"/>
              <w:bottom w:val="single" w:color="auto" w:sz="4" w:space="0"/>
              <w:right w:val="single" w:color="auto" w:sz="4" w:space="0"/>
            </w:tcBorders>
            <w:vAlign w:val="center"/>
          </w:tcPr>
          <w:p w14:paraId="6F21149E">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tc>
      </w:tr>
      <w:tr w14:paraId="71D17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90D509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095" w:type="dxa"/>
            <w:tcBorders>
              <w:top w:val="single" w:color="auto" w:sz="4" w:space="0"/>
              <w:left w:val="single" w:color="auto" w:sz="4" w:space="0"/>
              <w:bottom w:val="single" w:color="auto" w:sz="4" w:space="0"/>
              <w:right w:val="single" w:color="auto" w:sz="4" w:space="0"/>
            </w:tcBorders>
            <w:vAlign w:val="center"/>
          </w:tcPr>
          <w:p w14:paraId="0ED89648">
            <w:pPr>
              <w:snapToGrid w:val="0"/>
              <w:spacing w:line="360" w:lineRule="auto"/>
              <w:jc w:val="center"/>
              <w:rPr>
                <w:rFonts w:ascii="宋体" w:hAnsi="宋体"/>
                <w:color w:val="auto"/>
                <w:szCs w:val="21"/>
                <w:highlight w:val="none"/>
              </w:rPr>
            </w:pPr>
            <w:r>
              <w:rPr>
                <w:rFonts w:hint="eastAsia" w:ascii="宋体" w:hAnsi="宋体"/>
                <w:color w:val="auto"/>
                <w:szCs w:val="21"/>
                <w:highlight w:val="none"/>
                <w:lang w:eastAsia="zh-CN"/>
              </w:rPr>
              <w:t>北流市大里镇、新圩镇、西埌镇、隆盛镇、民乐镇等5个镇级污水处理设施（含泵站、污水管网）运营维护</w:t>
            </w:r>
          </w:p>
        </w:tc>
        <w:tc>
          <w:tcPr>
            <w:tcW w:w="883" w:type="dxa"/>
            <w:tcBorders>
              <w:top w:val="single" w:color="auto" w:sz="4" w:space="0"/>
              <w:left w:val="single" w:color="auto" w:sz="4" w:space="0"/>
              <w:bottom w:val="single" w:color="auto" w:sz="4" w:space="0"/>
              <w:right w:val="single" w:color="auto" w:sz="4" w:space="0"/>
            </w:tcBorders>
            <w:vAlign w:val="center"/>
          </w:tcPr>
          <w:p w14:paraId="260A0646">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4483" w:type="dxa"/>
            <w:tcBorders>
              <w:top w:val="single" w:color="auto" w:sz="4" w:space="0"/>
              <w:left w:val="single" w:color="auto" w:sz="4" w:space="0"/>
              <w:bottom w:val="single" w:color="auto" w:sz="4" w:space="0"/>
              <w:right w:val="single" w:color="auto" w:sz="4" w:space="0"/>
            </w:tcBorders>
            <w:vAlign w:val="center"/>
          </w:tcPr>
          <w:p w14:paraId="095D50D3">
            <w:pPr>
              <w:keepNext w:val="0"/>
              <w:keepLines w:val="0"/>
              <w:widowControl/>
              <w:suppressLineNumbers w:val="0"/>
              <w:jc w:val="left"/>
              <w:rPr>
                <w:color w:val="auto"/>
                <w:highlight w:val="none"/>
              </w:rPr>
            </w:pPr>
            <w:r>
              <w:rPr>
                <w:rFonts w:hint="eastAsia" w:ascii="宋体" w:hAnsi="宋体"/>
                <w:color w:val="auto"/>
                <w:szCs w:val="21"/>
                <w:highlight w:val="none"/>
                <w:lang w:eastAsia="zh-CN"/>
              </w:rPr>
              <w:t>北流市大里镇、新圩镇、西埌镇、隆盛镇、民乐镇等5个镇级污水处理设施（含泵站、污水管网）运营维护，</w:t>
            </w:r>
            <w:r>
              <w:rPr>
                <w:rFonts w:hint="eastAsia" w:ascii="宋体" w:hAnsi="宋体" w:eastAsia="宋体" w:cs="宋体"/>
                <w:color w:val="auto"/>
                <w:kern w:val="0"/>
                <w:sz w:val="21"/>
                <w:szCs w:val="21"/>
                <w:highlight w:val="none"/>
                <w:lang w:val="en-US" w:eastAsia="zh-CN" w:bidi="ar"/>
              </w:rPr>
              <w:t>服务内容包括</w:t>
            </w:r>
            <w:r>
              <w:rPr>
                <w:rFonts w:hint="eastAsia" w:ascii="宋体" w:hAnsi="宋体" w:cs="宋体"/>
                <w:color w:val="auto"/>
                <w:kern w:val="0"/>
                <w:sz w:val="21"/>
                <w:szCs w:val="21"/>
                <w:highlight w:val="none"/>
                <w:lang w:val="en-US" w:eastAsia="zh-CN" w:bidi="ar"/>
              </w:rPr>
              <w:t>但不限于</w:t>
            </w:r>
            <w:r>
              <w:rPr>
                <w:rFonts w:hint="eastAsia" w:ascii="宋体" w:hAnsi="宋体" w:eastAsia="宋体" w:cs="宋体"/>
                <w:color w:val="auto"/>
                <w:kern w:val="0"/>
                <w:sz w:val="21"/>
                <w:szCs w:val="21"/>
                <w:highlight w:val="none"/>
                <w:lang w:val="en-US" w:eastAsia="zh-CN" w:bidi="ar"/>
              </w:rPr>
              <w:t>：负责5个镇级污水处理厂全运维及相关水电、药剂、污泥处置等费用；负责污水管网及检查井巡查清淤、维护；承担污水提升泵站运维、台账及相关费用；中标1个月内自建智慧运维云平台并负责日常维护，实现污水设施规范、精细、智慧化运维。</w:t>
            </w:r>
          </w:p>
          <w:p w14:paraId="637C2C99">
            <w:pPr>
              <w:adjustRightInd w:val="0"/>
              <w:snapToGrid w:val="0"/>
              <w:rPr>
                <w:rFonts w:ascii="宋体" w:hAnsi="宋体"/>
                <w:color w:val="auto"/>
                <w:szCs w:val="21"/>
                <w:highlight w:val="none"/>
              </w:rPr>
            </w:pPr>
            <w:r>
              <w:rPr>
                <w:rFonts w:hint="eastAsia" w:ascii="宋体" w:hAnsi="宋体"/>
                <w:color w:val="auto"/>
                <w:szCs w:val="21"/>
                <w:highlight w:val="none"/>
              </w:rPr>
              <w:t>......具体详见第二章 采购需求</w:t>
            </w:r>
          </w:p>
        </w:tc>
        <w:tc>
          <w:tcPr>
            <w:tcW w:w="1417" w:type="dxa"/>
            <w:tcBorders>
              <w:top w:val="single" w:color="auto" w:sz="4" w:space="0"/>
              <w:left w:val="single" w:color="auto" w:sz="4" w:space="0"/>
              <w:bottom w:val="single" w:color="auto" w:sz="4" w:space="0"/>
              <w:right w:val="single" w:color="auto" w:sz="4" w:space="0"/>
            </w:tcBorders>
            <w:vAlign w:val="center"/>
          </w:tcPr>
          <w:p w14:paraId="22521A4B">
            <w:pPr>
              <w:adjustRightInd w:val="0"/>
              <w:snapToGrid w:val="0"/>
              <w:rPr>
                <w:rFonts w:hint="eastAsia" w:ascii="宋体" w:hAnsi="宋体"/>
                <w:color w:val="auto"/>
                <w:szCs w:val="21"/>
                <w:highlight w:val="none"/>
              </w:rPr>
            </w:pPr>
          </w:p>
        </w:tc>
      </w:tr>
    </w:tbl>
    <w:p w14:paraId="65448506">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本项目合同期限为3年，具体起止日期以合同明确约定为准。</w:t>
      </w:r>
    </w:p>
    <w:p w14:paraId="10B01C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4F4A2A50">
      <w:pPr>
        <w:spacing w:line="360" w:lineRule="auto"/>
        <w:rPr>
          <w:rFonts w:ascii="黑体" w:hAnsi="黑体" w:eastAsia="黑体"/>
          <w:b/>
          <w:bCs/>
          <w:color w:val="auto"/>
          <w:sz w:val="24"/>
          <w:highlight w:val="none"/>
        </w:rPr>
      </w:pPr>
      <w:bookmarkStart w:id="10" w:name="_Toc28359080"/>
      <w:bookmarkStart w:id="11" w:name="_Toc28359003"/>
      <w:bookmarkStart w:id="12" w:name="_Toc35393791"/>
      <w:bookmarkStart w:id="13" w:name="_Toc35393622"/>
      <w:r>
        <w:rPr>
          <w:rFonts w:hint="eastAsia" w:ascii="黑体" w:hAnsi="黑体" w:eastAsia="黑体"/>
          <w:b/>
          <w:bCs/>
          <w:color w:val="auto"/>
          <w:sz w:val="24"/>
          <w:highlight w:val="none"/>
        </w:rPr>
        <w:t>二、申请人的资格要求：</w:t>
      </w:r>
      <w:bookmarkEnd w:id="10"/>
      <w:bookmarkEnd w:id="11"/>
      <w:bookmarkEnd w:id="12"/>
      <w:bookmarkEnd w:id="13"/>
    </w:p>
    <w:p w14:paraId="6B4621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bookmarkStart w:id="14" w:name="_Hlk51746371"/>
      <w:bookmarkStart w:id="15" w:name="_Toc28359081"/>
      <w:bookmarkStart w:id="16" w:name="_Toc35393792"/>
      <w:bookmarkStart w:id="17" w:name="_Toc35393623"/>
      <w:bookmarkStart w:id="18" w:name="_Toc28359004"/>
      <w:r>
        <w:rPr>
          <w:rFonts w:hint="eastAsia" w:ascii="宋体" w:hAnsi="宋体"/>
          <w:color w:val="auto"/>
          <w:szCs w:val="21"/>
          <w:highlight w:val="none"/>
        </w:rPr>
        <w:t>1.满足《中华人民共和国政府采购法》第二十二条规定；</w:t>
      </w:r>
    </w:p>
    <w:p w14:paraId="1E4E761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eastAsia="宋体" w:cs="宋体"/>
          <w:color w:val="auto"/>
          <w:kern w:val="0"/>
          <w:sz w:val="21"/>
          <w:szCs w:val="21"/>
          <w:highlight w:val="none"/>
          <w:lang w:val="en-US" w:eastAsia="zh-CN" w:bidi="ar"/>
        </w:rPr>
        <w:t>本项目属于100%专门面向中小微企业采购的项目，供应商应为中小微企业、监狱企业、残疾人福利性单位；</w:t>
      </w:r>
    </w:p>
    <w:p w14:paraId="2F19B9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p>
    <w:bookmarkEnd w:id="14"/>
    <w:p w14:paraId="08F5E7B7">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5CC7093B">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2026年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2026年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，每天上午00:00至12:00，下午12:00至23:59（北京时间，法定节假日除外）</w:t>
      </w:r>
    </w:p>
    <w:p w14:paraId="5ABA0DA6">
      <w:pPr>
        <w:spacing w:line="360" w:lineRule="auto"/>
        <w:ind w:firstLine="540"/>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2EAA84C1">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kern w:val="0"/>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5EB3A5B8">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kern w:val="0"/>
          <w:szCs w:val="21"/>
          <w:highlight w:val="none"/>
        </w:rPr>
        <w:t>售价：</w:t>
      </w:r>
      <w:r>
        <w:rPr>
          <w:rFonts w:hint="eastAsia" w:ascii="宋体" w:hAnsi="宋体" w:cs="宋体"/>
          <w:i/>
          <w:color w:val="auto"/>
          <w:szCs w:val="21"/>
          <w:highlight w:val="none"/>
          <w:u w:val="single"/>
        </w:rPr>
        <w:t>0</w:t>
      </w:r>
      <w:r>
        <w:rPr>
          <w:rFonts w:hint="eastAsia" w:ascii="宋体" w:hAnsi="宋体" w:cs="宋体"/>
          <w:color w:val="auto"/>
          <w:szCs w:val="21"/>
          <w:highlight w:val="none"/>
        </w:rPr>
        <w:t>元</w:t>
      </w:r>
    </w:p>
    <w:p w14:paraId="2CE97A3B">
      <w:pPr>
        <w:spacing w:line="360" w:lineRule="auto"/>
        <w:rPr>
          <w:rFonts w:ascii="黑体" w:hAnsi="黑体" w:eastAsia="黑体"/>
          <w:b/>
          <w:bCs/>
          <w:color w:val="auto"/>
          <w:sz w:val="24"/>
          <w:highlight w:val="none"/>
        </w:rPr>
      </w:pPr>
      <w:bookmarkStart w:id="19" w:name="_Toc28359005"/>
      <w:bookmarkStart w:id="20" w:name="_Toc28359082"/>
      <w:bookmarkStart w:id="21" w:name="_Toc35393624"/>
      <w:bookmarkStart w:id="22" w:name="_Toc35393793"/>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140302FA">
      <w:pPr>
        <w:spacing w:line="360" w:lineRule="auto"/>
        <w:ind w:firstLine="420" w:firstLineChars="200"/>
        <w:rPr>
          <w:rFonts w:ascii="宋体" w:hAnsi="宋体" w:cs="宋体"/>
          <w:color w:val="auto"/>
          <w:szCs w:val="21"/>
          <w:highlight w:val="none"/>
          <w:u w:val="none"/>
        </w:rPr>
      </w:pPr>
      <w:bookmarkStart w:id="23" w:name="_Toc28359084"/>
      <w:bookmarkStart w:id="24" w:name="_Toc28359007"/>
      <w:bookmarkStart w:id="25" w:name="_Toc35393625"/>
      <w:bookmarkStart w:id="26" w:name="_Toc35393794"/>
      <w:r>
        <w:rPr>
          <w:rFonts w:hint="eastAsia" w:ascii="宋体" w:hAnsi="宋体" w:cs="宋体"/>
          <w:color w:val="auto"/>
          <w:szCs w:val="21"/>
          <w:highlight w:val="none"/>
          <w:u w:val="none"/>
          <w:lang w:eastAsia="zh-CN"/>
        </w:rPr>
        <w:t>提交投标文件截止时间：2026年  月  日9时00分</w:t>
      </w:r>
      <w:r>
        <w:rPr>
          <w:rFonts w:hint="eastAsia" w:ascii="宋体" w:hAnsi="宋体" w:cs="宋体"/>
          <w:color w:val="auto"/>
          <w:szCs w:val="21"/>
          <w:highlight w:val="none"/>
          <w:u w:val="none"/>
        </w:rPr>
        <w:t>（北京时间）</w:t>
      </w:r>
    </w:p>
    <w:p w14:paraId="2351ADA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投标地点（网址）：通过广西政府采购云平台实行在线投标。 </w:t>
      </w:r>
    </w:p>
    <w:p w14:paraId="10222D0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开标时间：</w:t>
      </w:r>
      <w:r>
        <w:rPr>
          <w:rFonts w:hint="eastAsia" w:ascii="宋体" w:hAnsi="宋体" w:cs="宋体"/>
          <w:color w:val="auto"/>
          <w:szCs w:val="21"/>
          <w:highlight w:val="none"/>
          <w:u w:val="none"/>
          <w:lang w:eastAsia="zh-CN"/>
        </w:rPr>
        <w:t>2026年  月  日9时00分</w:t>
      </w:r>
      <w:r>
        <w:rPr>
          <w:rFonts w:hint="eastAsia" w:ascii="宋体" w:hAnsi="宋体" w:cs="宋体"/>
          <w:color w:val="auto"/>
          <w:kern w:val="0"/>
          <w:szCs w:val="21"/>
          <w:highlight w:val="none"/>
        </w:rPr>
        <w:t> </w:t>
      </w:r>
    </w:p>
    <w:p w14:paraId="0E8FB3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开标地点：广西壮族自治区玉林市北流市公共资源交易中心（北流城南客运站三楼）北流市网上开标大厅二  </w:t>
      </w:r>
    </w:p>
    <w:p w14:paraId="2E57C75F">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888592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1D25078">
      <w:pPr>
        <w:spacing w:line="360" w:lineRule="auto"/>
        <w:rPr>
          <w:rFonts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1C65D0C1">
      <w:pPr>
        <w:widowControl/>
        <w:spacing w:line="360" w:lineRule="auto"/>
        <w:ind w:firstLine="420" w:firstLineChars="200"/>
        <w:jc w:val="left"/>
        <w:rPr>
          <w:rFonts w:ascii="宋体" w:hAnsi="宋体" w:cs="宋体"/>
          <w:color w:val="auto"/>
          <w:kern w:val="0"/>
          <w:szCs w:val="21"/>
          <w:highlight w:val="none"/>
        </w:rPr>
      </w:pPr>
      <w:bookmarkStart w:id="29" w:name="_Toc28359085"/>
      <w:bookmarkStart w:id="30" w:name="_Toc35393796"/>
      <w:bookmarkStart w:id="31" w:name="_Toc28359008"/>
      <w:bookmarkStart w:id="32" w:name="_Toc35393627"/>
      <w:r>
        <w:rPr>
          <w:rFonts w:hint="eastAsia" w:ascii="宋体" w:hAnsi="宋体" w:cs="宋体"/>
          <w:color w:val="auto"/>
          <w:kern w:val="0"/>
          <w:szCs w:val="21"/>
          <w:highlight w:val="none"/>
        </w:rPr>
        <w:t>1.网上查询地址</w:t>
      </w:r>
    </w:p>
    <w:p w14:paraId="6A8FEC62">
      <w:pPr>
        <w:widowControl/>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http://www.ccgp.gov.cn（中国政府采购网）、http://zfcg.gxzf.gov.cn（广西壮族自治区政府采购网）、</w:t>
      </w:r>
      <w:r>
        <w:rPr>
          <w:rFonts w:hint="eastAsia" w:ascii="宋体" w:hAnsi="宋体" w:cs="宋体"/>
          <w:color w:val="auto"/>
          <w:kern w:val="0"/>
          <w:szCs w:val="21"/>
          <w:highlight w:val="none"/>
          <w:lang w:val="en-US" w:eastAsia="zh-CN"/>
        </w:rPr>
        <w:t>http://ggzy.yulin.gov.cn</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全国公共资源交易平台（广西.玉林）</w:t>
      </w:r>
      <w:r>
        <w:rPr>
          <w:rFonts w:hint="eastAsia" w:ascii="宋体" w:hAnsi="宋体" w:cs="宋体"/>
          <w:color w:val="auto"/>
          <w:kern w:val="0"/>
          <w:szCs w:val="21"/>
          <w:highlight w:val="none"/>
        </w:rPr>
        <w:t>）</w:t>
      </w:r>
    </w:p>
    <w:p w14:paraId="511F7A3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w:t>
      </w:r>
    </w:p>
    <w:p w14:paraId="3F9FF6C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6CC157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E60BE9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07C759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1B8917A">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0B1CAD1">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3.投标人</w:t>
      </w:r>
      <w:r>
        <w:rPr>
          <w:rFonts w:hint="eastAsia" w:ascii="宋体" w:hAnsi="宋体"/>
          <w:color w:val="auto"/>
          <w:szCs w:val="21"/>
          <w:highlight w:val="none"/>
        </w:rPr>
        <w:t>投标注意事项</w:t>
      </w:r>
    </w:p>
    <w:p w14:paraId="0FBE711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18047B69">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olor w:val="auto"/>
          <w:szCs w:val="21"/>
          <w:highlight w:val="none"/>
        </w:rPr>
        <w:t>）。</w:t>
      </w:r>
    </w:p>
    <w:p w14:paraId="7EFF23A3">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1D0722C5">
      <w:pPr>
        <w:spacing w:line="360" w:lineRule="auto"/>
        <w:ind w:firstLine="424" w:firstLineChars="202"/>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DE5C9D6">
      <w:pPr>
        <w:pStyle w:val="17"/>
        <w:ind w:firstLine="420" w:firstLineChars="200"/>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 xml:space="preserve"> </w:t>
      </w:r>
      <w:r>
        <w:rPr>
          <w:rFonts w:hint="eastAsia" w:ascii="宋体" w:hAnsi="宋体" w:cs="Times New Roman"/>
          <w:bCs/>
          <w:color w:val="auto"/>
          <w:kern w:val="2"/>
          <w:sz w:val="21"/>
          <w:szCs w:val="21"/>
          <w:highlight w:val="none"/>
          <w:lang w:val="en-US" w:eastAsia="zh-CN" w:bidi="ar-SA"/>
        </w:rPr>
        <w:t>4</w:t>
      </w:r>
      <w:r>
        <w:rPr>
          <w:rFonts w:hint="eastAsia" w:ascii="宋体" w:hAnsi="宋体" w:eastAsia="宋体" w:cs="Times New Roman"/>
          <w:bCs/>
          <w:color w:val="auto"/>
          <w:kern w:val="2"/>
          <w:sz w:val="21"/>
          <w:szCs w:val="21"/>
          <w:highlight w:val="none"/>
          <w:lang w:val="en-US" w:eastAsia="zh-CN" w:bidi="ar-SA"/>
        </w:rPr>
        <w:t>.评审方式：本项目为远程异地全流程电子评标。</w:t>
      </w:r>
    </w:p>
    <w:p w14:paraId="35CDB177">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29"/>
      <w:bookmarkEnd w:id="30"/>
      <w:bookmarkEnd w:id="31"/>
      <w:bookmarkEnd w:id="32"/>
    </w:p>
    <w:p w14:paraId="2F1DEA2A">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1.采购人信息</w:t>
      </w:r>
    </w:p>
    <w:p w14:paraId="29AD0F1F">
      <w:pPr>
        <w:spacing w:line="360" w:lineRule="auto"/>
        <w:ind w:firstLine="424" w:firstLineChars="202"/>
        <w:jc w:val="lef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rPr>
        <w:t>名 称：</w:t>
      </w:r>
      <w:r>
        <w:rPr>
          <w:rFonts w:hint="eastAsia" w:ascii="宋体" w:hAnsi="宋体"/>
          <w:color w:val="auto"/>
          <w:szCs w:val="21"/>
          <w:highlight w:val="none"/>
          <w:u w:val="none"/>
          <w:lang w:eastAsia="zh-CN"/>
        </w:rPr>
        <w:t>北流市城市管理监督局</w:t>
      </w:r>
    </w:p>
    <w:p w14:paraId="6F29E523">
      <w:pPr>
        <w:spacing w:line="360" w:lineRule="auto"/>
        <w:ind w:firstLine="424" w:firstLineChars="202"/>
        <w:jc w:val="lef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rPr>
        <w:t>地址：</w:t>
      </w:r>
      <w:r>
        <w:rPr>
          <w:rFonts w:hint="eastAsia" w:ascii="宋体" w:hAnsi="宋体"/>
          <w:color w:val="auto"/>
          <w:szCs w:val="21"/>
          <w:highlight w:val="none"/>
          <w:u w:val="none"/>
          <w:lang w:eastAsia="zh-CN"/>
        </w:rPr>
        <w:t>北流市城南一路七里36号</w:t>
      </w:r>
    </w:p>
    <w:p w14:paraId="3548577E">
      <w:pPr>
        <w:spacing w:line="360" w:lineRule="auto"/>
        <w:ind w:firstLine="424" w:firstLineChars="202"/>
        <w:jc w:val="left"/>
        <w:rPr>
          <w:rFonts w:hint="default" w:ascii="宋体" w:hAnsi="宋体" w:eastAsia="宋体"/>
          <w:color w:val="auto"/>
          <w:szCs w:val="21"/>
          <w:highlight w:val="none"/>
          <w:u w:val="none"/>
          <w:lang w:val="en-US" w:eastAsia="zh-CN"/>
        </w:rPr>
      </w:pPr>
      <w:r>
        <w:rPr>
          <w:rFonts w:hint="eastAsia" w:ascii="宋体" w:hAnsi="宋体" w:cs="宋体"/>
          <w:color w:val="auto"/>
          <w:szCs w:val="21"/>
          <w:highlight w:val="none"/>
          <w:u w:val="none"/>
        </w:rPr>
        <w:t>项目联系</w:t>
      </w:r>
      <w:r>
        <w:rPr>
          <w:rFonts w:hint="eastAsia" w:ascii="宋体" w:hAnsi="宋体" w:cs="宋体"/>
          <w:color w:val="auto"/>
          <w:szCs w:val="21"/>
          <w:highlight w:val="none"/>
          <w:u w:val="none"/>
          <w:lang w:val="en-US" w:eastAsia="zh-CN"/>
        </w:rPr>
        <w:t>人</w:t>
      </w:r>
      <w:r>
        <w:rPr>
          <w:rFonts w:hint="eastAsia" w:ascii="宋体" w:hAnsi="宋体"/>
          <w:color w:val="auto"/>
          <w:szCs w:val="21"/>
          <w:highlight w:val="none"/>
          <w:u w:val="none"/>
        </w:rPr>
        <w:t>：</w:t>
      </w:r>
      <w:bookmarkStart w:id="33" w:name="_Toc28359086"/>
      <w:bookmarkStart w:id="34" w:name="_Toc28359009"/>
      <w:r>
        <w:rPr>
          <w:rFonts w:hint="eastAsia" w:ascii="宋体" w:hAnsi="宋体"/>
          <w:color w:val="auto"/>
          <w:szCs w:val="21"/>
          <w:highlight w:val="none"/>
          <w:u w:val="none"/>
          <w:lang w:val="en-US" w:eastAsia="zh-CN"/>
        </w:rPr>
        <w:t>梁姚强</w:t>
      </w:r>
    </w:p>
    <w:p w14:paraId="64687971">
      <w:pPr>
        <w:spacing w:line="360" w:lineRule="auto"/>
        <w:ind w:firstLine="424" w:firstLineChars="202"/>
        <w:jc w:val="left"/>
        <w:rPr>
          <w:rFonts w:hint="eastAsia" w:ascii="宋体" w:hAnsi="宋体" w:eastAsia="宋体"/>
          <w:color w:val="auto"/>
          <w:szCs w:val="21"/>
          <w:highlight w:val="none"/>
          <w:u w:val="none"/>
          <w:lang w:eastAsia="zh-CN"/>
        </w:rPr>
      </w:pPr>
      <w:r>
        <w:rPr>
          <w:rFonts w:hint="eastAsia" w:ascii="宋体" w:hAnsi="宋体" w:cs="宋体"/>
          <w:color w:val="auto"/>
          <w:szCs w:val="21"/>
          <w:highlight w:val="none"/>
          <w:u w:val="none"/>
        </w:rPr>
        <w:t>项目联系方式：</w:t>
      </w:r>
      <w:r>
        <w:rPr>
          <w:rFonts w:hint="eastAsia" w:ascii="宋体" w:hAnsi="宋体"/>
          <w:color w:val="auto"/>
          <w:szCs w:val="21"/>
          <w:highlight w:val="none"/>
          <w:u w:val="none"/>
          <w:lang w:eastAsia="zh-CN"/>
        </w:rPr>
        <w:t>0775-6223661</w:t>
      </w:r>
    </w:p>
    <w:p w14:paraId="185CF333">
      <w:pPr>
        <w:spacing w:line="360" w:lineRule="auto"/>
        <w:ind w:firstLine="424" w:firstLineChars="202"/>
        <w:jc w:val="left"/>
        <w:rPr>
          <w:rFonts w:hint="eastAsia" w:ascii="宋体" w:hAnsi="宋体" w:cs="宋体"/>
          <w:color w:val="auto"/>
          <w:szCs w:val="21"/>
          <w:highlight w:val="none"/>
          <w:u w:val="none"/>
        </w:rPr>
      </w:pPr>
    </w:p>
    <w:p w14:paraId="33514647">
      <w:pPr>
        <w:spacing w:line="360" w:lineRule="auto"/>
        <w:ind w:firstLine="424" w:firstLineChars="202"/>
        <w:jc w:val="left"/>
        <w:rPr>
          <w:rFonts w:ascii="宋体" w:hAnsi="宋体"/>
          <w:color w:val="auto"/>
          <w:szCs w:val="21"/>
          <w:highlight w:val="none"/>
          <w:u w:val="none"/>
        </w:rPr>
      </w:pPr>
      <w:r>
        <w:rPr>
          <w:rFonts w:hint="eastAsia" w:ascii="宋体" w:hAnsi="宋体" w:cs="宋体"/>
          <w:color w:val="auto"/>
          <w:szCs w:val="21"/>
          <w:highlight w:val="none"/>
          <w:u w:val="none"/>
        </w:rPr>
        <w:t>2.采购代理机构信息</w:t>
      </w:r>
      <w:bookmarkEnd w:id="33"/>
      <w:bookmarkEnd w:id="34"/>
    </w:p>
    <w:p w14:paraId="6917A179">
      <w:pPr>
        <w:spacing w:line="360" w:lineRule="auto"/>
        <w:ind w:firstLine="424" w:firstLineChars="202"/>
        <w:rPr>
          <w:rFonts w:hint="eastAsia" w:ascii="宋体" w:hAnsi="宋体" w:cs="宋体"/>
          <w:color w:val="auto"/>
          <w:szCs w:val="21"/>
          <w:highlight w:val="none"/>
          <w:u w:val="none"/>
          <w:lang w:eastAsia="zh-CN"/>
        </w:rPr>
      </w:pPr>
      <w:r>
        <w:rPr>
          <w:rFonts w:hint="eastAsia" w:ascii="宋体" w:hAnsi="宋体"/>
          <w:color w:val="auto"/>
          <w:szCs w:val="21"/>
          <w:highlight w:val="none"/>
          <w:u w:val="none"/>
        </w:rPr>
        <w:t>名 称：</w:t>
      </w:r>
      <w:r>
        <w:rPr>
          <w:rFonts w:hint="eastAsia" w:ascii="宋体" w:hAnsi="宋体" w:cs="宋体"/>
          <w:color w:val="auto"/>
          <w:szCs w:val="21"/>
          <w:highlight w:val="none"/>
          <w:u w:val="none"/>
          <w:lang w:eastAsia="zh-CN"/>
        </w:rPr>
        <w:t>广西晨华工程咨询有限公司</w:t>
      </w:r>
    </w:p>
    <w:p w14:paraId="75D04AFA">
      <w:pPr>
        <w:spacing w:line="360" w:lineRule="auto"/>
        <w:ind w:firstLine="424" w:firstLineChars="202"/>
        <w:rPr>
          <w:rFonts w:hint="eastAsia" w:ascii="宋体" w:hAnsi="宋体" w:eastAsia="宋体"/>
          <w:color w:val="auto"/>
          <w:szCs w:val="21"/>
          <w:highlight w:val="none"/>
          <w:u w:val="none"/>
          <w:lang w:eastAsia="zh-CN"/>
        </w:rPr>
      </w:pPr>
      <w:r>
        <w:rPr>
          <w:rFonts w:hint="eastAsia" w:ascii="宋体" w:hAnsi="宋体"/>
          <w:color w:val="auto"/>
          <w:szCs w:val="21"/>
          <w:highlight w:val="none"/>
          <w:u w:val="none"/>
        </w:rPr>
        <w:t>地　址：</w:t>
      </w:r>
      <w:r>
        <w:rPr>
          <w:rFonts w:hint="eastAsia" w:ascii="宋体" w:hAnsi="宋体" w:cs="宋体"/>
          <w:color w:val="auto"/>
          <w:szCs w:val="21"/>
          <w:highlight w:val="none"/>
          <w:u w:val="none"/>
          <w:lang w:eastAsia="zh-CN"/>
        </w:rPr>
        <w:t>北流市天河广场背后丰顺路（40-15）</w:t>
      </w:r>
    </w:p>
    <w:p w14:paraId="2FEB367E">
      <w:pPr>
        <w:pStyle w:val="23"/>
        <w:spacing w:line="360" w:lineRule="auto"/>
        <w:ind w:firstLine="424" w:firstLineChars="202"/>
        <w:rPr>
          <w:rFonts w:hint="eastAsia" w:hAnsi="宋体" w:eastAsia="宋体"/>
          <w:color w:val="auto"/>
          <w:sz w:val="21"/>
          <w:highlight w:val="none"/>
          <w:u w:val="none"/>
          <w:lang w:eastAsia="zh-CN"/>
        </w:rPr>
      </w:pPr>
      <w:r>
        <w:rPr>
          <w:rFonts w:hint="eastAsia" w:hAnsi="宋体"/>
          <w:color w:val="auto"/>
          <w:sz w:val="21"/>
          <w:highlight w:val="none"/>
          <w:u w:val="none"/>
        </w:rPr>
        <w:t>项目联系人：</w:t>
      </w:r>
      <w:r>
        <w:rPr>
          <w:rFonts w:hint="eastAsia" w:hAnsi="宋体"/>
          <w:color w:val="auto"/>
          <w:sz w:val="21"/>
          <w:highlight w:val="none"/>
          <w:u w:val="none"/>
          <w:lang w:eastAsia="zh-CN"/>
        </w:rPr>
        <w:t>黄春夏</w:t>
      </w:r>
    </w:p>
    <w:p w14:paraId="6D963FD6">
      <w:pPr>
        <w:spacing w:line="360" w:lineRule="auto"/>
        <w:ind w:firstLine="424" w:firstLineChars="202"/>
        <w:rPr>
          <w:rFonts w:hint="eastAsia" w:ascii="宋体" w:hAnsi="宋体" w:eastAsia="宋体"/>
          <w:color w:val="auto"/>
          <w:szCs w:val="21"/>
          <w:highlight w:val="none"/>
          <w:u w:val="none"/>
          <w:lang w:eastAsia="zh-CN"/>
        </w:rPr>
      </w:pPr>
      <w:r>
        <w:rPr>
          <w:rFonts w:hint="eastAsia" w:ascii="宋体" w:hAnsi="宋体" w:cs="宋体"/>
          <w:color w:val="auto"/>
          <w:szCs w:val="21"/>
          <w:highlight w:val="none"/>
          <w:u w:val="none"/>
        </w:rPr>
        <w:t>项目联系方式：</w:t>
      </w:r>
      <w:r>
        <w:rPr>
          <w:rFonts w:hint="eastAsia" w:ascii="宋体" w:hAnsi="宋体" w:cs="宋体"/>
          <w:color w:val="auto"/>
          <w:szCs w:val="21"/>
          <w:highlight w:val="none"/>
          <w:u w:val="none"/>
          <w:lang w:eastAsia="zh-CN"/>
        </w:rPr>
        <w:t>0775-6208067</w:t>
      </w:r>
    </w:p>
    <w:p w14:paraId="381BDA32">
      <w:pPr>
        <w:spacing w:line="360" w:lineRule="auto"/>
        <w:rPr>
          <w:rFonts w:ascii="宋体" w:hAnsi="宋体"/>
          <w:color w:val="auto"/>
          <w:szCs w:val="21"/>
          <w:highlight w:val="none"/>
        </w:rPr>
      </w:pPr>
    </w:p>
    <w:p w14:paraId="1F8E87E8">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仿宋_GB2312" w:hAnsi="宋体" w:eastAsia="仿宋_GB2312"/>
          <w:color w:val="auto"/>
          <w:sz w:val="24"/>
          <w:szCs w:val="20"/>
          <w:highlight w:val="none"/>
        </w:rPr>
        <w:br w:type="page"/>
      </w:r>
      <w:bookmarkStart w:id="35" w:name="_Toc27979"/>
      <w:r>
        <w:rPr>
          <w:rFonts w:hint="eastAsia"/>
          <w:color w:val="auto"/>
          <w:highlight w:val="none"/>
        </w:rPr>
        <w:t>第二章  采购需求</w:t>
      </w:r>
      <w:bookmarkEnd w:id="35"/>
    </w:p>
    <w:p w14:paraId="3A009DA8">
      <w:pPr>
        <w:spacing w:line="360" w:lineRule="auto"/>
        <w:jc w:val="left"/>
        <w:rPr>
          <w:rFonts w:ascii="宋体" w:hAnsi="宋体" w:cs="宋体"/>
          <w:color w:val="auto"/>
          <w:szCs w:val="21"/>
          <w:highlight w:val="none"/>
        </w:rPr>
      </w:pPr>
      <w:bookmarkStart w:id="36" w:name="_Toc254970631"/>
      <w:bookmarkStart w:id="37" w:name="_Toc254970490"/>
    </w:p>
    <w:p w14:paraId="44AD0FB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E40EFF1">
      <w:pPr>
        <w:spacing w:line="360" w:lineRule="auto"/>
        <w:ind w:firstLine="420" w:firstLineChars="200"/>
        <w:jc w:val="left"/>
        <w:rPr>
          <w:color w:val="auto"/>
          <w:highlight w:val="none"/>
        </w:rPr>
      </w:pPr>
      <w:r>
        <w:rPr>
          <w:rFonts w:hint="eastAsia"/>
          <w:color w:val="auto"/>
          <w:highlight w:val="none"/>
        </w:rPr>
        <w:t>1. 为落实政府采购政策需满足的要求</w:t>
      </w:r>
    </w:p>
    <w:p w14:paraId="5C41D22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6429228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91F4E05">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100E4A4">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7A5044B6">
      <w:pPr>
        <w:spacing w:line="360" w:lineRule="auto"/>
        <w:ind w:firstLine="424" w:firstLineChars="202"/>
        <w:jc w:val="left"/>
        <w:rPr>
          <w:rStyle w:val="53"/>
          <w:color w:val="auto"/>
          <w:highlight w:val="none"/>
        </w:rPr>
      </w:pPr>
      <w:r>
        <w:rPr>
          <w:rFonts w:hint="eastAsia" w:ascii="宋体" w:hAnsi="宋体" w:cs="宋体"/>
          <w:color w:val="auto"/>
          <w:szCs w:val="21"/>
          <w:highlight w:val="none"/>
        </w:rPr>
        <w:t>4. 投标人应根据自身实际情况如实响应招标文件</w:t>
      </w:r>
      <w:r>
        <w:rPr>
          <w:rFonts w:hint="eastAsia" w:ascii="宋体" w:hAnsi="宋体"/>
          <w:color w:val="auto"/>
          <w:szCs w:val="21"/>
          <w:highlight w:val="none"/>
        </w:rPr>
        <w:t>，</w:t>
      </w:r>
      <w:r>
        <w:rPr>
          <w:rFonts w:hint="eastAsia" w:ascii="宋体" w:hAnsi="宋体" w:cs="宋体"/>
          <w:color w:val="auto"/>
          <w:sz w:val="21"/>
          <w:szCs w:val="21"/>
          <w:highlight w:val="none"/>
        </w:rPr>
        <w:t>对招标文件提出的要求和条件作出明确响应，</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7468F1DA">
      <w:pPr>
        <w:spacing w:line="360" w:lineRule="auto"/>
        <w:ind w:firstLine="308" w:firstLineChars="147"/>
        <w:jc w:val="left"/>
        <w:rPr>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color w:val="auto"/>
          <w:highlight w:val="none"/>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p>
    <w:p w14:paraId="79131C39">
      <w:pPr>
        <w:spacing w:line="360" w:lineRule="auto"/>
        <w:ind w:firstLine="310" w:firstLineChars="147"/>
        <w:jc w:val="left"/>
        <w:rPr>
          <w:rFonts w:ascii="宋体" w:hAnsi="宋体" w:cs="宋体"/>
          <w:b/>
          <w:bCs/>
          <w:color w:val="auto"/>
          <w:szCs w:val="21"/>
          <w:highlight w:val="none"/>
        </w:rPr>
      </w:pPr>
      <w:r>
        <w:rPr>
          <w:rFonts w:hint="eastAsia" w:ascii="宋体" w:hAnsi="宋体" w:cs="宋体"/>
          <w:b/>
          <w:bCs/>
          <w:color w:val="auto"/>
          <w:szCs w:val="21"/>
          <w:highlight w:val="none"/>
        </w:rPr>
        <w:t>6.标记“■”号为重要要求，未标注符号为普通技术参数，标记“■”号和未标注符号的技术参数为非实质性参数，不满足仅作扣分处理。非实质性技术参数允许发生负偏离或不响应2项。发生负偏离或不响应达3项（含）以上的，投标无效。</w:t>
      </w:r>
    </w:p>
    <w:p w14:paraId="6D2EA36D">
      <w:pPr>
        <w:spacing w:line="360" w:lineRule="auto"/>
        <w:ind w:firstLine="308" w:firstLineChars="147"/>
        <w:jc w:val="left"/>
        <w:rPr>
          <w:rFonts w:hint="eastAsia" w:ascii="宋体" w:hAnsi="宋体" w:cs="宋体"/>
          <w:color w:val="auto"/>
          <w:szCs w:val="21"/>
          <w:highlight w:val="none"/>
        </w:rPr>
      </w:pPr>
      <w:r>
        <w:rPr>
          <w:rFonts w:hint="eastAsia" w:ascii="宋体" w:hAnsi="宋体" w:cs="宋体"/>
          <w:color w:val="auto"/>
          <w:szCs w:val="21"/>
          <w:highlight w:val="none"/>
        </w:rPr>
        <w:t>7.实质性参数、重要参数如注明需提供证明材料的：供应商应提供盖章扫描件等证明材料，</w:t>
      </w:r>
      <w:r>
        <w:rPr>
          <w:rFonts w:hint="eastAsia" w:ascii="宋体" w:hAnsi="宋体" w:cs="宋体"/>
          <w:b/>
          <w:bCs/>
          <w:color w:val="auto"/>
          <w:szCs w:val="21"/>
          <w:highlight w:val="none"/>
        </w:rPr>
        <w:t>否则评标委员会将可能不予认可，并按照负偏离认定</w:t>
      </w:r>
      <w:r>
        <w:rPr>
          <w:rFonts w:hint="eastAsia" w:ascii="宋体" w:hAnsi="宋体" w:cs="宋体"/>
          <w:color w:val="auto"/>
          <w:szCs w:val="21"/>
          <w:highlight w:val="none"/>
        </w:rPr>
        <w:t>。</w:t>
      </w:r>
    </w:p>
    <w:p w14:paraId="41B067C0">
      <w:pPr>
        <w:spacing w:line="360" w:lineRule="auto"/>
        <w:jc w:val="left"/>
        <w:rPr>
          <w:rFonts w:hint="eastAsia" w:ascii="宋体" w:hAnsi="宋体" w:eastAsia="宋体" w:cs="宋体"/>
          <w:b/>
          <w:bCs/>
          <w:color w:val="auto"/>
          <w:spacing w:val="0"/>
          <w:w w:val="100"/>
          <w:kern w:val="0"/>
          <w:sz w:val="21"/>
          <w:szCs w:val="21"/>
          <w:highlight w:val="none"/>
          <w:lang w:val="en-US" w:eastAsia="zh-CN" w:bidi="ar-SA"/>
        </w:rPr>
      </w:pPr>
      <w:r>
        <w:rPr>
          <w:rFonts w:hint="eastAsia" w:ascii="宋体" w:hAnsi="宋体"/>
          <w:b/>
          <w:color w:val="auto"/>
          <w:szCs w:val="21"/>
          <w:highlight w:val="none"/>
        </w:rPr>
        <w:t xml:space="preserve"> 采购预算：</w:t>
      </w:r>
      <w:r>
        <w:rPr>
          <w:rFonts w:hint="eastAsia" w:ascii="宋体" w:hAnsi="宋体" w:eastAsia="宋体" w:cs="宋体"/>
          <w:b/>
          <w:bCs/>
          <w:color w:val="auto"/>
          <w:spacing w:val="0"/>
          <w:w w:val="100"/>
          <w:kern w:val="0"/>
          <w:sz w:val="21"/>
          <w:szCs w:val="21"/>
          <w:highlight w:val="none"/>
          <w:u w:val="single"/>
          <w:lang w:val="en-US" w:eastAsia="zh-CN" w:bidi="ar-SA"/>
        </w:rPr>
        <w:t>16711260.00元（注：5570420.00元/年，服务期限3年）</w:t>
      </w:r>
    </w:p>
    <w:tbl>
      <w:tblPr>
        <w:tblStyle w:val="44"/>
        <w:tblW w:w="10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193"/>
        <w:gridCol w:w="886"/>
        <w:gridCol w:w="987"/>
        <w:gridCol w:w="6539"/>
      </w:tblGrid>
      <w:tr w14:paraId="06467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31407C04">
            <w:pPr>
              <w:tabs>
                <w:tab w:val="left" w:pos="180"/>
                <w:tab w:val="left" w:pos="1620"/>
              </w:tabs>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193" w:type="dxa"/>
            <w:vAlign w:val="center"/>
          </w:tcPr>
          <w:p w14:paraId="11E28331">
            <w:pPr>
              <w:tabs>
                <w:tab w:val="left" w:pos="180"/>
                <w:tab w:val="left" w:pos="1620"/>
              </w:tabs>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标的的名称</w:t>
            </w:r>
          </w:p>
        </w:tc>
        <w:tc>
          <w:tcPr>
            <w:tcW w:w="886" w:type="dxa"/>
            <w:vAlign w:val="center"/>
          </w:tcPr>
          <w:p w14:paraId="39CFAB32">
            <w:pPr>
              <w:tabs>
                <w:tab w:val="left" w:pos="180"/>
                <w:tab w:val="left" w:pos="1620"/>
              </w:tabs>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数量及</w:t>
            </w:r>
          </w:p>
          <w:p w14:paraId="6EE76013">
            <w:pPr>
              <w:tabs>
                <w:tab w:val="left" w:pos="180"/>
                <w:tab w:val="left" w:pos="1620"/>
              </w:tabs>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987" w:type="dxa"/>
            <w:vAlign w:val="center"/>
          </w:tcPr>
          <w:p w14:paraId="3D5D9A9C">
            <w:pPr>
              <w:tabs>
                <w:tab w:val="left" w:pos="180"/>
                <w:tab w:val="left" w:pos="1620"/>
              </w:tabs>
              <w:spacing w:line="360" w:lineRule="auto"/>
              <w:jc w:val="center"/>
              <w:rPr>
                <w:rFonts w:ascii="宋体" w:hAnsi="宋体" w:cs="宋体"/>
                <w:color w:val="auto"/>
                <w:sz w:val="21"/>
                <w:szCs w:val="21"/>
                <w:highlight w:val="none"/>
              </w:rPr>
            </w:pPr>
            <w:r>
              <w:rPr>
                <w:rFonts w:hint="eastAsia" w:ascii="宋体" w:hAnsi="宋体" w:cs="Arial"/>
                <w:color w:val="auto"/>
                <w:sz w:val="21"/>
                <w:szCs w:val="21"/>
                <w:highlight w:val="none"/>
              </w:rPr>
              <w:t>所属行业</w:t>
            </w:r>
          </w:p>
        </w:tc>
        <w:tc>
          <w:tcPr>
            <w:tcW w:w="6539" w:type="dxa"/>
            <w:vAlign w:val="center"/>
          </w:tcPr>
          <w:p w14:paraId="4B01271E">
            <w:pPr>
              <w:tabs>
                <w:tab w:val="left" w:pos="180"/>
                <w:tab w:val="left" w:pos="1620"/>
              </w:tabs>
              <w:spacing w:line="360" w:lineRule="auto"/>
              <w:jc w:val="center"/>
              <w:rPr>
                <w:rFonts w:ascii="宋体" w:hAnsi="宋体" w:cs="宋体"/>
                <w:color w:val="auto"/>
                <w:sz w:val="21"/>
                <w:szCs w:val="21"/>
                <w:highlight w:val="none"/>
              </w:rPr>
            </w:pPr>
            <w:r>
              <w:rPr>
                <w:rFonts w:hint="eastAsia" w:ascii="宋体" w:hAnsi="宋体"/>
                <w:color w:val="auto"/>
                <w:sz w:val="21"/>
                <w:szCs w:val="21"/>
                <w:highlight w:val="none"/>
                <w:lang w:val="en-US" w:eastAsia="zh-CN"/>
              </w:rPr>
              <w:t>服务参数</w:t>
            </w:r>
            <w:r>
              <w:rPr>
                <w:rFonts w:hint="eastAsia" w:ascii="宋体" w:hAnsi="宋体"/>
                <w:color w:val="auto"/>
                <w:sz w:val="21"/>
                <w:szCs w:val="21"/>
                <w:highlight w:val="none"/>
              </w:rPr>
              <w:t>要求</w:t>
            </w:r>
          </w:p>
        </w:tc>
      </w:tr>
      <w:tr w14:paraId="151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8" w:type="dxa"/>
            <w:vAlign w:val="center"/>
          </w:tcPr>
          <w:p w14:paraId="588C6E9A">
            <w:pPr>
              <w:tabs>
                <w:tab w:val="left" w:pos="180"/>
                <w:tab w:val="left" w:pos="1620"/>
              </w:tabs>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193" w:type="dxa"/>
            <w:vAlign w:val="center"/>
          </w:tcPr>
          <w:p w14:paraId="1E7BE390">
            <w:pPr>
              <w:tabs>
                <w:tab w:val="left" w:pos="180"/>
                <w:tab w:val="left" w:pos="162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北流市大里镇、新圩镇、西埌镇、隆盛镇、民乐镇等5个镇级污水处理设施（含泵站、污水管网）运营维护</w:t>
            </w:r>
          </w:p>
        </w:tc>
        <w:tc>
          <w:tcPr>
            <w:tcW w:w="886" w:type="dxa"/>
            <w:vAlign w:val="center"/>
          </w:tcPr>
          <w:p w14:paraId="11D5C815">
            <w:pPr>
              <w:tabs>
                <w:tab w:val="left" w:pos="180"/>
                <w:tab w:val="left" w:pos="1620"/>
              </w:tabs>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w:t>
            </w:r>
          </w:p>
        </w:tc>
        <w:tc>
          <w:tcPr>
            <w:tcW w:w="987" w:type="dxa"/>
            <w:vAlign w:val="center"/>
          </w:tcPr>
          <w:p w14:paraId="51698D04">
            <w:pPr>
              <w:pStyle w:val="15"/>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其他未列明行业</w:t>
            </w:r>
          </w:p>
        </w:tc>
        <w:tc>
          <w:tcPr>
            <w:tcW w:w="6539" w:type="dxa"/>
            <w:vAlign w:val="center"/>
          </w:tcPr>
          <w:p w14:paraId="3E748D5C">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val="en-US" w:eastAsia="zh-CN"/>
              </w:rPr>
            </w:pPr>
            <w:r>
              <w:rPr>
                <w:rFonts w:hint="eastAsia" w:ascii="宋体" w:hAnsi="宋体" w:eastAsia="宋体" w:cs="宋体"/>
                <w:b/>
                <w:bCs/>
                <w:color w:val="auto"/>
                <w:spacing w:val="0"/>
                <w:w w:val="100"/>
                <w:sz w:val="21"/>
                <w:szCs w:val="21"/>
                <w:highlight w:val="none"/>
                <w:lang w:val="en-US" w:eastAsia="zh-CN"/>
              </w:rPr>
              <w:t>一、项目概况</w:t>
            </w:r>
          </w:p>
          <w:p w14:paraId="0C5299CC">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0" w:firstLineChars="200"/>
              <w:jc w:val="both"/>
              <w:textAlignment w:val="auto"/>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大里镇、新圩镇、西埌镇、隆盛镇、民乐镇污水处理厂及配套管网工程项目，合计生活污水处理规模为8500m³／日，配套管网总长</w:t>
            </w:r>
            <w:r>
              <w:rPr>
                <w:rFonts w:hint="eastAsia" w:ascii="宋体" w:hAnsi="宋体" w:eastAsia="宋体" w:cs="宋体"/>
                <w:color w:val="auto"/>
                <w:spacing w:val="0"/>
                <w:w w:val="100"/>
                <w:sz w:val="21"/>
                <w:szCs w:val="21"/>
                <w:highlight w:val="none"/>
                <w:lang w:val="en-US" w:eastAsia="zh-CN"/>
              </w:rPr>
              <w:t>约为29.421公里</w:t>
            </w:r>
            <w:r>
              <w:rPr>
                <w:rFonts w:hint="eastAsia" w:ascii="宋体" w:hAnsi="宋体" w:eastAsia="宋体" w:cs="宋体"/>
                <w:b w:val="0"/>
                <w:bCs w:val="0"/>
                <w:color w:val="auto"/>
                <w:spacing w:val="0"/>
                <w:w w:val="100"/>
                <w:sz w:val="21"/>
                <w:szCs w:val="21"/>
                <w:highlight w:val="none"/>
                <w:lang w:val="en-US" w:eastAsia="zh-CN"/>
              </w:rPr>
              <w:t>，配套的一体化污水提升泵站共3座（新圩1座、隆盛2座）。</w:t>
            </w:r>
          </w:p>
          <w:p w14:paraId="4F3B3883">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val="en-US" w:eastAsia="zh-CN"/>
              </w:rPr>
            </w:pPr>
            <w:r>
              <w:rPr>
                <w:rFonts w:hint="eastAsia" w:ascii="宋体" w:hAnsi="宋体" w:eastAsia="宋体" w:cs="宋体"/>
                <w:b/>
                <w:bCs/>
                <w:color w:val="auto"/>
                <w:spacing w:val="0"/>
                <w:w w:val="100"/>
                <w:sz w:val="21"/>
                <w:szCs w:val="21"/>
                <w:highlight w:val="none"/>
                <w:lang w:val="en-US" w:eastAsia="zh-CN"/>
              </w:rPr>
              <w:t>二、服务内容</w:t>
            </w:r>
          </w:p>
          <w:p w14:paraId="3D9789AF">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lang w:val="en-US" w:eastAsia="zh-CN"/>
              </w:rPr>
              <w:t>1.</w:t>
            </w:r>
            <w:r>
              <w:rPr>
                <w:rFonts w:hint="eastAsia" w:ascii="宋体" w:hAnsi="宋体" w:eastAsia="宋体" w:cs="宋体"/>
                <w:b/>
                <w:bCs/>
                <w:color w:val="auto"/>
                <w:spacing w:val="0"/>
                <w:w w:val="100"/>
                <w:sz w:val="21"/>
                <w:szCs w:val="21"/>
                <w:highlight w:val="none"/>
                <w:lang w:eastAsia="zh-CN"/>
              </w:rPr>
              <w:t>镇级污水处理厂的运营维护。</w:t>
            </w:r>
          </w:p>
          <w:p w14:paraId="3C6A6E36">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z w:val="21"/>
                <w:szCs w:val="21"/>
                <w:highlight w:val="none"/>
                <w:lang w:eastAsia="zh-CN"/>
              </w:rPr>
              <w:t>大里镇、新圩镇、西埌镇、隆盛镇、民乐镇等</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个</w:t>
            </w:r>
            <w:r>
              <w:rPr>
                <w:rFonts w:hint="eastAsia" w:ascii="宋体" w:hAnsi="宋体" w:eastAsia="宋体" w:cs="宋体"/>
                <w:color w:val="auto"/>
                <w:spacing w:val="0"/>
                <w:w w:val="100"/>
                <w:sz w:val="21"/>
                <w:szCs w:val="21"/>
                <w:highlight w:val="none"/>
                <w:lang w:eastAsia="zh-CN"/>
              </w:rPr>
              <w:t>污水处理厂厂内所有设备设施、生产工艺管理、设备管理、安全管理、现场管理等与该项目生产经营活动有关的事项。具体包括：</w:t>
            </w:r>
          </w:p>
          <w:p w14:paraId="7DBEE2A8">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eastAsia="zh-CN"/>
              </w:rPr>
              <w:t>）污水处理厂厂区内工艺、设备、设施、安全、现场卫生等事项的运营管理。</w:t>
            </w:r>
          </w:p>
          <w:p w14:paraId="4438F190">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lang w:eastAsia="zh-CN"/>
              </w:rPr>
              <w:t>）承担污水厂运营产生的水电费、药剂费、化验费、污泥处置费、</w:t>
            </w:r>
            <w:r>
              <w:rPr>
                <w:rFonts w:hint="eastAsia" w:ascii="宋体" w:hAnsi="宋体" w:eastAsia="宋体" w:cs="宋体"/>
                <w:color w:val="auto"/>
                <w:spacing w:val="0"/>
                <w:w w:val="100"/>
                <w:sz w:val="21"/>
                <w:szCs w:val="21"/>
                <w:highlight w:val="none"/>
                <w:lang w:val="en-US" w:eastAsia="zh-CN"/>
              </w:rPr>
              <w:t>数据网络费、压泥车日常维护费（含保险、年检、加油、维修等）</w:t>
            </w:r>
            <w:r>
              <w:rPr>
                <w:rFonts w:hint="eastAsia" w:ascii="宋体" w:hAnsi="宋体" w:eastAsia="宋体" w:cs="宋体"/>
                <w:color w:val="auto"/>
                <w:spacing w:val="0"/>
                <w:w w:val="100"/>
                <w:sz w:val="21"/>
                <w:szCs w:val="21"/>
                <w:highlight w:val="none"/>
                <w:lang w:eastAsia="zh-CN"/>
              </w:rPr>
              <w:t>等有关费用。</w:t>
            </w:r>
          </w:p>
          <w:p w14:paraId="41A3A1F1">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lang w:val="en-US" w:eastAsia="zh-CN"/>
              </w:rPr>
              <w:t>2.</w:t>
            </w:r>
            <w:r>
              <w:rPr>
                <w:rFonts w:hint="eastAsia" w:ascii="宋体" w:hAnsi="宋体" w:eastAsia="宋体" w:cs="宋体"/>
                <w:b/>
                <w:bCs/>
                <w:color w:val="auto"/>
                <w:spacing w:val="0"/>
                <w:w w:val="100"/>
                <w:sz w:val="21"/>
                <w:szCs w:val="21"/>
                <w:highlight w:val="none"/>
                <w:lang w:eastAsia="zh-CN"/>
              </w:rPr>
              <w:t>配套污水收集管网巡查、清淤维护。</w:t>
            </w:r>
          </w:p>
          <w:p w14:paraId="46C6B07E">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eastAsia="zh-CN"/>
              </w:rPr>
              <w:t>）配套的污水收集管网及其检查井的日常巡视、维护、安全设施养护等工作。</w:t>
            </w:r>
          </w:p>
          <w:p w14:paraId="3D32227C">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lang w:eastAsia="zh-CN"/>
              </w:rPr>
              <w:t>）配套管网内沉积淤泥、砂石板结块等清理、配套检查井、沉砂井内的垃圾、沉砂、淤泥清运等工作。</w:t>
            </w:r>
            <w:r>
              <w:rPr>
                <w:rFonts w:hint="eastAsia" w:ascii="宋体" w:hAnsi="宋体" w:eastAsia="宋体" w:cs="宋体"/>
                <w:color w:val="auto"/>
                <w:spacing w:val="0"/>
                <w:w w:val="100"/>
                <w:sz w:val="21"/>
                <w:szCs w:val="21"/>
                <w:highlight w:val="none"/>
                <w:lang w:val="en-US" w:eastAsia="zh-CN"/>
              </w:rPr>
              <w:t>包括</w:t>
            </w:r>
            <w:r>
              <w:rPr>
                <w:rFonts w:hint="eastAsia" w:ascii="宋体" w:hAnsi="宋体" w:eastAsia="宋体" w:cs="宋体"/>
                <w:color w:val="auto"/>
                <w:spacing w:val="0"/>
                <w:w w:val="100"/>
                <w:sz w:val="21"/>
                <w:szCs w:val="21"/>
                <w:highlight w:val="none"/>
                <w:lang w:eastAsia="zh-CN"/>
              </w:rPr>
              <w:t>地基沉降、车辆过载等原因导致的污水管网破</w:t>
            </w:r>
            <w:r>
              <w:rPr>
                <w:rFonts w:hint="eastAsia" w:ascii="宋体" w:hAnsi="宋体" w:eastAsia="宋体" w:cs="宋体"/>
                <w:color w:val="auto"/>
                <w:spacing w:val="0"/>
                <w:w w:val="100"/>
                <w:sz w:val="21"/>
                <w:szCs w:val="21"/>
                <w:highlight w:val="none"/>
                <w:lang w:val="en-US" w:eastAsia="zh-CN"/>
              </w:rPr>
              <w:t>裂</w:t>
            </w:r>
            <w:r>
              <w:rPr>
                <w:rFonts w:hint="eastAsia" w:ascii="宋体" w:hAnsi="宋体" w:eastAsia="宋体" w:cs="宋体"/>
                <w:color w:val="auto"/>
                <w:spacing w:val="0"/>
                <w:w w:val="100"/>
                <w:sz w:val="21"/>
                <w:szCs w:val="21"/>
                <w:highlight w:val="none"/>
                <w:lang w:eastAsia="zh-CN"/>
              </w:rPr>
              <w:t>、断管，必须进行开挖施工或采用非开槽施工技术进行换新管的</w:t>
            </w:r>
            <w:r>
              <w:rPr>
                <w:rFonts w:hint="eastAsia" w:ascii="宋体" w:hAnsi="宋体" w:eastAsia="宋体" w:cs="宋体"/>
                <w:b/>
                <w:bCs/>
                <w:color w:val="auto"/>
                <w:spacing w:val="0"/>
                <w:w w:val="100"/>
                <w:sz w:val="21"/>
                <w:szCs w:val="21"/>
                <w:highlight w:val="none"/>
                <w:u w:val="single"/>
                <w:lang w:val="en-US" w:eastAsia="zh-CN"/>
              </w:rPr>
              <w:t>一般性修复（单次金额10000元以下，含10000元）。超出一般性修复的较大工程（单次金额为10000元以上）</w:t>
            </w:r>
            <w:r>
              <w:rPr>
                <w:rFonts w:hint="eastAsia" w:ascii="宋体" w:hAnsi="宋体" w:eastAsia="宋体" w:cs="宋体"/>
                <w:color w:val="auto"/>
                <w:spacing w:val="0"/>
                <w:w w:val="100"/>
                <w:sz w:val="21"/>
                <w:szCs w:val="21"/>
                <w:highlight w:val="none"/>
                <w:lang w:eastAsia="zh-CN"/>
              </w:rPr>
              <w:t>不属于委托范围，若发生此项情况，由运营单位提出修复</w:t>
            </w:r>
            <w:r>
              <w:rPr>
                <w:rFonts w:hint="eastAsia" w:ascii="宋体" w:hAnsi="宋体" w:eastAsia="宋体" w:cs="宋体"/>
                <w:color w:val="auto"/>
                <w:spacing w:val="0"/>
                <w:w w:val="100"/>
                <w:sz w:val="21"/>
                <w:szCs w:val="21"/>
                <w:highlight w:val="none"/>
                <w:lang w:val="en-US" w:eastAsia="zh-CN"/>
              </w:rPr>
              <w:t>方案</w:t>
            </w:r>
            <w:r>
              <w:rPr>
                <w:rFonts w:hint="eastAsia" w:ascii="宋体" w:hAnsi="宋体" w:eastAsia="宋体" w:cs="宋体"/>
                <w:color w:val="auto"/>
                <w:spacing w:val="0"/>
                <w:w w:val="100"/>
                <w:sz w:val="21"/>
                <w:szCs w:val="21"/>
                <w:highlight w:val="none"/>
                <w:lang w:eastAsia="zh-CN"/>
              </w:rPr>
              <w:t>并报告项目业主，</w:t>
            </w:r>
            <w:r>
              <w:rPr>
                <w:rFonts w:hint="eastAsia" w:ascii="宋体" w:hAnsi="宋体" w:eastAsia="宋体" w:cs="宋体"/>
                <w:b/>
                <w:bCs/>
                <w:color w:val="auto"/>
                <w:spacing w:val="0"/>
                <w:w w:val="100"/>
                <w:sz w:val="21"/>
                <w:szCs w:val="21"/>
                <w:highlight w:val="none"/>
                <w:u w:val="single"/>
                <w:lang w:val="en-US" w:eastAsia="zh-CN"/>
              </w:rPr>
              <w:t>经业主同意由运营单位先行出资垫付修复，所需费用随运营费用一起申请</w:t>
            </w:r>
            <w:r>
              <w:rPr>
                <w:rFonts w:hint="eastAsia" w:ascii="宋体" w:hAnsi="宋体" w:eastAsia="宋体" w:cs="宋体"/>
                <w:color w:val="auto"/>
                <w:spacing w:val="0"/>
                <w:w w:val="100"/>
                <w:sz w:val="21"/>
                <w:szCs w:val="21"/>
                <w:highlight w:val="none"/>
                <w:u w:val="single"/>
                <w:lang w:eastAsia="zh-CN"/>
              </w:rPr>
              <w:t>。</w:t>
            </w:r>
          </w:p>
          <w:p w14:paraId="4DD97DE2">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lang w:val="en-US" w:eastAsia="zh-CN"/>
              </w:rPr>
              <w:t>3.</w:t>
            </w:r>
            <w:r>
              <w:rPr>
                <w:rFonts w:hint="eastAsia" w:ascii="宋体" w:hAnsi="宋体" w:eastAsia="宋体" w:cs="宋体"/>
                <w:b/>
                <w:bCs/>
                <w:color w:val="auto"/>
                <w:spacing w:val="0"/>
                <w:w w:val="100"/>
                <w:sz w:val="21"/>
                <w:szCs w:val="21"/>
                <w:highlight w:val="none"/>
                <w:lang w:eastAsia="zh-CN"/>
              </w:rPr>
              <w:t>中途污水提升泵站巡查维护。</w:t>
            </w:r>
          </w:p>
          <w:p w14:paraId="70DCE103">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eastAsia="zh-CN"/>
              </w:rPr>
              <w:t>）污水提升泵站的设备、设施、安全、现场卫生等事项的运营管理。</w:t>
            </w:r>
          </w:p>
          <w:p w14:paraId="4D02AD91">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lang w:eastAsia="zh-CN"/>
              </w:rPr>
              <w:t>）污水提升泵站的运行与维护记录。</w:t>
            </w:r>
          </w:p>
          <w:p w14:paraId="7F946058">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lang w:eastAsia="zh-CN"/>
              </w:rPr>
              <w:t>）承担污水提升泵站运行产生的电费、用电设施（电箱、电线等）及设备修理费等费用</w:t>
            </w:r>
            <w:r>
              <w:rPr>
                <w:rFonts w:hint="eastAsia" w:ascii="宋体" w:hAnsi="宋体" w:cs="宋体"/>
                <w:color w:val="auto"/>
                <w:spacing w:val="0"/>
                <w:w w:val="100"/>
                <w:sz w:val="21"/>
                <w:szCs w:val="21"/>
                <w:highlight w:val="none"/>
                <w:lang w:eastAsia="zh-CN"/>
              </w:rPr>
              <w:t>。</w:t>
            </w:r>
            <w:r>
              <w:rPr>
                <w:rFonts w:hint="eastAsia" w:ascii="宋体" w:hAnsi="宋体" w:cs="宋体"/>
                <w:color w:val="auto"/>
                <w:spacing w:val="0"/>
                <w:w w:val="100"/>
                <w:sz w:val="21"/>
                <w:szCs w:val="21"/>
                <w:highlight w:val="none"/>
                <w:lang w:val="en-US" w:eastAsia="zh-CN"/>
              </w:rPr>
              <w:t>设备维修或更换费用</w:t>
            </w:r>
            <w:r>
              <w:rPr>
                <w:rFonts w:hint="eastAsia" w:ascii="宋体" w:hAnsi="宋体" w:cs="宋体"/>
                <w:color w:val="auto"/>
                <w:spacing w:val="0"/>
                <w:w w:val="100"/>
                <w:sz w:val="21"/>
                <w:szCs w:val="21"/>
                <w:highlight w:val="none"/>
                <w:lang w:eastAsia="zh-CN"/>
              </w:rPr>
              <w:t>单次单项金额在10000元以下的（含10000元），由运营单位负责；单次单项维修或更换金额在10000元以上的由业主负责，若发生此项情况，由运营单位提出维修或更换方案并报告项目业主，经业主同意由运营单位先行出资垫付维修及更换，所需费用随运营费用一起申请</w:t>
            </w:r>
            <w:r>
              <w:rPr>
                <w:rFonts w:hint="eastAsia" w:ascii="宋体" w:hAnsi="宋体" w:eastAsia="宋体" w:cs="宋体"/>
                <w:color w:val="auto"/>
                <w:spacing w:val="0"/>
                <w:w w:val="100"/>
                <w:sz w:val="21"/>
                <w:szCs w:val="21"/>
                <w:highlight w:val="none"/>
                <w:lang w:eastAsia="zh-CN"/>
              </w:rPr>
              <w:t>。</w:t>
            </w:r>
          </w:p>
          <w:p w14:paraId="5262FA56">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u w:val="single"/>
                <w:lang w:val="en-US" w:eastAsia="zh-CN"/>
              </w:rPr>
            </w:pPr>
            <w:r>
              <w:rPr>
                <w:rFonts w:hint="eastAsia" w:ascii="宋体" w:hAnsi="宋体" w:eastAsia="宋体" w:cs="宋体"/>
                <w:b/>
                <w:bCs/>
                <w:color w:val="auto"/>
                <w:spacing w:val="0"/>
                <w:w w:val="100"/>
                <w:sz w:val="21"/>
                <w:szCs w:val="21"/>
                <w:highlight w:val="none"/>
                <w:u w:val="single"/>
                <w:lang w:eastAsia="zh-CN"/>
              </w:rPr>
              <w:t>（</w:t>
            </w:r>
            <w:r>
              <w:rPr>
                <w:rFonts w:hint="eastAsia" w:ascii="宋体" w:hAnsi="宋体" w:eastAsia="宋体" w:cs="宋体"/>
                <w:b/>
                <w:bCs/>
                <w:color w:val="auto"/>
                <w:spacing w:val="0"/>
                <w:w w:val="100"/>
                <w:sz w:val="21"/>
                <w:szCs w:val="21"/>
                <w:highlight w:val="none"/>
                <w:u w:val="single"/>
                <w:lang w:val="en-US" w:eastAsia="zh-CN"/>
              </w:rPr>
              <w:t>4</w:t>
            </w:r>
            <w:r>
              <w:rPr>
                <w:rFonts w:hint="eastAsia" w:ascii="宋体" w:hAnsi="宋体" w:eastAsia="宋体" w:cs="宋体"/>
                <w:b/>
                <w:bCs/>
                <w:color w:val="auto"/>
                <w:spacing w:val="0"/>
                <w:w w:val="100"/>
                <w:sz w:val="21"/>
                <w:szCs w:val="21"/>
                <w:highlight w:val="none"/>
                <w:u w:val="single"/>
                <w:lang w:eastAsia="zh-CN"/>
              </w:rPr>
              <w:t>）</w:t>
            </w:r>
            <w:r>
              <w:rPr>
                <w:rFonts w:hint="eastAsia" w:ascii="宋体" w:hAnsi="宋体" w:eastAsia="宋体" w:cs="宋体"/>
                <w:b/>
                <w:bCs/>
                <w:color w:val="auto"/>
                <w:spacing w:val="0"/>
                <w:w w:val="100"/>
                <w:sz w:val="21"/>
                <w:szCs w:val="21"/>
                <w:highlight w:val="none"/>
                <w:u w:val="single"/>
                <w:lang w:val="en-US" w:eastAsia="zh-CN"/>
              </w:rPr>
              <w:t>新建配套污水处理厂智慧运维管理云平台。</w:t>
            </w:r>
          </w:p>
          <w:p w14:paraId="408DEBE8">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2"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u w:val="single"/>
                <w:lang w:val="en-US" w:eastAsia="zh-CN"/>
              </w:rPr>
              <w:t>为加强我市生活污水处理设施运行的监督管理，建立环境综合整治项目管理长效机制，切实促进水环境质量改善提升，同时响应国家人工智能与智慧水务建设运维的趋势导向，实现运维规范化、精细化、智慧化。在招标完成后，由中标公司自行出资（在1个月内）完成智慧运维管理云平台系统的建设安装，并开放端口交付业主使用。智慧运维管理云平台的日常维护所需的一切费用由中标公司负责。</w:t>
            </w:r>
          </w:p>
          <w:p w14:paraId="559C7934">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val="en-US" w:eastAsia="zh-CN"/>
              </w:rPr>
            </w:pPr>
            <w:r>
              <w:rPr>
                <w:rFonts w:hint="eastAsia" w:ascii="宋体" w:hAnsi="宋体" w:eastAsia="宋体" w:cs="宋体"/>
                <w:b/>
                <w:bCs/>
                <w:color w:val="auto"/>
                <w:spacing w:val="0"/>
                <w:w w:val="100"/>
                <w:sz w:val="21"/>
                <w:szCs w:val="21"/>
                <w:highlight w:val="none"/>
                <w:lang w:val="en-US" w:eastAsia="zh-CN"/>
              </w:rPr>
              <w:t>三、服务要求</w:t>
            </w:r>
          </w:p>
          <w:p w14:paraId="7588DDC1">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lang w:val="en-US" w:eastAsia="zh-CN"/>
              </w:rPr>
              <w:t>1.</w:t>
            </w:r>
            <w:r>
              <w:rPr>
                <w:rFonts w:hint="eastAsia" w:ascii="宋体" w:hAnsi="宋体" w:eastAsia="宋体" w:cs="宋体"/>
                <w:b/>
                <w:bCs/>
                <w:color w:val="auto"/>
                <w:spacing w:val="0"/>
                <w:w w:val="100"/>
                <w:sz w:val="21"/>
                <w:szCs w:val="21"/>
                <w:highlight w:val="none"/>
                <w:lang w:eastAsia="zh-CN"/>
              </w:rPr>
              <w:t>厂区人员配置</w:t>
            </w:r>
            <w:r>
              <w:rPr>
                <w:rFonts w:hint="eastAsia" w:ascii="宋体" w:hAnsi="宋体" w:eastAsia="宋体" w:cs="宋体"/>
                <w:b/>
                <w:bCs/>
                <w:color w:val="auto"/>
                <w:spacing w:val="0"/>
                <w:w w:val="100"/>
                <w:sz w:val="21"/>
                <w:szCs w:val="21"/>
                <w:highlight w:val="none"/>
                <w:lang w:val="en-US" w:eastAsia="zh-CN"/>
              </w:rPr>
              <w:t>15</w:t>
            </w:r>
            <w:r>
              <w:rPr>
                <w:rFonts w:hint="eastAsia" w:ascii="宋体" w:hAnsi="宋体" w:eastAsia="宋体" w:cs="宋体"/>
                <w:b/>
                <w:bCs/>
                <w:color w:val="auto"/>
                <w:spacing w:val="0"/>
                <w:w w:val="100"/>
                <w:sz w:val="21"/>
                <w:szCs w:val="21"/>
                <w:highlight w:val="none"/>
                <w:lang w:eastAsia="zh-CN"/>
              </w:rPr>
              <w:t>人。</w:t>
            </w:r>
          </w:p>
          <w:p w14:paraId="4AA7736F">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一是第三方运营单位需设置北流项目运营管理部，由部长1人、</w:t>
            </w:r>
            <w:r>
              <w:rPr>
                <w:rFonts w:hint="eastAsia" w:ascii="宋体" w:hAnsi="宋体" w:eastAsia="宋体" w:cs="宋体"/>
                <w:color w:val="auto"/>
                <w:spacing w:val="0"/>
                <w:w w:val="100"/>
                <w:sz w:val="21"/>
                <w:szCs w:val="21"/>
                <w:highlight w:val="none"/>
                <w:lang w:val="en-US" w:eastAsia="zh-CN"/>
              </w:rPr>
              <w:t>工艺技术员1人、维修人员2人、</w:t>
            </w:r>
            <w:r>
              <w:rPr>
                <w:rFonts w:hint="eastAsia" w:ascii="宋体" w:hAnsi="宋体" w:eastAsia="宋体" w:cs="宋体"/>
                <w:color w:val="auto"/>
                <w:spacing w:val="0"/>
                <w:w w:val="100"/>
                <w:sz w:val="21"/>
                <w:szCs w:val="21"/>
                <w:highlight w:val="none"/>
                <w:lang w:eastAsia="zh-CN"/>
              </w:rPr>
              <w:t>化验</w:t>
            </w:r>
            <w:r>
              <w:rPr>
                <w:rFonts w:hint="eastAsia" w:ascii="宋体" w:hAnsi="宋体" w:eastAsia="宋体" w:cs="宋体"/>
                <w:color w:val="auto"/>
                <w:spacing w:val="0"/>
                <w:w w:val="100"/>
                <w:sz w:val="21"/>
                <w:szCs w:val="21"/>
                <w:highlight w:val="none"/>
                <w:lang w:val="en-US" w:eastAsia="zh-CN"/>
              </w:rPr>
              <w:t>员1</w:t>
            </w:r>
            <w:r>
              <w:rPr>
                <w:rFonts w:hint="eastAsia" w:ascii="宋体" w:hAnsi="宋体" w:eastAsia="宋体" w:cs="宋体"/>
                <w:color w:val="auto"/>
                <w:spacing w:val="0"/>
                <w:w w:val="100"/>
                <w:sz w:val="21"/>
                <w:szCs w:val="21"/>
                <w:highlight w:val="none"/>
                <w:lang w:eastAsia="zh-CN"/>
              </w:rPr>
              <w:t>人、</w:t>
            </w:r>
            <w:r>
              <w:rPr>
                <w:rFonts w:hint="eastAsia" w:ascii="宋体" w:hAnsi="宋体" w:eastAsia="宋体" w:cs="宋体"/>
                <w:color w:val="auto"/>
                <w:spacing w:val="0"/>
                <w:w w:val="100"/>
                <w:sz w:val="21"/>
                <w:szCs w:val="21"/>
                <w:highlight w:val="none"/>
                <w:lang w:val="en-US" w:eastAsia="zh-CN"/>
              </w:rPr>
              <w:t>资料员1</w:t>
            </w:r>
            <w:r>
              <w:rPr>
                <w:rFonts w:hint="eastAsia" w:ascii="宋体" w:hAnsi="宋体" w:eastAsia="宋体" w:cs="宋体"/>
                <w:color w:val="auto"/>
                <w:spacing w:val="0"/>
                <w:w w:val="100"/>
                <w:sz w:val="21"/>
                <w:szCs w:val="21"/>
                <w:highlight w:val="none"/>
                <w:lang w:eastAsia="zh-CN"/>
              </w:rPr>
              <w:t>人共</w:t>
            </w:r>
            <w:r>
              <w:rPr>
                <w:rFonts w:hint="eastAsia" w:ascii="宋体" w:hAnsi="宋体" w:eastAsia="宋体" w:cs="宋体"/>
                <w:color w:val="auto"/>
                <w:spacing w:val="0"/>
                <w:w w:val="100"/>
                <w:sz w:val="21"/>
                <w:szCs w:val="21"/>
                <w:highlight w:val="none"/>
                <w:lang w:val="en-US" w:eastAsia="zh-CN"/>
              </w:rPr>
              <w:t>6</w:t>
            </w:r>
            <w:r>
              <w:rPr>
                <w:rFonts w:hint="eastAsia" w:ascii="宋体" w:hAnsi="宋体" w:eastAsia="宋体" w:cs="宋体"/>
                <w:color w:val="auto"/>
                <w:spacing w:val="0"/>
                <w:w w:val="100"/>
                <w:sz w:val="21"/>
                <w:szCs w:val="21"/>
                <w:highlight w:val="none"/>
                <w:lang w:eastAsia="zh-CN"/>
              </w:rPr>
              <w:t>人组建成，对所辖范围内的镇污水处理厂进行统筹管理，包括工艺、技术、设备等管理进行管控，并通过提升内部管理的效率，控制项目的运营成本。</w:t>
            </w:r>
          </w:p>
          <w:p w14:paraId="0E2BBDF8">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eastAsia="zh-CN"/>
              </w:rPr>
              <w:t>二是在</w:t>
            </w:r>
            <w:r>
              <w:rPr>
                <w:rFonts w:hint="eastAsia" w:ascii="宋体" w:hAnsi="宋体" w:eastAsia="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lang w:eastAsia="zh-CN"/>
              </w:rPr>
              <w:t>个镇级污水处理厂</w:t>
            </w:r>
            <w:r>
              <w:rPr>
                <w:rFonts w:hint="eastAsia" w:ascii="宋体" w:hAnsi="宋体" w:eastAsia="宋体" w:cs="宋体"/>
                <w:color w:val="auto"/>
                <w:spacing w:val="0"/>
                <w:w w:val="100"/>
                <w:sz w:val="21"/>
                <w:szCs w:val="21"/>
                <w:highlight w:val="none"/>
                <w:lang w:val="en-US" w:eastAsia="zh-CN"/>
              </w:rPr>
              <w:t>生产操作方面</w:t>
            </w:r>
            <w:r>
              <w:rPr>
                <w:rFonts w:hint="eastAsia" w:ascii="宋体" w:hAnsi="宋体" w:eastAsia="宋体" w:cs="宋体"/>
                <w:color w:val="auto"/>
                <w:spacing w:val="0"/>
                <w:w w:val="100"/>
                <w:sz w:val="21"/>
                <w:szCs w:val="21"/>
                <w:highlight w:val="none"/>
                <w:lang w:eastAsia="zh-CN"/>
              </w:rPr>
              <w:t>配备不少于</w:t>
            </w:r>
            <w:r>
              <w:rPr>
                <w:rFonts w:hint="eastAsia" w:ascii="宋体" w:hAnsi="宋体" w:eastAsia="宋体" w:cs="宋体"/>
                <w:color w:val="auto"/>
                <w:spacing w:val="0"/>
                <w:w w:val="100"/>
                <w:sz w:val="21"/>
                <w:szCs w:val="21"/>
                <w:highlight w:val="none"/>
                <w:lang w:val="en-US" w:eastAsia="zh-CN"/>
              </w:rPr>
              <w:t>11</w:t>
            </w:r>
            <w:r>
              <w:rPr>
                <w:rFonts w:hint="eastAsia" w:ascii="宋体" w:hAnsi="宋体" w:eastAsia="宋体" w:cs="宋体"/>
                <w:color w:val="auto"/>
                <w:spacing w:val="0"/>
                <w:w w:val="100"/>
                <w:sz w:val="21"/>
                <w:szCs w:val="21"/>
                <w:highlight w:val="none"/>
                <w:lang w:eastAsia="zh-CN"/>
              </w:rPr>
              <w:t>名运行人员，即每个污水处理厂不少于</w:t>
            </w:r>
            <w:r>
              <w:rPr>
                <w:rFonts w:hint="eastAsia" w:ascii="宋体" w:hAnsi="宋体" w:eastAsia="宋体" w:cs="宋体"/>
                <w:color w:val="auto"/>
                <w:spacing w:val="0"/>
                <w:w w:val="100"/>
                <w:sz w:val="21"/>
                <w:szCs w:val="21"/>
                <w:highlight w:val="none"/>
                <w:lang w:val="en-US" w:eastAsia="zh-CN"/>
              </w:rPr>
              <w:t>2名</w:t>
            </w:r>
            <w:r>
              <w:rPr>
                <w:rFonts w:hint="eastAsia" w:ascii="宋体" w:hAnsi="宋体" w:cs="宋体"/>
                <w:color w:val="auto"/>
                <w:spacing w:val="0"/>
                <w:w w:val="100"/>
                <w:sz w:val="21"/>
                <w:szCs w:val="21"/>
                <w:highlight w:val="none"/>
                <w:lang w:val="en-US" w:eastAsia="zh-CN"/>
              </w:rPr>
              <w:t>（其中新圩镇污水处理厂不少于3名）</w:t>
            </w:r>
            <w:r>
              <w:rPr>
                <w:rFonts w:hint="eastAsia" w:ascii="宋体" w:hAnsi="宋体" w:eastAsia="宋体" w:cs="宋体"/>
                <w:color w:val="auto"/>
                <w:spacing w:val="0"/>
                <w:w w:val="100"/>
                <w:sz w:val="21"/>
                <w:szCs w:val="21"/>
                <w:highlight w:val="none"/>
                <w:lang w:val="en-US" w:eastAsia="zh-CN"/>
              </w:rPr>
              <w:t>运行人员。</w:t>
            </w:r>
          </w:p>
          <w:p w14:paraId="65EEC437">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三是配备至少1辆运维车辆。</w:t>
            </w:r>
          </w:p>
          <w:p w14:paraId="1E00206F">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四是备机备品：中标单位应存有足够数量的设备易损件和备</w:t>
            </w:r>
            <w:r>
              <w:rPr>
                <w:rFonts w:hint="eastAsia" w:ascii="宋体" w:hAnsi="宋体" w:eastAsia="宋体" w:cs="宋体"/>
                <w:color w:val="auto"/>
                <w:spacing w:val="0"/>
                <w:w w:val="100"/>
                <w:sz w:val="21"/>
                <w:szCs w:val="21"/>
                <w:highlight w:val="none"/>
                <w:lang w:eastAsia="zh-CN"/>
              </w:rPr>
              <w:t>用仪器设备，并及时做好采购管理，有效保证运营维护工作的</w:t>
            </w:r>
            <w:r>
              <w:rPr>
                <w:rFonts w:hint="eastAsia" w:ascii="宋体" w:hAnsi="宋体" w:eastAsia="宋体" w:cs="宋体"/>
                <w:color w:val="auto"/>
                <w:spacing w:val="0"/>
                <w:w w:val="100"/>
                <w:sz w:val="21"/>
                <w:szCs w:val="21"/>
                <w:highlight w:val="none"/>
                <w:lang w:val="en-US" w:eastAsia="zh-CN"/>
              </w:rPr>
              <w:t>正常开展</w:t>
            </w:r>
            <w:r>
              <w:rPr>
                <w:rFonts w:hint="eastAsia" w:ascii="宋体" w:hAnsi="宋体" w:eastAsia="宋体" w:cs="宋体"/>
                <w:color w:val="auto"/>
                <w:spacing w:val="0"/>
                <w:w w:val="100"/>
                <w:sz w:val="21"/>
                <w:szCs w:val="21"/>
                <w:highlight w:val="none"/>
                <w:lang w:eastAsia="zh-CN"/>
              </w:rPr>
              <w:t>。</w:t>
            </w:r>
          </w:p>
          <w:p w14:paraId="4842E2BD">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lang w:val="en-US" w:eastAsia="zh-CN"/>
              </w:rPr>
              <w:t>2.</w:t>
            </w:r>
            <w:r>
              <w:rPr>
                <w:rFonts w:hint="eastAsia" w:ascii="宋体" w:hAnsi="宋体" w:eastAsia="宋体" w:cs="宋体"/>
                <w:b/>
                <w:bCs/>
                <w:color w:val="auto"/>
                <w:spacing w:val="0"/>
                <w:w w:val="100"/>
                <w:sz w:val="21"/>
                <w:szCs w:val="21"/>
                <w:highlight w:val="none"/>
                <w:lang w:eastAsia="zh-CN"/>
              </w:rPr>
              <w:t>配套管网巡检</w:t>
            </w:r>
            <w:r>
              <w:rPr>
                <w:rFonts w:hint="eastAsia" w:ascii="宋体" w:hAnsi="宋体" w:eastAsia="宋体" w:cs="宋体"/>
                <w:b/>
                <w:bCs/>
                <w:color w:val="auto"/>
                <w:spacing w:val="0"/>
                <w:w w:val="100"/>
                <w:sz w:val="21"/>
                <w:szCs w:val="21"/>
                <w:highlight w:val="none"/>
                <w:lang w:val="en-US" w:eastAsia="zh-CN"/>
              </w:rPr>
              <w:t>维修</w:t>
            </w:r>
            <w:r>
              <w:rPr>
                <w:rFonts w:hint="eastAsia" w:ascii="宋体" w:hAnsi="宋体" w:eastAsia="宋体" w:cs="宋体"/>
                <w:b/>
                <w:bCs/>
                <w:color w:val="auto"/>
                <w:spacing w:val="0"/>
                <w:w w:val="100"/>
                <w:sz w:val="21"/>
                <w:szCs w:val="21"/>
                <w:highlight w:val="none"/>
                <w:lang w:eastAsia="zh-CN"/>
              </w:rPr>
              <w:t>配置</w:t>
            </w:r>
            <w:r>
              <w:rPr>
                <w:rFonts w:hint="eastAsia" w:ascii="宋体" w:hAnsi="宋体" w:eastAsia="宋体" w:cs="宋体"/>
                <w:b/>
                <w:bCs/>
                <w:color w:val="auto"/>
                <w:spacing w:val="0"/>
                <w:w w:val="100"/>
                <w:sz w:val="21"/>
                <w:szCs w:val="21"/>
                <w:highlight w:val="none"/>
                <w:lang w:val="en-US" w:eastAsia="zh-CN"/>
              </w:rPr>
              <w:t>5</w:t>
            </w:r>
            <w:r>
              <w:rPr>
                <w:rFonts w:hint="eastAsia" w:ascii="宋体" w:hAnsi="宋体" w:eastAsia="宋体" w:cs="宋体"/>
                <w:b/>
                <w:bCs/>
                <w:color w:val="auto"/>
                <w:spacing w:val="0"/>
                <w:w w:val="100"/>
                <w:sz w:val="21"/>
                <w:szCs w:val="21"/>
                <w:highlight w:val="none"/>
                <w:lang w:eastAsia="zh-CN"/>
              </w:rPr>
              <w:t>人。</w:t>
            </w:r>
          </w:p>
          <w:p w14:paraId="11C9E7C8">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lang w:eastAsia="zh-CN"/>
              </w:rPr>
              <w:t>个镇级污水处理厂配套管网合计长度为</w:t>
            </w:r>
            <w:r>
              <w:rPr>
                <w:rFonts w:hint="eastAsia" w:ascii="宋体" w:hAnsi="宋体" w:eastAsia="宋体" w:cs="宋体"/>
                <w:color w:val="auto"/>
                <w:spacing w:val="0"/>
                <w:w w:val="100"/>
                <w:sz w:val="21"/>
                <w:szCs w:val="21"/>
                <w:highlight w:val="none"/>
                <w:lang w:val="en-US" w:eastAsia="zh-CN"/>
              </w:rPr>
              <w:t>29.421公里</w:t>
            </w:r>
            <w:r>
              <w:rPr>
                <w:rFonts w:hint="eastAsia" w:ascii="宋体" w:hAnsi="宋体" w:eastAsia="宋体" w:cs="宋体"/>
                <w:color w:val="auto"/>
                <w:spacing w:val="0"/>
                <w:w w:val="100"/>
                <w:sz w:val="21"/>
                <w:szCs w:val="21"/>
                <w:highlight w:val="none"/>
                <w:lang w:eastAsia="zh-CN"/>
              </w:rPr>
              <w:t>，为了保证管网全方位巡检，</w:t>
            </w:r>
            <w:r>
              <w:rPr>
                <w:rFonts w:hint="eastAsia" w:ascii="宋体" w:hAnsi="宋体" w:eastAsia="宋体" w:cs="宋体"/>
                <w:color w:val="auto"/>
                <w:spacing w:val="0"/>
                <w:w w:val="100"/>
                <w:sz w:val="21"/>
                <w:szCs w:val="21"/>
                <w:highlight w:val="none"/>
                <w:lang w:val="en-US" w:eastAsia="zh-CN"/>
              </w:rPr>
              <w:t>第三方</w:t>
            </w:r>
            <w:r>
              <w:rPr>
                <w:rFonts w:hint="eastAsia" w:ascii="宋体" w:hAnsi="宋体" w:eastAsia="宋体" w:cs="宋体"/>
                <w:color w:val="auto"/>
                <w:spacing w:val="0"/>
                <w:w w:val="100"/>
                <w:sz w:val="21"/>
                <w:szCs w:val="21"/>
                <w:highlight w:val="none"/>
                <w:lang w:eastAsia="zh-CN"/>
              </w:rPr>
              <w:t>运营单位需要配置</w:t>
            </w:r>
            <w:r>
              <w:rPr>
                <w:rFonts w:hint="eastAsia" w:ascii="宋体" w:hAnsi="宋体" w:eastAsia="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lang w:eastAsia="zh-CN"/>
              </w:rPr>
              <w:t>人，同时配置用于巡检的交通工具，</w:t>
            </w:r>
            <w:r>
              <w:rPr>
                <w:rFonts w:hint="eastAsia" w:ascii="宋体" w:hAnsi="宋体" w:eastAsia="宋体" w:cs="宋体"/>
                <w:color w:val="auto"/>
                <w:spacing w:val="0"/>
                <w:w w:val="100"/>
                <w:sz w:val="21"/>
                <w:szCs w:val="21"/>
                <w:highlight w:val="none"/>
                <w:lang w:val="en-US" w:eastAsia="zh-CN"/>
              </w:rPr>
              <w:t>负责管网、泵站巡查维护及厂区的检修保养，</w:t>
            </w:r>
            <w:r>
              <w:rPr>
                <w:rFonts w:hint="eastAsia" w:ascii="宋体" w:hAnsi="宋体" w:eastAsia="宋体" w:cs="宋体"/>
                <w:color w:val="auto"/>
                <w:spacing w:val="0"/>
                <w:w w:val="100"/>
                <w:sz w:val="21"/>
                <w:szCs w:val="21"/>
                <w:highlight w:val="none"/>
                <w:lang w:eastAsia="zh-CN"/>
              </w:rPr>
              <w:t>以满足日常工作的正常开展。</w:t>
            </w:r>
          </w:p>
          <w:p w14:paraId="32304CA4">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2" w:firstLineChars="200"/>
              <w:jc w:val="both"/>
              <w:textAlignment w:val="auto"/>
              <w:outlineLvl w:val="9"/>
              <w:rPr>
                <w:rFonts w:hint="eastAsia" w:ascii="宋体" w:hAnsi="宋体" w:eastAsia="宋体" w:cs="宋体"/>
                <w:b/>
                <w:bCs/>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lang w:val="en-US" w:eastAsia="zh-CN"/>
              </w:rPr>
              <w:t>3.</w:t>
            </w:r>
            <w:r>
              <w:rPr>
                <w:rFonts w:hint="eastAsia" w:ascii="宋体" w:hAnsi="宋体" w:eastAsia="宋体" w:cs="宋体"/>
                <w:b/>
                <w:bCs/>
                <w:color w:val="auto"/>
                <w:spacing w:val="0"/>
                <w:w w:val="100"/>
                <w:sz w:val="21"/>
                <w:szCs w:val="21"/>
                <w:highlight w:val="none"/>
                <w:lang w:eastAsia="zh-CN"/>
              </w:rPr>
              <w:t>中途污水提升泵站巡检人员配置。</w:t>
            </w:r>
          </w:p>
          <w:p w14:paraId="7D439361">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20" w:firstLineChars="200"/>
              <w:jc w:val="both"/>
              <w:textAlignment w:val="auto"/>
              <w:outlineLvl w:val="9"/>
              <w:rPr>
                <w:rFonts w:hint="eastAsia" w:ascii="宋体" w:hAnsi="宋体" w:eastAsia="宋体" w:cs="宋体"/>
                <w:b/>
                <w:bCs/>
                <w:color w:val="auto"/>
                <w:spacing w:val="0"/>
                <w:w w:val="100"/>
                <w:sz w:val="21"/>
                <w:szCs w:val="21"/>
                <w:highlight w:val="none"/>
                <w:u w:val="single"/>
                <w:lang w:val="en-US" w:eastAsia="zh-CN"/>
              </w:rPr>
            </w:pPr>
            <w:r>
              <w:rPr>
                <w:rFonts w:hint="eastAsia" w:ascii="宋体" w:hAnsi="宋体" w:eastAsia="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lang w:eastAsia="zh-CN"/>
              </w:rPr>
              <w:t>个镇级污水处理厂配套共有</w:t>
            </w: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lang w:eastAsia="zh-CN"/>
              </w:rPr>
              <w:t>座中途污水提升泵站，在正常的运行情况下可以实现自动操控。但为了预防不可预见性因素，仍需要操作人员每天巡回检查设备的运行情况并做好相关的运行记录，根据其实际的布置情况，拟按照属地管理原则，由泵站所在的片区的污水管网日常巡检人员服务操作与运营，污水厂厂区的现场操作人员负责协助配合。因此，泵站不需另配置人员。</w:t>
            </w:r>
          </w:p>
          <w:p w14:paraId="7EB40400">
            <w:pPr>
              <w:pStyle w:val="15"/>
              <w:adjustRightInd w:val="0"/>
              <w:snapToGrid w:val="0"/>
              <w:ind w:left="420" w:leftChars="200"/>
              <w:jc w:val="both"/>
              <w:rPr>
                <w:rFonts w:ascii="宋体" w:hAnsi="宋体" w:cs="宋体"/>
                <w:color w:val="auto"/>
                <w:sz w:val="21"/>
                <w:szCs w:val="21"/>
                <w:highlight w:val="none"/>
              </w:rPr>
            </w:pPr>
          </w:p>
        </w:tc>
      </w:tr>
      <w:tr w14:paraId="57DD3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tcPr>
          <w:p w14:paraId="48AE0AB3">
            <w:pPr>
              <w:spacing w:line="360" w:lineRule="auto"/>
              <w:rPr>
                <w:rFonts w:ascii="宋体" w:hAnsi="宋体"/>
                <w:b/>
                <w:bCs/>
                <w:color w:val="auto"/>
                <w:sz w:val="21"/>
                <w:szCs w:val="21"/>
                <w:highlight w:val="none"/>
              </w:rPr>
            </w:pPr>
            <w:r>
              <w:rPr>
                <w:rFonts w:hint="eastAsia" w:ascii="宋体" w:hAnsi="宋体"/>
                <w:color w:val="auto"/>
                <w:sz w:val="21"/>
                <w:szCs w:val="21"/>
                <w:highlight w:val="none"/>
              </w:rPr>
              <w:t>▲</w:t>
            </w:r>
            <w:r>
              <w:rPr>
                <w:rFonts w:hint="eastAsia" w:ascii="宋体" w:hAnsi="宋体"/>
                <w:b/>
                <w:color w:val="auto"/>
                <w:sz w:val="21"/>
                <w:szCs w:val="21"/>
                <w:highlight w:val="none"/>
              </w:rPr>
              <w:t>一、商务要求</w:t>
            </w:r>
          </w:p>
        </w:tc>
      </w:tr>
      <w:tr w14:paraId="6E062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5DC8E79B">
            <w:pPr>
              <w:spacing w:line="360" w:lineRule="auto"/>
              <w:jc w:val="center"/>
              <w:rPr>
                <w:rFonts w:ascii="宋体" w:hAnsi="宋体"/>
                <w:bCs/>
                <w:color w:val="auto"/>
                <w:sz w:val="21"/>
                <w:szCs w:val="21"/>
                <w:highlight w:val="none"/>
              </w:rPr>
            </w:pPr>
            <w:r>
              <w:rPr>
                <w:rFonts w:hint="eastAsia" w:ascii="宋体" w:hAnsi="宋体"/>
                <w:bCs/>
                <w:color w:val="auto"/>
                <w:sz w:val="21"/>
                <w:szCs w:val="21"/>
                <w:highlight w:val="none"/>
              </w:rPr>
              <w:t>报价要求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7F6A183F">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报价必须含以下部分，包括：</w:t>
            </w:r>
          </w:p>
          <w:p w14:paraId="2BCAEAA8">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（1）生产费用：包括污水设备设施的相关设备及排污管网维护费用，维护使用的配件、零部件、配件及安装材料的费用，运营所需要的化学药品或物理处理，运营水电费等； </w:t>
            </w:r>
          </w:p>
          <w:p w14:paraId="05CFA905">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（2）管理费用：包括办公费、差旅费、绿化养护费等； </w:t>
            </w:r>
          </w:p>
          <w:p w14:paraId="5CAC6942">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（3）人员工资：包括投入本项目服务所有人员的工资、交通及通讯补助、劳保费等； </w:t>
            </w:r>
          </w:p>
          <w:p w14:paraId="334E1255">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（4）必要的保险费用和各项税金； </w:t>
            </w:r>
          </w:p>
          <w:p w14:paraId="07C6BB25">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（5）其他：运输、装卸、安装、调试、培训、技术支持、售后服务等费用。</w:t>
            </w:r>
          </w:p>
        </w:tc>
      </w:tr>
      <w:tr w14:paraId="2E4E2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7CCEF10B">
            <w:pPr>
              <w:spacing w:line="360" w:lineRule="auto"/>
              <w:jc w:val="center"/>
              <w:rPr>
                <w:rFonts w:ascii="宋体" w:hAnsi="宋体"/>
                <w:bCs/>
                <w:color w:val="auto"/>
                <w:sz w:val="21"/>
                <w:szCs w:val="21"/>
                <w:highlight w:val="none"/>
              </w:rPr>
            </w:pPr>
            <w:r>
              <w:rPr>
                <w:rFonts w:hint="eastAsia" w:ascii="宋体" w:hAnsi="宋体"/>
                <w:bCs/>
                <w:color w:val="auto"/>
                <w:sz w:val="21"/>
                <w:szCs w:val="21"/>
                <w:highlight w:val="none"/>
              </w:rPr>
              <w:t>合同签订时间</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2A021E38">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eastAsia="zh-CN"/>
              </w:rPr>
              <w:t>自</w:t>
            </w:r>
            <w:r>
              <w:rPr>
                <w:rFonts w:hint="eastAsia" w:ascii="宋体" w:hAnsi="宋体"/>
                <w:bCs/>
                <w:color w:val="auto"/>
                <w:sz w:val="21"/>
                <w:szCs w:val="21"/>
                <w:highlight w:val="none"/>
                <w:lang w:val="en-US" w:eastAsia="zh-CN"/>
              </w:rPr>
              <w:t>中标</w:t>
            </w:r>
            <w:r>
              <w:rPr>
                <w:rFonts w:hint="eastAsia" w:ascii="宋体" w:hAnsi="宋体"/>
                <w:bCs/>
                <w:color w:val="auto"/>
                <w:sz w:val="21"/>
                <w:szCs w:val="21"/>
                <w:highlight w:val="none"/>
                <w:lang w:eastAsia="zh-CN"/>
              </w:rPr>
              <w:t>通知书发出之日起25日内</w:t>
            </w:r>
            <w:r>
              <w:rPr>
                <w:rFonts w:hint="eastAsia" w:ascii="宋体" w:hAnsi="宋体"/>
                <w:bCs/>
                <w:color w:val="auto"/>
                <w:sz w:val="21"/>
                <w:szCs w:val="21"/>
                <w:highlight w:val="none"/>
              </w:rPr>
              <w:t>。</w:t>
            </w:r>
          </w:p>
        </w:tc>
      </w:tr>
      <w:tr w14:paraId="75707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06677568">
            <w:pPr>
              <w:spacing w:line="360" w:lineRule="auto"/>
              <w:jc w:val="center"/>
              <w:rPr>
                <w:rFonts w:ascii="宋体" w:hAnsi="宋体"/>
                <w:bCs/>
                <w:color w:val="auto"/>
                <w:sz w:val="21"/>
                <w:szCs w:val="21"/>
                <w:highlight w:val="none"/>
              </w:rPr>
            </w:pPr>
            <w:r>
              <w:rPr>
                <w:rFonts w:hint="eastAsia" w:ascii="宋体" w:hAnsi="宋体"/>
                <w:bCs/>
                <w:color w:val="auto"/>
                <w:sz w:val="21"/>
                <w:szCs w:val="21"/>
                <w:highlight w:val="none"/>
              </w:rPr>
              <w:t>服务时间及地点</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4A0FC4B6">
            <w:pPr>
              <w:spacing w:line="360" w:lineRule="auto"/>
              <w:rPr>
                <w:rFonts w:hint="eastAsia" w:ascii="宋体" w:hAnsi="宋体" w:eastAsia="宋体" w:cs="宋体"/>
                <w:color w:val="auto"/>
                <w:spacing w:val="0"/>
                <w:w w:val="100"/>
                <w:kern w:val="0"/>
                <w:sz w:val="21"/>
                <w:szCs w:val="21"/>
                <w:highlight w:val="none"/>
                <w:lang w:val="en-US" w:eastAsia="zh-CN" w:bidi="ar-SA"/>
              </w:rPr>
            </w:pPr>
            <w:r>
              <w:rPr>
                <w:rFonts w:hint="eastAsia" w:ascii="宋体" w:hAnsi="宋体"/>
                <w:bCs/>
                <w:color w:val="auto"/>
                <w:sz w:val="21"/>
                <w:szCs w:val="21"/>
                <w:highlight w:val="none"/>
              </w:rPr>
              <w:t>1.服务时间：</w:t>
            </w:r>
            <w:r>
              <w:rPr>
                <w:rFonts w:hint="eastAsia" w:ascii="宋体" w:hAnsi="宋体" w:eastAsia="宋体" w:cs="宋体"/>
                <w:color w:val="auto"/>
                <w:spacing w:val="0"/>
                <w:w w:val="100"/>
                <w:kern w:val="0"/>
                <w:sz w:val="21"/>
                <w:szCs w:val="21"/>
                <w:highlight w:val="none"/>
                <w:lang w:val="en-US" w:eastAsia="zh-CN" w:bidi="ar-SA"/>
              </w:rPr>
              <w:t>本项目合同期限为3年，具体起止日期以合同明确约定为准。</w:t>
            </w:r>
          </w:p>
          <w:p w14:paraId="59FA6138">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2.服务地点：</w:t>
            </w:r>
            <w:r>
              <w:rPr>
                <w:rFonts w:hint="eastAsia" w:ascii="宋体" w:hAnsi="宋体"/>
                <w:bCs/>
                <w:color w:val="auto"/>
                <w:sz w:val="21"/>
                <w:szCs w:val="21"/>
                <w:highlight w:val="none"/>
                <w:lang w:eastAsia="zh-CN"/>
              </w:rPr>
              <w:t>北流市城市管理监督局</w:t>
            </w:r>
            <w:r>
              <w:rPr>
                <w:rFonts w:hint="eastAsia" w:ascii="宋体" w:hAnsi="宋体"/>
                <w:bCs/>
                <w:color w:val="auto"/>
                <w:sz w:val="21"/>
                <w:szCs w:val="21"/>
                <w:highlight w:val="none"/>
              </w:rPr>
              <w:t>采购人指定地点。</w:t>
            </w:r>
          </w:p>
        </w:tc>
      </w:tr>
      <w:tr w14:paraId="1EF9C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76D68FE2">
            <w:pPr>
              <w:spacing w:line="360" w:lineRule="auto"/>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售后服务要求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613E9B23">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（1）处理问题响应时间：接到采购人处理问题通知后2小时内到达采购人指定现场。 </w:t>
            </w:r>
          </w:p>
          <w:p w14:paraId="3BF76952">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（2）每月向采购人汇报运营情况不低于1次。 </w:t>
            </w:r>
          </w:p>
          <w:p w14:paraId="1210788A">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（3）服务期内不少12次检修保养，每次检修保养完需要向采购人提供检修保养证明（包括检修台帐、照片等相关证明）。 </w:t>
            </w:r>
          </w:p>
          <w:p w14:paraId="29357259">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（4）中标人按照附件1《北流市大里镇、新圩镇、西埌镇、隆盛镇、民乐镇等5个镇级污水处理设施（含泵站、污水管网）运营维护管理考核细则》进行考核并予以考核结果运用。 </w:t>
            </w:r>
          </w:p>
          <w:p w14:paraId="6804AE67">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其他要求： </w:t>
            </w:r>
          </w:p>
          <w:p w14:paraId="35F3C7F7">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▲（1）运营期间接受当地政府相关监督部门有关运维工作绩效监督考核。 </w:t>
            </w:r>
          </w:p>
          <w:p w14:paraId="797CBFCF">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（2）投标人可自行对污水设施进行现场勘察，并将项目现状、解决方案等附于投标文件中，费用自理。 </w:t>
            </w:r>
          </w:p>
          <w:p w14:paraId="0A0FBC93">
            <w:pPr>
              <w:spacing w:line="360" w:lineRule="auto"/>
              <w:rPr>
                <w:rFonts w:ascii="宋体" w:hAnsi="宋体"/>
                <w:bCs/>
                <w:color w:val="auto"/>
                <w:sz w:val="21"/>
                <w:szCs w:val="21"/>
                <w:highlight w:val="none"/>
              </w:rPr>
            </w:pPr>
            <w:r>
              <w:rPr>
                <w:rFonts w:hint="eastAsia" w:ascii="宋体" w:hAnsi="宋体"/>
                <w:bCs/>
                <w:color w:val="auto"/>
                <w:sz w:val="21"/>
                <w:szCs w:val="21"/>
                <w:highlight w:val="none"/>
                <w:lang w:val="en-US" w:eastAsia="zh-CN"/>
              </w:rPr>
              <w:t>（3）如有上级部门检查，中标人必须有人员在场。</w:t>
            </w:r>
          </w:p>
          <w:p w14:paraId="0A2DED6B">
            <w:pPr>
              <w:spacing w:line="360" w:lineRule="auto"/>
              <w:rPr>
                <w:rFonts w:ascii="宋体" w:hAnsi="宋体"/>
                <w:bCs/>
                <w:color w:val="auto"/>
                <w:sz w:val="21"/>
                <w:szCs w:val="21"/>
                <w:highlight w:val="none"/>
              </w:rPr>
            </w:pPr>
          </w:p>
        </w:tc>
      </w:tr>
      <w:tr w14:paraId="4C456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6F3E82BD">
            <w:pPr>
              <w:spacing w:line="360" w:lineRule="auto"/>
              <w:jc w:val="center"/>
              <w:rPr>
                <w:rFonts w:ascii="宋体" w:hAnsi="宋体"/>
                <w:bCs/>
                <w:color w:val="auto"/>
                <w:sz w:val="21"/>
                <w:szCs w:val="21"/>
                <w:highlight w:val="none"/>
              </w:rPr>
            </w:pPr>
            <w:r>
              <w:rPr>
                <w:rFonts w:hint="eastAsia" w:ascii="宋体" w:hAnsi="宋体"/>
                <w:bCs/>
                <w:color w:val="auto"/>
                <w:sz w:val="21"/>
                <w:szCs w:val="21"/>
                <w:highlight w:val="none"/>
              </w:rPr>
              <w:t>付款方式</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33E0A5CD">
            <w:pPr>
              <w:keepNext w:val="0"/>
              <w:keepLines w:val="0"/>
              <w:widowControl/>
              <w:suppressLineNumbers w:val="0"/>
              <w:jc w:val="left"/>
              <w:rPr>
                <w:rFonts w:hint="default" w:ascii="宋体" w:hAnsi="宋体"/>
                <w:bCs/>
                <w:color w:val="auto"/>
                <w:sz w:val="21"/>
                <w:szCs w:val="21"/>
                <w:highlight w:val="none"/>
                <w:lang w:val="en-US"/>
              </w:rPr>
            </w:pPr>
            <w:r>
              <w:rPr>
                <w:rFonts w:hint="eastAsia" w:ascii="宋体" w:hAnsi="宋体" w:cs="宋体"/>
                <w:color w:val="auto"/>
                <w:kern w:val="0"/>
                <w:sz w:val="21"/>
                <w:szCs w:val="21"/>
                <w:highlight w:val="none"/>
                <w:lang w:val="en-US" w:eastAsia="zh-CN" w:bidi="ar"/>
              </w:rPr>
              <w:t>见合同条款</w:t>
            </w:r>
          </w:p>
        </w:tc>
      </w:tr>
      <w:tr w14:paraId="744D8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1EDA479F">
            <w:pPr>
              <w:spacing w:line="360" w:lineRule="auto"/>
              <w:jc w:val="center"/>
              <w:rPr>
                <w:rFonts w:ascii="宋体" w:hAnsi="宋体"/>
                <w:bCs/>
                <w:color w:val="auto"/>
                <w:sz w:val="21"/>
                <w:szCs w:val="21"/>
                <w:highlight w:val="none"/>
              </w:rPr>
            </w:pPr>
            <w:r>
              <w:rPr>
                <w:rFonts w:hint="eastAsia" w:ascii="宋体" w:hAnsi="宋体"/>
                <w:bCs/>
                <w:color w:val="auto"/>
                <w:sz w:val="21"/>
                <w:szCs w:val="21"/>
                <w:highlight w:val="none"/>
              </w:rPr>
              <w:t>履约保证金</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351EA931">
            <w:pPr>
              <w:keepNext w:val="0"/>
              <w:keepLines w:val="0"/>
              <w:widowControl/>
              <w:suppressLineNumbers w:val="0"/>
              <w:jc w:val="left"/>
              <w:rPr>
                <w:rFonts w:ascii="宋体" w:hAnsi="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本项目不收取履约保证金。</w:t>
            </w:r>
          </w:p>
        </w:tc>
      </w:tr>
      <w:tr w14:paraId="19F84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5DCA1812">
            <w:pPr>
              <w:spacing w:line="360" w:lineRule="auto"/>
              <w:jc w:val="center"/>
              <w:rPr>
                <w:rFonts w:ascii="宋体" w:hAnsi="宋体"/>
                <w:bCs/>
                <w:color w:val="auto"/>
                <w:sz w:val="21"/>
                <w:szCs w:val="21"/>
                <w:highlight w:val="none"/>
              </w:rPr>
            </w:pPr>
            <w:r>
              <w:rPr>
                <w:rFonts w:hint="eastAsia" w:ascii="宋体" w:hAnsi="宋体"/>
                <w:bCs/>
                <w:color w:val="auto"/>
                <w:sz w:val="21"/>
                <w:szCs w:val="21"/>
                <w:highlight w:val="none"/>
              </w:rPr>
              <w:t>违约责任</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05188D7A">
            <w:pPr>
              <w:spacing w:line="360" w:lineRule="auto"/>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见合同条款</w:t>
            </w:r>
          </w:p>
        </w:tc>
      </w:tr>
      <w:tr w14:paraId="5698B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643BEEB1">
            <w:pPr>
              <w:spacing w:line="360" w:lineRule="auto"/>
              <w:jc w:val="center"/>
              <w:rPr>
                <w:rFonts w:ascii="宋体" w:hAnsi="宋体"/>
                <w:bCs/>
                <w:color w:val="auto"/>
                <w:sz w:val="21"/>
                <w:szCs w:val="21"/>
                <w:highlight w:val="none"/>
              </w:rPr>
            </w:pPr>
            <w:r>
              <w:rPr>
                <w:rFonts w:hint="eastAsia" w:ascii="宋体" w:hAnsi="宋体"/>
                <w:bCs/>
                <w:color w:val="auto"/>
                <w:sz w:val="21"/>
                <w:szCs w:val="21"/>
                <w:highlight w:val="none"/>
              </w:rPr>
              <w:t>其他要求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553E6AEC">
            <w:pPr>
              <w:spacing w:line="360" w:lineRule="auto"/>
              <w:ind w:firstLine="420" w:firstLineChars="200"/>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本项目采购标的的需执行的国家相关标准、行业标准、地方标准或其他强制性标准、规范等要求：按国家相关标准、中标供应商承诺进行验收。</w:t>
            </w:r>
          </w:p>
        </w:tc>
      </w:tr>
      <w:tr w14:paraId="23AB8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3B1159B7">
            <w:pPr>
              <w:spacing w:line="360" w:lineRule="auto"/>
              <w:rPr>
                <w:rFonts w:ascii="宋体" w:hAnsi="宋体"/>
                <w:b/>
                <w:color w:val="auto"/>
                <w:sz w:val="21"/>
                <w:szCs w:val="21"/>
                <w:highlight w:val="none"/>
              </w:rPr>
            </w:pPr>
            <w:r>
              <w:rPr>
                <w:rFonts w:hint="eastAsia" w:ascii="宋体" w:hAnsi="宋体"/>
                <w:b/>
                <w:bCs/>
                <w:color w:val="auto"/>
                <w:sz w:val="21"/>
                <w:szCs w:val="21"/>
                <w:highlight w:val="none"/>
              </w:rPr>
              <w:t>二、与实现项目目标相关的其他要求</w:t>
            </w:r>
          </w:p>
        </w:tc>
      </w:tr>
      <w:tr w14:paraId="35023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0778813A">
            <w:pPr>
              <w:spacing w:line="360" w:lineRule="auto"/>
              <w:rPr>
                <w:rFonts w:ascii="宋体" w:hAnsi="宋体"/>
                <w:b/>
                <w:color w:val="auto"/>
                <w:sz w:val="21"/>
                <w:szCs w:val="21"/>
                <w:highlight w:val="none"/>
              </w:rPr>
            </w:pPr>
            <w:r>
              <w:rPr>
                <w:rFonts w:hint="eastAsia" w:ascii="宋体" w:hAnsi="宋体"/>
                <w:b/>
                <w:color w:val="auto"/>
                <w:sz w:val="21"/>
                <w:szCs w:val="21"/>
                <w:highlight w:val="none"/>
              </w:rPr>
              <w:t>（一）投标人的履约能力要求</w:t>
            </w:r>
          </w:p>
        </w:tc>
      </w:tr>
      <w:tr w14:paraId="06B8F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31FE3084">
            <w:pPr>
              <w:spacing w:line="360" w:lineRule="auto"/>
              <w:rPr>
                <w:rFonts w:ascii="宋体" w:hAnsi="宋体"/>
                <w:b/>
                <w:color w:val="auto"/>
                <w:sz w:val="21"/>
                <w:szCs w:val="21"/>
                <w:highlight w:val="none"/>
              </w:rPr>
            </w:pPr>
            <w:r>
              <w:rPr>
                <w:rFonts w:hint="eastAsia" w:ascii="宋体" w:hAnsi="宋体"/>
                <w:color w:val="auto"/>
                <w:sz w:val="21"/>
                <w:szCs w:val="21"/>
                <w:highlight w:val="none"/>
              </w:rPr>
              <w:t>管理体系要求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7F9809B2">
            <w:pPr>
              <w:spacing w:line="360" w:lineRule="auto"/>
              <w:rPr>
                <w:rFonts w:ascii="宋体" w:hAnsi="宋体"/>
                <w:b/>
                <w:color w:val="auto"/>
                <w:sz w:val="21"/>
                <w:szCs w:val="21"/>
                <w:highlight w:val="none"/>
              </w:rPr>
            </w:pPr>
            <w:r>
              <w:rPr>
                <w:rFonts w:hint="eastAsia" w:ascii="宋体" w:hAnsi="宋体"/>
                <w:color w:val="auto"/>
                <w:sz w:val="21"/>
                <w:szCs w:val="21"/>
                <w:highlight w:val="none"/>
              </w:rPr>
              <w:t>见本招标文件 “评标办法及评分标准”。</w:t>
            </w:r>
          </w:p>
        </w:tc>
      </w:tr>
      <w:tr w14:paraId="32357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14:paraId="011DB839">
            <w:pPr>
              <w:spacing w:line="360" w:lineRule="auto"/>
              <w:rPr>
                <w:rFonts w:ascii="宋体" w:hAnsi="宋体"/>
                <w:b/>
                <w:color w:val="auto"/>
                <w:sz w:val="21"/>
                <w:szCs w:val="21"/>
                <w:highlight w:val="none"/>
              </w:rPr>
            </w:pPr>
            <w:r>
              <w:rPr>
                <w:rFonts w:hint="eastAsia" w:ascii="宋体" w:hAnsi="宋体"/>
                <w:color w:val="auto"/>
                <w:sz w:val="21"/>
                <w:szCs w:val="21"/>
                <w:highlight w:val="none"/>
              </w:rPr>
              <w:t>业绩要求</w:t>
            </w:r>
          </w:p>
        </w:tc>
        <w:tc>
          <w:tcPr>
            <w:tcW w:w="8412" w:type="dxa"/>
            <w:gridSpan w:val="3"/>
            <w:tcBorders>
              <w:top w:val="single" w:color="auto" w:sz="4" w:space="0"/>
              <w:left w:val="single" w:color="auto" w:sz="4" w:space="0"/>
              <w:bottom w:val="single" w:color="auto" w:sz="4" w:space="0"/>
              <w:right w:val="single" w:color="auto" w:sz="4" w:space="0"/>
            </w:tcBorders>
            <w:vAlign w:val="center"/>
          </w:tcPr>
          <w:p w14:paraId="6C311668">
            <w:pPr>
              <w:spacing w:line="360" w:lineRule="auto"/>
              <w:rPr>
                <w:rFonts w:ascii="宋体" w:hAnsi="宋体"/>
                <w:b/>
                <w:color w:val="auto"/>
                <w:sz w:val="21"/>
                <w:szCs w:val="21"/>
                <w:highlight w:val="none"/>
              </w:rPr>
            </w:pPr>
            <w:r>
              <w:rPr>
                <w:rFonts w:hint="eastAsia" w:ascii="宋体" w:hAnsi="宋体"/>
                <w:color w:val="auto"/>
                <w:sz w:val="21"/>
                <w:szCs w:val="21"/>
                <w:highlight w:val="none"/>
              </w:rPr>
              <w:t>见本招标文件 “评标办法及评分标准”。</w:t>
            </w:r>
          </w:p>
        </w:tc>
      </w:tr>
      <w:tr w14:paraId="54D6D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48A3F410">
            <w:pPr>
              <w:tabs>
                <w:tab w:val="left" w:pos="180"/>
                <w:tab w:val="left" w:pos="1620"/>
              </w:tabs>
              <w:spacing w:line="360" w:lineRule="auto"/>
              <w:rPr>
                <w:rFonts w:ascii="宋体" w:hAnsi="宋体" w:cs="宋体"/>
                <w:bCs/>
                <w:color w:val="auto"/>
                <w:sz w:val="21"/>
                <w:szCs w:val="21"/>
                <w:highlight w:val="none"/>
              </w:rPr>
            </w:pPr>
            <w:r>
              <w:rPr>
                <w:rFonts w:hint="eastAsia" w:ascii="宋体" w:hAnsi="宋体"/>
                <w:b/>
                <w:color w:val="auto"/>
                <w:sz w:val="21"/>
                <w:szCs w:val="21"/>
                <w:highlight w:val="none"/>
              </w:rPr>
              <w:t>（二）验收标准</w:t>
            </w:r>
          </w:p>
        </w:tc>
      </w:tr>
      <w:tr w14:paraId="6E715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5238F73A">
            <w:pPr>
              <w:tabs>
                <w:tab w:val="left" w:pos="180"/>
                <w:tab w:val="left" w:pos="1620"/>
              </w:tabs>
              <w:spacing w:line="360" w:lineRule="auto"/>
              <w:rPr>
                <w:rFonts w:ascii="宋体" w:hAnsi="宋体"/>
                <w:color w:val="auto"/>
                <w:sz w:val="21"/>
                <w:szCs w:val="21"/>
                <w:highlight w:val="none"/>
              </w:rPr>
            </w:pPr>
            <w:r>
              <w:rPr>
                <w:rFonts w:hint="eastAsia" w:ascii="宋体" w:hAnsi="宋体" w:cs="宋体"/>
                <w:bCs/>
                <w:color w:val="auto"/>
                <w:sz w:val="21"/>
                <w:szCs w:val="21"/>
                <w:highlight w:val="none"/>
              </w:rPr>
              <w:t>符合现行国家相关标准、行业标准、地方标准或者其他标准、规范</w:t>
            </w:r>
          </w:p>
        </w:tc>
      </w:tr>
      <w:tr w14:paraId="35690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0DB0097F">
            <w:pPr>
              <w:spacing w:line="360" w:lineRule="auto"/>
              <w:rPr>
                <w:rFonts w:ascii="宋体" w:hAnsi="宋体"/>
                <w:color w:val="auto"/>
                <w:sz w:val="21"/>
                <w:szCs w:val="21"/>
                <w:highlight w:val="none"/>
              </w:rPr>
            </w:pPr>
            <w:r>
              <w:rPr>
                <w:rFonts w:hint="eastAsia" w:ascii="宋体" w:hAnsi="宋体"/>
                <w:b/>
                <w:color w:val="auto"/>
                <w:sz w:val="21"/>
                <w:szCs w:val="21"/>
                <w:highlight w:val="none"/>
              </w:rPr>
              <w:t>（三）其他要求</w:t>
            </w:r>
          </w:p>
        </w:tc>
      </w:tr>
      <w:tr w14:paraId="01DE9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53" w:type="dxa"/>
            <w:gridSpan w:val="5"/>
            <w:tcBorders>
              <w:top w:val="single" w:color="auto" w:sz="4" w:space="0"/>
              <w:left w:val="single" w:color="auto" w:sz="4" w:space="0"/>
              <w:bottom w:val="single" w:color="auto" w:sz="4" w:space="0"/>
              <w:right w:val="single" w:color="auto" w:sz="4" w:space="0"/>
            </w:tcBorders>
            <w:vAlign w:val="center"/>
          </w:tcPr>
          <w:p w14:paraId="19A24931">
            <w:pPr>
              <w:spacing w:line="360" w:lineRule="auto"/>
              <w:rPr>
                <w:rFonts w:ascii="宋体" w:hAnsi="宋体"/>
                <w:color w:val="auto"/>
                <w:sz w:val="21"/>
                <w:szCs w:val="21"/>
                <w:highlight w:val="none"/>
              </w:rPr>
            </w:pPr>
            <w:r>
              <w:rPr>
                <w:rFonts w:hint="eastAsia" w:ascii="宋体" w:hAnsi="宋体"/>
                <w:color w:val="auto"/>
                <w:sz w:val="21"/>
                <w:szCs w:val="21"/>
                <w:highlight w:val="none"/>
              </w:rPr>
              <w:t>投标人结合自身情况提供技术服务方案（内容不限，可以是项目总体运维方案、工艺运行与出水达标保障、设备设施维护管理、管网巡查与养护方案、安全管理与应急处置、智慧运维与数字化管理等</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p>
        </w:tc>
      </w:tr>
    </w:tbl>
    <w:p w14:paraId="52E17EFF">
      <w:pPr>
        <w:tabs>
          <w:tab w:val="left" w:pos="180"/>
          <w:tab w:val="left" w:pos="1620"/>
        </w:tabs>
        <w:spacing w:line="360" w:lineRule="auto"/>
        <w:ind w:firstLine="422" w:firstLineChars="200"/>
        <w:rPr>
          <w:rFonts w:ascii="宋体" w:hAnsi="宋体" w:cs="宋体"/>
          <w:b/>
          <w:bCs/>
          <w:color w:val="auto"/>
          <w:szCs w:val="21"/>
          <w:highlight w:val="none"/>
        </w:rPr>
      </w:pPr>
    </w:p>
    <w:p w14:paraId="2FD1EE28">
      <w:pPr>
        <w:spacing w:line="360" w:lineRule="auto"/>
        <w:ind w:firstLine="310" w:firstLineChars="147"/>
        <w:jc w:val="left"/>
        <w:rPr>
          <w:rFonts w:ascii="宋体" w:hAnsi="宋体"/>
          <w:b/>
          <w:color w:val="auto"/>
          <w:szCs w:val="21"/>
          <w:highlight w:val="none"/>
        </w:rPr>
      </w:pPr>
    </w:p>
    <w:bookmarkEnd w:id="36"/>
    <w:bookmarkEnd w:id="37"/>
    <w:p w14:paraId="23AA4621">
      <w:pPr>
        <w:snapToGrid w:val="0"/>
        <w:jc w:val="center"/>
        <w:rPr>
          <w:rFonts w:ascii="宋体" w:hAnsi="宋体"/>
          <w:color w:val="auto"/>
          <w:sz w:val="30"/>
          <w:szCs w:val="30"/>
          <w:highlight w:val="none"/>
        </w:rPr>
      </w:pPr>
    </w:p>
    <w:p w14:paraId="56513269">
      <w:pPr>
        <w:rPr>
          <w:rFonts w:ascii="宋体" w:hAnsi="宋体" w:cs="宋体"/>
          <w:color w:val="auto"/>
          <w:sz w:val="20"/>
          <w:szCs w:val="20"/>
          <w:highlight w:val="none"/>
        </w:rPr>
      </w:pPr>
    </w:p>
    <w:p w14:paraId="0407B87F">
      <w:pPr>
        <w:rPr>
          <w:rFonts w:ascii="宋体" w:hAnsi="宋体" w:cs="宋体"/>
          <w:color w:val="auto"/>
          <w:sz w:val="20"/>
          <w:szCs w:val="20"/>
          <w:highlight w:val="none"/>
        </w:rPr>
      </w:pPr>
    </w:p>
    <w:p w14:paraId="3AA0E642">
      <w:pPr>
        <w:keepNext w:val="0"/>
        <w:keepLines w:val="0"/>
        <w:widowControl/>
        <w:suppressLineNumbers w:val="0"/>
        <w:jc w:val="left"/>
        <w:rPr>
          <w:color w:val="auto"/>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r>
        <w:rPr>
          <w:rFonts w:hint="eastAsia" w:ascii="宋体" w:hAnsi="宋体" w:cs="宋体"/>
          <w:b/>
          <w:bCs/>
          <w:color w:val="auto"/>
          <w:kern w:val="0"/>
          <w:sz w:val="28"/>
          <w:szCs w:val="28"/>
          <w:highlight w:val="none"/>
          <w:lang w:val="en-US" w:eastAsia="zh-CN" w:bidi="ar"/>
        </w:rPr>
        <w:t>北流市大里镇、新圩镇、西埌镇、隆盛镇、民乐镇等5个镇级污水处理设施（含泵站、污水管网）运营维护</w:t>
      </w:r>
      <w:r>
        <w:rPr>
          <w:rFonts w:hint="eastAsia" w:ascii="宋体" w:hAnsi="宋体" w:eastAsia="宋体" w:cs="宋体"/>
          <w:b/>
          <w:bCs/>
          <w:color w:val="auto"/>
          <w:kern w:val="0"/>
          <w:sz w:val="28"/>
          <w:szCs w:val="28"/>
          <w:highlight w:val="none"/>
          <w:lang w:val="en-US" w:eastAsia="zh-CN" w:bidi="ar"/>
        </w:rPr>
        <w:t>管理考核细则</w:t>
      </w:r>
    </w:p>
    <w:p w14:paraId="24584EAC">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为充分调动运营商的积极性，避免“运维商不想深入排查已建成管网、泵站损坏及堵塞情况，出现应处理的污水而得不到收集处理；污水进水量越少就越好”等现象产生，在保证运营商能够覆盖运营成本和应获得合理运营利润基础上，应通过设计运营的基本水量的方式，固化产生运营成本的固定费用，并设置绩效考核鼓励运维商努力提高污水厂运行负荷率，确保达标运营。</w:t>
      </w:r>
    </w:p>
    <w:p w14:paraId="26CF5E73">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（一）考核体系设置情况</w:t>
      </w:r>
    </w:p>
    <w:p w14:paraId="4E56E9F1">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1.绩效考核原则</w:t>
      </w:r>
    </w:p>
    <w:p w14:paraId="2238E3B5">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lang w:eastAsia="zh-CN"/>
        </w:rPr>
        <w:t>）污水处理厂、配套管网的日常巡检维护运营、配套污水提升泵站的费用采取包干制，每季度考核一次。为了保证能够覆盖运营成本和运营商的合理运营利润，</w:t>
      </w:r>
      <w:r>
        <w:rPr>
          <w:rFonts w:hint="eastAsia" w:ascii="宋体" w:hAnsi="宋体" w:eastAsia="宋体" w:cs="宋体"/>
          <w:b/>
          <w:bCs/>
          <w:color w:val="auto"/>
          <w:spacing w:val="0"/>
          <w:w w:val="100"/>
          <w:sz w:val="24"/>
          <w:szCs w:val="24"/>
          <w:highlight w:val="none"/>
          <w:lang w:val="en-US" w:eastAsia="zh-CN"/>
        </w:rPr>
        <w:t>70</w:t>
      </w:r>
      <w:r>
        <w:rPr>
          <w:rFonts w:hint="eastAsia" w:ascii="宋体" w:hAnsi="宋体" w:eastAsia="宋体" w:cs="宋体"/>
          <w:b/>
          <w:bCs/>
          <w:color w:val="auto"/>
          <w:spacing w:val="0"/>
          <w:w w:val="100"/>
          <w:sz w:val="24"/>
          <w:szCs w:val="24"/>
          <w:highlight w:val="none"/>
          <w:lang w:eastAsia="zh-CN"/>
        </w:rPr>
        <w:t>%的费用计作固定费用，余下</w:t>
      </w:r>
      <w:r>
        <w:rPr>
          <w:rFonts w:hint="eastAsia" w:ascii="宋体" w:hAnsi="宋体" w:eastAsia="宋体" w:cs="宋体"/>
          <w:b/>
          <w:bCs/>
          <w:color w:val="auto"/>
          <w:spacing w:val="0"/>
          <w:w w:val="100"/>
          <w:sz w:val="24"/>
          <w:szCs w:val="24"/>
          <w:highlight w:val="none"/>
          <w:lang w:val="en-US" w:eastAsia="zh-CN"/>
        </w:rPr>
        <w:t>30</w:t>
      </w:r>
      <w:r>
        <w:rPr>
          <w:rFonts w:hint="eastAsia" w:ascii="宋体" w:hAnsi="宋体" w:eastAsia="宋体" w:cs="宋体"/>
          <w:b/>
          <w:bCs/>
          <w:color w:val="auto"/>
          <w:spacing w:val="0"/>
          <w:w w:val="100"/>
          <w:sz w:val="24"/>
          <w:szCs w:val="24"/>
          <w:highlight w:val="none"/>
          <w:lang w:eastAsia="zh-CN"/>
        </w:rPr>
        <w:t>%的费用作为绩效考核费用直接参与绩效挂钩考核。</w:t>
      </w:r>
    </w:p>
    <w:p w14:paraId="1EDBAF7F">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lang w:eastAsia="zh-CN"/>
        </w:rPr>
        <w:t>）固定费用（</w:t>
      </w:r>
      <w:r>
        <w:rPr>
          <w:rFonts w:hint="eastAsia" w:ascii="宋体" w:hAnsi="宋体" w:eastAsia="宋体" w:cs="宋体"/>
          <w:color w:val="auto"/>
          <w:spacing w:val="0"/>
          <w:w w:val="100"/>
          <w:sz w:val="24"/>
          <w:szCs w:val="24"/>
          <w:highlight w:val="none"/>
          <w:lang w:val="en-US" w:eastAsia="zh-CN"/>
        </w:rPr>
        <w:t>7</w:t>
      </w:r>
      <w:r>
        <w:rPr>
          <w:rFonts w:hint="eastAsia" w:ascii="宋体" w:hAnsi="宋体" w:eastAsia="宋体" w:cs="宋体"/>
          <w:color w:val="auto"/>
          <w:spacing w:val="0"/>
          <w:w w:val="100"/>
          <w:sz w:val="24"/>
          <w:szCs w:val="24"/>
          <w:highlight w:val="none"/>
          <w:lang w:eastAsia="zh-CN"/>
        </w:rPr>
        <w:t>0%的费用）不参与绩效挂钩考核。</w:t>
      </w:r>
    </w:p>
    <w:p w14:paraId="19FEF2D5">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2.污水处理厂、配套管网等各项的绩效考核费设置情况</w:t>
      </w:r>
    </w:p>
    <w:p w14:paraId="18EF284C">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w:t>
      </w:r>
      <w:r>
        <w:rPr>
          <w:rFonts w:hint="eastAsia" w:ascii="宋体" w:hAnsi="宋体" w:eastAsia="宋体" w:cs="宋体"/>
          <w:b/>
          <w:bCs/>
          <w:color w:val="auto"/>
          <w:spacing w:val="0"/>
          <w:w w:val="100"/>
          <w:sz w:val="24"/>
          <w:szCs w:val="24"/>
          <w:highlight w:val="none"/>
          <w:lang w:val="en-US" w:eastAsia="zh-CN"/>
        </w:rPr>
        <w:t>1</w:t>
      </w:r>
      <w:r>
        <w:rPr>
          <w:rFonts w:hint="eastAsia" w:ascii="宋体" w:hAnsi="宋体" w:eastAsia="宋体" w:cs="宋体"/>
          <w:b/>
          <w:bCs/>
          <w:color w:val="auto"/>
          <w:spacing w:val="0"/>
          <w:w w:val="100"/>
          <w:sz w:val="24"/>
          <w:szCs w:val="24"/>
          <w:highlight w:val="none"/>
          <w:lang w:eastAsia="zh-CN"/>
        </w:rPr>
        <w:t>）污水处理运营绩效考核费用</w:t>
      </w:r>
    </w:p>
    <w:p w14:paraId="51770034">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①</w:t>
      </w:r>
      <w:r>
        <w:rPr>
          <w:rFonts w:hint="eastAsia" w:ascii="宋体" w:hAnsi="宋体" w:eastAsia="宋体" w:cs="宋体"/>
          <w:b/>
          <w:bCs/>
          <w:color w:val="auto"/>
          <w:spacing w:val="0"/>
          <w:w w:val="100"/>
          <w:sz w:val="24"/>
          <w:szCs w:val="24"/>
          <w:highlight w:val="none"/>
          <w:lang w:val="en-US" w:eastAsia="zh-CN"/>
        </w:rPr>
        <w:t xml:space="preserve"> 5</w:t>
      </w:r>
      <w:r>
        <w:rPr>
          <w:rFonts w:hint="eastAsia" w:ascii="宋体" w:hAnsi="宋体" w:eastAsia="宋体" w:cs="宋体"/>
          <w:b/>
          <w:bCs/>
          <w:color w:val="auto"/>
          <w:spacing w:val="0"/>
          <w:w w:val="100"/>
          <w:sz w:val="24"/>
          <w:szCs w:val="24"/>
          <w:highlight w:val="none"/>
          <w:lang w:eastAsia="zh-CN"/>
        </w:rPr>
        <w:t>个乡镇污水处理厂区年度运营费、泵站年运营维护费分为固定费用、与绩效考核挂钩费用两大部分。</w:t>
      </w:r>
      <w:r>
        <w:rPr>
          <w:rFonts w:hint="eastAsia" w:ascii="宋体" w:hAnsi="宋体" w:eastAsia="宋体" w:cs="宋体"/>
          <w:color w:val="auto"/>
          <w:spacing w:val="0"/>
          <w:w w:val="100"/>
          <w:sz w:val="24"/>
          <w:szCs w:val="24"/>
          <w:highlight w:val="none"/>
          <w:lang w:eastAsia="zh-CN"/>
        </w:rPr>
        <w:t>具体如下：污水处理运维费总额</w:t>
      </w:r>
      <w:r>
        <w:rPr>
          <w:rFonts w:hint="eastAsia" w:ascii="宋体" w:hAnsi="宋体" w:eastAsia="宋体" w:cs="宋体"/>
          <w:color w:val="auto"/>
          <w:spacing w:val="0"/>
          <w:w w:val="100"/>
          <w:sz w:val="24"/>
          <w:szCs w:val="24"/>
          <w:highlight w:val="none"/>
          <w:lang w:val="en-US" w:eastAsia="zh-CN"/>
        </w:rPr>
        <w:t>471.58</w:t>
      </w:r>
      <w:r>
        <w:rPr>
          <w:rFonts w:hint="eastAsia" w:ascii="宋体" w:hAnsi="宋体" w:eastAsia="宋体" w:cs="宋体"/>
          <w:color w:val="auto"/>
          <w:spacing w:val="0"/>
          <w:w w:val="100"/>
          <w:sz w:val="24"/>
          <w:szCs w:val="24"/>
          <w:highlight w:val="none"/>
          <w:lang w:eastAsia="zh-CN"/>
        </w:rPr>
        <w:t>万元</w:t>
      </w:r>
      <w:r>
        <w:rPr>
          <w:rFonts w:hint="eastAsia" w:ascii="宋体" w:hAnsi="宋体" w:eastAsia="宋体" w:cs="宋体"/>
          <w:color w:val="auto"/>
          <w:spacing w:val="0"/>
          <w:w w:val="100"/>
          <w:sz w:val="24"/>
          <w:szCs w:val="24"/>
          <w:highlight w:val="none"/>
          <w:lang w:val="en-US" w:eastAsia="zh-CN"/>
        </w:rPr>
        <w:t>/年，</w:t>
      </w:r>
      <w:r>
        <w:rPr>
          <w:rFonts w:hint="eastAsia" w:ascii="宋体" w:hAnsi="宋体" w:eastAsia="宋体" w:cs="宋体"/>
          <w:color w:val="auto"/>
          <w:spacing w:val="0"/>
          <w:w w:val="100"/>
          <w:sz w:val="24"/>
          <w:szCs w:val="24"/>
          <w:highlight w:val="none"/>
          <w:lang w:eastAsia="zh-CN"/>
        </w:rPr>
        <w:t>配套的</w:t>
      </w: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lang w:eastAsia="zh-CN"/>
        </w:rPr>
        <w:t>座中途提升泵站年运营维护费用合计约为</w:t>
      </w:r>
      <w:r>
        <w:rPr>
          <w:rFonts w:hint="eastAsia" w:ascii="宋体" w:hAnsi="宋体" w:eastAsia="宋体" w:cs="宋体"/>
          <w:b w:val="0"/>
          <w:bCs w:val="0"/>
          <w:color w:val="auto"/>
          <w:spacing w:val="0"/>
          <w:w w:val="100"/>
          <w:sz w:val="24"/>
          <w:szCs w:val="24"/>
          <w:highlight w:val="none"/>
          <w:lang w:val="en-US" w:eastAsia="zh-CN"/>
        </w:rPr>
        <w:t>26.62万元</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合计总额为498.2万元/年</w:t>
      </w:r>
      <w:r>
        <w:rPr>
          <w:rFonts w:hint="eastAsia" w:ascii="宋体" w:hAnsi="宋体" w:eastAsia="宋体" w:cs="宋体"/>
          <w:color w:val="auto"/>
          <w:spacing w:val="0"/>
          <w:w w:val="100"/>
          <w:sz w:val="24"/>
          <w:szCs w:val="24"/>
          <w:highlight w:val="none"/>
          <w:lang w:eastAsia="zh-CN"/>
        </w:rPr>
        <w:t>。其中：年固定费用</w:t>
      </w:r>
      <w:r>
        <w:rPr>
          <w:rFonts w:hint="eastAsia" w:ascii="宋体" w:hAnsi="宋体" w:eastAsia="宋体" w:cs="宋体"/>
          <w:color w:val="auto"/>
          <w:spacing w:val="0"/>
          <w:w w:val="100"/>
          <w:sz w:val="24"/>
          <w:szCs w:val="24"/>
          <w:highlight w:val="none"/>
          <w:lang w:val="en-US" w:eastAsia="zh-CN"/>
        </w:rPr>
        <w:t>占70%，</w:t>
      </w:r>
      <w:r>
        <w:rPr>
          <w:rFonts w:hint="eastAsia" w:ascii="宋体" w:hAnsi="宋体" w:eastAsia="宋体" w:cs="宋体"/>
          <w:color w:val="auto"/>
          <w:spacing w:val="0"/>
          <w:w w:val="100"/>
          <w:sz w:val="24"/>
          <w:szCs w:val="24"/>
          <w:highlight w:val="none"/>
          <w:lang w:eastAsia="zh-CN"/>
        </w:rPr>
        <w:t>为</w:t>
      </w:r>
      <w:r>
        <w:rPr>
          <w:rFonts w:hint="eastAsia" w:ascii="宋体" w:hAnsi="宋体" w:eastAsia="宋体" w:cs="宋体"/>
          <w:color w:val="auto"/>
          <w:spacing w:val="0"/>
          <w:w w:val="100"/>
          <w:sz w:val="24"/>
          <w:szCs w:val="24"/>
          <w:highlight w:val="none"/>
          <w:lang w:val="en-US" w:eastAsia="zh-CN"/>
        </w:rPr>
        <w:t>348.74</w:t>
      </w:r>
      <w:r>
        <w:rPr>
          <w:rFonts w:hint="eastAsia" w:ascii="宋体" w:hAnsi="宋体" w:eastAsia="宋体" w:cs="宋体"/>
          <w:color w:val="auto"/>
          <w:spacing w:val="0"/>
          <w:w w:val="100"/>
          <w:sz w:val="24"/>
          <w:szCs w:val="24"/>
          <w:highlight w:val="none"/>
          <w:lang w:eastAsia="zh-CN"/>
        </w:rPr>
        <w:t>万元，与绩效考核挂钩费用</w:t>
      </w:r>
      <w:r>
        <w:rPr>
          <w:rFonts w:hint="eastAsia" w:ascii="宋体" w:hAnsi="宋体" w:eastAsia="宋体" w:cs="宋体"/>
          <w:color w:val="auto"/>
          <w:spacing w:val="0"/>
          <w:w w:val="100"/>
          <w:sz w:val="24"/>
          <w:szCs w:val="24"/>
          <w:highlight w:val="none"/>
          <w:lang w:val="en-US" w:eastAsia="zh-CN"/>
        </w:rPr>
        <w:t>占30%，</w:t>
      </w:r>
      <w:r>
        <w:rPr>
          <w:rFonts w:hint="eastAsia" w:ascii="宋体" w:hAnsi="宋体" w:eastAsia="宋体" w:cs="宋体"/>
          <w:color w:val="auto"/>
          <w:spacing w:val="0"/>
          <w:w w:val="100"/>
          <w:sz w:val="24"/>
          <w:szCs w:val="24"/>
          <w:highlight w:val="none"/>
          <w:lang w:eastAsia="zh-CN"/>
        </w:rPr>
        <w:t>为</w:t>
      </w:r>
      <w:r>
        <w:rPr>
          <w:rFonts w:hint="eastAsia" w:ascii="宋体" w:hAnsi="宋体" w:eastAsia="宋体" w:cs="宋体"/>
          <w:color w:val="auto"/>
          <w:spacing w:val="0"/>
          <w:w w:val="100"/>
          <w:sz w:val="24"/>
          <w:szCs w:val="24"/>
          <w:highlight w:val="none"/>
          <w:lang w:val="en-US" w:eastAsia="zh-CN"/>
        </w:rPr>
        <w:t>149.46</w:t>
      </w:r>
      <w:r>
        <w:rPr>
          <w:rFonts w:hint="eastAsia" w:ascii="宋体" w:hAnsi="宋体" w:eastAsia="宋体" w:cs="宋体"/>
          <w:color w:val="auto"/>
          <w:spacing w:val="0"/>
          <w:w w:val="100"/>
          <w:sz w:val="24"/>
          <w:szCs w:val="24"/>
          <w:highlight w:val="none"/>
          <w:lang w:eastAsia="zh-CN"/>
        </w:rPr>
        <w:t>万元。具体按表6-</w:t>
      </w:r>
      <w:r>
        <w:rPr>
          <w:rFonts w:hint="eastAsia" w:ascii="宋体" w:hAnsi="宋体" w:eastAsia="宋体" w:cs="宋体"/>
          <w:color w:val="auto"/>
          <w:spacing w:val="0"/>
          <w:w w:val="100"/>
          <w:sz w:val="24"/>
          <w:szCs w:val="24"/>
          <w:highlight w:val="none"/>
          <w:lang w:val="en-US" w:eastAsia="zh-CN"/>
        </w:rPr>
        <w:t>1进行</w:t>
      </w:r>
      <w:r>
        <w:rPr>
          <w:rFonts w:hint="eastAsia" w:ascii="宋体" w:hAnsi="宋体" w:eastAsia="宋体" w:cs="宋体"/>
          <w:color w:val="auto"/>
          <w:spacing w:val="0"/>
          <w:w w:val="100"/>
          <w:sz w:val="24"/>
          <w:szCs w:val="24"/>
          <w:highlight w:val="none"/>
          <w:lang w:eastAsia="zh-CN"/>
        </w:rPr>
        <w:t>考核。</w:t>
      </w:r>
    </w:p>
    <w:p w14:paraId="27689336">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②</w:t>
      </w:r>
      <w:r>
        <w:rPr>
          <w:rFonts w:hint="eastAsia" w:ascii="宋体" w:hAnsi="宋体" w:eastAsia="宋体" w:cs="宋体"/>
          <w:b/>
          <w:bCs/>
          <w:color w:val="auto"/>
          <w:spacing w:val="0"/>
          <w:w w:val="100"/>
          <w:sz w:val="24"/>
          <w:szCs w:val="24"/>
          <w:highlight w:val="none"/>
          <w:lang w:val="en-US" w:eastAsia="zh-CN"/>
        </w:rPr>
        <w:t xml:space="preserve"> </w:t>
      </w:r>
      <w:r>
        <w:rPr>
          <w:rFonts w:hint="eastAsia" w:ascii="宋体" w:hAnsi="宋体" w:eastAsia="宋体" w:cs="宋体"/>
          <w:color w:val="auto"/>
          <w:spacing w:val="0"/>
          <w:w w:val="100"/>
          <w:sz w:val="24"/>
          <w:szCs w:val="24"/>
          <w:highlight w:val="none"/>
          <w:lang w:eastAsia="zh-CN"/>
        </w:rPr>
        <w:t>污水处理水量的绩效考核费用。一是出水水质若未达到排放标准，除扣减绩效考核费用外，不免除环保等部门作出的相应处罚。二是处理水量</w:t>
      </w:r>
      <w:r>
        <w:rPr>
          <w:rFonts w:hint="eastAsia" w:ascii="宋体" w:hAnsi="宋体" w:eastAsia="宋体" w:cs="宋体"/>
          <w:b/>
          <w:bCs/>
          <w:color w:val="auto"/>
          <w:spacing w:val="0"/>
          <w:w w:val="100"/>
          <w:sz w:val="24"/>
          <w:szCs w:val="24"/>
          <w:highlight w:val="none"/>
          <w:u w:val="single"/>
          <w:lang w:val="en-US" w:eastAsia="zh-CN"/>
        </w:rPr>
        <w:t>负荷率不达标的（按自治区要求）</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按</w:t>
      </w:r>
      <w:r>
        <w:rPr>
          <w:rFonts w:hint="eastAsia" w:ascii="宋体" w:hAnsi="宋体" w:eastAsia="宋体" w:cs="宋体"/>
          <w:color w:val="auto"/>
          <w:spacing w:val="0"/>
          <w:w w:val="100"/>
          <w:sz w:val="24"/>
          <w:szCs w:val="24"/>
          <w:highlight w:val="none"/>
          <w:lang w:eastAsia="zh-CN"/>
        </w:rPr>
        <w:t>阶梯扣减相应绩效考核费用，处理水量占考核</w:t>
      </w:r>
      <w:r>
        <w:rPr>
          <w:rFonts w:hint="eastAsia" w:ascii="宋体" w:hAnsi="宋体" w:eastAsia="宋体" w:cs="宋体"/>
          <w:b/>
          <w:bCs/>
          <w:color w:val="auto"/>
          <w:spacing w:val="0"/>
          <w:w w:val="100"/>
          <w:sz w:val="24"/>
          <w:szCs w:val="24"/>
          <w:highlight w:val="none"/>
          <w:u w:val="single"/>
          <w:lang w:eastAsia="zh-CN"/>
        </w:rPr>
        <w:t>比例</w:t>
      </w:r>
      <w:r>
        <w:rPr>
          <w:rFonts w:hint="eastAsia" w:ascii="宋体" w:hAnsi="宋体" w:eastAsia="宋体" w:cs="宋体"/>
          <w:b/>
          <w:bCs/>
          <w:color w:val="auto"/>
          <w:spacing w:val="0"/>
          <w:w w:val="100"/>
          <w:sz w:val="24"/>
          <w:szCs w:val="24"/>
          <w:highlight w:val="none"/>
          <w:u w:val="single"/>
          <w:lang w:val="en-US" w:eastAsia="zh-CN"/>
        </w:rPr>
        <w:t>2</w:t>
      </w:r>
      <w:r>
        <w:rPr>
          <w:rFonts w:hint="eastAsia" w:ascii="宋体" w:hAnsi="宋体" w:eastAsia="宋体" w:cs="宋体"/>
          <w:b/>
          <w:bCs/>
          <w:color w:val="auto"/>
          <w:spacing w:val="0"/>
          <w:w w:val="100"/>
          <w:sz w:val="24"/>
          <w:szCs w:val="24"/>
          <w:highlight w:val="none"/>
          <w:u w:val="single"/>
          <w:lang w:eastAsia="zh-CN"/>
        </w:rPr>
        <w:t>0%</w:t>
      </w:r>
      <w:r>
        <w:rPr>
          <w:rFonts w:hint="eastAsia" w:ascii="宋体" w:hAnsi="宋体" w:eastAsia="宋体" w:cs="宋体"/>
          <w:color w:val="auto"/>
          <w:spacing w:val="0"/>
          <w:w w:val="100"/>
          <w:sz w:val="24"/>
          <w:szCs w:val="24"/>
          <w:highlight w:val="none"/>
          <w:lang w:eastAsia="zh-CN"/>
        </w:rPr>
        <w:t>，按表6-2分段式考核。</w:t>
      </w:r>
    </w:p>
    <w:p w14:paraId="7BF133D3">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b/>
          <w:bCs/>
          <w:color w:val="auto"/>
          <w:spacing w:val="0"/>
          <w:w w:val="100"/>
          <w:sz w:val="24"/>
          <w:szCs w:val="24"/>
          <w:highlight w:val="none"/>
          <w:lang w:eastAsia="zh-CN"/>
        </w:rPr>
        <w:t>配套污水管网日常运营维护绩效考核费用</w:t>
      </w:r>
    </w:p>
    <w:p w14:paraId="45CA61F6">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总长度</w:t>
      </w:r>
      <w:r>
        <w:rPr>
          <w:rFonts w:hint="eastAsia" w:ascii="宋体" w:hAnsi="宋体" w:eastAsia="宋体" w:cs="宋体"/>
          <w:color w:val="auto"/>
          <w:spacing w:val="0"/>
          <w:w w:val="100"/>
          <w:sz w:val="24"/>
          <w:szCs w:val="24"/>
          <w:highlight w:val="none"/>
          <w:lang w:val="en-US" w:eastAsia="zh-CN"/>
        </w:rPr>
        <w:t>29.421公里</w:t>
      </w:r>
      <w:r>
        <w:rPr>
          <w:rFonts w:hint="eastAsia" w:ascii="宋体" w:hAnsi="宋体" w:eastAsia="宋体" w:cs="宋体"/>
          <w:color w:val="auto"/>
          <w:spacing w:val="0"/>
          <w:w w:val="100"/>
          <w:sz w:val="24"/>
          <w:szCs w:val="24"/>
          <w:highlight w:val="none"/>
          <w:lang w:eastAsia="zh-CN"/>
        </w:rPr>
        <w:t>的配套管网年日常巡检维护费用合计约为</w:t>
      </w:r>
      <w:r>
        <w:rPr>
          <w:rFonts w:hint="eastAsia" w:ascii="宋体" w:hAnsi="宋体" w:eastAsia="宋体" w:cs="宋体"/>
          <w:b/>
          <w:bCs/>
          <w:color w:val="auto"/>
          <w:spacing w:val="0"/>
          <w:w w:val="100"/>
          <w:sz w:val="24"/>
          <w:szCs w:val="24"/>
          <w:highlight w:val="none"/>
          <w:lang w:val="en-US" w:eastAsia="zh-CN"/>
        </w:rPr>
        <w:t>58.842万元</w:t>
      </w:r>
      <w:r>
        <w:rPr>
          <w:rFonts w:hint="eastAsia" w:ascii="宋体" w:hAnsi="宋体" w:eastAsia="宋体" w:cs="宋体"/>
          <w:color w:val="auto"/>
          <w:spacing w:val="0"/>
          <w:w w:val="100"/>
          <w:sz w:val="24"/>
          <w:szCs w:val="24"/>
          <w:highlight w:val="none"/>
          <w:lang w:eastAsia="zh-CN"/>
        </w:rPr>
        <w:t>。其中年固定费用</w:t>
      </w:r>
      <w:r>
        <w:rPr>
          <w:rFonts w:hint="eastAsia" w:ascii="宋体" w:hAnsi="宋体" w:eastAsia="宋体" w:cs="宋体"/>
          <w:b/>
          <w:bCs/>
          <w:color w:val="auto"/>
          <w:spacing w:val="0"/>
          <w:w w:val="100"/>
          <w:sz w:val="24"/>
          <w:szCs w:val="24"/>
          <w:highlight w:val="none"/>
          <w:u w:val="single"/>
          <w:lang w:val="en-US" w:eastAsia="zh-CN"/>
        </w:rPr>
        <w:t>占70%</w:t>
      </w:r>
      <w:r>
        <w:rPr>
          <w:rFonts w:hint="eastAsia" w:ascii="宋体" w:hAnsi="宋体" w:eastAsia="宋体" w:cs="宋体"/>
          <w:color w:val="auto"/>
          <w:spacing w:val="0"/>
          <w:w w:val="100"/>
          <w:sz w:val="24"/>
          <w:szCs w:val="24"/>
          <w:highlight w:val="none"/>
          <w:lang w:val="en-US" w:eastAsia="zh-CN"/>
        </w:rPr>
        <w:t>，</w:t>
      </w:r>
      <w:r>
        <w:rPr>
          <w:rFonts w:hint="eastAsia" w:ascii="宋体" w:hAnsi="宋体" w:eastAsia="宋体" w:cs="宋体"/>
          <w:color w:val="auto"/>
          <w:spacing w:val="0"/>
          <w:w w:val="100"/>
          <w:sz w:val="24"/>
          <w:szCs w:val="24"/>
          <w:highlight w:val="none"/>
          <w:lang w:eastAsia="zh-CN"/>
        </w:rPr>
        <w:t>为</w:t>
      </w:r>
      <w:r>
        <w:rPr>
          <w:rFonts w:hint="eastAsia" w:ascii="宋体" w:hAnsi="宋体" w:eastAsia="宋体" w:cs="宋体"/>
          <w:color w:val="auto"/>
          <w:spacing w:val="0"/>
          <w:w w:val="100"/>
          <w:sz w:val="24"/>
          <w:szCs w:val="24"/>
          <w:highlight w:val="none"/>
          <w:lang w:val="en-US" w:eastAsia="zh-CN"/>
        </w:rPr>
        <w:t>41.1894</w:t>
      </w:r>
      <w:r>
        <w:rPr>
          <w:rFonts w:hint="eastAsia" w:ascii="宋体" w:hAnsi="宋体" w:eastAsia="宋体" w:cs="宋体"/>
          <w:color w:val="auto"/>
          <w:spacing w:val="0"/>
          <w:w w:val="100"/>
          <w:sz w:val="24"/>
          <w:szCs w:val="24"/>
          <w:highlight w:val="none"/>
          <w:lang w:eastAsia="zh-CN"/>
        </w:rPr>
        <w:t>万元，</w:t>
      </w:r>
      <w:r>
        <w:rPr>
          <w:rFonts w:hint="eastAsia" w:ascii="宋体" w:hAnsi="宋体" w:eastAsia="宋体" w:cs="宋体"/>
          <w:b/>
          <w:bCs/>
          <w:color w:val="auto"/>
          <w:spacing w:val="0"/>
          <w:w w:val="100"/>
          <w:sz w:val="24"/>
          <w:szCs w:val="24"/>
          <w:highlight w:val="none"/>
          <w:lang w:eastAsia="zh-CN"/>
        </w:rPr>
        <w:t>与绩效考核挂钩费用</w:t>
      </w:r>
      <w:r>
        <w:rPr>
          <w:rFonts w:hint="eastAsia" w:ascii="宋体" w:hAnsi="宋体" w:eastAsia="宋体" w:cs="宋体"/>
          <w:b/>
          <w:bCs/>
          <w:color w:val="auto"/>
          <w:spacing w:val="0"/>
          <w:w w:val="100"/>
          <w:sz w:val="24"/>
          <w:szCs w:val="24"/>
          <w:highlight w:val="none"/>
          <w:u w:val="single"/>
          <w:lang w:val="en-US" w:eastAsia="zh-CN"/>
        </w:rPr>
        <w:t>占30%</w:t>
      </w:r>
      <w:r>
        <w:rPr>
          <w:rFonts w:hint="eastAsia" w:ascii="宋体" w:hAnsi="宋体" w:eastAsia="宋体" w:cs="宋体"/>
          <w:b/>
          <w:bCs/>
          <w:color w:val="auto"/>
          <w:spacing w:val="0"/>
          <w:w w:val="100"/>
          <w:sz w:val="24"/>
          <w:szCs w:val="24"/>
          <w:highlight w:val="none"/>
          <w:lang w:val="en-US" w:eastAsia="zh-CN"/>
        </w:rPr>
        <w:t>，</w:t>
      </w:r>
      <w:r>
        <w:rPr>
          <w:rFonts w:hint="eastAsia" w:ascii="宋体" w:hAnsi="宋体" w:eastAsia="宋体" w:cs="宋体"/>
          <w:color w:val="auto"/>
          <w:spacing w:val="0"/>
          <w:w w:val="100"/>
          <w:sz w:val="24"/>
          <w:szCs w:val="24"/>
          <w:highlight w:val="none"/>
          <w:lang w:eastAsia="zh-CN"/>
        </w:rPr>
        <w:t>为</w:t>
      </w:r>
      <w:r>
        <w:rPr>
          <w:rFonts w:hint="eastAsia" w:ascii="宋体" w:hAnsi="宋体" w:eastAsia="宋体" w:cs="宋体"/>
          <w:color w:val="auto"/>
          <w:spacing w:val="0"/>
          <w:w w:val="100"/>
          <w:sz w:val="24"/>
          <w:szCs w:val="24"/>
          <w:highlight w:val="none"/>
          <w:lang w:val="en-US" w:eastAsia="zh-CN"/>
        </w:rPr>
        <w:t>17.6526</w:t>
      </w:r>
      <w:r>
        <w:rPr>
          <w:rFonts w:hint="eastAsia" w:ascii="宋体" w:hAnsi="宋体" w:eastAsia="宋体" w:cs="宋体"/>
          <w:color w:val="auto"/>
          <w:spacing w:val="0"/>
          <w:w w:val="100"/>
          <w:sz w:val="24"/>
          <w:szCs w:val="24"/>
          <w:highlight w:val="none"/>
          <w:lang w:eastAsia="zh-CN"/>
        </w:rPr>
        <w:t>万元。具体按表6-</w:t>
      </w:r>
      <w:r>
        <w:rPr>
          <w:rFonts w:hint="eastAsia" w:ascii="宋体" w:hAnsi="宋体" w:eastAsia="宋体" w:cs="宋体"/>
          <w:color w:val="auto"/>
          <w:spacing w:val="0"/>
          <w:w w:val="100"/>
          <w:sz w:val="24"/>
          <w:szCs w:val="24"/>
          <w:highlight w:val="none"/>
          <w:lang w:val="en-US" w:eastAsia="zh-CN"/>
        </w:rPr>
        <w:t>3进行</w:t>
      </w:r>
      <w:r>
        <w:rPr>
          <w:rFonts w:hint="eastAsia" w:ascii="宋体" w:hAnsi="宋体" w:eastAsia="宋体" w:cs="宋体"/>
          <w:color w:val="auto"/>
          <w:spacing w:val="0"/>
          <w:w w:val="100"/>
          <w:sz w:val="24"/>
          <w:szCs w:val="24"/>
          <w:highlight w:val="none"/>
          <w:lang w:eastAsia="zh-CN"/>
        </w:rPr>
        <w:t>考核。</w:t>
      </w:r>
    </w:p>
    <w:p w14:paraId="4EF948A2">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综合上述，本方案污水处理、管网及泵站运营维护的绩效考核费用合计为</w:t>
      </w:r>
      <w:r>
        <w:rPr>
          <w:rFonts w:hint="eastAsia" w:ascii="宋体" w:hAnsi="宋体" w:eastAsia="宋体" w:cs="宋体"/>
          <w:color w:val="auto"/>
          <w:spacing w:val="0"/>
          <w:w w:val="100"/>
          <w:sz w:val="24"/>
          <w:szCs w:val="24"/>
          <w:highlight w:val="none"/>
          <w:lang w:val="en-US" w:eastAsia="zh-CN"/>
        </w:rPr>
        <w:t>167.1126</w:t>
      </w:r>
      <w:r>
        <w:rPr>
          <w:rFonts w:hint="eastAsia" w:ascii="宋体" w:hAnsi="宋体" w:eastAsia="宋体" w:cs="宋体"/>
          <w:color w:val="auto"/>
          <w:spacing w:val="0"/>
          <w:w w:val="100"/>
          <w:sz w:val="24"/>
          <w:szCs w:val="24"/>
          <w:highlight w:val="none"/>
          <w:lang w:eastAsia="zh-CN"/>
        </w:rPr>
        <w:t>万元／年（</w:t>
      </w:r>
      <w:r>
        <w:rPr>
          <w:rFonts w:hint="eastAsia" w:ascii="宋体" w:hAnsi="宋体" w:eastAsia="宋体" w:cs="宋体"/>
          <w:color w:val="auto"/>
          <w:spacing w:val="0"/>
          <w:w w:val="100"/>
          <w:sz w:val="24"/>
          <w:szCs w:val="24"/>
          <w:highlight w:val="none"/>
          <w:lang w:val="en-US" w:eastAsia="zh-CN"/>
        </w:rPr>
        <w:t>约</w:t>
      </w:r>
      <w:r>
        <w:rPr>
          <w:rFonts w:hint="eastAsia" w:ascii="宋体" w:hAnsi="宋体" w:eastAsia="宋体" w:cs="宋体"/>
          <w:color w:val="auto"/>
          <w:sz w:val="24"/>
          <w:szCs w:val="24"/>
          <w:highlight w:val="none"/>
          <w:lang w:val="en-US" w:eastAsia="zh-CN"/>
        </w:rPr>
        <w:t>41.77815</w:t>
      </w:r>
      <w:r>
        <w:rPr>
          <w:rFonts w:hint="eastAsia" w:ascii="宋体" w:hAnsi="宋体" w:eastAsia="宋体" w:cs="宋体"/>
          <w:color w:val="auto"/>
          <w:spacing w:val="0"/>
          <w:w w:val="100"/>
          <w:sz w:val="24"/>
          <w:szCs w:val="24"/>
          <w:highlight w:val="none"/>
          <w:lang w:eastAsia="zh-CN"/>
        </w:rPr>
        <w:t>万元／季度）。</w:t>
      </w:r>
    </w:p>
    <w:p w14:paraId="0AE4AD10">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3.考核方式方法</w:t>
      </w:r>
    </w:p>
    <w:p w14:paraId="60E3E545">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w:t>
      </w:r>
      <w:r>
        <w:rPr>
          <w:rFonts w:hint="eastAsia" w:ascii="宋体" w:hAnsi="宋体" w:eastAsia="宋体" w:cs="宋体"/>
          <w:b/>
          <w:bCs/>
          <w:color w:val="auto"/>
          <w:spacing w:val="0"/>
          <w:w w:val="100"/>
          <w:sz w:val="24"/>
          <w:szCs w:val="24"/>
          <w:highlight w:val="none"/>
          <w:lang w:val="en-US" w:eastAsia="zh-CN"/>
        </w:rPr>
        <w:t>1</w:t>
      </w:r>
      <w:r>
        <w:rPr>
          <w:rFonts w:hint="eastAsia" w:ascii="宋体" w:hAnsi="宋体" w:eastAsia="宋体" w:cs="宋体"/>
          <w:b/>
          <w:bCs/>
          <w:color w:val="auto"/>
          <w:spacing w:val="0"/>
          <w:w w:val="100"/>
          <w:sz w:val="24"/>
          <w:szCs w:val="24"/>
          <w:highlight w:val="none"/>
          <w:lang w:eastAsia="zh-CN"/>
        </w:rPr>
        <w:t>）常规考核</w:t>
      </w:r>
    </w:p>
    <w:p w14:paraId="5E4ECB03">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①</w:t>
      </w:r>
      <w:r>
        <w:rPr>
          <w:rFonts w:hint="eastAsia" w:ascii="宋体" w:hAnsi="宋体" w:eastAsia="宋体" w:cs="宋体"/>
          <w:b/>
          <w:bCs/>
          <w:color w:val="auto"/>
          <w:spacing w:val="0"/>
          <w:w w:val="100"/>
          <w:sz w:val="24"/>
          <w:szCs w:val="24"/>
          <w:highlight w:val="none"/>
          <w:lang w:val="en-US" w:eastAsia="zh-CN"/>
        </w:rPr>
        <w:t xml:space="preserve"> </w:t>
      </w:r>
      <w:r>
        <w:rPr>
          <w:rFonts w:hint="eastAsia" w:ascii="宋体" w:hAnsi="宋体" w:eastAsia="宋体" w:cs="宋体"/>
          <w:b/>
          <w:bCs/>
          <w:color w:val="auto"/>
          <w:spacing w:val="0"/>
          <w:w w:val="100"/>
          <w:sz w:val="24"/>
          <w:szCs w:val="24"/>
          <w:highlight w:val="none"/>
          <w:lang w:eastAsia="zh-CN"/>
        </w:rPr>
        <w:t>考核时间。</w:t>
      </w:r>
      <w:r>
        <w:rPr>
          <w:rFonts w:hint="eastAsia" w:ascii="宋体" w:hAnsi="宋体" w:eastAsia="宋体" w:cs="宋体"/>
          <w:color w:val="auto"/>
          <w:spacing w:val="0"/>
          <w:w w:val="100"/>
          <w:sz w:val="24"/>
          <w:szCs w:val="24"/>
          <w:highlight w:val="none"/>
          <w:lang w:eastAsia="zh-CN"/>
        </w:rPr>
        <w:t>常规考核从正式移交之日起开始，每季度进行一次，考核时间为当季度最后一个月。</w:t>
      </w:r>
    </w:p>
    <w:p w14:paraId="39C80133">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val="en-US" w:eastAsia="zh-CN"/>
        </w:rPr>
        <w:t xml:space="preserve">② </w:t>
      </w:r>
      <w:r>
        <w:rPr>
          <w:rFonts w:hint="eastAsia" w:ascii="宋体" w:hAnsi="宋体" w:eastAsia="宋体" w:cs="宋体"/>
          <w:b/>
          <w:bCs/>
          <w:color w:val="auto"/>
          <w:spacing w:val="0"/>
          <w:w w:val="100"/>
          <w:sz w:val="24"/>
          <w:szCs w:val="24"/>
          <w:highlight w:val="none"/>
          <w:lang w:eastAsia="zh-CN"/>
        </w:rPr>
        <w:t>台帐材料。</w:t>
      </w:r>
      <w:r>
        <w:rPr>
          <w:rFonts w:hint="eastAsia" w:ascii="宋体" w:hAnsi="宋体" w:eastAsia="宋体" w:cs="宋体"/>
          <w:color w:val="auto"/>
          <w:spacing w:val="0"/>
          <w:w w:val="100"/>
          <w:sz w:val="24"/>
          <w:szCs w:val="24"/>
          <w:highlight w:val="none"/>
          <w:lang w:eastAsia="zh-CN"/>
        </w:rPr>
        <w:t>运营单位按绩效考核指标内容向业主提交各厂有水量、水质的月运维报告及报表、水质化验报告、电费单、污泥处置等相关运维记录台帐以及佐证材料。</w:t>
      </w:r>
    </w:p>
    <w:p w14:paraId="6DB20A9C">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③</w:t>
      </w:r>
      <w:r>
        <w:rPr>
          <w:rFonts w:hint="eastAsia" w:ascii="宋体" w:hAnsi="宋体" w:eastAsia="宋体" w:cs="宋体"/>
          <w:b/>
          <w:bCs/>
          <w:color w:val="auto"/>
          <w:spacing w:val="0"/>
          <w:w w:val="100"/>
          <w:sz w:val="24"/>
          <w:szCs w:val="24"/>
          <w:highlight w:val="none"/>
          <w:lang w:val="en-US" w:eastAsia="zh-CN"/>
        </w:rPr>
        <w:t xml:space="preserve"> </w:t>
      </w:r>
      <w:r>
        <w:rPr>
          <w:rFonts w:hint="eastAsia" w:ascii="宋体" w:hAnsi="宋体" w:eastAsia="宋体" w:cs="宋体"/>
          <w:b/>
          <w:bCs/>
          <w:color w:val="auto"/>
          <w:spacing w:val="0"/>
          <w:w w:val="100"/>
          <w:sz w:val="24"/>
          <w:szCs w:val="24"/>
          <w:highlight w:val="none"/>
          <w:lang w:eastAsia="zh-CN"/>
        </w:rPr>
        <w:t>考核方式。</w:t>
      </w:r>
      <w:r>
        <w:rPr>
          <w:rFonts w:hint="eastAsia" w:ascii="宋体" w:hAnsi="宋体" w:eastAsia="宋体" w:cs="宋体"/>
          <w:color w:val="auto"/>
          <w:spacing w:val="0"/>
          <w:w w:val="100"/>
          <w:sz w:val="24"/>
          <w:szCs w:val="24"/>
          <w:highlight w:val="none"/>
          <w:lang w:eastAsia="zh-CN"/>
        </w:rPr>
        <w:t>由业主负责开展运营期评价，对各镇污水处理厂及其泵站设施设备进行现场检查及资料检查，对服务效果进行考核评价；在有必要的情况下，也可以通过环保部门或第三方检验机构见证取样检测、送检等，其结果作为绩效考核的依据。考核分满分为100分。考核工作应在7日内完成，并在考核工作完成后3天内出具考核报告。</w:t>
      </w:r>
    </w:p>
    <w:p w14:paraId="772AE8BE">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w:t>
      </w:r>
      <w:r>
        <w:rPr>
          <w:rFonts w:hint="eastAsia" w:ascii="宋体" w:hAnsi="宋体" w:eastAsia="宋体" w:cs="宋体"/>
          <w:b/>
          <w:bCs/>
          <w:color w:val="auto"/>
          <w:spacing w:val="0"/>
          <w:w w:val="100"/>
          <w:sz w:val="24"/>
          <w:szCs w:val="24"/>
          <w:highlight w:val="none"/>
          <w:lang w:val="en-US" w:eastAsia="zh-CN"/>
        </w:rPr>
        <w:t>2</w:t>
      </w:r>
      <w:r>
        <w:rPr>
          <w:rFonts w:hint="eastAsia" w:ascii="宋体" w:hAnsi="宋体" w:eastAsia="宋体" w:cs="宋体"/>
          <w:b/>
          <w:bCs/>
          <w:color w:val="auto"/>
          <w:spacing w:val="0"/>
          <w:w w:val="100"/>
          <w:sz w:val="24"/>
          <w:szCs w:val="24"/>
          <w:highlight w:val="none"/>
          <w:lang w:eastAsia="zh-CN"/>
        </w:rPr>
        <w:t>）随机抽查</w:t>
      </w:r>
    </w:p>
    <w:p w14:paraId="79C2A50E">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基于监管需要，业主可自行不定期对污水处理厂区及泵站运行管理情况进行抽检，或者可以随时委托第三方检测机构对项目服务范围内任意污水厂水质水量进行随机抽检。随机抽查检测费由业主自行承担。对在随机抽查过程中和有关部门、上级督查发现的问题，将对应绩效考核指标表标准对应项进行扣分，同时以书面的形式下达整改通知要求运营商进行整改，若不按时完成整改，再予以双倍扣分。</w:t>
      </w:r>
    </w:p>
    <w:p w14:paraId="51A1C6EF">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p>
    <w:p w14:paraId="2FF9F8EF">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w w:val="102"/>
          <w:sz w:val="24"/>
          <w:szCs w:val="24"/>
          <w:highlight w:val="none"/>
        </w:rPr>
      </w:pPr>
      <w:r>
        <w:rPr>
          <w:rFonts w:hint="eastAsia" w:ascii="宋体" w:hAnsi="宋体" w:eastAsia="宋体" w:cs="宋体"/>
          <w:b/>
          <w:bCs/>
          <w:color w:val="auto"/>
          <w:spacing w:val="0"/>
          <w:w w:val="100"/>
          <w:sz w:val="24"/>
          <w:szCs w:val="24"/>
          <w:highlight w:val="none"/>
          <w:lang w:eastAsia="zh-CN"/>
        </w:rPr>
        <w:t>4.污水处理厂、配套管网等各项的绩效考核指标设置情况</w:t>
      </w:r>
    </w:p>
    <w:p w14:paraId="1F2054DA">
      <w:pPr>
        <w:pStyle w:val="99"/>
        <w:kinsoku w:val="0"/>
        <w:overflowPunct w:val="0"/>
        <w:spacing w:before="10" w:beforeLines="0" w:line="520" w:lineRule="exact"/>
        <w:ind w:left="111" w:right="75" w:firstLine="14"/>
        <w:jc w:val="both"/>
        <w:rPr>
          <w:rFonts w:hint="eastAsia" w:ascii="宋体" w:hAnsi="宋体" w:eastAsia="宋体" w:cs="宋体"/>
          <w:color w:val="auto"/>
          <w:w w:val="102"/>
          <w:sz w:val="24"/>
          <w:szCs w:val="24"/>
          <w:highlight w:val="none"/>
        </w:rPr>
      </w:pPr>
    </w:p>
    <w:p w14:paraId="086A35B3">
      <w:pPr>
        <w:spacing w:line="520" w:lineRule="exact"/>
        <w:jc w:val="both"/>
        <w:rPr>
          <w:rFonts w:hint="eastAsia" w:ascii="宋体" w:hAnsi="宋体" w:eastAsia="宋体" w:cs="宋体"/>
          <w:b/>
          <w:color w:val="auto"/>
          <w:spacing w:val="-20"/>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sz w:val="24"/>
          <w:szCs w:val="24"/>
          <w:highlight w:val="none"/>
        </w:rPr>
        <w:t xml:space="preserve">表6-1 </w:t>
      </w:r>
      <w:r>
        <w:rPr>
          <w:rFonts w:hint="eastAsia" w:ascii="宋体" w:hAnsi="宋体" w:eastAsia="宋体" w:cs="宋体"/>
          <w:b/>
          <w:color w:val="auto"/>
          <w:spacing w:val="-20"/>
          <w:sz w:val="24"/>
          <w:szCs w:val="24"/>
          <w:highlight w:val="none"/>
        </w:rPr>
        <w:t>污水处理厂及其泵站</w:t>
      </w:r>
      <w:r>
        <w:rPr>
          <w:rFonts w:hint="eastAsia" w:ascii="宋体" w:hAnsi="宋体" w:eastAsia="宋体" w:cs="宋体"/>
          <w:b/>
          <w:bCs/>
          <w:color w:val="auto"/>
          <w:spacing w:val="-20"/>
          <w:sz w:val="24"/>
          <w:szCs w:val="24"/>
          <w:highlight w:val="none"/>
        </w:rPr>
        <w:t>设施运营维护绩效考核指标（季度考核）</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643"/>
        <w:gridCol w:w="975"/>
        <w:gridCol w:w="1106"/>
        <w:gridCol w:w="10"/>
        <w:gridCol w:w="3898"/>
        <w:gridCol w:w="3300"/>
      </w:tblGrid>
      <w:tr w14:paraId="3D2A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53" w:type="dxa"/>
            <w:gridSpan w:val="2"/>
            <w:noWrap w:val="0"/>
            <w:vAlign w:val="center"/>
          </w:tcPr>
          <w:p w14:paraId="0620DFFC">
            <w:pPr>
              <w:pStyle w:val="10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81" w:type="dxa"/>
            <w:gridSpan w:val="2"/>
            <w:noWrap w:val="0"/>
            <w:vAlign w:val="center"/>
          </w:tcPr>
          <w:p w14:paraId="6FC29C29">
            <w:pPr>
              <w:pStyle w:val="10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考核项目</w:t>
            </w:r>
          </w:p>
        </w:tc>
        <w:tc>
          <w:tcPr>
            <w:tcW w:w="3908" w:type="dxa"/>
            <w:gridSpan w:val="2"/>
            <w:noWrap w:val="0"/>
            <w:vAlign w:val="center"/>
          </w:tcPr>
          <w:p w14:paraId="20867411">
            <w:pPr>
              <w:pStyle w:val="10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基本指标</w:t>
            </w:r>
          </w:p>
        </w:tc>
        <w:tc>
          <w:tcPr>
            <w:tcW w:w="3300" w:type="dxa"/>
            <w:noWrap w:val="0"/>
            <w:vAlign w:val="center"/>
          </w:tcPr>
          <w:p w14:paraId="5EC520BE">
            <w:pPr>
              <w:pStyle w:val="10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5CC2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538FC026">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75" w:type="dxa"/>
            <w:vMerge w:val="restart"/>
            <w:noWrap w:val="0"/>
            <w:vAlign w:val="center"/>
          </w:tcPr>
          <w:p w14:paraId="72FB8C8C">
            <w:pPr>
              <w:pStyle w:val="102"/>
              <w:jc w:val="both"/>
              <w:rPr>
                <w:rFonts w:hint="eastAsia" w:ascii="宋体" w:hAnsi="宋体" w:eastAsia="宋体" w:cs="宋体"/>
                <w:color w:val="auto"/>
                <w:sz w:val="24"/>
                <w:szCs w:val="24"/>
                <w:highlight w:val="none"/>
              </w:rPr>
            </w:pPr>
          </w:p>
          <w:p w14:paraId="03EE6BBE">
            <w:pPr>
              <w:pStyle w:val="102"/>
              <w:jc w:val="both"/>
              <w:rPr>
                <w:rFonts w:hint="eastAsia" w:ascii="宋体" w:hAnsi="宋体" w:eastAsia="宋体" w:cs="宋体"/>
                <w:color w:val="auto"/>
                <w:sz w:val="24"/>
                <w:szCs w:val="24"/>
                <w:highlight w:val="none"/>
              </w:rPr>
            </w:pPr>
          </w:p>
          <w:p w14:paraId="53EF0066">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CEBAAC3">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设施</w:t>
            </w:r>
          </w:p>
          <w:p w14:paraId="794019EB">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条件</w:t>
            </w:r>
          </w:p>
          <w:p w14:paraId="2B9227FC">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与管</w:t>
            </w:r>
          </w:p>
          <w:p w14:paraId="18DF993B">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理维</w:t>
            </w:r>
          </w:p>
          <w:p w14:paraId="69E6C823">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护考</w:t>
            </w:r>
          </w:p>
          <w:p w14:paraId="7338DBCB">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w:t>
            </w:r>
          </w:p>
          <w:p w14:paraId="249F3CA9">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（12分）</w:t>
            </w:r>
          </w:p>
        </w:tc>
        <w:tc>
          <w:tcPr>
            <w:tcW w:w="1106" w:type="dxa"/>
            <w:noWrap w:val="0"/>
            <w:vAlign w:val="center"/>
          </w:tcPr>
          <w:p w14:paraId="7D8F4253">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构筑物（</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908" w:type="dxa"/>
            <w:gridSpan w:val="2"/>
            <w:noWrap w:val="0"/>
            <w:vAlign w:val="center"/>
          </w:tcPr>
          <w:p w14:paraId="6A4E3D36">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符合《城镇污水处理厂运行、维护及安全技术规程》(CJJ60-2011) 及相关规范、法规的要求：包括格栅槽、调节池、初沉池、曝气池、二沉池、巴氏计量槽、污泥池等无破损、渗漏；池面清洁，堰口出水均匀等。</w:t>
            </w:r>
          </w:p>
        </w:tc>
        <w:tc>
          <w:tcPr>
            <w:tcW w:w="3300" w:type="dxa"/>
            <w:noWrap w:val="0"/>
            <w:vAlign w:val="center"/>
          </w:tcPr>
          <w:p w14:paraId="1FC392E4">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不符合要求每次/处扣1分并要求整改，超过规定的周期未完成整 改，扣罚分数按上一周期的扣分加倍。</w:t>
            </w:r>
          </w:p>
        </w:tc>
      </w:tr>
      <w:tr w14:paraId="6F65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0BB56FF0">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75" w:type="dxa"/>
            <w:vMerge w:val="continue"/>
            <w:noWrap w:val="0"/>
            <w:vAlign w:val="center"/>
          </w:tcPr>
          <w:p w14:paraId="755D94E1">
            <w:pPr>
              <w:widowControl/>
              <w:jc w:val="both"/>
              <w:rPr>
                <w:rFonts w:hint="eastAsia" w:ascii="宋体" w:hAnsi="宋体" w:eastAsia="宋体" w:cs="宋体"/>
                <w:color w:val="auto"/>
                <w:sz w:val="24"/>
                <w:szCs w:val="24"/>
                <w:highlight w:val="none"/>
              </w:rPr>
            </w:pPr>
          </w:p>
        </w:tc>
        <w:tc>
          <w:tcPr>
            <w:tcW w:w="1106" w:type="dxa"/>
            <w:noWrap w:val="0"/>
            <w:vAlign w:val="center"/>
          </w:tcPr>
          <w:p w14:paraId="6D47B0F8">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w:t>
            </w:r>
          </w:p>
          <w:p w14:paraId="3C449F4E">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p w14:paraId="438C3C89">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3908" w:type="dxa"/>
            <w:gridSpan w:val="2"/>
            <w:noWrap w:val="0"/>
            <w:vAlign w:val="center"/>
          </w:tcPr>
          <w:p w14:paraId="6EA5D6F0">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符合《城镇污水处理厂运行、维护及安全技术规程》(CJJ60-2011) 及相关规范的要求：污水处理所有设备如监测系统、曝气设备、消毒设备、池内设备、加药装置设备、风机、水泵等运行正常，外观整洁，螺栓齐全牢固；设备无渗漏，计量仪表、设施设备定期检定、设备台账及维护档案齐全等。定期开展设施、设备厂保养，防止损坏及生锈氧化。</w:t>
            </w:r>
          </w:p>
        </w:tc>
        <w:tc>
          <w:tcPr>
            <w:tcW w:w="3300" w:type="dxa"/>
            <w:noWrap w:val="0"/>
            <w:vAlign w:val="center"/>
          </w:tcPr>
          <w:p w14:paraId="3D187E9C">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设施设备至少每周维护保养1次，发现设备故障及损坏未及时修复；油漆无锈蚀，每次/处扣2分。并在规定时间内完成整改，超过规定的周期未完成整 改，扣罚分数按上一周期的扣分加倍。</w:t>
            </w:r>
          </w:p>
        </w:tc>
      </w:tr>
      <w:tr w14:paraId="2B20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4FE4EE75">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75" w:type="dxa"/>
            <w:noWrap w:val="0"/>
            <w:vAlign w:val="center"/>
          </w:tcPr>
          <w:p w14:paraId="71C70B28">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污泥</w:t>
            </w:r>
          </w:p>
          <w:p w14:paraId="505D3957">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处置（</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106" w:type="dxa"/>
            <w:noWrap w:val="0"/>
            <w:vAlign w:val="center"/>
          </w:tcPr>
          <w:p w14:paraId="42005DC9">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908" w:type="dxa"/>
            <w:gridSpan w:val="2"/>
            <w:noWrap w:val="0"/>
            <w:vAlign w:val="center"/>
          </w:tcPr>
          <w:p w14:paraId="749FDBF3">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严格按照《北流市城镇污水处理厂污泥制度（试行）》文件要求，好做厂区产生、储存、运输处置过程，且及时登记厂区污泥管理台账，做到无害化处理。</w:t>
            </w:r>
          </w:p>
        </w:tc>
        <w:tc>
          <w:tcPr>
            <w:tcW w:w="3300" w:type="dxa"/>
            <w:noWrap w:val="0"/>
            <w:vAlign w:val="center"/>
          </w:tcPr>
          <w:p w14:paraId="118A40D9">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擅自倾倒、堆放、露天堆放的污泥，每次/处扣2分；产生、运输、处置全流程记录不完整，数据不可追溯‌，每次/处扣1分并要求整改，超过规定的周期未完成整 改，扣罚分数按上一周期的扣分加倍。</w:t>
            </w:r>
          </w:p>
        </w:tc>
      </w:tr>
      <w:tr w14:paraId="11AE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0D922CCF">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75" w:type="dxa"/>
            <w:vMerge w:val="restart"/>
            <w:noWrap w:val="0"/>
            <w:vAlign w:val="center"/>
          </w:tcPr>
          <w:p w14:paraId="2EC5B22C">
            <w:pPr>
              <w:pStyle w:val="102"/>
              <w:jc w:val="both"/>
              <w:rPr>
                <w:rFonts w:hint="eastAsia" w:ascii="宋体" w:hAnsi="宋体" w:eastAsia="宋体" w:cs="宋体"/>
                <w:color w:val="auto"/>
                <w:sz w:val="24"/>
                <w:szCs w:val="24"/>
                <w:highlight w:val="none"/>
              </w:rPr>
            </w:pPr>
          </w:p>
          <w:p w14:paraId="436DD1A8">
            <w:pPr>
              <w:pStyle w:val="102"/>
              <w:jc w:val="both"/>
              <w:rPr>
                <w:rFonts w:hint="eastAsia" w:ascii="宋体" w:hAnsi="宋体" w:eastAsia="宋体" w:cs="宋体"/>
                <w:color w:val="auto"/>
                <w:sz w:val="24"/>
                <w:szCs w:val="24"/>
                <w:highlight w:val="none"/>
              </w:rPr>
            </w:pPr>
          </w:p>
          <w:p w14:paraId="6D677460">
            <w:pPr>
              <w:pStyle w:val="102"/>
              <w:jc w:val="both"/>
              <w:rPr>
                <w:rFonts w:hint="eastAsia" w:ascii="宋体" w:hAnsi="宋体" w:eastAsia="宋体" w:cs="宋体"/>
                <w:color w:val="auto"/>
                <w:sz w:val="24"/>
                <w:szCs w:val="24"/>
                <w:highlight w:val="none"/>
              </w:rPr>
            </w:pPr>
          </w:p>
          <w:p w14:paraId="2683B0E1">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p>
          <w:p w14:paraId="61C856F4">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w:t>
            </w:r>
          </w:p>
          <w:p w14:paraId="53BE96A1">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37分</w:t>
            </w:r>
            <w:r>
              <w:rPr>
                <w:rFonts w:hint="eastAsia" w:ascii="宋体" w:hAnsi="宋体" w:eastAsia="宋体" w:cs="宋体"/>
                <w:color w:val="auto"/>
                <w:sz w:val="24"/>
                <w:szCs w:val="24"/>
                <w:highlight w:val="none"/>
                <w:lang w:eastAsia="zh-CN"/>
              </w:rPr>
              <w:t>）</w:t>
            </w:r>
          </w:p>
          <w:p w14:paraId="5128E647">
            <w:pPr>
              <w:pStyle w:val="102"/>
              <w:jc w:val="both"/>
              <w:rPr>
                <w:rFonts w:hint="eastAsia" w:ascii="宋体" w:hAnsi="宋体" w:eastAsia="宋体" w:cs="宋体"/>
                <w:color w:val="auto"/>
                <w:sz w:val="24"/>
                <w:szCs w:val="24"/>
                <w:highlight w:val="none"/>
              </w:rPr>
            </w:pPr>
          </w:p>
          <w:p w14:paraId="272765A7">
            <w:pPr>
              <w:pStyle w:val="102"/>
              <w:jc w:val="both"/>
              <w:rPr>
                <w:rFonts w:hint="eastAsia" w:ascii="宋体" w:hAnsi="宋体" w:eastAsia="宋体" w:cs="宋体"/>
                <w:color w:val="auto"/>
                <w:sz w:val="24"/>
                <w:szCs w:val="24"/>
                <w:highlight w:val="none"/>
              </w:rPr>
            </w:pPr>
          </w:p>
          <w:p w14:paraId="78D95C1E">
            <w:pPr>
              <w:pStyle w:val="102"/>
              <w:jc w:val="both"/>
              <w:rPr>
                <w:rFonts w:hint="eastAsia" w:ascii="宋体" w:hAnsi="宋体" w:eastAsia="宋体" w:cs="宋体"/>
                <w:color w:val="auto"/>
                <w:sz w:val="24"/>
                <w:szCs w:val="24"/>
                <w:highlight w:val="none"/>
              </w:rPr>
            </w:pPr>
          </w:p>
        </w:tc>
        <w:tc>
          <w:tcPr>
            <w:tcW w:w="1106" w:type="dxa"/>
            <w:noWrap w:val="0"/>
            <w:vAlign w:val="center"/>
          </w:tcPr>
          <w:p w14:paraId="21D3D141">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出水</w:t>
            </w:r>
          </w:p>
          <w:p w14:paraId="6FF94DFA">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水质</w:t>
            </w:r>
          </w:p>
          <w:p w14:paraId="1C4EC67A">
            <w:pPr>
              <w:pStyle w:val="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3908" w:type="dxa"/>
            <w:gridSpan w:val="2"/>
            <w:noWrap w:val="0"/>
            <w:vAlign w:val="center"/>
          </w:tcPr>
          <w:p w14:paraId="7F119E9F">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进水</w:t>
            </w:r>
            <w:r>
              <w:rPr>
                <w:rFonts w:hint="eastAsia" w:ascii="宋体" w:hAnsi="宋体" w:eastAsia="宋体" w:cs="宋体"/>
                <w:color w:val="auto"/>
                <w:sz w:val="24"/>
                <w:szCs w:val="24"/>
                <w:highlight w:val="none"/>
              </w:rPr>
              <w:t>CODcr</w:t>
            </w:r>
            <w:r>
              <w:rPr>
                <w:rFonts w:hint="eastAsia" w:ascii="宋体" w:hAnsi="宋体" w:eastAsia="宋体" w:cs="宋体"/>
                <w:color w:val="auto"/>
                <w:sz w:val="24"/>
                <w:szCs w:val="24"/>
                <w:highlight w:val="none"/>
                <w:lang w:eastAsia="zh-CN"/>
              </w:rPr>
              <w:t>平均浓度需达</w:t>
            </w:r>
            <w:r>
              <w:rPr>
                <w:rFonts w:hint="eastAsia" w:ascii="宋体" w:hAnsi="宋体" w:eastAsia="宋体" w:cs="宋体"/>
                <w:color w:val="auto"/>
                <w:sz w:val="24"/>
                <w:szCs w:val="24"/>
                <w:highlight w:val="none"/>
                <w:lang w:val="en-US" w:eastAsia="zh-CN"/>
              </w:rPr>
              <w:t>100mg/L以上，</w:t>
            </w:r>
            <w:r>
              <w:rPr>
                <w:rFonts w:hint="eastAsia" w:ascii="宋体" w:hAnsi="宋体" w:eastAsia="宋体" w:cs="宋体"/>
                <w:color w:val="auto"/>
                <w:sz w:val="24"/>
                <w:szCs w:val="24"/>
                <w:highlight w:val="none"/>
              </w:rPr>
              <w:t>出水水质中 CODcr、NH3-N、TP、TN、pH、等指标需达到《城镇污水处理厂污染物排放标准 (GB18918-2002) 中一级排放A标准。</w:t>
            </w:r>
          </w:p>
        </w:tc>
        <w:tc>
          <w:tcPr>
            <w:tcW w:w="3300" w:type="dxa"/>
            <w:noWrap w:val="0"/>
            <w:vAlign w:val="center"/>
          </w:tcPr>
          <w:p w14:paraId="0AD99480">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根据绩效考核周期的检测水质化验报告及玉林市污染源自动监控平台数据，每发现任何一项数据不达标扣3分并要求整改，超过规定的周期未完成整改，予以加倍扣分。</w:t>
            </w:r>
          </w:p>
        </w:tc>
      </w:tr>
      <w:tr w14:paraId="18F9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0D9F286A">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5" w:type="dxa"/>
            <w:vMerge w:val="continue"/>
            <w:noWrap w:val="0"/>
            <w:vAlign w:val="center"/>
          </w:tcPr>
          <w:p w14:paraId="00EF527B">
            <w:pPr>
              <w:widowControl/>
              <w:jc w:val="both"/>
              <w:rPr>
                <w:rFonts w:hint="eastAsia" w:ascii="宋体" w:hAnsi="宋体" w:eastAsia="宋体" w:cs="宋体"/>
                <w:color w:val="auto"/>
                <w:sz w:val="24"/>
                <w:szCs w:val="24"/>
                <w:highlight w:val="none"/>
              </w:rPr>
            </w:pPr>
          </w:p>
        </w:tc>
        <w:tc>
          <w:tcPr>
            <w:tcW w:w="1106" w:type="dxa"/>
            <w:noWrap w:val="0"/>
            <w:vAlign w:val="center"/>
          </w:tcPr>
          <w:p w14:paraId="0406EF54">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厂区运营台账</w:t>
            </w:r>
          </w:p>
          <w:p w14:paraId="048D00BC">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908" w:type="dxa"/>
            <w:gridSpan w:val="2"/>
            <w:noWrap w:val="0"/>
            <w:vAlign w:val="center"/>
          </w:tcPr>
          <w:p w14:paraId="4B3766F8">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按要求处理集水池中被格栅拦截栅渣，外运至指定地点；交接班、生产物质、异常数据等厂区内运行记录和统计报表应做到完整、规范。</w:t>
            </w:r>
          </w:p>
        </w:tc>
        <w:tc>
          <w:tcPr>
            <w:tcW w:w="3300" w:type="dxa"/>
            <w:noWrap w:val="0"/>
            <w:vAlign w:val="center"/>
          </w:tcPr>
          <w:p w14:paraId="47C83378">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每发现1处不合格/不完善扣 0.5 分并要求整改，超过规定的周期未完成整改，予以加倍扣分。</w:t>
            </w:r>
          </w:p>
        </w:tc>
      </w:tr>
      <w:tr w14:paraId="63C9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0DA78667">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75" w:type="dxa"/>
            <w:vMerge w:val="continue"/>
            <w:noWrap w:val="0"/>
            <w:vAlign w:val="center"/>
          </w:tcPr>
          <w:p w14:paraId="11D678FA">
            <w:pPr>
              <w:widowControl/>
              <w:jc w:val="both"/>
              <w:rPr>
                <w:rFonts w:hint="eastAsia" w:ascii="宋体" w:hAnsi="宋体" w:eastAsia="宋体" w:cs="宋体"/>
                <w:color w:val="auto"/>
                <w:sz w:val="24"/>
                <w:szCs w:val="24"/>
                <w:highlight w:val="none"/>
              </w:rPr>
            </w:pPr>
          </w:p>
        </w:tc>
        <w:tc>
          <w:tcPr>
            <w:tcW w:w="1116" w:type="dxa"/>
            <w:gridSpan w:val="2"/>
            <w:noWrap w:val="0"/>
            <w:vAlign w:val="center"/>
          </w:tcPr>
          <w:p w14:paraId="03265B71">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出水水质化验</w:t>
            </w:r>
          </w:p>
          <w:p w14:paraId="43BFB9CB">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3898" w:type="dxa"/>
            <w:noWrap w:val="0"/>
            <w:vAlign w:val="center"/>
          </w:tcPr>
          <w:p w14:paraId="1B38C937">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A按要求配置检测仪器；</w:t>
            </w:r>
          </w:p>
          <w:p w14:paraId="53AF4C0D">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B制定严格的管理制度（上墙）；</w:t>
            </w:r>
          </w:p>
          <w:p w14:paraId="6CA419FA">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C按相关规定对水质进行</w:t>
            </w:r>
            <w:r>
              <w:rPr>
                <w:rFonts w:hint="eastAsia" w:ascii="宋体" w:hAnsi="宋体" w:eastAsia="宋体" w:cs="宋体"/>
                <w:color w:val="auto"/>
                <w:sz w:val="24"/>
                <w:szCs w:val="24"/>
                <w:highlight w:val="none"/>
                <w:lang w:eastAsia="zh-CN"/>
              </w:rPr>
              <w:t>人工</w:t>
            </w:r>
            <w:r>
              <w:rPr>
                <w:rFonts w:hint="eastAsia" w:ascii="宋体" w:hAnsi="宋体" w:eastAsia="宋体" w:cs="宋体"/>
                <w:color w:val="auto"/>
                <w:sz w:val="24"/>
                <w:szCs w:val="24"/>
                <w:highlight w:val="none"/>
              </w:rPr>
              <w:t>化验（每周）；</w:t>
            </w:r>
          </w:p>
          <w:p w14:paraId="74BBF55C">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D检测仪器、化学试剂使用规范；</w:t>
            </w:r>
          </w:p>
          <w:p w14:paraId="2031B56A">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E按相关要求对水样进行采样和保管；</w:t>
            </w:r>
          </w:p>
          <w:p w14:paraId="2203C669">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F化验试剂（危险化学品、剧毒品）管理、储存规范；</w:t>
            </w:r>
          </w:p>
          <w:p w14:paraId="75B52EFD">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化验数据及时登记造册、上报。</w:t>
            </w:r>
          </w:p>
        </w:tc>
        <w:tc>
          <w:tcPr>
            <w:tcW w:w="3300" w:type="dxa"/>
            <w:noWrap w:val="0"/>
            <w:vAlign w:val="center"/>
          </w:tcPr>
          <w:p w14:paraId="10A5DFF3">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每发现1处不合格扣2分并要求整 改，超过规定的周期未完成整改，予以加倍扣分。</w:t>
            </w:r>
          </w:p>
        </w:tc>
      </w:tr>
      <w:tr w14:paraId="1192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17E7B99B">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75" w:type="dxa"/>
            <w:vMerge w:val="continue"/>
            <w:noWrap w:val="0"/>
            <w:vAlign w:val="center"/>
          </w:tcPr>
          <w:p w14:paraId="57FF8A92">
            <w:pPr>
              <w:widowControl/>
              <w:jc w:val="both"/>
              <w:rPr>
                <w:rFonts w:hint="eastAsia" w:ascii="宋体" w:hAnsi="宋体" w:eastAsia="宋体" w:cs="宋体"/>
                <w:color w:val="auto"/>
                <w:sz w:val="24"/>
                <w:szCs w:val="24"/>
                <w:highlight w:val="none"/>
              </w:rPr>
            </w:pPr>
          </w:p>
        </w:tc>
        <w:tc>
          <w:tcPr>
            <w:tcW w:w="1116" w:type="dxa"/>
            <w:gridSpan w:val="2"/>
            <w:noWrap w:val="0"/>
            <w:vAlign w:val="center"/>
          </w:tcPr>
          <w:p w14:paraId="127361E7">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w:t>
            </w:r>
          </w:p>
          <w:p w14:paraId="7CDEC2A4">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监测</w:t>
            </w:r>
          </w:p>
          <w:p w14:paraId="6A3A2454">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3898" w:type="dxa"/>
            <w:noWrap w:val="0"/>
            <w:vAlign w:val="center"/>
          </w:tcPr>
          <w:p w14:paraId="6935F7CF">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安装进出厂水在线计量、检测设备的污水厂，运营商需做好进出水流量、COD、pH、NH3-N、TN、TP等指标数据的记录，并对日常设备运行是否正常情况进行记录。监测房上锁，无关人员不得进入。记录好进出监测房时间、人员姓名。</w:t>
            </w:r>
          </w:p>
        </w:tc>
        <w:tc>
          <w:tcPr>
            <w:tcW w:w="3300" w:type="dxa"/>
            <w:noWrap w:val="0"/>
            <w:vAlign w:val="center"/>
          </w:tcPr>
          <w:p w14:paraId="4D40A605">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做好日常运营记录，如未按要求做好相关项，记录每缺一项扣1分并要求整改，超过规定的周期未完成整改，予以加倍扣分。</w:t>
            </w:r>
          </w:p>
        </w:tc>
      </w:tr>
      <w:tr w14:paraId="161E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6FA01DA3">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75" w:type="dxa"/>
            <w:vMerge w:val="restart"/>
            <w:noWrap w:val="0"/>
            <w:vAlign w:val="center"/>
          </w:tcPr>
          <w:p w14:paraId="2909AD0F">
            <w:pPr>
              <w:pStyle w:val="1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厂容</w:t>
            </w:r>
          </w:p>
          <w:p w14:paraId="3E7508A6">
            <w:pPr>
              <w:pStyle w:val="1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厂貌</w:t>
            </w:r>
          </w:p>
          <w:p w14:paraId="17ED66B9">
            <w:pPr>
              <w:pStyle w:val="1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1116" w:type="dxa"/>
            <w:gridSpan w:val="2"/>
            <w:noWrap w:val="0"/>
            <w:vAlign w:val="center"/>
          </w:tcPr>
          <w:p w14:paraId="0177B034">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室内 </w:t>
            </w:r>
          </w:p>
          <w:p w14:paraId="2DE78EC1">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3898" w:type="dxa"/>
            <w:noWrap w:val="0"/>
            <w:vAlign w:val="center"/>
          </w:tcPr>
          <w:p w14:paraId="67765F7A">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厂区内所有室内无垃圾 堆放、无烟头、照明设施分布整齐完好；门、窗、玻璃明亮、无破损；室内无乱涂画、整洁；操作人员着装整齐统一工作服，文明礼貌。</w:t>
            </w:r>
          </w:p>
        </w:tc>
        <w:tc>
          <w:tcPr>
            <w:tcW w:w="3300" w:type="dxa"/>
            <w:noWrap w:val="0"/>
            <w:vAlign w:val="center"/>
          </w:tcPr>
          <w:p w14:paraId="435CBF2F">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不符合要求每次/处扣 0.5 分并要 求整改，超过规定的周期未完成整 改，扣罚分数按上一周期的扣分加倍。</w:t>
            </w:r>
          </w:p>
        </w:tc>
      </w:tr>
      <w:tr w14:paraId="56B8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169C3DAD">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75" w:type="dxa"/>
            <w:vMerge w:val="continue"/>
            <w:noWrap w:val="0"/>
            <w:vAlign w:val="center"/>
          </w:tcPr>
          <w:p w14:paraId="20D912DD">
            <w:pPr>
              <w:widowControl/>
              <w:jc w:val="both"/>
              <w:rPr>
                <w:rFonts w:hint="eastAsia" w:ascii="宋体" w:hAnsi="宋体" w:eastAsia="宋体" w:cs="宋体"/>
                <w:color w:val="auto"/>
                <w:sz w:val="24"/>
                <w:szCs w:val="24"/>
                <w:highlight w:val="none"/>
              </w:rPr>
            </w:pPr>
          </w:p>
        </w:tc>
        <w:tc>
          <w:tcPr>
            <w:tcW w:w="1116" w:type="dxa"/>
            <w:gridSpan w:val="2"/>
            <w:noWrap w:val="0"/>
            <w:vAlign w:val="center"/>
          </w:tcPr>
          <w:p w14:paraId="46248D96">
            <w:pPr>
              <w:pStyle w:val="1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室外 </w:t>
            </w:r>
          </w:p>
          <w:p w14:paraId="04B59C20">
            <w:pPr>
              <w:pStyle w:val="1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3898" w:type="dxa"/>
            <w:noWrap w:val="0"/>
            <w:vAlign w:val="center"/>
          </w:tcPr>
          <w:p w14:paraId="21811EE5">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内道路畅通，道路卫生清洁；厂区照明设施分布整齐完好；厂区给排水设施完好无损；构筑物、建筑物护栏、围墙完好、无杂草、树枝；配备灭火器、救生圈等安全设备；配电柜、配电箱上锁关闭。设置固定宣传栏、移动展板等。</w:t>
            </w:r>
          </w:p>
        </w:tc>
        <w:tc>
          <w:tcPr>
            <w:tcW w:w="3300" w:type="dxa"/>
            <w:noWrap w:val="0"/>
            <w:vAlign w:val="center"/>
          </w:tcPr>
          <w:p w14:paraId="3931AE73">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每发现1处不合格/不完善扣 0.5 分并要求 整改，超过规定的周期未完成整 改，扣罚分数按上一周期的扣分加倍。</w:t>
            </w:r>
          </w:p>
        </w:tc>
      </w:tr>
      <w:tr w14:paraId="5585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6AFEF65B">
            <w:pPr>
              <w:pStyle w:val="10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75" w:type="dxa"/>
            <w:noWrap w:val="0"/>
            <w:vAlign w:val="center"/>
          </w:tcPr>
          <w:p w14:paraId="3ECD5B39">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备机备品（5分）</w:t>
            </w:r>
          </w:p>
        </w:tc>
        <w:tc>
          <w:tcPr>
            <w:tcW w:w="1116" w:type="dxa"/>
            <w:gridSpan w:val="2"/>
            <w:noWrap w:val="0"/>
            <w:vAlign w:val="center"/>
          </w:tcPr>
          <w:p w14:paraId="74A8A541">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备机备品配置完整性（5分）</w:t>
            </w:r>
          </w:p>
        </w:tc>
        <w:tc>
          <w:tcPr>
            <w:tcW w:w="3898" w:type="dxa"/>
            <w:noWrap w:val="0"/>
            <w:vAlign w:val="center"/>
          </w:tcPr>
          <w:p w14:paraId="44F850B5">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设备（提升泵、消毒设备等）均按规范配备备机，数量满足应急需求（至少1台/套关键设备对应1台备机）；备机型号、参数与主机匹配，能直接投入使用，无型号不符、无法兼容情况；备品备件（易损件：密封圈、轴承、滤网等；关键件：泵轴、电机等）储备充足，种类、数量符合运维规范；建立备品备件台账，记录完整；备机备品定期检查，每月至少1次，及时更新损坏、过期备件；备机出现故障时，24小时内完成维修或更换，确保应急可用。</w:t>
            </w:r>
          </w:p>
        </w:tc>
        <w:tc>
          <w:tcPr>
            <w:tcW w:w="3300" w:type="dxa"/>
            <w:noWrap w:val="0"/>
            <w:vAlign w:val="center"/>
          </w:tcPr>
          <w:p w14:paraId="33D71680">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每发现1处未配备备机备品，或备机备品数量不足应急需求，每次扣1分/次并要求及时配备，超过规定的周期未完成配备，扣罚分数按上一周期的扣分加倍；</w:t>
            </w:r>
          </w:p>
          <w:p w14:paraId="0DDB3084">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故障处置时效超过24小时但不超过48小时，扣0.5分/次；故障处置超时超过48小时，或备机故障后长期未处理扣1分/次，并要求整改，超过规定周期未完成整改，扣罚分数加倍。</w:t>
            </w:r>
          </w:p>
        </w:tc>
      </w:tr>
      <w:tr w14:paraId="2CF6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32256A1A">
            <w:pPr>
              <w:pStyle w:val="10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75" w:type="dxa"/>
            <w:noWrap w:val="0"/>
            <w:vAlign w:val="center"/>
          </w:tcPr>
          <w:p w14:paraId="0CE9A918">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督查通报（</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116" w:type="dxa"/>
            <w:gridSpan w:val="2"/>
            <w:noWrap w:val="0"/>
            <w:vAlign w:val="center"/>
          </w:tcPr>
          <w:p w14:paraId="3687B8A0">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被上级通报或收到整改通知书（10分））</w:t>
            </w:r>
          </w:p>
        </w:tc>
        <w:tc>
          <w:tcPr>
            <w:tcW w:w="3898" w:type="dxa"/>
            <w:noWrap w:val="0"/>
            <w:vAlign w:val="center"/>
          </w:tcPr>
          <w:p w14:paraId="50A239F6">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对监管部门、上级单位督查发现的问题，在规定期限内完成整改（一般问题3个工作日内，重点问题7个工作日内，重大问题按整改方案期限）； 整改完成后，及时提交整改报告、佐证材料，确保整改闭环；针对通报中反复出现的问题，建立长效防控机制，杜绝同类问题再次发生； 无拒不落实督查通报要求、拖延整改、虚假整改情况。</w:t>
            </w:r>
          </w:p>
        </w:tc>
        <w:tc>
          <w:tcPr>
            <w:tcW w:w="3300" w:type="dxa"/>
            <w:noWrap w:val="0"/>
            <w:vAlign w:val="center"/>
          </w:tcPr>
          <w:p w14:paraId="1ADDF50D">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未在规定期限内完成整改的，扣 2分/次；其中一般问题整改期限为3个工作日重点问题为 7 个工作日，重大问题按整改方案明确的期限执行。未提交整改报告的，扣2 分/次。整改事项未落实的，扣1分/项/次。</w:t>
            </w:r>
          </w:p>
          <w:p w14:paraId="32D4DD98">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被自治区通报的，扣5分/次，同步扣除运营费 5000 元。被玉林市通报的，扣3分/次，同步扣除运营费 3000 元。被北流市通报的，扣1分/次，同步扣除运营费 1000 元。被监管部门通报的，扣0.5分/次，同步扣除运营费 500 元。</w:t>
            </w:r>
          </w:p>
        </w:tc>
      </w:tr>
      <w:tr w14:paraId="479F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3341A89A">
            <w:pPr>
              <w:pStyle w:val="10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975" w:type="dxa"/>
            <w:noWrap w:val="0"/>
            <w:vAlign w:val="center"/>
          </w:tcPr>
          <w:p w14:paraId="7B5C863D">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配合上级部门督查（3分）</w:t>
            </w:r>
          </w:p>
        </w:tc>
        <w:tc>
          <w:tcPr>
            <w:tcW w:w="1116" w:type="dxa"/>
            <w:gridSpan w:val="2"/>
            <w:noWrap w:val="0"/>
            <w:vAlign w:val="center"/>
          </w:tcPr>
          <w:p w14:paraId="0F37E8B4">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迎检</w:t>
            </w:r>
          </w:p>
          <w:p w14:paraId="67E38838">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w:t>
            </w:r>
          </w:p>
          <w:p w14:paraId="0E009605">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3898" w:type="dxa"/>
            <w:noWrap w:val="0"/>
            <w:vAlign w:val="center"/>
          </w:tcPr>
          <w:p w14:paraId="625336B6">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厂内工作人员需严格遵守制定的《污水处理厂生产运作管理制度及操作规程》。在任何情况下，积极配合甲方共同做好上级部门的各种检查、参观活动，并提供相应的资料。</w:t>
            </w:r>
          </w:p>
        </w:tc>
        <w:tc>
          <w:tcPr>
            <w:tcW w:w="3300" w:type="dxa"/>
            <w:noWrap w:val="0"/>
            <w:vAlign w:val="center"/>
          </w:tcPr>
          <w:p w14:paraId="579FD398">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每发现1次不合格扣 1 分并整改， 未按时完成整改，予以加倍扣分。不配合迎检工作的扣 3 分。</w:t>
            </w:r>
          </w:p>
        </w:tc>
      </w:tr>
      <w:tr w14:paraId="226D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783" w:hRule="atLeast"/>
          <w:jc w:val="center"/>
        </w:trPr>
        <w:tc>
          <w:tcPr>
            <w:tcW w:w="643" w:type="dxa"/>
            <w:noWrap w:val="0"/>
            <w:vAlign w:val="center"/>
          </w:tcPr>
          <w:p w14:paraId="23735326">
            <w:pPr>
              <w:pStyle w:val="10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975" w:type="dxa"/>
            <w:noWrap w:val="0"/>
            <w:vAlign w:val="center"/>
          </w:tcPr>
          <w:p w14:paraId="426199CE">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泵站运行管理</w:t>
            </w:r>
          </w:p>
          <w:p w14:paraId="690E4895">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16" w:type="dxa"/>
            <w:gridSpan w:val="2"/>
            <w:noWrap w:val="0"/>
            <w:vAlign w:val="center"/>
          </w:tcPr>
          <w:p w14:paraId="02C8F2DB">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3898" w:type="dxa"/>
            <w:noWrap w:val="0"/>
            <w:vAlign w:val="center"/>
          </w:tcPr>
          <w:p w14:paraId="6B8CCB02">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泵站定期清淤，不出现堵塞导致污水无法抽送现象。泵站巡查、维护日志记录及时、准确登记造册。捞出的垃圾、油污要及时入袋。</w:t>
            </w:r>
          </w:p>
        </w:tc>
        <w:tc>
          <w:tcPr>
            <w:tcW w:w="3300" w:type="dxa"/>
            <w:noWrap w:val="0"/>
            <w:vAlign w:val="center"/>
          </w:tcPr>
          <w:p w14:paraId="46D55202">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每周定期对泵站清理不少于2次，发现泵站未清理油污、污泥、垃圾，每次扣2分，台账不完善，每次扣1分，发现周边有垃圾、油污堆积，每次扣0.5分，并要求整改，超过规定周期未完成整改，扣罚分数加倍。</w:t>
            </w:r>
          </w:p>
        </w:tc>
      </w:tr>
      <w:tr w14:paraId="0CE9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1837" w:hRule="atLeast"/>
          <w:jc w:val="center"/>
        </w:trPr>
        <w:tc>
          <w:tcPr>
            <w:tcW w:w="643" w:type="dxa"/>
            <w:noWrap w:val="0"/>
            <w:vAlign w:val="center"/>
          </w:tcPr>
          <w:p w14:paraId="765A319E">
            <w:pPr>
              <w:pStyle w:val="10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975" w:type="dxa"/>
            <w:noWrap w:val="0"/>
            <w:vAlign w:val="center"/>
          </w:tcPr>
          <w:p w14:paraId="4BEC187E">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安全生产管理（1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16" w:type="dxa"/>
            <w:gridSpan w:val="2"/>
            <w:noWrap w:val="0"/>
            <w:vAlign w:val="center"/>
          </w:tcPr>
          <w:p w14:paraId="3CF34AC5">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3898" w:type="dxa"/>
            <w:noWrap w:val="0"/>
            <w:vAlign w:val="center"/>
          </w:tcPr>
          <w:p w14:paraId="544B97EC">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执行有关安全管理制度，确保安全生产。建立健全相关应急预案；制定应急训练计划，并开展培训及训练。建立完善的治安管理系统，配备必要的抢险装备、器材，且能定期组织演练。</w:t>
            </w:r>
          </w:p>
        </w:tc>
        <w:tc>
          <w:tcPr>
            <w:tcW w:w="3300" w:type="dxa"/>
            <w:noWrap w:val="0"/>
            <w:vAlign w:val="center"/>
          </w:tcPr>
          <w:p w14:paraId="242AB51A">
            <w:pPr>
              <w:pStyle w:val="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每出现一次安全事故扣 5 分；未建立健全应急预案扣4分；无具体的训练计划扣3分；未建立完善的治安管理系统，扣1分。每年至少2次安全演练，未开展培训、训练及演练，每次扣2分，并要求整改，超过规定周期未完成整改，扣罚分数加倍。</w:t>
            </w:r>
          </w:p>
        </w:tc>
      </w:tr>
    </w:tbl>
    <w:p w14:paraId="569A40CA">
      <w:pPr>
        <w:spacing w:line="300" w:lineRule="auto"/>
        <w:jc w:val="both"/>
        <w:rPr>
          <w:rFonts w:hint="eastAsia" w:ascii="宋体" w:hAnsi="宋体" w:eastAsia="宋体" w:cs="宋体"/>
          <w:b/>
          <w:color w:val="auto"/>
          <w:sz w:val="24"/>
          <w:szCs w:val="24"/>
          <w:highlight w:val="none"/>
        </w:rPr>
      </w:pPr>
    </w:p>
    <w:tbl>
      <w:tblPr>
        <w:tblStyle w:val="44"/>
        <w:tblpPr w:leftFromText="180" w:rightFromText="180" w:vertAnchor="text" w:horzAnchor="page" w:tblpX="1512" w:tblpY="471"/>
        <w:tblOverlap w:val="never"/>
        <w:tblW w:w="89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3524"/>
        <w:gridCol w:w="2457"/>
        <w:gridCol w:w="2283"/>
      </w:tblGrid>
      <w:tr w14:paraId="3F28A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0" w:type="dxa"/>
            <w:noWrap w:val="0"/>
            <w:vAlign w:val="center"/>
          </w:tcPr>
          <w:p w14:paraId="0D5C2F48">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524" w:type="dxa"/>
            <w:noWrap w:val="0"/>
            <w:vAlign w:val="center"/>
          </w:tcPr>
          <w:p w14:paraId="0A9D8B1E">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季度平均负荷率（B</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w:t>
            </w:r>
          </w:p>
        </w:tc>
        <w:tc>
          <w:tcPr>
            <w:tcW w:w="2457" w:type="dxa"/>
            <w:noWrap w:val="0"/>
            <w:vAlign w:val="center"/>
          </w:tcPr>
          <w:p w14:paraId="20C12097">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N2</w:t>
            </w:r>
          </w:p>
          <w:p w14:paraId="6AE23E5B">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（污水处理水量绩效考核当季度得分值）</w:t>
            </w:r>
          </w:p>
        </w:tc>
        <w:tc>
          <w:tcPr>
            <w:tcW w:w="2283" w:type="dxa"/>
            <w:noWrap w:val="0"/>
            <w:vAlign w:val="center"/>
          </w:tcPr>
          <w:p w14:paraId="396856D0">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1D4F0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dxa"/>
            <w:noWrap w:val="0"/>
            <w:vAlign w:val="center"/>
          </w:tcPr>
          <w:p w14:paraId="01378005">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524" w:type="dxa"/>
            <w:noWrap w:val="0"/>
            <w:vAlign w:val="center"/>
          </w:tcPr>
          <w:p w14:paraId="0A0B9973">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＜30%</w:t>
            </w:r>
          </w:p>
        </w:tc>
        <w:tc>
          <w:tcPr>
            <w:tcW w:w="2457" w:type="dxa"/>
            <w:noWrap w:val="0"/>
            <w:vAlign w:val="center"/>
          </w:tcPr>
          <w:p w14:paraId="1A34BD47">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w:t>
            </w:r>
          </w:p>
        </w:tc>
        <w:tc>
          <w:tcPr>
            <w:tcW w:w="2283" w:type="dxa"/>
            <w:noWrap w:val="0"/>
            <w:vAlign w:val="center"/>
          </w:tcPr>
          <w:p w14:paraId="3DC374BD">
            <w:pPr>
              <w:spacing w:line="460" w:lineRule="exact"/>
              <w:jc w:val="center"/>
              <w:rPr>
                <w:rFonts w:hint="eastAsia" w:ascii="宋体" w:hAnsi="宋体" w:eastAsia="宋体" w:cs="宋体"/>
                <w:bCs/>
                <w:color w:val="auto"/>
                <w:sz w:val="24"/>
                <w:szCs w:val="24"/>
                <w:highlight w:val="none"/>
              </w:rPr>
            </w:pPr>
          </w:p>
        </w:tc>
      </w:tr>
      <w:tr w14:paraId="7503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dxa"/>
            <w:noWrap w:val="0"/>
            <w:vAlign w:val="center"/>
          </w:tcPr>
          <w:p w14:paraId="53D1062D">
            <w:pPr>
              <w:spacing w:line="46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3524" w:type="dxa"/>
            <w:noWrap w:val="0"/>
            <w:vAlign w:val="center"/>
          </w:tcPr>
          <w:p w14:paraId="65315104">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30%≤B</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75</w:t>
            </w:r>
            <w:r>
              <w:rPr>
                <w:rFonts w:hint="eastAsia" w:ascii="宋体" w:hAnsi="宋体" w:eastAsia="宋体" w:cs="宋体"/>
                <w:bCs/>
                <w:color w:val="auto"/>
                <w:sz w:val="24"/>
                <w:szCs w:val="24"/>
                <w:highlight w:val="none"/>
              </w:rPr>
              <w:t>%</w:t>
            </w:r>
          </w:p>
        </w:tc>
        <w:tc>
          <w:tcPr>
            <w:tcW w:w="2457" w:type="dxa"/>
            <w:noWrap w:val="0"/>
            <w:vAlign w:val="center"/>
          </w:tcPr>
          <w:p w14:paraId="1C5B8C87">
            <w:pPr>
              <w:spacing w:line="46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B</w:t>
            </w:r>
          </w:p>
        </w:tc>
        <w:tc>
          <w:tcPr>
            <w:tcW w:w="2283" w:type="dxa"/>
            <w:noWrap w:val="0"/>
            <w:vAlign w:val="center"/>
          </w:tcPr>
          <w:p w14:paraId="04275067">
            <w:pPr>
              <w:spacing w:line="460" w:lineRule="exact"/>
              <w:jc w:val="center"/>
              <w:rPr>
                <w:rFonts w:hint="eastAsia" w:ascii="宋体" w:hAnsi="宋体" w:eastAsia="宋体" w:cs="宋体"/>
                <w:bCs/>
                <w:color w:val="auto"/>
                <w:sz w:val="24"/>
                <w:szCs w:val="24"/>
                <w:highlight w:val="none"/>
              </w:rPr>
            </w:pPr>
          </w:p>
        </w:tc>
      </w:tr>
      <w:tr w14:paraId="272F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80" w:type="dxa"/>
            <w:noWrap w:val="0"/>
            <w:vAlign w:val="center"/>
          </w:tcPr>
          <w:p w14:paraId="6464FF72">
            <w:pPr>
              <w:spacing w:line="46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p>
        </w:tc>
        <w:tc>
          <w:tcPr>
            <w:tcW w:w="3524" w:type="dxa"/>
            <w:noWrap w:val="0"/>
            <w:vAlign w:val="center"/>
          </w:tcPr>
          <w:p w14:paraId="04BF5B44">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75</w:t>
            </w:r>
            <w:r>
              <w:rPr>
                <w:rFonts w:hint="eastAsia" w:ascii="宋体" w:hAnsi="宋体" w:eastAsia="宋体" w:cs="宋体"/>
                <w:bCs/>
                <w:color w:val="auto"/>
                <w:sz w:val="24"/>
                <w:szCs w:val="24"/>
                <w:highlight w:val="none"/>
              </w:rPr>
              <w:t>%≤B</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120</w:t>
            </w:r>
            <w:r>
              <w:rPr>
                <w:rFonts w:hint="eastAsia" w:ascii="宋体" w:hAnsi="宋体" w:eastAsia="宋体" w:cs="宋体"/>
                <w:bCs/>
                <w:color w:val="auto"/>
                <w:sz w:val="24"/>
                <w:szCs w:val="24"/>
                <w:highlight w:val="none"/>
              </w:rPr>
              <w:t>%</w:t>
            </w:r>
          </w:p>
        </w:tc>
        <w:tc>
          <w:tcPr>
            <w:tcW w:w="2457" w:type="dxa"/>
            <w:noWrap w:val="0"/>
            <w:vAlign w:val="center"/>
          </w:tcPr>
          <w:p w14:paraId="31153B5B">
            <w:pPr>
              <w:spacing w:line="46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100</w:t>
            </w:r>
          </w:p>
        </w:tc>
        <w:tc>
          <w:tcPr>
            <w:tcW w:w="2283" w:type="dxa"/>
            <w:noWrap w:val="0"/>
            <w:vAlign w:val="center"/>
          </w:tcPr>
          <w:p w14:paraId="2861F5E0">
            <w:pPr>
              <w:spacing w:line="460" w:lineRule="exact"/>
              <w:jc w:val="center"/>
              <w:rPr>
                <w:rFonts w:hint="eastAsia" w:ascii="宋体" w:hAnsi="宋体" w:eastAsia="宋体" w:cs="宋体"/>
                <w:bCs/>
                <w:color w:val="auto"/>
                <w:sz w:val="24"/>
                <w:szCs w:val="24"/>
                <w:highlight w:val="none"/>
              </w:rPr>
            </w:pPr>
          </w:p>
        </w:tc>
      </w:tr>
    </w:tbl>
    <w:p w14:paraId="756218FE">
      <w:pPr>
        <w:spacing w:line="300" w:lineRule="auto"/>
        <w:ind w:right="0" w:rightChars="0" w:firstLine="964" w:firstLineChars="4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表6-2  污水处理水量的绩效考核指标表</w:t>
      </w:r>
    </w:p>
    <w:p w14:paraId="3EE60901">
      <w:pPr>
        <w:spacing w:line="520" w:lineRule="exact"/>
        <w:ind w:right="-706" w:rightChars="-336" w:firstLine="6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注:在进厂水</w:t>
      </w:r>
      <w:r>
        <w:rPr>
          <w:rFonts w:hint="eastAsia" w:ascii="宋体" w:hAnsi="宋体" w:cs="宋体"/>
          <w:color w:val="auto"/>
          <w:sz w:val="24"/>
          <w:szCs w:val="24"/>
          <w:highlight w:val="none"/>
          <w:lang w:val="en-US" w:eastAsia="zh-CN"/>
        </w:rPr>
        <w:t>量</w:t>
      </w:r>
      <w:r>
        <w:rPr>
          <w:rFonts w:hint="eastAsia" w:ascii="宋体" w:hAnsi="宋体" w:eastAsia="宋体" w:cs="宋体"/>
          <w:color w:val="auto"/>
          <w:sz w:val="24"/>
          <w:szCs w:val="24"/>
          <w:highlight w:val="none"/>
        </w:rPr>
        <w:t>符合设计水</w:t>
      </w:r>
      <w:r>
        <w:rPr>
          <w:rFonts w:hint="eastAsia" w:ascii="宋体" w:hAnsi="宋体" w:cs="宋体"/>
          <w:color w:val="auto"/>
          <w:sz w:val="24"/>
          <w:szCs w:val="24"/>
          <w:highlight w:val="none"/>
          <w:lang w:val="en-US" w:eastAsia="zh-CN"/>
        </w:rPr>
        <w:t>量</w:t>
      </w:r>
      <w:r>
        <w:rPr>
          <w:rFonts w:hint="eastAsia" w:ascii="宋体" w:hAnsi="宋体" w:eastAsia="宋体" w:cs="宋体"/>
          <w:color w:val="auto"/>
          <w:sz w:val="24"/>
          <w:szCs w:val="24"/>
          <w:highlight w:val="none"/>
        </w:rPr>
        <w:t>的前提下，进厂污水需全部处理，不得</w:t>
      </w:r>
      <w:r>
        <w:rPr>
          <w:rFonts w:hint="eastAsia" w:ascii="宋体" w:hAnsi="宋体" w:cs="宋体"/>
          <w:color w:val="auto"/>
          <w:sz w:val="24"/>
          <w:szCs w:val="24"/>
          <w:highlight w:val="none"/>
          <w:lang w:val="en-US" w:eastAsia="zh-CN"/>
        </w:rPr>
        <w:t>擅</w:t>
      </w:r>
      <w:r>
        <w:rPr>
          <w:rFonts w:hint="eastAsia" w:ascii="宋体" w:hAnsi="宋体" w:eastAsia="宋体" w:cs="宋体"/>
          <w:color w:val="auto"/>
          <w:sz w:val="24"/>
          <w:szCs w:val="24"/>
          <w:highlight w:val="none"/>
        </w:rPr>
        <w:t>自减产、停产，不得对周边环境造成污染。若出现客观原因、管网坍塌等不属于乙方管网服务维修范围内造成污水处理负荷率达不到75%，绩效考核</w:t>
      </w:r>
      <w:r>
        <w:rPr>
          <w:rFonts w:hint="eastAsia" w:ascii="宋体" w:hAnsi="宋体" w:eastAsia="宋体" w:cs="宋体"/>
          <w:color w:val="auto"/>
          <w:sz w:val="24"/>
          <w:szCs w:val="24"/>
          <w:highlight w:val="none"/>
          <w:lang w:val="en-US" w:eastAsia="zh-CN"/>
        </w:rPr>
        <w:t>不予扣分</w:t>
      </w:r>
      <w:r>
        <w:rPr>
          <w:rFonts w:hint="eastAsia" w:ascii="宋体" w:hAnsi="宋体" w:eastAsia="宋体" w:cs="宋体"/>
          <w:color w:val="auto"/>
          <w:sz w:val="24"/>
          <w:szCs w:val="24"/>
          <w:highlight w:val="none"/>
        </w:rPr>
        <w:t>;若发现污水应抽未抽、应处理未处理的情况，除扣减绩效考核费用外，不免除环保等部门作出的相应处罚。</w:t>
      </w:r>
    </w:p>
    <w:p w14:paraId="65A1BBFB">
      <w:pPr>
        <w:spacing w:line="300" w:lineRule="auto"/>
        <w:ind w:right="-706" w:rightChars="-336" w:firstLine="640"/>
        <w:jc w:val="both"/>
        <w:rPr>
          <w:rFonts w:hint="eastAsia" w:ascii="宋体" w:hAnsi="宋体" w:eastAsia="宋体" w:cs="宋体"/>
          <w:color w:val="auto"/>
          <w:sz w:val="24"/>
          <w:szCs w:val="24"/>
          <w:highlight w:val="none"/>
        </w:rPr>
      </w:pPr>
    </w:p>
    <w:p w14:paraId="2D4D98EC">
      <w:pPr>
        <w:spacing w:line="300" w:lineRule="auto"/>
        <w:ind w:right="-706" w:rightChars="-336" w:firstLine="640"/>
        <w:jc w:val="both"/>
        <w:rPr>
          <w:rFonts w:hint="eastAsia" w:ascii="宋体" w:hAnsi="宋体" w:eastAsia="宋体" w:cs="宋体"/>
          <w:color w:val="auto"/>
          <w:sz w:val="24"/>
          <w:szCs w:val="24"/>
          <w:highlight w:val="none"/>
        </w:rPr>
      </w:pPr>
    </w:p>
    <w:tbl>
      <w:tblPr>
        <w:tblStyle w:val="44"/>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1115"/>
        <w:gridCol w:w="1007"/>
        <w:gridCol w:w="466"/>
        <w:gridCol w:w="5531"/>
      </w:tblGrid>
      <w:tr w14:paraId="065E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blHeader/>
          <w:jc w:val="center"/>
        </w:trPr>
        <w:tc>
          <w:tcPr>
            <w:tcW w:w="653" w:type="dxa"/>
            <w:noWrap w:val="0"/>
            <w:vAlign w:val="center"/>
          </w:tcPr>
          <w:p w14:paraId="6BAA0534">
            <w:pPr>
              <w:pStyle w:val="99"/>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序号</w:t>
            </w:r>
          </w:p>
        </w:tc>
        <w:tc>
          <w:tcPr>
            <w:tcW w:w="1115" w:type="dxa"/>
            <w:noWrap w:val="0"/>
            <w:vAlign w:val="center"/>
          </w:tcPr>
          <w:p w14:paraId="0C3D0A1C">
            <w:pPr>
              <w:pStyle w:val="99"/>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254000</wp:posOffset>
                      </wp:positionH>
                      <wp:positionV relativeFrom="paragraph">
                        <wp:posOffset>-481330</wp:posOffset>
                      </wp:positionV>
                      <wp:extent cx="4988560" cy="4127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988560" cy="412750"/>
                              </a:xfrm>
                              <a:prstGeom prst="rect">
                                <a:avLst/>
                              </a:prstGeom>
                              <a:noFill/>
                              <a:ln>
                                <a:noFill/>
                              </a:ln>
                            </wps:spPr>
                            <wps:txbx>
                              <w:txbxContent>
                                <w:p w14:paraId="22AD1C28">
                                  <w:pPr>
                                    <w:spacing w:line="300" w:lineRule="auto"/>
                                    <w:rPr>
                                      <w:rFonts w:hint="eastAsia" w:ascii="仿宋_GB2312" w:hAnsi="仿宋_GB2312" w:eastAsia="仿宋_GB2312" w:cs="仿宋_GB2312"/>
                                      <w:b/>
                                      <w:sz w:val="28"/>
                                      <w:szCs w:val="48"/>
                                    </w:rPr>
                                  </w:pPr>
                                  <w:r>
                                    <w:rPr>
                                      <w:rFonts w:hint="eastAsia" w:ascii="仿宋_GB2312" w:hAnsi="仿宋_GB2312" w:eastAsia="仿宋_GB2312" w:cs="仿宋_GB2312"/>
                                      <w:b/>
                                      <w:sz w:val="28"/>
                                      <w:szCs w:val="48"/>
                                      <w:lang w:val="en-US" w:eastAsia="zh-CN"/>
                                    </w:rPr>
                                    <w:t xml:space="preserve">  </w:t>
                                  </w:r>
                                  <w:r>
                                    <w:rPr>
                                      <w:rFonts w:hint="eastAsia" w:ascii="仿宋_GB2312" w:hAnsi="仿宋_GB2312" w:eastAsia="仿宋_GB2312" w:cs="仿宋_GB2312"/>
                                      <w:b/>
                                      <w:sz w:val="28"/>
                                      <w:szCs w:val="48"/>
                                      <w:lang w:eastAsia="zh-CN"/>
                                    </w:rPr>
                                    <w:t>（</w:t>
                                  </w:r>
                                  <w:r>
                                    <w:rPr>
                                      <w:rFonts w:hint="eastAsia" w:ascii="仿宋_GB2312" w:hAnsi="仿宋_GB2312" w:eastAsia="仿宋_GB2312" w:cs="仿宋_GB2312"/>
                                      <w:b/>
                                      <w:sz w:val="28"/>
                                      <w:szCs w:val="48"/>
                                      <w:lang w:val="en-US" w:eastAsia="zh-CN"/>
                                    </w:rPr>
                                    <w:t>3</w:t>
                                  </w:r>
                                  <w:r>
                                    <w:rPr>
                                      <w:rFonts w:hint="eastAsia" w:ascii="仿宋_GB2312" w:hAnsi="仿宋_GB2312" w:eastAsia="仿宋_GB2312" w:cs="仿宋_GB2312"/>
                                      <w:b/>
                                      <w:sz w:val="28"/>
                                      <w:szCs w:val="48"/>
                                      <w:lang w:eastAsia="zh-CN"/>
                                    </w:rPr>
                                    <w:t>）</w:t>
                                  </w:r>
                                  <w:r>
                                    <w:rPr>
                                      <w:rFonts w:hint="eastAsia" w:ascii="仿宋_GB2312" w:hAnsi="仿宋_GB2312" w:eastAsia="仿宋_GB2312" w:cs="仿宋_GB2312"/>
                                      <w:b/>
                                      <w:sz w:val="28"/>
                                      <w:szCs w:val="48"/>
                                    </w:rPr>
                                    <w:t xml:space="preserve">  表6-3  污水厂配套管网巡查维护绩效考核指标表</w:t>
                                  </w:r>
                                </w:p>
                                <w:p w14:paraId="5CC7A286"/>
                              </w:txbxContent>
                            </wps:txbx>
                            <wps:bodyPr lIns="91439" tIns="45719" rIns="91439" bIns="45719" upright="1"/>
                          </wps:wsp>
                        </a:graphicData>
                      </a:graphic>
                    </wp:anchor>
                  </w:drawing>
                </mc:Choice>
                <mc:Fallback>
                  <w:pict>
                    <v:shape id="_x0000_s1026" o:spid="_x0000_s1026" o:spt="202" type="#_x0000_t202" style="position:absolute;left:0pt;margin-left:20pt;margin-top:-37.9pt;height:32.5pt;width:392.8pt;z-index:251661312;mso-width-relative:page;mso-height-relative:page;" filled="f" stroked="f" coordsize="21600,21600" o:gfxdata="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0DVy2AAAAAoBAAAPAAAAAAAAAAEAIAAAACIAAABkcnMvZG93&#10;bnJldi54bWxQSwECFAAUAAAACACHTuJAwxxde8cBAACEAwAADgAAAAAAAAABACAAAAAnAQAAZHJz&#10;L2Uyb0RvYy54bWxQSwUGAAAAAAYABgBZAQAAYAUAAAAA&#10;">
                      <v:fill on="f" focussize="0,0"/>
                      <v:stroke on="f"/>
                      <v:imagedata o:title=""/>
                      <o:lock v:ext="edit" aspectratio="f"/>
                      <v:textbox inset="7.19992125984252pt,3.59992125984252pt,7.19992125984252pt,3.59992125984252pt">
                        <w:txbxContent>
                          <w:p w14:paraId="22AD1C28">
                            <w:pPr>
                              <w:spacing w:line="300" w:lineRule="auto"/>
                              <w:rPr>
                                <w:rFonts w:hint="eastAsia" w:ascii="仿宋_GB2312" w:hAnsi="仿宋_GB2312" w:eastAsia="仿宋_GB2312" w:cs="仿宋_GB2312"/>
                                <w:b/>
                                <w:sz w:val="28"/>
                                <w:szCs w:val="48"/>
                              </w:rPr>
                            </w:pPr>
                            <w:r>
                              <w:rPr>
                                <w:rFonts w:hint="eastAsia" w:ascii="仿宋_GB2312" w:hAnsi="仿宋_GB2312" w:eastAsia="仿宋_GB2312" w:cs="仿宋_GB2312"/>
                                <w:b/>
                                <w:sz w:val="28"/>
                                <w:szCs w:val="48"/>
                                <w:lang w:val="en-US" w:eastAsia="zh-CN"/>
                              </w:rPr>
                              <w:t xml:space="preserve">  </w:t>
                            </w:r>
                            <w:r>
                              <w:rPr>
                                <w:rFonts w:hint="eastAsia" w:ascii="仿宋_GB2312" w:hAnsi="仿宋_GB2312" w:eastAsia="仿宋_GB2312" w:cs="仿宋_GB2312"/>
                                <w:b/>
                                <w:sz w:val="28"/>
                                <w:szCs w:val="48"/>
                                <w:lang w:eastAsia="zh-CN"/>
                              </w:rPr>
                              <w:t>（</w:t>
                            </w:r>
                            <w:r>
                              <w:rPr>
                                <w:rFonts w:hint="eastAsia" w:ascii="仿宋_GB2312" w:hAnsi="仿宋_GB2312" w:eastAsia="仿宋_GB2312" w:cs="仿宋_GB2312"/>
                                <w:b/>
                                <w:sz w:val="28"/>
                                <w:szCs w:val="48"/>
                                <w:lang w:val="en-US" w:eastAsia="zh-CN"/>
                              </w:rPr>
                              <w:t>3</w:t>
                            </w:r>
                            <w:r>
                              <w:rPr>
                                <w:rFonts w:hint="eastAsia" w:ascii="仿宋_GB2312" w:hAnsi="仿宋_GB2312" w:eastAsia="仿宋_GB2312" w:cs="仿宋_GB2312"/>
                                <w:b/>
                                <w:sz w:val="28"/>
                                <w:szCs w:val="48"/>
                                <w:lang w:eastAsia="zh-CN"/>
                              </w:rPr>
                              <w:t>）</w:t>
                            </w:r>
                            <w:r>
                              <w:rPr>
                                <w:rFonts w:hint="eastAsia" w:ascii="仿宋_GB2312" w:hAnsi="仿宋_GB2312" w:eastAsia="仿宋_GB2312" w:cs="仿宋_GB2312"/>
                                <w:b/>
                                <w:sz w:val="28"/>
                                <w:szCs w:val="48"/>
                              </w:rPr>
                              <w:t xml:space="preserve">  表6-3  污水厂配套管网巡查维护绩效考核指标表</w:t>
                            </w:r>
                          </w:p>
                          <w:p w14:paraId="5CC7A286"/>
                        </w:txbxContent>
                      </v:textbox>
                    </v:shape>
                  </w:pict>
                </mc:Fallback>
              </mc:AlternateContent>
            </w:r>
            <w:r>
              <w:rPr>
                <w:rFonts w:hint="eastAsia" w:ascii="宋体" w:hAnsi="宋体" w:eastAsia="宋体" w:cs="宋体"/>
                <w:bCs/>
                <w:color w:val="auto"/>
                <w:sz w:val="24"/>
                <w:szCs w:val="24"/>
                <w:highlight w:val="none"/>
              </w:rPr>
              <w:t>考核项目</w:t>
            </w:r>
          </w:p>
        </w:tc>
        <w:tc>
          <w:tcPr>
            <w:tcW w:w="1007" w:type="dxa"/>
            <w:noWrap w:val="0"/>
            <w:vAlign w:val="center"/>
          </w:tcPr>
          <w:p w14:paraId="72264914">
            <w:pPr>
              <w:pStyle w:val="99"/>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考核内容</w:t>
            </w:r>
          </w:p>
        </w:tc>
        <w:tc>
          <w:tcPr>
            <w:tcW w:w="466" w:type="dxa"/>
            <w:noWrap w:val="0"/>
            <w:vAlign w:val="center"/>
          </w:tcPr>
          <w:p w14:paraId="1B9BE6C0">
            <w:pPr>
              <w:pStyle w:val="99"/>
              <w:spacing w:before="118" w:beforeLines="0" w:line="30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分值</w:t>
            </w:r>
          </w:p>
        </w:tc>
        <w:tc>
          <w:tcPr>
            <w:tcW w:w="5531" w:type="dxa"/>
            <w:noWrap w:val="0"/>
            <w:vAlign w:val="center"/>
          </w:tcPr>
          <w:p w14:paraId="07444E44">
            <w:pPr>
              <w:pStyle w:val="99"/>
              <w:spacing w:before="118" w:beforeLines="0" w:line="300" w:lineRule="auto"/>
              <w:ind w:right="1"/>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评分标准</w:t>
            </w:r>
          </w:p>
        </w:tc>
      </w:tr>
      <w:tr w14:paraId="1EB6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jc w:val="center"/>
        </w:trPr>
        <w:tc>
          <w:tcPr>
            <w:tcW w:w="653" w:type="dxa"/>
            <w:vMerge w:val="restart"/>
            <w:noWrap w:val="0"/>
            <w:vAlign w:val="center"/>
          </w:tcPr>
          <w:p w14:paraId="09565A8B">
            <w:pPr>
              <w:pStyle w:val="99"/>
              <w:spacing w:line="300" w:lineRule="auto"/>
              <w:ind w:left="1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15" w:type="dxa"/>
            <w:vMerge w:val="restart"/>
            <w:noWrap w:val="0"/>
            <w:vAlign w:val="center"/>
          </w:tcPr>
          <w:p w14:paraId="030DE319">
            <w:pPr>
              <w:pStyle w:val="99"/>
              <w:spacing w:line="300" w:lineRule="auto"/>
              <w:ind w:left="156" w:right="1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组织管 理（1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tc>
        <w:tc>
          <w:tcPr>
            <w:tcW w:w="1007" w:type="dxa"/>
            <w:noWrap w:val="0"/>
            <w:vAlign w:val="center"/>
          </w:tcPr>
          <w:p w14:paraId="16B06E99">
            <w:pPr>
              <w:pStyle w:val="99"/>
              <w:spacing w:line="300" w:lineRule="auto"/>
              <w:ind w:righ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人员配置情况</w:t>
            </w:r>
          </w:p>
        </w:tc>
        <w:tc>
          <w:tcPr>
            <w:tcW w:w="466" w:type="dxa"/>
            <w:noWrap w:val="0"/>
            <w:vAlign w:val="center"/>
          </w:tcPr>
          <w:p w14:paraId="263D44C2">
            <w:pPr>
              <w:pStyle w:val="99"/>
              <w:spacing w:before="165" w:beforeLines="0"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31" w:type="dxa"/>
            <w:noWrap w:val="0"/>
            <w:vAlign w:val="center"/>
          </w:tcPr>
          <w:p w14:paraId="5BFDD3F6">
            <w:pPr>
              <w:pStyle w:val="99"/>
              <w:spacing w:line="300" w:lineRule="auto"/>
              <w:ind w:left="99" w:right="-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管网配置人员要求</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人(配备1名专人负责到镇，当发现问题时，专人要及时回应、配合，不能推脱），每厂区配备专职管理人员，未配有专职管理人员，扣2分；管网巡检维护人员占比低于65%，扣2分；运行管理机构未配置的，扣8分。</w:t>
            </w:r>
          </w:p>
        </w:tc>
      </w:tr>
      <w:tr w14:paraId="1AB3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jc w:val="center"/>
        </w:trPr>
        <w:tc>
          <w:tcPr>
            <w:tcW w:w="653" w:type="dxa"/>
            <w:vMerge w:val="continue"/>
            <w:noWrap w:val="0"/>
            <w:vAlign w:val="center"/>
          </w:tcPr>
          <w:p w14:paraId="094F551E">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4D6444F5">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18C09304">
            <w:pPr>
              <w:pStyle w:val="99"/>
              <w:spacing w:before="150" w:beforeLines="0" w:line="300" w:lineRule="auto"/>
              <w:ind w:righ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规章制度建设</w:t>
            </w:r>
          </w:p>
        </w:tc>
        <w:tc>
          <w:tcPr>
            <w:tcW w:w="466" w:type="dxa"/>
            <w:noWrap w:val="0"/>
            <w:vAlign w:val="center"/>
          </w:tcPr>
          <w:p w14:paraId="32269B01">
            <w:pPr>
              <w:pStyle w:val="99"/>
              <w:spacing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31" w:type="dxa"/>
            <w:noWrap w:val="0"/>
            <w:vAlign w:val="center"/>
          </w:tcPr>
          <w:p w14:paraId="3F0F6A3A">
            <w:pPr>
              <w:pStyle w:val="99"/>
              <w:spacing w:before="31" w:beforeLines="0" w:line="300" w:lineRule="auto"/>
              <w:ind w:left="99" w:right="1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管理体制和运营机制、机构设置和人员配备、规章制度、档案管理等工作准备完善；缺一项扣1分。</w:t>
            </w:r>
          </w:p>
        </w:tc>
      </w:tr>
      <w:tr w14:paraId="086B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53" w:type="dxa"/>
            <w:vMerge w:val="continue"/>
            <w:noWrap w:val="0"/>
            <w:vAlign w:val="center"/>
          </w:tcPr>
          <w:p w14:paraId="1F7337C5">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471E9F9E">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48BFE865">
            <w:pPr>
              <w:pStyle w:val="99"/>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员工技能培训</w:t>
            </w:r>
          </w:p>
        </w:tc>
        <w:tc>
          <w:tcPr>
            <w:tcW w:w="466" w:type="dxa"/>
            <w:noWrap w:val="0"/>
            <w:vAlign w:val="center"/>
          </w:tcPr>
          <w:p w14:paraId="179CC0C1">
            <w:pPr>
              <w:pStyle w:val="99"/>
              <w:spacing w:before="173" w:beforeLines="0" w:line="300" w:lineRule="auto"/>
              <w:ind w:left="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531" w:type="dxa"/>
            <w:noWrap w:val="0"/>
            <w:vAlign w:val="center"/>
          </w:tcPr>
          <w:p w14:paraId="3DF3BF78">
            <w:pPr>
              <w:pStyle w:val="99"/>
              <w:spacing w:line="300" w:lineRule="auto"/>
              <w:ind w:left="99"/>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每月无具体的员工技能培训计划，未按计划培训，扣2分；每月未开展员工技能培训，扣1分，培训材料、培训相片作为佐证材料。</w:t>
            </w:r>
          </w:p>
        </w:tc>
      </w:tr>
      <w:tr w14:paraId="3517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653" w:type="dxa"/>
            <w:vMerge w:val="restart"/>
            <w:noWrap w:val="0"/>
            <w:vAlign w:val="center"/>
          </w:tcPr>
          <w:p w14:paraId="3A00F500">
            <w:pPr>
              <w:pStyle w:val="99"/>
              <w:spacing w:line="300" w:lineRule="auto"/>
              <w:ind w:left="1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15" w:type="dxa"/>
            <w:vMerge w:val="restart"/>
            <w:noWrap w:val="0"/>
            <w:vAlign w:val="center"/>
          </w:tcPr>
          <w:p w14:paraId="6B042FE5">
            <w:pPr>
              <w:pStyle w:val="99"/>
              <w:spacing w:before="173" w:beforeLines="0" w:line="300" w:lineRule="auto"/>
              <w:ind w:left="156" w:right="1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管网维护质量（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0分）</w:t>
            </w:r>
          </w:p>
        </w:tc>
        <w:tc>
          <w:tcPr>
            <w:tcW w:w="1007" w:type="dxa"/>
            <w:noWrap w:val="0"/>
            <w:vAlign w:val="center"/>
          </w:tcPr>
          <w:p w14:paraId="19ED44D1">
            <w:pPr>
              <w:pStyle w:val="99"/>
              <w:spacing w:before="116" w:beforeLines="0"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井盖</w:t>
            </w:r>
            <w:r>
              <w:rPr>
                <w:rFonts w:hint="eastAsia" w:ascii="宋体" w:hAnsi="宋体" w:eastAsia="宋体" w:cs="宋体"/>
                <w:color w:val="auto"/>
                <w:sz w:val="24"/>
                <w:szCs w:val="24"/>
                <w:highlight w:val="none"/>
                <w:lang w:val="en-US" w:eastAsia="zh-CN"/>
              </w:rPr>
              <w:t>维护</w:t>
            </w:r>
          </w:p>
        </w:tc>
        <w:tc>
          <w:tcPr>
            <w:tcW w:w="466" w:type="dxa"/>
            <w:noWrap w:val="0"/>
            <w:vAlign w:val="center"/>
          </w:tcPr>
          <w:p w14:paraId="46EC3E13">
            <w:pPr>
              <w:pStyle w:val="99"/>
              <w:spacing w:before="172" w:beforeLines="0"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5531" w:type="dxa"/>
            <w:noWrap w:val="0"/>
            <w:vAlign w:val="center"/>
          </w:tcPr>
          <w:p w14:paraId="747D7565">
            <w:pPr>
              <w:pStyle w:val="99"/>
              <w:spacing w:line="30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现井盖缺失、损坏及移位等事故后，应当在事故发生或接到投诉2h内到达现场，组织抢修，必须及时安放护栏和警示标志，并应在8h内恢复。未提交整改报告扣2分，未按照要求完成整改扣5分，超过2天未完成整改扣10分。</w:t>
            </w:r>
          </w:p>
        </w:tc>
      </w:tr>
      <w:tr w14:paraId="64B3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jc w:val="center"/>
        </w:trPr>
        <w:tc>
          <w:tcPr>
            <w:tcW w:w="653" w:type="dxa"/>
            <w:vMerge w:val="continue"/>
            <w:noWrap w:val="0"/>
            <w:vAlign w:val="center"/>
          </w:tcPr>
          <w:p w14:paraId="39E4A9C5">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0C39A1AE">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30CFBB6E">
            <w:pPr>
              <w:pStyle w:val="99"/>
              <w:spacing w:before="117" w:beforeLines="0"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检查井</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污水管道</w:t>
            </w:r>
          </w:p>
        </w:tc>
        <w:tc>
          <w:tcPr>
            <w:tcW w:w="466" w:type="dxa"/>
            <w:noWrap w:val="0"/>
            <w:vAlign w:val="center"/>
          </w:tcPr>
          <w:p w14:paraId="399739CC">
            <w:pPr>
              <w:pStyle w:val="99"/>
              <w:spacing w:before="173" w:beforeLines="0"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5531" w:type="dxa"/>
            <w:noWrap w:val="0"/>
            <w:vAlign w:val="center"/>
          </w:tcPr>
          <w:p w14:paraId="2AAFDA34">
            <w:pPr>
              <w:pStyle w:val="99"/>
              <w:spacing w:line="300" w:lineRule="auto"/>
              <w:ind w:left="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每发现一个检查井、污水管道破损、堵塞、淤积造成污水直排的，按时整改及提交整改报告不扣分，未提交整改报告扣2分，5天内未完成整改扣5分。检查井内无防坠网，扣0.5分/次/个，扣完为止。</w:t>
            </w:r>
          </w:p>
        </w:tc>
      </w:tr>
      <w:tr w14:paraId="7BB1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continue"/>
            <w:noWrap w:val="0"/>
            <w:vAlign w:val="center"/>
          </w:tcPr>
          <w:p w14:paraId="52E74781">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0A0A62A6">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097474F8">
            <w:pPr>
              <w:pStyle w:val="99"/>
              <w:spacing w:before="118" w:beforeLines="0"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截污</w:t>
            </w:r>
            <w:r>
              <w:rPr>
                <w:rFonts w:hint="eastAsia" w:ascii="宋体" w:hAnsi="宋体" w:eastAsia="宋体" w:cs="宋体"/>
                <w:color w:val="auto"/>
                <w:sz w:val="24"/>
                <w:szCs w:val="24"/>
                <w:highlight w:val="none"/>
                <w:lang w:eastAsia="zh-CN"/>
              </w:rPr>
              <w:t>井</w:t>
            </w:r>
          </w:p>
        </w:tc>
        <w:tc>
          <w:tcPr>
            <w:tcW w:w="466" w:type="dxa"/>
            <w:noWrap w:val="0"/>
            <w:vAlign w:val="center"/>
          </w:tcPr>
          <w:p w14:paraId="7EB8F056">
            <w:pPr>
              <w:pStyle w:val="99"/>
              <w:spacing w:before="174" w:beforeLines="0" w:line="300" w:lineRule="auto"/>
              <w:ind w:left="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5531" w:type="dxa"/>
            <w:noWrap w:val="0"/>
            <w:vAlign w:val="center"/>
          </w:tcPr>
          <w:p w14:paraId="5A20BC55">
            <w:pPr>
              <w:pStyle w:val="99"/>
              <w:spacing w:line="300" w:lineRule="auto"/>
              <w:ind w:left="99"/>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每周定期对管网（检查井、截污井等）进行清理不少于2次（含井、井盖周边1米内无杂草），未按要求发现1次扣2分。及时对截流设施及其上下游检查井进行清疏维护，清除截污管段内的堵塞物，确保截流设施不堵塞，晴天污水不溢流。考核周期发现截污井、检查井内有大量积淤垃圾、油污、油渣的1次扣2分，清理出的垃圾、油污等未入袋处理，每次扣0.5分，扣完为止。</w:t>
            </w:r>
          </w:p>
        </w:tc>
      </w:tr>
      <w:tr w14:paraId="2185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atLeast"/>
          <w:jc w:val="center"/>
        </w:trPr>
        <w:tc>
          <w:tcPr>
            <w:tcW w:w="653" w:type="dxa"/>
            <w:vMerge w:val="continue"/>
            <w:noWrap w:val="0"/>
            <w:vAlign w:val="center"/>
          </w:tcPr>
          <w:p w14:paraId="04F9D13F">
            <w:pPr>
              <w:pStyle w:val="99"/>
              <w:spacing w:before="160" w:beforeLines="0" w:line="300" w:lineRule="auto"/>
              <w:ind w:left="182"/>
              <w:jc w:val="center"/>
              <w:rPr>
                <w:rFonts w:hint="eastAsia" w:ascii="宋体" w:hAnsi="宋体" w:eastAsia="宋体" w:cs="宋体"/>
                <w:color w:val="auto"/>
                <w:sz w:val="24"/>
                <w:szCs w:val="24"/>
                <w:highlight w:val="none"/>
              </w:rPr>
            </w:pPr>
          </w:p>
        </w:tc>
        <w:tc>
          <w:tcPr>
            <w:tcW w:w="1115" w:type="dxa"/>
            <w:vMerge w:val="continue"/>
            <w:noWrap w:val="0"/>
            <w:vAlign w:val="center"/>
          </w:tcPr>
          <w:p w14:paraId="3B4ECC58">
            <w:pPr>
              <w:pStyle w:val="99"/>
              <w:spacing w:line="300" w:lineRule="auto"/>
              <w:ind w:left="101" w:right="-19"/>
              <w:jc w:val="center"/>
              <w:rPr>
                <w:rFonts w:hint="eastAsia" w:ascii="宋体" w:hAnsi="宋体" w:eastAsia="宋体" w:cs="宋体"/>
                <w:color w:val="auto"/>
                <w:sz w:val="24"/>
                <w:szCs w:val="24"/>
                <w:highlight w:val="none"/>
              </w:rPr>
            </w:pPr>
          </w:p>
        </w:tc>
        <w:tc>
          <w:tcPr>
            <w:tcW w:w="1007" w:type="dxa"/>
            <w:noWrap w:val="0"/>
            <w:vAlign w:val="center"/>
          </w:tcPr>
          <w:p w14:paraId="5143F380">
            <w:pPr>
              <w:pStyle w:val="99"/>
              <w:spacing w:before="185" w:beforeLines="0" w:line="300" w:lineRule="auto"/>
              <w:ind w:righ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制定管网设施巡查养护计划表</w:t>
            </w:r>
          </w:p>
        </w:tc>
        <w:tc>
          <w:tcPr>
            <w:tcW w:w="466" w:type="dxa"/>
            <w:noWrap w:val="0"/>
            <w:vAlign w:val="center"/>
          </w:tcPr>
          <w:p w14:paraId="2F647C31">
            <w:pPr>
              <w:pStyle w:val="99"/>
              <w:spacing w:line="300" w:lineRule="auto"/>
              <w:ind w:left="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531" w:type="dxa"/>
            <w:noWrap w:val="0"/>
            <w:vAlign w:val="center"/>
          </w:tcPr>
          <w:p w14:paraId="4675DA6E">
            <w:pPr>
              <w:pStyle w:val="99"/>
              <w:spacing w:line="300" w:lineRule="auto"/>
              <w:ind w:left="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编制并执行《月度管网设施巡查养护计划表》，对辖区范围内全覆盖检查井、截污口建立常态化巡查，发现问题要及时上报且处理，形成闭环管理，未编制、执行《月度管网设施巡查养护计划表》扣2分。</w:t>
            </w:r>
          </w:p>
        </w:tc>
      </w:tr>
      <w:tr w14:paraId="5790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5" w:hRule="atLeast"/>
          <w:jc w:val="center"/>
        </w:trPr>
        <w:tc>
          <w:tcPr>
            <w:tcW w:w="653" w:type="dxa"/>
            <w:vMerge w:val="restart"/>
            <w:noWrap w:val="0"/>
            <w:vAlign w:val="center"/>
          </w:tcPr>
          <w:p w14:paraId="20E8A6C7">
            <w:pPr>
              <w:pStyle w:val="99"/>
              <w:spacing w:before="160" w:beforeLines="0" w:line="300" w:lineRule="auto"/>
              <w:ind w:left="1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15" w:type="dxa"/>
            <w:vMerge w:val="restart"/>
            <w:noWrap w:val="0"/>
            <w:vAlign w:val="center"/>
          </w:tcPr>
          <w:p w14:paraId="3D0C4625">
            <w:pPr>
              <w:pStyle w:val="99"/>
              <w:spacing w:line="300" w:lineRule="auto"/>
              <w:ind w:left="101" w:right="-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007" w:type="dxa"/>
            <w:noWrap w:val="0"/>
            <w:vAlign w:val="center"/>
          </w:tcPr>
          <w:p w14:paraId="21CC61FC">
            <w:pPr>
              <w:pStyle w:val="99"/>
              <w:spacing w:before="185" w:beforeLines="0" w:line="300" w:lineRule="auto"/>
              <w:ind w:righ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日常维护制度</w:t>
            </w:r>
          </w:p>
        </w:tc>
        <w:tc>
          <w:tcPr>
            <w:tcW w:w="466" w:type="dxa"/>
            <w:noWrap w:val="0"/>
            <w:vAlign w:val="center"/>
          </w:tcPr>
          <w:p w14:paraId="6CA818D0">
            <w:pPr>
              <w:pStyle w:val="99"/>
              <w:spacing w:before="171" w:beforeLines="0"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p>
        </w:tc>
        <w:tc>
          <w:tcPr>
            <w:tcW w:w="5531" w:type="dxa"/>
            <w:noWrap w:val="0"/>
            <w:vAlign w:val="center"/>
          </w:tcPr>
          <w:p w14:paraId="7FD8C1B6">
            <w:pPr>
              <w:pStyle w:val="99"/>
              <w:spacing w:before="115" w:beforeLines="0" w:line="300" w:lineRule="auto"/>
              <w:ind w:left="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阀门井、井盖、截流井等不完好，每处扣2分；阀门井、计量井等井内和露地管阀、管件有缺损，每处扣2分；检查井、截污口等存在滞水、溢流现象、痕迹，未及时整改恢复原状，每次扣2分，扣完为止。</w:t>
            </w:r>
          </w:p>
        </w:tc>
      </w:tr>
      <w:tr w14:paraId="1629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653" w:type="dxa"/>
            <w:vMerge w:val="continue"/>
            <w:noWrap w:val="0"/>
            <w:vAlign w:val="center"/>
          </w:tcPr>
          <w:p w14:paraId="6D14CBA9">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1B86ABB6">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7F6A3B61">
            <w:pPr>
              <w:pStyle w:val="99"/>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维护日志</w:t>
            </w:r>
          </w:p>
        </w:tc>
        <w:tc>
          <w:tcPr>
            <w:tcW w:w="466" w:type="dxa"/>
            <w:noWrap w:val="0"/>
            <w:vAlign w:val="center"/>
          </w:tcPr>
          <w:p w14:paraId="44A64E85">
            <w:pPr>
              <w:pStyle w:val="99"/>
              <w:spacing w:before="173" w:beforeLines="0" w:line="300" w:lineRule="auto"/>
              <w:ind w:left="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5531" w:type="dxa"/>
            <w:noWrap w:val="0"/>
            <w:vAlign w:val="center"/>
          </w:tcPr>
          <w:p w14:paraId="79D007FF">
            <w:pPr>
              <w:pStyle w:val="99"/>
              <w:spacing w:line="300" w:lineRule="auto"/>
              <w:ind w:left="99"/>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根据实际情况记录维护日志，发现问题要及时上报、登记。维护记录不齐全，缺一项扣0.5分；记录数据不真实，不得分。</w:t>
            </w:r>
          </w:p>
        </w:tc>
      </w:tr>
      <w:tr w14:paraId="3CD6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653" w:type="dxa"/>
            <w:vMerge w:val="restart"/>
            <w:noWrap w:val="0"/>
            <w:vAlign w:val="center"/>
          </w:tcPr>
          <w:p w14:paraId="4665DC96">
            <w:pPr>
              <w:pStyle w:val="99"/>
              <w:spacing w:line="300" w:lineRule="auto"/>
              <w:ind w:left="1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15" w:type="dxa"/>
            <w:vMerge w:val="restart"/>
            <w:noWrap w:val="0"/>
            <w:vAlign w:val="center"/>
          </w:tcPr>
          <w:p w14:paraId="6FF8321E">
            <w:pPr>
              <w:pStyle w:val="99"/>
              <w:spacing w:line="300" w:lineRule="auto"/>
              <w:ind w:left="101" w:right="-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5分）</w:t>
            </w:r>
          </w:p>
        </w:tc>
        <w:tc>
          <w:tcPr>
            <w:tcW w:w="1007" w:type="dxa"/>
            <w:noWrap w:val="0"/>
            <w:vAlign w:val="center"/>
          </w:tcPr>
          <w:p w14:paraId="0A92F4CA">
            <w:pPr>
              <w:pStyle w:val="99"/>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安全管理制度建设</w:t>
            </w:r>
          </w:p>
        </w:tc>
        <w:tc>
          <w:tcPr>
            <w:tcW w:w="466" w:type="dxa"/>
            <w:noWrap w:val="0"/>
            <w:vAlign w:val="center"/>
          </w:tcPr>
          <w:p w14:paraId="438B32CB">
            <w:pPr>
              <w:pStyle w:val="99"/>
              <w:spacing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31" w:type="dxa"/>
            <w:noWrap w:val="0"/>
            <w:vAlign w:val="center"/>
          </w:tcPr>
          <w:p w14:paraId="567294EC">
            <w:pPr>
              <w:pStyle w:val="99"/>
              <w:spacing w:before="31" w:beforeLines="0" w:line="300" w:lineRule="auto"/>
              <w:ind w:left="99" w:right="9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无安全管理制度或不健全，安全管理制度未上墙，扣1分；每季度无逐级签订安全生产责任书，责任未落实，扣1分。</w:t>
            </w:r>
          </w:p>
        </w:tc>
      </w:tr>
      <w:tr w14:paraId="18B4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jc w:val="center"/>
        </w:trPr>
        <w:tc>
          <w:tcPr>
            <w:tcW w:w="653" w:type="dxa"/>
            <w:vMerge w:val="continue"/>
            <w:noWrap w:val="0"/>
            <w:vAlign w:val="center"/>
          </w:tcPr>
          <w:p w14:paraId="18495803">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3A89E81B">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1AE481E9">
            <w:pPr>
              <w:pStyle w:val="99"/>
              <w:spacing w:before="147" w:beforeLines="0" w:line="300" w:lineRule="auto"/>
              <w:ind w:righ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w:t>
            </w:r>
          </w:p>
        </w:tc>
        <w:tc>
          <w:tcPr>
            <w:tcW w:w="466" w:type="dxa"/>
            <w:noWrap w:val="0"/>
            <w:vAlign w:val="center"/>
          </w:tcPr>
          <w:p w14:paraId="7592A93E">
            <w:pPr>
              <w:pStyle w:val="99"/>
              <w:spacing w:line="300" w:lineRule="auto"/>
              <w:ind w:left="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5531" w:type="dxa"/>
            <w:noWrap w:val="0"/>
            <w:vAlign w:val="center"/>
          </w:tcPr>
          <w:p w14:paraId="45E93CB6">
            <w:pPr>
              <w:pStyle w:val="99"/>
              <w:spacing w:before="20" w:beforeLines="0" w:line="300" w:lineRule="auto"/>
              <w:ind w:left="99" w:right="98"/>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未建立安全应急预案，扣2分；</w:t>
            </w:r>
          </w:p>
          <w:p w14:paraId="0C4FB969">
            <w:pPr>
              <w:pStyle w:val="99"/>
              <w:spacing w:before="20" w:beforeLines="0" w:line="300" w:lineRule="auto"/>
              <w:ind w:left="99" w:right="98"/>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每季度无具体的安全培训计划，扣1分；</w:t>
            </w:r>
          </w:p>
        </w:tc>
      </w:tr>
      <w:tr w14:paraId="3CAF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53" w:type="dxa"/>
            <w:vMerge w:val="continue"/>
            <w:noWrap w:val="0"/>
            <w:vAlign w:val="center"/>
          </w:tcPr>
          <w:p w14:paraId="7E6121BB">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182004C2">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5435F51D">
            <w:pPr>
              <w:pStyle w:val="99"/>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安全事故</w:t>
            </w:r>
          </w:p>
        </w:tc>
        <w:tc>
          <w:tcPr>
            <w:tcW w:w="466" w:type="dxa"/>
            <w:noWrap w:val="0"/>
            <w:vAlign w:val="center"/>
          </w:tcPr>
          <w:p w14:paraId="51C101AE">
            <w:pPr>
              <w:pStyle w:val="99"/>
              <w:spacing w:before="172" w:beforeLines="0" w:line="300" w:lineRule="auto"/>
              <w:ind w:left="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5531" w:type="dxa"/>
            <w:noWrap w:val="0"/>
            <w:vAlign w:val="center"/>
          </w:tcPr>
          <w:p w14:paraId="3A478CF4">
            <w:pPr>
              <w:pStyle w:val="99"/>
              <w:spacing w:before="116" w:beforeLines="0" w:line="300" w:lineRule="auto"/>
              <w:ind w:left="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发生重大安全事故，扣11分/次，此项扣分不封顶。</w:t>
            </w:r>
          </w:p>
        </w:tc>
      </w:tr>
      <w:tr w14:paraId="76EE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1" w:hRule="atLeast"/>
          <w:jc w:val="center"/>
        </w:trPr>
        <w:tc>
          <w:tcPr>
            <w:tcW w:w="653" w:type="dxa"/>
            <w:vMerge w:val="restart"/>
            <w:noWrap w:val="0"/>
            <w:vAlign w:val="center"/>
          </w:tcPr>
          <w:p w14:paraId="0F0169B0">
            <w:pPr>
              <w:pStyle w:val="99"/>
              <w:spacing w:line="300" w:lineRule="auto"/>
              <w:ind w:left="1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15" w:type="dxa"/>
            <w:vMerge w:val="restart"/>
            <w:noWrap w:val="0"/>
            <w:vAlign w:val="center"/>
          </w:tcPr>
          <w:p w14:paraId="58CA5072">
            <w:pPr>
              <w:pStyle w:val="99"/>
              <w:spacing w:line="300" w:lineRule="auto"/>
              <w:ind w:left="101" w:right="9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档案管理（4分）</w:t>
            </w:r>
          </w:p>
        </w:tc>
        <w:tc>
          <w:tcPr>
            <w:tcW w:w="1007" w:type="dxa"/>
            <w:noWrap w:val="0"/>
            <w:vAlign w:val="center"/>
          </w:tcPr>
          <w:p w14:paraId="5D731308">
            <w:pPr>
              <w:pStyle w:val="99"/>
              <w:spacing w:before="119" w:beforeLines="0" w:line="300" w:lineRule="auto"/>
              <w:ind w:righ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档案管理制度建设</w:t>
            </w:r>
          </w:p>
        </w:tc>
        <w:tc>
          <w:tcPr>
            <w:tcW w:w="466" w:type="dxa"/>
            <w:noWrap w:val="0"/>
            <w:vAlign w:val="center"/>
          </w:tcPr>
          <w:p w14:paraId="1ED4D0CA">
            <w:pPr>
              <w:pStyle w:val="99"/>
              <w:spacing w:before="206" w:beforeLines="0"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31" w:type="dxa"/>
            <w:noWrap w:val="0"/>
            <w:vAlign w:val="center"/>
          </w:tcPr>
          <w:p w14:paraId="46600556">
            <w:pPr>
              <w:pStyle w:val="99"/>
              <w:spacing w:before="1" w:beforeLines="0" w:line="300" w:lineRule="auto"/>
              <w:ind w:left="99" w:right="-2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档案管理不规范、不完整扣1分；未按要求建立有生产运行、水质、设备、材料管理、 安全、人事等档案，少一项，扣 0.5 分。最高2分。</w:t>
            </w:r>
          </w:p>
        </w:tc>
      </w:tr>
      <w:tr w14:paraId="7A0B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1" w:hRule="atLeast"/>
          <w:jc w:val="center"/>
        </w:trPr>
        <w:tc>
          <w:tcPr>
            <w:tcW w:w="653" w:type="dxa"/>
            <w:vMerge w:val="continue"/>
            <w:noWrap w:val="0"/>
            <w:vAlign w:val="center"/>
          </w:tcPr>
          <w:p w14:paraId="17F800CE">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17788091">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5A3F894F">
            <w:pPr>
              <w:pStyle w:val="99"/>
              <w:spacing w:before="119" w:beforeLines="0" w:line="300" w:lineRule="auto"/>
              <w:ind w:righ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档案信息化程度</w:t>
            </w:r>
          </w:p>
        </w:tc>
        <w:tc>
          <w:tcPr>
            <w:tcW w:w="466" w:type="dxa"/>
            <w:noWrap w:val="0"/>
            <w:vAlign w:val="center"/>
          </w:tcPr>
          <w:p w14:paraId="39B04AAB">
            <w:pPr>
              <w:pStyle w:val="99"/>
              <w:spacing w:before="206" w:beforeLines="0"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31" w:type="dxa"/>
            <w:noWrap w:val="0"/>
            <w:vAlign w:val="center"/>
          </w:tcPr>
          <w:p w14:paraId="6715CEF1">
            <w:pPr>
              <w:pStyle w:val="99"/>
              <w:spacing w:line="300" w:lineRule="auto"/>
              <w:ind w:left="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按要求及时归集管网巡检记录台账、维护与运行记录台账，得 0.5 分；记录数据真实可靠，得分 0.5 分。无台账、管理混乱、记录省略最高扣2分。</w:t>
            </w:r>
          </w:p>
        </w:tc>
      </w:tr>
      <w:tr w14:paraId="3D64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atLeast"/>
          <w:jc w:val="center"/>
        </w:trPr>
        <w:tc>
          <w:tcPr>
            <w:tcW w:w="653" w:type="dxa"/>
            <w:vMerge w:val="restart"/>
            <w:noWrap w:val="0"/>
            <w:vAlign w:val="center"/>
          </w:tcPr>
          <w:p w14:paraId="5B091925">
            <w:pPr>
              <w:pStyle w:val="99"/>
              <w:spacing w:line="300" w:lineRule="auto"/>
              <w:ind w:left="1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15" w:type="dxa"/>
            <w:vMerge w:val="restart"/>
            <w:noWrap w:val="0"/>
            <w:vAlign w:val="center"/>
          </w:tcPr>
          <w:p w14:paraId="18E40976">
            <w:pPr>
              <w:pStyle w:val="99"/>
              <w:spacing w:before="193" w:beforeLines="0" w:line="300" w:lineRule="auto"/>
              <w:ind w:left="101" w:right="-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维护质量（1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1007" w:type="dxa"/>
            <w:noWrap w:val="0"/>
            <w:vAlign w:val="center"/>
          </w:tcPr>
          <w:p w14:paraId="06C1F6F5">
            <w:pPr>
              <w:pStyle w:val="99"/>
              <w:spacing w:before="150" w:beforeLines="0" w:line="300" w:lineRule="auto"/>
              <w:ind w:righ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维护效率</w:t>
            </w:r>
          </w:p>
        </w:tc>
        <w:tc>
          <w:tcPr>
            <w:tcW w:w="466" w:type="dxa"/>
            <w:noWrap w:val="0"/>
            <w:vAlign w:val="center"/>
          </w:tcPr>
          <w:p w14:paraId="058B0D5E">
            <w:pPr>
              <w:pStyle w:val="99"/>
              <w:spacing w:line="300" w:lineRule="auto"/>
              <w:ind w:left="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5531" w:type="dxa"/>
            <w:noWrap w:val="0"/>
            <w:vAlign w:val="center"/>
          </w:tcPr>
          <w:p w14:paraId="44EE1EB7">
            <w:pPr>
              <w:pStyle w:val="99"/>
              <w:spacing w:before="31" w:beforeLines="0" w:line="300" w:lineRule="auto"/>
              <w:ind w:left="99" w:right="-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对各项检查中存在的问题能及时整改，得8分；整改不到位，扣1分/次。</w:t>
            </w:r>
          </w:p>
        </w:tc>
      </w:tr>
      <w:tr w14:paraId="60C3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jc w:val="center"/>
        </w:trPr>
        <w:tc>
          <w:tcPr>
            <w:tcW w:w="653" w:type="dxa"/>
            <w:vMerge w:val="continue"/>
            <w:noWrap w:val="0"/>
            <w:vAlign w:val="center"/>
          </w:tcPr>
          <w:p w14:paraId="204069AE">
            <w:pPr>
              <w:widowControl/>
              <w:spacing w:line="300" w:lineRule="auto"/>
              <w:jc w:val="center"/>
              <w:rPr>
                <w:rFonts w:hint="eastAsia" w:ascii="宋体" w:hAnsi="宋体" w:eastAsia="宋体" w:cs="宋体"/>
                <w:color w:val="auto"/>
                <w:sz w:val="24"/>
                <w:szCs w:val="24"/>
                <w:highlight w:val="none"/>
              </w:rPr>
            </w:pPr>
          </w:p>
        </w:tc>
        <w:tc>
          <w:tcPr>
            <w:tcW w:w="1115" w:type="dxa"/>
            <w:vMerge w:val="continue"/>
            <w:noWrap w:val="0"/>
            <w:vAlign w:val="center"/>
          </w:tcPr>
          <w:p w14:paraId="76BFCDBA">
            <w:pPr>
              <w:widowControl/>
              <w:spacing w:line="300" w:lineRule="auto"/>
              <w:jc w:val="center"/>
              <w:rPr>
                <w:rFonts w:hint="eastAsia" w:ascii="宋体" w:hAnsi="宋体" w:eastAsia="宋体" w:cs="宋体"/>
                <w:color w:val="auto"/>
                <w:sz w:val="24"/>
                <w:szCs w:val="24"/>
                <w:highlight w:val="none"/>
              </w:rPr>
            </w:pPr>
          </w:p>
        </w:tc>
        <w:tc>
          <w:tcPr>
            <w:tcW w:w="1007" w:type="dxa"/>
            <w:noWrap w:val="0"/>
            <w:vAlign w:val="center"/>
          </w:tcPr>
          <w:p w14:paraId="105F08A8">
            <w:pPr>
              <w:pStyle w:val="99"/>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投诉情况</w:t>
            </w:r>
          </w:p>
        </w:tc>
        <w:tc>
          <w:tcPr>
            <w:tcW w:w="466" w:type="dxa"/>
            <w:noWrap w:val="0"/>
            <w:vAlign w:val="center"/>
          </w:tcPr>
          <w:p w14:paraId="5546ED2C">
            <w:pPr>
              <w:pStyle w:val="99"/>
              <w:spacing w:before="173" w:beforeLines="0" w:line="300" w:lineRule="auto"/>
              <w:ind w:left="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31" w:type="dxa"/>
            <w:noWrap w:val="0"/>
            <w:vAlign w:val="center"/>
          </w:tcPr>
          <w:p w14:paraId="030551AE">
            <w:pPr>
              <w:pStyle w:val="99"/>
              <w:spacing w:line="300" w:lineRule="auto"/>
              <w:ind w:left="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如有投诉并经查属实的，扣1分/次。</w:t>
            </w:r>
          </w:p>
        </w:tc>
      </w:tr>
    </w:tbl>
    <w:p w14:paraId="39848898">
      <w:pPr>
        <w:pStyle w:val="17"/>
        <w:kinsoku w:val="0"/>
        <w:overflowPunct w:val="0"/>
        <w:spacing w:before="8" w:beforeLines="0"/>
        <w:ind w:left="0"/>
        <w:jc w:val="both"/>
        <w:rPr>
          <w:rFonts w:hint="eastAsia" w:ascii="宋体" w:hAnsi="宋体" w:eastAsia="宋体" w:cs="宋体"/>
          <w:color w:val="auto"/>
          <w:spacing w:val="0"/>
          <w:w w:val="100"/>
          <w:sz w:val="24"/>
          <w:szCs w:val="24"/>
          <w:highlight w:val="none"/>
        </w:rPr>
      </w:pPr>
    </w:p>
    <w:p w14:paraId="7D6AF15D">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（二）污水厂区、泵站设施运营维护绩效考核绩效考核计分方法以及考核费用支付方式</w:t>
      </w:r>
    </w:p>
    <w:p w14:paraId="60FEE1AF">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b/>
          <w:bCs/>
          <w:color w:val="auto"/>
          <w:spacing w:val="0"/>
          <w:w w:val="100"/>
          <w:sz w:val="24"/>
          <w:szCs w:val="24"/>
          <w:highlight w:val="none"/>
          <w:lang w:eastAsia="zh-CN"/>
        </w:rPr>
        <w:t>1.计分方法。</w:t>
      </w:r>
      <w:r>
        <w:rPr>
          <w:rFonts w:hint="eastAsia" w:ascii="宋体" w:hAnsi="宋体" w:eastAsia="宋体" w:cs="宋体"/>
          <w:color w:val="auto"/>
          <w:spacing w:val="0"/>
          <w:w w:val="100"/>
          <w:sz w:val="24"/>
          <w:szCs w:val="24"/>
          <w:highlight w:val="none"/>
          <w:lang w:eastAsia="zh-CN"/>
        </w:rPr>
        <w:t>运营期绩效考核办法采用季度考核方式进行，考核方式采用满分100分制，实行扣分制。每季度运营期绩效考核得分按照如下公式计算</w:t>
      </w:r>
      <w:r>
        <w:rPr>
          <w:rFonts w:hint="eastAsia" w:ascii="宋体" w:hAnsi="宋体" w:eastAsia="宋体" w:cs="宋体"/>
          <w:color w:val="auto"/>
          <w:spacing w:val="0"/>
          <w:w w:val="100"/>
          <w:sz w:val="24"/>
          <w:szCs w:val="24"/>
          <w:highlight w:val="none"/>
          <w:lang w:val="en-US" w:eastAsia="zh-CN"/>
        </w:rPr>
        <w:t>：</w:t>
      </w:r>
    </w:p>
    <w:p w14:paraId="152939D8">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N=Nl×</w:t>
      </w:r>
      <w:r>
        <w:rPr>
          <w:rFonts w:hint="eastAsia" w:ascii="宋体" w:hAnsi="宋体" w:eastAsia="宋体" w:cs="宋体"/>
          <w:b/>
          <w:bCs/>
          <w:color w:val="auto"/>
          <w:spacing w:val="0"/>
          <w:w w:val="100"/>
          <w:sz w:val="24"/>
          <w:szCs w:val="24"/>
          <w:highlight w:val="none"/>
          <w:lang w:val="en-US" w:eastAsia="zh-CN"/>
        </w:rPr>
        <w:t>50</w:t>
      </w:r>
      <w:r>
        <w:rPr>
          <w:rFonts w:hint="eastAsia" w:ascii="宋体" w:hAnsi="宋体" w:eastAsia="宋体" w:cs="宋体"/>
          <w:b/>
          <w:bCs/>
          <w:color w:val="auto"/>
          <w:spacing w:val="0"/>
          <w:w w:val="100"/>
          <w:sz w:val="24"/>
          <w:szCs w:val="24"/>
          <w:highlight w:val="none"/>
          <w:lang w:eastAsia="zh-CN"/>
        </w:rPr>
        <w:t>%+N2×</w:t>
      </w:r>
      <w:r>
        <w:rPr>
          <w:rFonts w:hint="eastAsia" w:ascii="宋体" w:hAnsi="宋体" w:eastAsia="宋体" w:cs="宋体"/>
          <w:b/>
          <w:bCs/>
          <w:color w:val="auto"/>
          <w:spacing w:val="0"/>
          <w:w w:val="100"/>
          <w:sz w:val="24"/>
          <w:szCs w:val="24"/>
          <w:highlight w:val="none"/>
          <w:lang w:val="en-US" w:eastAsia="zh-CN"/>
        </w:rPr>
        <w:t>20</w:t>
      </w:r>
      <w:r>
        <w:rPr>
          <w:rFonts w:hint="eastAsia" w:ascii="宋体" w:hAnsi="宋体" w:eastAsia="宋体" w:cs="宋体"/>
          <w:b/>
          <w:bCs/>
          <w:color w:val="auto"/>
          <w:spacing w:val="0"/>
          <w:w w:val="100"/>
          <w:sz w:val="24"/>
          <w:szCs w:val="24"/>
          <w:highlight w:val="none"/>
          <w:lang w:eastAsia="zh-CN"/>
        </w:rPr>
        <w:t>%</w:t>
      </w:r>
      <w:r>
        <w:rPr>
          <w:rFonts w:hint="eastAsia" w:ascii="宋体" w:hAnsi="宋体" w:eastAsia="宋体" w:cs="宋体"/>
          <w:b/>
          <w:bCs/>
          <w:color w:val="auto"/>
          <w:spacing w:val="0"/>
          <w:w w:val="100"/>
          <w:sz w:val="24"/>
          <w:szCs w:val="24"/>
          <w:highlight w:val="none"/>
          <w:lang w:val="en-US" w:eastAsia="zh-CN"/>
        </w:rPr>
        <w:t>+</w:t>
      </w:r>
      <w:r>
        <w:rPr>
          <w:rFonts w:hint="eastAsia" w:ascii="宋体" w:hAnsi="宋体" w:eastAsia="宋体" w:cs="宋体"/>
          <w:b/>
          <w:bCs/>
          <w:color w:val="auto"/>
          <w:spacing w:val="0"/>
          <w:w w:val="100"/>
          <w:sz w:val="24"/>
          <w:szCs w:val="24"/>
          <w:highlight w:val="none"/>
          <w:lang w:eastAsia="zh-CN"/>
        </w:rPr>
        <w:t>N</w:t>
      </w:r>
      <w:r>
        <w:rPr>
          <w:rFonts w:hint="eastAsia" w:ascii="宋体" w:hAnsi="宋体" w:eastAsia="宋体" w:cs="宋体"/>
          <w:b/>
          <w:bCs/>
          <w:color w:val="auto"/>
          <w:spacing w:val="0"/>
          <w:w w:val="100"/>
          <w:sz w:val="24"/>
          <w:szCs w:val="24"/>
          <w:highlight w:val="none"/>
          <w:lang w:val="en-US" w:eastAsia="zh-CN"/>
        </w:rPr>
        <w:t>3</w:t>
      </w:r>
      <w:r>
        <w:rPr>
          <w:rFonts w:hint="eastAsia" w:ascii="宋体" w:hAnsi="宋体" w:eastAsia="宋体" w:cs="宋体"/>
          <w:b/>
          <w:bCs/>
          <w:color w:val="auto"/>
          <w:spacing w:val="0"/>
          <w:w w:val="100"/>
          <w:sz w:val="24"/>
          <w:szCs w:val="24"/>
          <w:highlight w:val="none"/>
          <w:lang w:eastAsia="zh-CN"/>
        </w:rPr>
        <w:t>×</w:t>
      </w:r>
      <w:r>
        <w:rPr>
          <w:rFonts w:hint="eastAsia" w:ascii="宋体" w:hAnsi="宋体" w:eastAsia="宋体" w:cs="宋体"/>
          <w:b/>
          <w:bCs/>
          <w:color w:val="auto"/>
          <w:spacing w:val="0"/>
          <w:w w:val="100"/>
          <w:sz w:val="24"/>
          <w:szCs w:val="24"/>
          <w:highlight w:val="none"/>
          <w:lang w:val="en-US" w:eastAsia="zh-CN"/>
        </w:rPr>
        <w:t>30</w:t>
      </w:r>
      <w:r>
        <w:rPr>
          <w:rFonts w:hint="eastAsia" w:ascii="宋体" w:hAnsi="宋体" w:eastAsia="宋体" w:cs="宋体"/>
          <w:b/>
          <w:bCs/>
          <w:color w:val="auto"/>
          <w:spacing w:val="0"/>
          <w:w w:val="100"/>
          <w:sz w:val="24"/>
          <w:szCs w:val="24"/>
          <w:highlight w:val="none"/>
          <w:lang w:eastAsia="zh-CN"/>
        </w:rPr>
        <w:t>%。</w:t>
      </w:r>
    </w:p>
    <w:p w14:paraId="267D4091">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N为运营期当季度绩效考核得分；</w:t>
      </w:r>
    </w:p>
    <w:p w14:paraId="246CC37E">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Nl为污水处理厂及其泵站设施运营维护绩效考核当季度得分值，分值按照上述表6-1考核评定；</w:t>
      </w:r>
    </w:p>
    <w:p w14:paraId="4C76B3AE">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N2为污水处理水量绩效考核当季度得分值，分值按照上述表6-2考核评定；</w:t>
      </w:r>
    </w:p>
    <w:p w14:paraId="1EA03321">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val="en-US" w:eastAsia="zh-CN"/>
        </w:rPr>
        <w:t>N3</w:t>
      </w:r>
      <w:r>
        <w:rPr>
          <w:rFonts w:hint="eastAsia" w:ascii="宋体" w:hAnsi="宋体" w:eastAsia="宋体" w:cs="宋体"/>
          <w:b/>
          <w:bCs/>
          <w:color w:val="auto"/>
          <w:spacing w:val="0"/>
          <w:w w:val="100"/>
          <w:sz w:val="24"/>
          <w:szCs w:val="24"/>
          <w:highlight w:val="none"/>
          <w:lang w:eastAsia="zh-CN"/>
        </w:rPr>
        <w:t>为为污水厂配套管网巡查维护绩效考核当季度得分值，分值按照上述表表6-3考核评定。</w:t>
      </w:r>
    </w:p>
    <w:p w14:paraId="40DAF089">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2.考核费用支付方式</w:t>
      </w:r>
    </w:p>
    <w:p w14:paraId="0DFC4312">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业主每月</w:t>
      </w:r>
      <w:r>
        <w:rPr>
          <w:rFonts w:hint="eastAsia" w:ascii="宋体" w:hAnsi="宋体" w:eastAsia="宋体" w:cs="宋体"/>
          <w:b/>
          <w:bCs/>
          <w:color w:val="auto"/>
          <w:spacing w:val="0"/>
          <w:w w:val="100"/>
          <w:sz w:val="24"/>
          <w:szCs w:val="24"/>
          <w:highlight w:val="none"/>
          <w:lang w:eastAsia="zh-CN"/>
        </w:rPr>
        <w:t>支付固定费用</w:t>
      </w:r>
      <w:r>
        <w:rPr>
          <w:rFonts w:hint="eastAsia" w:ascii="宋体" w:hAnsi="宋体" w:eastAsia="宋体" w:cs="宋体"/>
          <w:color w:val="auto"/>
          <w:spacing w:val="0"/>
          <w:w w:val="100"/>
          <w:sz w:val="24"/>
          <w:szCs w:val="24"/>
          <w:highlight w:val="none"/>
          <w:lang w:eastAsia="zh-CN"/>
        </w:rPr>
        <w:t>。绩效考核每季度进行一次，绩效考核费用根据考核得分情况计算费用，每季度支付一次。支付方式如下：</w:t>
      </w:r>
    </w:p>
    <w:p w14:paraId="412B4798">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val="en-US" w:eastAsia="zh-CN"/>
        </w:rPr>
        <w:t xml:space="preserve">    </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lang w:eastAsia="zh-CN"/>
        </w:rPr>
        <w:t>）月支付固定费用：污水处理厂及管网维护、配套污水提升泵站年支付固定费用为</w:t>
      </w:r>
      <w:r>
        <w:rPr>
          <w:rFonts w:hint="eastAsia" w:ascii="宋体" w:hAnsi="宋体" w:eastAsia="宋体" w:cs="宋体"/>
          <w:color w:val="auto"/>
          <w:spacing w:val="0"/>
          <w:w w:val="100"/>
          <w:sz w:val="24"/>
          <w:szCs w:val="24"/>
          <w:highlight w:val="none"/>
          <w:lang w:val="en-US" w:eastAsia="zh-CN"/>
        </w:rPr>
        <w:t>389.9294</w:t>
      </w:r>
      <w:r>
        <w:rPr>
          <w:rFonts w:hint="eastAsia" w:ascii="宋体" w:hAnsi="宋体" w:eastAsia="宋体" w:cs="宋体"/>
          <w:color w:val="auto"/>
          <w:spacing w:val="0"/>
          <w:w w:val="100"/>
          <w:sz w:val="24"/>
          <w:szCs w:val="24"/>
          <w:highlight w:val="none"/>
          <w:lang w:eastAsia="zh-CN"/>
        </w:rPr>
        <w:t>万元；则每月支付固定费用为：</w:t>
      </w:r>
      <w:r>
        <w:rPr>
          <w:rFonts w:hint="eastAsia" w:ascii="宋体" w:hAnsi="宋体" w:eastAsia="宋体" w:cs="宋体"/>
          <w:color w:val="auto"/>
          <w:spacing w:val="0"/>
          <w:w w:val="100"/>
          <w:sz w:val="24"/>
          <w:szCs w:val="24"/>
          <w:highlight w:val="none"/>
          <w:lang w:val="en-US" w:eastAsia="zh-CN"/>
        </w:rPr>
        <w:t>389.9294</w:t>
      </w:r>
      <w:r>
        <w:rPr>
          <w:rFonts w:hint="eastAsia" w:ascii="宋体" w:hAnsi="宋体" w:eastAsia="宋体" w:cs="宋体"/>
          <w:color w:val="auto"/>
          <w:spacing w:val="0"/>
          <w:w w:val="100"/>
          <w:sz w:val="24"/>
          <w:szCs w:val="24"/>
          <w:highlight w:val="none"/>
          <w:lang w:eastAsia="zh-CN"/>
        </w:rPr>
        <w:t>/12≈</w:t>
      </w:r>
      <w:r>
        <w:rPr>
          <w:rFonts w:hint="eastAsia" w:ascii="宋体" w:hAnsi="宋体" w:eastAsia="宋体" w:cs="宋体"/>
          <w:color w:val="auto"/>
          <w:spacing w:val="0"/>
          <w:w w:val="100"/>
          <w:sz w:val="24"/>
          <w:szCs w:val="24"/>
          <w:highlight w:val="none"/>
          <w:lang w:val="en-US" w:eastAsia="zh-CN"/>
        </w:rPr>
        <w:t>32.49412</w:t>
      </w:r>
      <w:r>
        <w:rPr>
          <w:rFonts w:hint="eastAsia" w:ascii="宋体" w:hAnsi="宋体" w:eastAsia="宋体" w:cs="宋体"/>
          <w:color w:val="auto"/>
          <w:spacing w:val="0"/>
          <w:w w:val="100"/>
          <w:sz w:val="24"/>
          <w:szCs w:val="24"/>
          <w:highlight w:val="none"/>
          <w:lang w:eastAsia="zh-CN"/>
        </w:rPr>
        <w:t>万元。</w:t>
      </w:r>
    </w:p>
    <w:p w14:paraId="40110EBC">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lang w:eastAsia="zh-CN"/>
        </w:rPr>
        <w:t>）季度考核绩效费用</w:t>
      </w:r>
    </w:p>
    <w:p w14:paraId="5CAB88D9">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当季度业主支付的绩效考核费用与当期的绩效考核评分挂钩，计算公式为当季度实际支付的绩效考核费用（F)＝厂区、配套污水管网、泵站当季度考核绩效费用（G）×绩效考核系数（β），其中：</w:t>
      </w:r>
    </w:p>
    <w:p w14:paraId="0CC1B3CA">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F为当季度实际支付的绩效考核费用；</w:t>
      </w:r>
    </w:p>
    <w:p w14:paraId="3AF3EC55">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当季度受考核的绩效费用G=</w:t>
      </w:r>
      <w:r>
        <w:rPr>
          <w:rFonts w:hint="eastAsia" w:ascii="宋体" w:hAnsi="宋体" w:eastAsia="宋体" w:cs="宋体"/>
          <w:color w:val="auto"/>
          <w:spacing w:val="0"/>
          <w:w w:val="100"/>
          <w:sz w:val="24"/>
          <w:szCs w:val="24"/>
          <w:highlight w:val="none"/>
          <w:lang w:val="en-US" w:eastAsia="zh-CN"/>
        </w:rPr>
        <w:t xml:space="preserve"> 389.9294</w:t>
      </w:r>
      <w:r>
        <w:rPr>
          <w:rFonts w:hint="eastAsia" w:ascii="宋体" w:hAnsi="宋体" w:eastAsia="宋体" w:cs="宋体"/>
          <w:color w:val="auto"/>
          <w:spacing w:val="0"/>
          <w:w w:val="100"/>
          <w:sz w:val="24"/>
          <w:szCs w:val="24"/>
          <w:highlight w:val="none"/>
          <w:lang w:eastAsia="zh-CN"/>
        </w:rPr>
        <w:t>万元／4季度＝</w:t>
      </w:r>
      <w:r>
        <w:rPr>
          <w:rFonts w:hint="eastAsia" w:ascii="宋体" w:hAnsi="宋体" w:eastAsia="宋体" w:cs="宋体"/>
          <w:color w:val="auto"/>
          <w:spacing w:val="0"/>
          <w:w w:val="100"/>
          <w:sz w:val="24"/>
          <w:szCs w:val="24"/>
          <w:highlight w:val="none"/>
          <w:lang w:val="en-US" w:eastAsia="zh-CN"/>
        </w:rPr>
        <w:t>97.48235</w:t>
      </w:r>
      <w:r>
        <w:rPr>
          <w:rFonts w:hint="eastAsia" w:ascii="宋体" w:hAnsi="宋体" w:eastAsia="宋体" w:cs="宋体"/>
          <w:color w:val="auto"/>
          <w:spacing w:val="0"/>
          <w:w w:val="100"/>
          <w:sz w:val="24"/>
          <w:szCs w:val="24"/>
          <w:highlight w:val="none"/>
          <w:lang w:eastAsia="zh-CN"/>
        </w:rPr>
        <w:t>万元／季度；</w:t>
      </w:r>
    </w:p>
    <w:p w14:paraId="59F182A5">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20" w:lineRule="exact"/>
        <w:ind w:left="0" w:leftChars="0" w:right="0" w:rightChars="0" w:firstLine="480" w:firstLineChars="200"/>
        <w:jc w:val="both"/>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β为绩效考核系数，根据表6-4计算得出；</w:t>
      </w:r>
    </w:p>
    <w:p w14:paraId="24BB8C77">
      <w:pPr>
        <w:spacing w:line="52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表6-4考核得分与绩效考核系数表</w:t>
      </w:r>
    </w:p>
    <w:tbl>
      <w:tblPr>
        <w:tblStyle w:val="44"/>
        <w:tblW w:w="8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3"/>
        <w:gridCol w:w="2491"/>
        <w:gridCol w:w="3607"/>
      </w:tblGrid>
      <w:tr w14:paraId="625D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op w:val="single" w:color="auto" w:sz="4" w:space="0"/>
              <w:left w:val="single" w:color="auto" w:sz="4" w:space="0"/>
              <w:bottom w:val="single" w:color="auto" w:sz="4" w:space="0"/>
              <w:right w:val="single" w:color="auto" w:sz="4" w:space="0"/>
            </w:tcBorders>
            <w:noWrap w:val="0"/>
            <w:vAlign w:val="center"/>
          </w:tcPr>
          <w:p w14:paraId="3ACC8094">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绩效考核得分（N）</w:t>
            </w:r>
          </w:p>
        </w:tc>
        <w:tc>
          <w:tcPr>
            <w:tcW w:w="2491" w:type="dxa"/>
            <w:tcBorders>
              <w:top w:val="single" w:color="auto" w:sz="4" w:space="0"/>
              <w:left w:val="nil"/>
              <w:bottom w:val="single" w:color="auto" w:sz="4" w:space="0"/>
              <w:right w:val="single" w:color="auto" w:sz="4" w:space="0"/>
            </w:tcBorders>
            <w:noWrap w:val="0"/>
            <w:vAlign w:val="center"/>
          </w:tcPr>
          <w:p w14:paraId="345E7921">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绩效考核系数（β）</w:t>
            </w:r>
          </w:p>
        </w:tc>
        <w:tc>
          <w:tcPr>
            <w:tcW w:w="3607" w:type="dxa"/>
            <w:tcBorders>
              <w:top w:val="single" w:color="auto" w:sz="4" w:space="0"/>
              <w:left w:val="nil"/>
              <w:bottom w:val="single" w:color="auto" w:sz="4" w:space="0"/>
              <w:right w:val="single" w:color="auto" w:sz="4" w:space="0"/>
            </w:tcBorders>
            <w:noWrap w:val="0"/>
            <w:vAlign w:val="center"/>
          </w:tcPr>
          <w:p w14:paraId="4925A176">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64AF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op w:val="single" w:color="auto" w:sz="4" w:space="0"/>
              <w:left w:val="single" w:color="auto" w:sz="4" w:space="0"/>
              <w:bottom w:val="single" w:color="auto" w:sz="4" w:space="0"/>
              <w:right w:val="single" w:color="auto" w:sz="4" w:space="0"/>
            </w:tcBorders>
            <w:noWrap w:val="0"/>
            <w:vAlign w:val="center"/>
          </w:tcPr>
          <w:p w14:paraId="50EB4137">
            <w:pPr>
              <w:spacing w:line="30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≤N≤100</w:t>
            </w:r>
          </w:p>
        </w:tc>
        <w:tc>
          <w:tcPr>
            <w:tcW w:w="2491" w:type="dxa"/>
            <w:tcBorders>
              <w:top w:val="single" w:color="auto" w:sz="4" w:space="0"/>
              <w:left w:val="nil"/>
              <w:bottom w:val="single" w:color="auto" w:sz="4" w:space="0"/>
              <w:right w:val="single" w:color="auto" w:sz="4" w:space="0"/>
            </w:tcBorders>
            <w:noWrap w:val="0"/>
            <w:vAlign w:val="center"/>
          </w:tcPr>
          <w:p w14:paraId="2C532A4B">
            <w:pPr>
              <w:spacing w:line="30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β=1</w:t>
            </w:r>
          </w:p>
        </w:tc>
        <w:tc>
          <w:tcPr>
            <w:tcW w:w="3607" w:type="dxa"/>
            <w:tcBorders>
              <w:top w:val="single" w:color="auto" w:sz="4" w:space="0"/>
              <w:left w:val="nil"/>
              <w:bottom w:val="single" w:color="auto" w:sz="4" w:space="0"/>
              <w:right w:val="single" w:color="auto" w:sz="4" w:space="0"/>
            </w:tcBorders>
            <w:noWrap w:val="0"/>
            <w:vAlign w:val="center"/>
          </w:tcPr>
          <w:p w14:paraId="5E2760EA">
            <w:pPr>
              <w:spacing w:line="300" w:lineRule="auto"/>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全额支付</w:t>
            </w:r>
            <w:r>
              <w:rPr>
                <w:rFonts w:hint="eastAsia" w:ascii="宋体" w:hAnsi="宋体" w:eastAsia="宋体" w:cs="宋体"/>
                <w:color w:val="auto"/>
                <w:sz w:val="24"/>
                <w:szCs w:val="24"/>
                <w:highlight w:val="none"/>
                <w:lang w:eastAsia="zh-CN"/>
              </w:rPr>
              <w:t>受</w:t>
            </w:r>
            <w:r>
              <w:rPr>
                <w:rFonts w:hint="eastAsia" w:ascii="宋体" w:hAnsi="宋体" w:eastAsia="宋体" w:cs="宋体"/>
                <w:color w:val="auto"/>
                <w:sz w:val="24"/>
                <w:szCs w:val="24"/>
                <w:highlight w:val="none"/>
              </w:rPr>
              <w:t>绩效考核费用</w:t>
            </w:r>
          </w:p>
        </w:tc>
      </w:tr>
      <w:tr w14:paraId="4E846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583" w:type="dxa"/>
            <w:tcBorders>
              <w:top w:val="single" w:color="auto" w:sz="4" w:space="0"/>
              <w:left w:val="single" w:color="auto" w:sz="4" w:space="0"/>
              <w:bottom w:val="single" w:color="auto" w:sz="4" w:space="0"/>
              <w:right w:val="single" w:color="auto" w:sz="4" w:space="0"/>
            </w:tcBorders>
            <w:noWrap w:val="0"/>
            <w:vAlign w:val="center"/>
          </w:tcPr>
          <w:p w14:paraId="5DC52A5C">
            <w:pPr>
              <w:spacing w:line="300" w:lineRule="auto"/>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0≤N&lt;</w:t>
            </w:r>
            <w:r>
              <w:rPr>
                <w:rFonts w:hint="eastAsia" w:ascii="宋体" w:hAnsi="宋体" w:eastAsia="宋体" w:cs="宋体"/>
                <w:color w:val="auto"/>
                <w:sz w:val="24"/>
                <w:szCs w:val="24"/>
                <w:highlight w:val="none"/>
                <w:lang w:val="en-US" w:eastAsia="zh-CN"/>
              </w:rPr>
              <w:t>90</w:t>
            </w:r>
          </w:p>
        </w:tc>
        <w:tc>
          <w:tcPr>
            <w:tcW w:w="2491" w:type="dxa"/>
            <w:tcBorders>
              <w:top w:val="single" w:color="auto" w:sz="4" w:space="0"/>
              <w:left w:val="nil"/>
              <w:bottom w:val="single" w:color="auto" w:sz="4" w:space="0"/>
              <w:right w:val="single" w:color="auto" w:sz="4" w:space="0"/>
            </w:tcBorders>
            <w:noWrap w:val="0"/>
            <w:vAlign w:val="center"/>
          </w:tcPr>
          <w:p w14:paraId="55B743A8">
            <w:pPr>
              <w:spacing w:line="30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β=N/100</w:t>
            </w:r>
          </w:p>
        </w:tc>
        <w:tc>
          <w:tcPr>
            <w:tcW w:w="3607" w:type="dxa"/>
            <w:tcBorders>
              <w:top w:val="single" w:color="auto" w:sz="4" w:space="0"/>
              <w:left w:val="nil"/>
              <w:bottom w:val="single" w:color="auto" w:sz="4" w:space="0"/>
              <w:right w:val="single" w:color="auto" w:sz="4" w:space="0"/>
            </w:tcBorders>
            <w:noWrap w:val="0"/>
            <w:vAlign w:val="center"/>
          </w:tcPr>
          <w:p w14:paraId="10E35B28">
            <w:pPr>
              <w:spacing w:line="300" w:lineRule="auto"/>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按比例</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受</w:t>
            </w:r>
            <w:r>
              <w:rPr>
                <w:rFonts w:hint="eastAsia" w:ascii="宋体" w:hAnsi="宋体" w:eastAsia="宋体" w:cs="宋体"/>
                <w:color w:val="auto"/>
                <w:sz w:val="24"/>
                <w:szCs w:val="24"/>
                <w:highlight w:val="none"/>
              </w:rPr>
              <w:t>绩效考核费用</w:t>
            </w:r>
          </w:p>
        </w:tc>
      </w:tr>
      <w:tr w14:paraId="361B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op w:val="single" w:color="auto" w:sz="4" w:space="0"/>
              <w:left w:val="single" w:color="auto" w:sz="4" w:space="0"/>
              <w:bottom w:val="single" w:color="auto" w:sz="4" w:space="0"/>
              <w:right w:val="single" w:color="auto" w:sz="4" w:space="0"/>
            </w:tcBorders>
            <w:noWrap w:val="0"/>
            <w:vAlign w:val="center"/>
          </w:tcPr>
          <w:p w14:paraId="090582D8">
            <w:pPr>
              <w:spacing w:line="30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N&lt;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w:t>
            </w:r>
          </w:p>
        </w:tc>
        <w:tc>
          <w:tcPr>
            <w:tcW w:w="2491" w:type="dxa"/>
            <w:tcBorders>
              <w:top w:val="single" w:color="auto" w:sz="4" w:space="0"/>
              <w:left w:val="nil"/>
              <w:bottom w:val="single" w:color="auto" w:sz="4" w:space="0"/>
              <w:right w:val="single" w:color="auto" w:sz="4" w:space="0"/>
            </w:tcBorders>
            <w:noWrap w:val="0"/>
            <w:vAlign w:val="center"/>
          </w:tcPr>
          <w:p w14:paraId="74FEF589">
            <w:pPr>
              <w:spacing w:line="30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β=0</w:t>
            </w:r>
          </w:p>
        </w:tc>
        <w:tc>
          <w:tcPr>
            <w:tcW w:w="3607" w:type="dxa"/>
            <w:tcBorders>
              <w:top w:val="single" w:color="auto" w:sz="4" w:space="0"/>
              <w:left w:val="nil"/>
              <w:bottom w:val="single" w:color="auto" w:sz="4" w:space="0"/>
              <w:right w:val="single" w:color="auto" w:sz="4" w:space="0"/>
            </w:tcBorders>
            <w:noWrap w:val="0"/>
            <w:vAlign w:val="center"/>
          </w:tcPr>
          <w:p w14:paraId="039AAACF">
            <w:pPr>
              <w:spacing w:line="300" w:lineRule="auto"/>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不支付</w:t>
            </w:r>
            <w:r>
              <w:rPr>
                <w:rFonts w:hint="eastAsia" w:ascii="宋体" w:hAnsi="宋体" w:eastAsia="宋体" w:cs="宋体"/>
                <w:color w:val="auto"/>
                <w:sz w:val="24"/>
                <w:szCs w:val="24"/>
                <w:highlight w:val="none"/>
                <w:lang w:eastAsia="zh-CN"/>
              </w:rPr>
              <w:t>受</w:t>
            </w:r>
            <w:r>
              <w:rPr>
                <w:rFonts w:hint="eastAsia" w:ascii="宋体" w:hAnsi="宋体" w:eastAsia="宋体" w:cs="宋体"/>
                <w:color w:val="auto"/>
                <w:sz w:val="24"/>
                <w:szCs w:val="24"/>
                <w:highlight w:val="none"/>
              </w:rPr>
              <w:t>绩效考核费用</w:t>
            </w:r>
          </w:p>
        </w:tc>
      </w:tr>
    </w:tbl>
    <w:p w14:paraId="6761C5E1">
      <w:pPr>
        <w:spacing w:line="52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运营期考核采用厂区及泵站绩效考核费用与项目运营绩效考核挂钩的方式，绩效考核费用支付有以下</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种情形：</w:t>
      </w:r>
    </w:p>
    <w:p w14:paraId="14A6F4BE">
      <w:pPr>
        <w:spacing w:line="520" w:lineRule="exact"/>
        <w:ind w:firstLine="643"/>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≤运营期当季度绩效考核得分≤100：</w:t>
      </w:r>
    </w:p>
    <w:p w14:paraId="7F9A95E7">
      <w:pPr>
        <w:spacing w:line="520" w:lineRule="exact"/>
        <w:ind w:firstLine="6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全额支付</w:t>
      </w:r>
      <w:r>
        <w:rPr>
          <w:rFonts w:hint="eastAsia" w:ascii="宋体" w:hAnsi="宋体" w:eastAsia="宋体" w:cs="宋体"/>
          <w:color w:val="auto"/>
          <w:sz w:val="24"/>
          <w:szCs w:val="24"/>
          <w:highlight w:val="none"/>
          <w:lang w:eastAsia="zh-CN"/>
        </w:rPr>
        <w:t>受</w:t>
      </w:r>
      <w:r>
        <w:rPr>
          <w:rFonts w:hint="eastAsia" w:ascii="宋体" w:hAnsi="宋体" w:eastAsia="宋体" w:cs="宋体"/>
          <w:color w:val="auto"/>
          <w:sz w:val="24"/>
          <w:szCs w:val="24"/>
          <w:highlight w:val="none"/>
        </w:rPr>
        <w:t>绩效考核费用；即:当季度实际支付的绩效考核费用</w:t>
      </w:r>
      <w:r>
        <w:rPr>
          <w:rFonts w:hint="eastAsia" w:ascii="宋体" w:hAnsi="宋体" w:eastAsia="宋体" w:cs="宋体"/>
          <w:color w:val="auto"/>
          <w:sz w:val="24"/>
          <w:szCs w:val="24"/>
          <w:highlight w:val="none"/>
          <w:lang w:eastAsia="zh-CN"/>
        </w:rPr>
        <w:t>（F）=厂区、配套污水管网、泵站当季度考核绩效费用（G）×1＝</w:t>
      </w:r>
      <w:r>
        <w:rPr>
          <w:rFonts w:hint="eastAsia" w:ascii="宋体" w:hAnsi="宋体" w:eastAsia="宋体" w:cs="宋体"/>
          <w:color w:val="auto"/>
          <w:sz w:val="24"/>
          <w:szCs w:val="24"/>
          <w:highlight w:val="none"/>
          <w:lang w:val="en-US" w:eastAsia="zh-CN"/>
        </w:rPr>
        <w:t>41.7782</w:t>
      </w:r>
      <w:r>
        <w:rPr>
          <w:rFonts w:hint="eastAsia" w:ascii="宋体" w:hAnsi="宋体" w:eastAsia="宋体" w:cs="宋体"/>
          <w:color w:val="auto"/>
          <w:sz w:val="24"/>
          <w:szCs w:val="24"/>
          <w:highlight w:val="none"/>
          <w:lang w:eastAsia="zh-CN"/>
        </w:rPr>
        <w:t>万元</w:t>
      </w:r>
    </w:p>
    <w:p w14:paraId="70EEBE2B">
      <w:pPr>
        <w:spacing w:line="520" w:lineRule="exact"/>
        <w:ind w:firstLine="643"/>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②</w:t>
      </w:r>
      <w:r>
        <w:rPr>
          <w:rFonts w:hint="eastAsia" w:ascii="宋体" w:hAnsi="宋体" w:eastAsia="宋体" w:cs="宋体"/>
          <w:b/>
          <w:color w:val="auto"/>
          <w:sz w:val="24"/>
          <w:szCs w:val="24"/>
          <w:highlight w:val="none"/>
          <w:lang w:val="en-US" w:eastAsia="zh-CN"/>
        </w:rPr>
        <w:t xml:space="preserve"> 6</w:t>
      </w:r>
      <w:r>
        <w:rPr>
          <w:rFonts w:hint="eastAsia" w:ascii="宋体" w:hAnsi="宋体" w:eastAsia="宋体" w:cs="宋体"/>
          <w:b/>
          <w:color w:val="auto"/>
          <w:sz w:val="24"/>
          <w:szCs w:val="24"/>
          <w:highlight w:val="none"/>
        </w:rPr>
        <w:t>0≤运营期当季度绩效考核得分&lt;</w:t>
      </w:r>
      <w:r>
        <w:rPr>
          <w:rFonts w:hint="eastAsia" w:ascii="宋体" w:hAnsi="宋体" w:eastAsia="宋体" w:cs="宋体"/>
          <w:b/>
          <w:color w:val="auto"/>
          <w:sz w:val="24"/>
          <w:szCs w:val="24"/>
          <w:highlight w:val="none"/>
          <w:lang w:val="en-US" w:eastAsia="zh-CN"/>
        </w:rPr>
        <w:t>90</w:t>
      </w:r>
      <w:r>
        <w:rPr>
          <w:rFonts w:hint="eastAsia" w:ascii="宋体" w:hAnsi="宋体" w:eastAsia="宋体" w:cs="宋体"/>
          <w:b/>
          <w:color w:val="auto"/>
          <w:sz w:val="24"/>
          <w:szCs w:val="24"/>
          <w:highlight w:val="none"/>
        </w:rPr>
        <w:t>：</w:t>
      </w:r>
    </w:p>
    <w:p w14:paraId="224B3C46">
      <w:pPr>
        <w:spacing w:line="520" w:lineRule="exact"/>
        <w:ind w:firstLine="6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按比例</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受</w:t>
      </w:r>
      <w:r>
        <w:rPr>
          <w:rFonts w:hint="eastAsia" w:ascii="宋体" w:hAnsi="宋体" w:eastAsia="宋体" w:cs="宋体"/>
          <w:color w:val="auto"/>
          <w:sz w:val="24"/>
          <w:szCs w:val="24"/>
          <w:highlight w:val="none"/>
        </w:rPr>
        <w:t>绩效考核费用；即:当季度实际支付的绩效考核费用（F）=</w:t>
      </w:r>
      <w:r>
        <w:rPr>
          <w:rFonts w:hint="eastAsia" w:ascii="宋体" w:hAnsi="宋体" w:eastAsia="宋体" w:cs="宋体"/>
          <w:color w:val="auto"/>
          <w:sz w:val="24"/>
          <w:szCs w:val="24"/>
          <w:highlight w:val="none"/>
          <w:lang w:eastAsia="zh-CN"/>
        </w:rPr>
        <w:t>厂区、配套污水管网、泵站</w:t>
      </w:r>
      <w:r>
        <w:rPr>
          <w:rFonts w:hint="eastAsia" w:ascii="宋体" w:hAnsi="宋体" w:eastAsia="宋体" w:cs="宋体"/>
          <w:color w:val="auto"/>
          <w:sz w:val="24"/>
          <w:szCs w:val="24"/>
          <w:highlight w:val="none"/>
        </w:rPr>
        <w:t>当季度绩效考核费用（G）×（季度考核得分N/100）</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41.7782</w:t>
      </w:r>
      <w:r>
        <w:rPr>
          <w:rFonts w:hint="eastAsia" w:ascii="宋体" w:hAnsi="宋体" w:eastAsia="宋体" w:cs="宋体"/>
          <w:color w:val="auto"/>
          <w:spacing w:val="0"/>
          <w:w w:val="100"/>
          <w:sz w:val="24"/>
          <w:szCs w:val="24"/>
          <w:highlight w:val="none"/>
          <w:lang w:eastAsia="zh-CN"/>
        </w:rPr>
        <w:t>万元</w:t>
      </w:r>
      <w:r>
        <w:rPr>
          <w:rFonts w:hint="eastAsia" w:ascii="宋体" w:hAnsi="宋体" w:eastAsia="宋体" w:cs="宋体"/>
          <w:color w:val="auto"/>
          <w:spacing w:val="0"/>
          <w:w w:val="100"/>
          <w:sz w:val="24"/>
          <w:szCs w:val="24"/>
          <w:highlight w:val="none"/>
          <w:lang w:val="en-US" w:eastAsia="zh-CN"/>
        </w:rPr>
        <w:t>×N%</w:t>
      </w:r>
      <w:r>
        <w:rPr>
          <w:rFonts w:hint="eastAsia" w:ascii="宋体" w:hAnsi="宋体" w:eastAsia="宋体" w:cs="宋体"/>
          <w:color w:val="auto"/>
          <w:sz w:val="24"/>
          <w:szCs w:val="24"/>
          <w:highlight w:val="none"/>
        </w:rPr>
        <w:t>；</w:t>
      </w:r>
    </w:p>
    <w:p w14:paraId="25D80761">
      <w:pPr>
        <w:spacing w:line="520" w:lineRule="exact"/>
        <w:ind w:firstLine="643"/>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③</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运营期当季度绩效考核得分&lt;</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0</w:t>
      </w:r>
    </w:p>
    <w:p w14:paraId="5FF32F23">
      <w:pPr>
        <w:spacing w:line="520" w:lineRule="exact"/>
        <w:ind w:firstLine="6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运营绩效考核不合格，当季度不支付绩效考核费用，责令乙方限期整改合格。对于乙方怠于或延误整改时限的，可根据整改事项作出相应的处罚金额。</w:t>
      </w:r>
    </w:p>
    <w:p w14:paraId="628EEE8C">
      <w:pPr>
        <w:widowControl/>
        <w:jc w:val="left"/>
        <w:rPr>
          <w:rFonts w:ascii="黑体" w:hAnsi="黑体" w:eastAsia="黑体" w:cs="黑体"/>
          <w:color w:val="auto"/>
          <w:sz w:val="32"/>
          <w:szCs w:val="32"/>
          <w:highlight w:val="none"/>
        </w:rPr>
      </w:pPr>
    </w:p>
    <w:p w14:paraId="0513BF35">
      <w:pPr>
        <w:rPr>
          <w:rFonts w:ascii="宋体" w:hAnsi="宋体" w:cs="宋体"/>
          <w:color w:val="auto"/>
          <w:sz w:val="20"/>
          <w:szCs w:val="20"/>
          <w:highlight w:val="none"/>
        </w:rPr>
      </w:pPr>
      <w:r>
        <w:rPr>
          <w:rFonts w:ascii="宋体" w:hAnsi="宋体" w:cs="宋体"/>
          <w:color w:val="auto"/>
          <w:sz w:val="20"/>
          <w:szCs w:val="20"/>
          <w:highlight w:val="none"/>
        </w:rPr>
        <w:br w:type="page"/>
      </w:r>
    </w:p>
    <w:p w14:paraId="373D8527">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w:t>
      </w:r>
    </w:p>
    <w:p w14:paraId="4E29F8AB">
      <w:pPr>
        <w:pStyle w:val="17"/>
        <w:jc w:val="center"/>
        <w:rPr>
          <w:b/>
          <w:color w:val="auto"/>
          <w:sz w:val="28"/>
          <w:szCs w:val="28"/>
          <w:highlight w:val="none"/>
        </w:rPr>
      </w:pPr>
      <w:r>
        <w:rPr>
          <w:rFonts w:hint="eastAsia"/>
          <w:b/>
          <w:color w:val="auto"/>
          <w:sz w:val="28"/>
          <w:szCs w:val="28"/>
          <w:highlight w:val="none"/>
        </w:rPr>
        <w:t>中小企业划型标准规定</w:t>
      </w:r>
    </w:p>
    <w:p w14:paraId="3B35873F">
      <w:pPr>
        <w:pStyle w:val="17"/>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0F924E89">
      <w:pPr>
        <w:pStyle w:val="17"/>
        <w:rPr>
          <w:color w:val="auto"/>
          <w:szCs w:val="21"/>
          <w:highlight w:val="none"/>
        </w:rPr>
      </w:pPr>
    </w:p>
    <w:p w14:paraId="7ADB9EA7">
      <w:pPr>
        <w:pStyle w:val="17"/>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国发〔2009〕36号</w:t>
      </w:r>
      <w:r>
        <w:rPr>
          <w:color w:val="auto"/>
          <w:szCs w:val="21"/>
          <w:highlight w:val="none"/>
        </w:rPr>
        <w:t>)</w:t>
      </w:r>
      <w:r>
        <w:rPr>
          <w:rFonts w:hint="eastAsia"/>
          <w:color w:val="auto"/>
          <w:szCs w:val="21"/>
          <w:highlight w:val="none"/>
        </w:rPr>
        <w:t>，制定本规定。</w:t>
      </w:r>
    </w:p>
    <w:p w14:paraId="56627868">
      <w:pPr>
        <w:pStyle w:val="17"/>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1AB224D8">
      <w:pPr>
        <w:pStyle w:val="17"/>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F3C3DFF">
      <w:pPr>
        <w:pStyle w:val="17"/>
        <w:rPr>
          <w:color w:val="auto"/>
          <w:szCs w:val="21"/>
          <w:highlight w:val="none"/>
        </w:rPr>
      </w:pPr>
      <w:r>
        <w:rPr>
          <w:rFonts w:hint="eastAsia"/>
          <w:color w:val="auto"/>
          <w:szCs w:val="21"/>
          <w:highlight w:val="none"/>
        </w:rPr>
        <w:t>　　四、各行业划型标准为：</w:t>
      </w:r>
    </w:p>
    <w:p w14:paraId="05233D14">
      <w:pPr>
        <w:pStyle w:val="17"/>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33EAC8C9">
      <w:pPr>
        <w:pStyle w:val="17"/>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51259A6A">
      <w:pPr>
        <w:pStyle w:val="17"/>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2AA1B4B8">
      <w:pPr>
        <w:pStyle w:val="17"/>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189EB304">
      <w:pPr>
        <w:pStyle w:val="17"/>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B464E76">
      <w:pPr>
        <w:pStyle w:val="17"/>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733CCC92">
      <w:pPr>
        <w:pStyle w:val="17"/>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E80F6B8">
      <w:pPr>
        <w:pStyle w:val="17"/>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485F073">
      <w:pPr>
        <w:pStyle w:val="17"/>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1662C25">
      <w:pPr>
        <w:pStyle w:val="17"/>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7B83C0B">
      <w:pPr>
        <w:pStyle w:val="17"/>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1E4391B">
      <w:pPr>
        <w:pStyle w:val="17"/>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7B6F82BE">
      <w:pPr>
        <w:pStyle w:val="17"/>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7FF7AD3A">
      <w:pPr>
        <w:pStyle w:val="17"/>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5BBD9429">
      <w:pPr>
        <w:pStyle w:val="17"/>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12E9E01C">
      <w:pPr>
        <w:pStyle w:val="17"/>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31474546">
      <w:pPr>
        <w:pStyle w:val="17"/>
        <w:rPr>
          <w:color w:val="auto"/>
          <w:szCs w:val="21"/>
          <w:highlight w:val="none"/>
        </w:rPr>
      </w:pPr>
      <w:r>
        <w:rPr>
          <w:rFonts w:hint="eastAsia"/>
          <w:color w:val="auto"/>
          <w:szCs w:val="21"/>
          <w:highlight w:val="none"/>
        </w:rPr>
        <w:t>　　五、企业类型的划分以统计部门的统计数据为依据。</w:t>
      </w:r>
    </w:p>
    <w:p w14:paraId="163963A0">
      <w:pPr>
        <w:pStyle w:val="17"/>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32AFB8C2">
      <w:pPr>
        <w:pStyle w:val="17"/>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A4FB6D5">
      <w:pPr>
        <w:pStyle w:val="17"/>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7F25C05F">
      <w:pPr>
        <w:pStyle w:val="17"/>
        <w:rPr>
          <w:color w:val="auto"/>
          <w:szCs w:val="21"/>
          <w:highlight w:val="none"/>
        </w:rPr>
      </w:pPr>
      <w:r>
        <w:rPr>
          <w:rFonts w:hint="eastAsia"/>
          <w:color w:val="auto"/>
          <w:szCs w:val="21"/>
          <w:highlight w:val="none"/>
        </w:rPr>
        <w:t>　　九、本规定由工业和信息化部、国家统计局会同有关部门负责解释。</w:t>
      </w:r>
    </w:p>
    <w:p w14:paraId="66520926">
      <w:pPr>
        <w:pStyle w:val="17"/>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7435F4C2">
      <w:pPr>
        <w:rPr>
          <w:rFonts w:ascii="宋体" w:hAnsi="宋体" w:cs="宋体"/>
          <w:color w:val="auto"/>
          <w:sz w:val="20"/>
          <w:szCs w:val="20"/>
          <w:highlight w:val="none"/>
        </w:rPr>
      </w:pPr>
    </w:p>
    <w:p w14:paraId="54FB9D47">
      <w:pPr>
        <w:spacing w:before="3"/>
        <w:rPr>
          <w:rFonts w:ascii="宋体" w:hAnsi="宋体" w:cs="宋体"/>
          <w:color w:val="auto"/>
          <w:sz w:val="15"/>
          <w:szCs w:val="15"/>
          <w:highlight w:val="none"/>
        </w:rPr>
      </w:pPr>
    </w:p>
    <w:p w14:paraId="53CD8EB9">
      <w:pPr>
        <w:widowControl/>
        <w:rPr>
          <w:rFonts w:ascii="宋体" w:hAnsi="宋体" w:cs="宋体"/>
          <w:color w:val="auto"/>
          <w:sz w:val="20"/>
          <w:szCs w:val="20"/>
          <w:highlight w:val="none"/>
        </w:rPr>
        <w:sectPr>
          <w:footerReference r:id="rId7" w:type="first"/>
          <w:footerReference r:id="rId6" w:type="default"/>
          <w:pgSz w:w="11910" w:h="16840"/>
          <w:pgMar w:top="1520" w:right="1500" w:bottom="280" w:left="1680" w:header="720" w:footer="720" w:gutter="0"/>
          <w:pgNumType w:start="1"/>
          <w:cols w:space="720" w:num="1"/>
          <w:titlePg/>
          <w:docGrid w:linePitch="286" w:charSpace="0"/>
        </w:sectPr>
      </w:pPr>
    </w:p>
    <w:p w14:paraId="0FE9388F">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bookmarkStart w:id="38" w:name="_Toc25688"/>
      <w:r>
        <w:rPr>
          <w:rFonts w:hint="eastAsia"/>
          <w:color w:val="auto"/>
          <w:highlight w:val="none"/>
        </w:rPr>
        <w:t>第三章  投标人须知</w:t>
      </w:r>
      <w:bookmarkEnd w:id="38"/>
    </w:p>
    <w:p w14:paraId="012B8844">
      <w:pPr>
        <w:jc w:val="center"/>
        <w:rPr>
          <w:color w:val="auto"/>
          <w:sz w:val="36"/>
          <w:szCs w:val="36"/>
          <w:highlight w:val="none"/>
        </w:rPr>
      </w:pPr>
      <w:bookmarkStart w:id="39" w:name="_Toc254970526"/>
      <w:bookmarkStart w:id="40" w:name="_Toc254970667"/>
      <w:r>
        <w:rPr>
          <w:rFonts w:hint="eastAsia"/>
          <w:color w:val="auto"/>
          <w:sz w:val="36"/>
          <w:szCs w:val="36"/>
          <w:highlight w:val="none"/>
        </w:rPr>
        <w:t>投标人须知前附表</w:t>
      </w:r>
      <w:bookmarkEnd w:id="39"/>
      <w:bookmarkEnd w:id="40"/>
    </w:p>
    <w:tbl>
      <w:tblPr>
        <w:tblStyle w:val="44"/>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10C0D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E1742A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5D6542C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6070D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0F16AB3">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58974771">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3E9CA1E7">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19FBEB52">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7F5871">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D298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3A719EA">
            <w:pPr>
              <w:spacing w:line="360" w:lineRule="auto"/>
              <w:jc w:val="center"/>
              <w:rPr>
                <w:rFonts w:ascii="宋体" w:hAnsi="宋体"/>
                <w:color w:val="auto"/>
                <w:szCs w:val="21"/>
                <w:highlight w:val="none"/>
              </w:rPr>
            </w:pPr>
            <w:bookmarkStart w:id="41" w:name="_8.1"/>
            <w:bookmarkEnd w:id="41"/>
            <w:bookmarkStart w:id="42" w:name="_9.2"/>
            <w:bookmarkEnd w:id="42"/>
            <w:bookmarkStart w:id="43" w:name="_5"/>
            <w:bookmarkEnd w:id="43"/>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1C9A0E76">
            <w:pPr>
              <w:pStyle w:val="15"/>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4092F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DC09250">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2FB9CA33">
            <w:pPr>
              <w:pStyle w:val="15"/>
              <w:spacing w:line="360" w:lineRule="auto"/>
              <w:rPr>
                <w:rFonts w:ascii="宋体" w:hAnsi="宋体"/>
                <w:color w:val="auto"/>
                <w:szCs w:val="21"/>
                <w:highlight w:val="none"/>
              </w:rPr>
            </w:pPr>
            <w:r>
              <w:rPr>
                <w:rFonts w:hint="eastAsia" w:ascii="宋体" w:hAnsi="宋体"/>
                <w:color w:val="auto"/>
                <w:szCs w:val="21"/>
                <w:highlight w:val="none"/>
              </w:rPr>
              <w:t>√不允许分包</w:t>
            </w:r>
          </w:p>
          <w:p w14:paraId="058ED6C8">
            <w:pPr>
              <w:pStyle w:val="15"/>
              <w:spacing w:line="360" w:lineRule="auto"/>
              <w:rPr>
                <w:rFonts w:ascii="宋体" w:hAnsi="宋体"/>
                <w:color w:val="auto"/>
                <w:szCs w:val="21"/>
                <w:highlight w:val="none"/>
              </w:rPr>
            </w:pPr>
            <w:r>
              <w:rPr>
                <w:rFonts w:hint="eastAsia" w:ascii="宋体" w:hAnsi="宋体"/>
                <w:color w:val="auto"/>
                <w:szCs w:val="21"/>
                <w:highlight w:val="none"/>
              </w:rPr>
              <w:t>□允许分包</w:t>
            </w:r>
          </w:p>
          <w:p w14:paraId="53D25860">
            <w:pPr>
              <w:pStyle w:val="15"/>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47952AAC">
            <w:pPr>
              <w:pStyle w:val="15"/>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24BD7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60939E35">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1A294002">
            <w:pPr>
              <w:snapToGrid w:val="0"/>
              <w:spacing w:line="360" w:lineRule="auto"/>
              <w:rPr>
                <w:rFonts w:ascii="宋体" w:hAnsi="宋体"/>
                <w:color w:val="auto"/>
                <w:szCs w:val="21"/>
                <w:highlight w:val="none"/>
              </w:rPr>
            </w:pPr>
            <w:r>
              <w:rPr>
                <w:rFonts w:hint="eastAsia" w:ascii="宋体" w:hAnsi="宋体"/>
                <w:color w:val="auto"/>
                <w:szCs w:val="21"/>
                <w:highlight w:val="none"/>
              </w:rPr>
              <w:t>√不组织现场考察</w:t>
            </w:r>
          </w:p>
          <w:p w14:paraId="3B893DA8">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1B0F20F6">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 </w:t>
            </w:r>
            <w:r>
              <w:rPr>
                <w:rFonts w:hint="eastAsia" w:ascii="宋体" w:hAnsi="宋体"/>
                <w:color w:val="auto"/>
                <w:szCs w:val="21"/>
                <w:highlight w:val="none"/>
              </w:rPr>
              <w:t>时</w:t>
            </w:r>
            <w:r>
              <w:rPr>
                <w:rFonts w:hint="eastAsia" w:ascii="宋体" w:hAnsi="宋体"/>
                <w:color w:val="auto"/>
                <w:szCs w:val="21"/>
                <w:highlight w:val="none"/>
                <w:u w:val="single"/>
              </w:rPr>
              <w:t xml:space="preserve">  /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p>
          <w:p w14:paraId="2E70496C">
            <w:pPr>
              <w:snapToGrid w:val="0"/>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p>
        </w:tc>
      </w:tr>
      <w:tr w14:paraId="0F458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135A0A9C">
            <w:pPr>
              <w:spacing w:line="36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0055B255">
            <w:pPr>
              <w:snapToGrid w:val="0"/>
              <w:spacing w:line="360" w:lineRule="auto"/>
              <w:rPr>
                <w:rFonts w:ascii="宋体" w:hAnsi="宋体"/>
                <w:color w:val="auto"/>
                <w:szCs w:val="21"/>
                <w:highlight w:val="none"/>
              </w:rPr>
            </w:pPr>
            <w:r>
              <w:rPr>
                <w:rFonts w:hint="eastAsia" w:ascii="宋体" w:hAnsi="宋体"/>
                <w:color w:val="auto"/>
                <w:szCs w:val="21"/>
                <w:highlight w:val="none"/>
              </w:rPr>
              <w:t>√不组织召开开标前答疑会</w:t>
            </w:r>
          </w:p>
          <w:p w14:paraId="72A70812">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0CED864A">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 </w:t>
            </w:r>
            <w:r>
              <w:rPr>
                <w:rFonts w:hint="eastAsia" w:ascii="宋体" w:hAnsi="宋体"/>
                <w:color w:val="auto"/>
                <w:szCs w:val="21"/>
                <w:highlight w:val="none"/>
              </w:rPr>
              <w:t>时</w:t>
            </w:r>
            <w:r>
              <w:rPr>
                <w:rFonts w:hint="eastAsia" w:ascii="宋体" w:hAnsi="宋体"/>
                <w:color w:val="auto"/>
                <w:szCs w:val="21"/>
                <w:highlight w:val="none"/>
                <w:u w:val="single"/>
              </w:rPr>
              <w:t xml:space="preserve"> /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tc>
      </w:tr>
      <w:tr w14:paraId="52C86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7A744D12">
            <w:pPr>
              <w:spacing w:line="360" w:lineRule="auto"/>
              <w:jc w:val="center"/>
              <w:rPr>
                <w:rFonts w:ascii="宋体" w:hAnsi="宋体"/>
                <w:color w:val="auto"/>
                <w:szCs w:val="21"/>
                <w:highlight w:val="none"/>
              </w:rPr>
            </w:pPr>
            <w:bookmarkStart w:id="44" w:name="_13.1"/>
            <w:bookmarkEnd w:id="44"/>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5ABD94F6">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36089116">
            <w:pPr>
              <w:tabs>
                <w:tab w:val="left" w:pos="15"/>
              </w:tabs>
              <w:snapToGrid w:val="0"/>
              <w:spacing w:line="360" w:lineRule="auto"/>
              <w:ind w:left="15" w:firstLine="401" w:firstLineChars="191"/>
              <w:jc w:val="left"/>
              <w:rPr>
                <w:rFonts w:ascii="宋体" w:hAnsi="宋体"/>
                <w:b/>
                <w:bCs/>
                <w:color w:val="auto"/>
                <w:szCs w:val="21"/>
                <w:highlight w:val="none"/>
              </w:rPr>
            </w:pPr>
            <w:r>
              <w:rPr>
                <w:rFonts w:hint="eastAsia" w:ascii="宋体" w:hAnsi="宋体"/>
                <w:color w:val="auto"/>
                <w:szCs w:val="21"/>
                <w:highlight w:val="none"/>
              </w:rPr>
              <w:t>1.投标函（格式后附）；</w:t>
            </w:r>
            <w:r>
              <w:rPr>
                <w:rFonts w:hint="eastAsia" w:ascii="宋体" w:hAnsi="宋体"/>
                <w:b/>
                <w:bCs/>
                <w:color w:val="auto"/>
                <w:szCs w:val="21"/>
                <w:highlight w:val="none"/>
              </w:rPr>
              <w:t>（必须提供，否则按无效投标处理）</w:t>
            </w:r>
          </w:p>
          <w:p w14:paraId="01B2CC2B">
            <w:pPr>
              <w:tabs>
                <w:tab w:val="left" w:pos="15"/>
              </w:tabs>
              <w:snapToGrid w:val="0"/>
              <w:spacing w:line="360" w:lineRule="auto"/>
              <w:ind w:left="15" w:firstLine="401" w:firstLineChars="191"/>
              <w:jc w:val="left"/>
              <w:rPr>
                <w:rFonts w:ascii="宋体" w:hAnsi="宋体"/>
                <w:b/>
                <w:bCs/>
                <w:color w:val="auto"/>
                <w:szCs w:val="21"/>
                <w:highlight w:val="none"/>
              </w:rPr>
            </w:pPr>
            <w:r>
              <w:rPr>
                <w:rFonts w:hint="eastAsia" w:ascii="宋体" w:hAnsi="宋体"/>
                <w:color w:val="auto"/>
                <w:szCs w:val="21"/>
                <w:highlight w:val="none"/>
              </w:rPr>
              <w:t>2.开标一览表（格式后附）；</w:t>
            </w:r>
            <w:r>
              <w:rPr>
                <w:rFonts w:hint="eastAsia" w:ascii="宋体" w:hAnsi="宋体"/>
                <w:b/>
                <w:bCs/>
                <w:color w:val="auto"/>
                <w:szCs w:val="21"/>
                <w:highlight w:val="none"/>
              </w:rPr>
              <w:t xml:space="preserve"> （必须提供，否则按无效投标处理）</w:t>
            </w:r>
          </w:p>
          <w:p w14:paraId="108D0F8D">
            <w:pPr>
              <w:tabs>
                <w:tab w:val="left" w:pos="15"/>
              </w:tabs>
              <w:snapToGrid w:val="0"/>
              <w:spacing w:line="360" w:lineRule="auto"/>
              <w:ind w:left="15" w:firstLine="401" w:firstLineChars="191"/>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.投标人针对报价需要说明的其他文件和说明（格式自拟）。</w:t>
            </w:r>
          </w:p>
          <w:p w14:paraId="0E9A5C02">
            <w:pPr>
              <w:tabs>
                <w:tab w:val="left" w:pos="15"/>
              </w:tabs>
              <w:snapToGrid w:val="0"/>
              <w:spacing w:line="360" w:lineRule="auto"/>
              <w:ind w:left="15" w:firstLine="403" w:firstLineChars="191"/>
              <w:jc w:val="left"/>
              <w:rPr>
                <w:rFonts w:ascii="宋体" w:hAnsi="宋体"/>
                <w:color w:val="auto"/>
                <w:szCs w:val="21"/>
                <w:highlight w:val="none"/>
              </w:rPr>
            </w:pPr>
            <w:r>
              <w:rPr>
                <w:rFonts w:hint="eastAsia" w:ascii="宋体" w:hAnsi="宋体"/>
                <w:b/>
                <w:bCs/>
                <w:color w:val="auto"/>
                <w:szCs w:val="21"/>
                <w:highlight w:val="none"/>
              </w:rPr>
              <w:t>注：以上标明“必须提供”的材料，格式中有要求法定代表人或者委托代理人签字的，必须按要求签字并加盖投标人电子签章，否则按无效投标处理。</w:t>
            </w:r>
          </w:p>
        </w:tc>
      </w:tr>
      <w:tr w14:paraId="13568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6DFD17C9">
            <w:pPr>
              <w:spacing w:line="360" w:lineRule="auto"/>
              <w:rPr>
                <w:rFonts w:ascii="宋体" w:hAnsi="宋体"/>
                <w:color w:val="auto"/>
                <w:szCs w:val="21"/>
                <w:highlight w:val="none"/>
              </w:rPr>
            </w:pPr>
            <w:bookmarkStart w:id="45" w:name="_13.2"/>
            <w:bookmarkEnd w:id="45"/>
          </w:p>
        </w:tc>
        <w:tc>
          <w:tcPr>
            <w:tcW w:w="8175" w:type="dxa"/>
            <w:tcBorders>
              <w:top w:val="single" w:color="auto" w:sz="4" w:space="0"/>
              <w:left w:val="single" w:color="auto" w:sz="4" w:space="0"/>
              <w:bottom w:val="single" w:color="auto" w:sz="4" w:space="0"/>
              <w:right w:val="single" w:color="auto" w:sz="4" w:space="0"/>
            </w:tcBorders>
            <w:vAlign w:val="center"/>
          </w:tcPr>
          <w:p w14:paraId="2186610C">
            <w:pPr>
              <w:adjustRightInd w:val="0"/>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3B45D9E8">
            <w:pPr>
              <w:adjustRightInd w:val="0"/>
              <w:snapToGrid w:val="0"/>
              <w:spacing w:line="440" w:lineRule="exact"/>
              <w:ind w:firstLine="420"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84"/>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1C57D3D">
            <w:pPr>
              <w:adjustRightInd w:val="0"/>
              <w:snapToGrid w:val="0"/>
              <w:spacing w:line="440" w:lineRule="exact"/>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lang w:eastAsia="zh-CN"/>
              </w:rPr>
              <w:t>2025年12月至投标文件提交截止时间前任意1个月</w:t>
            </w:r>
            <w:r>
              <w:rPr>
                <w:rFonts w:hint="eastAsia" w:ascii="宋体" w:hAnsi="宋体" w:cs="宋体"/>
                <w:color w:val="auto"/>
                <w:szCs w:val="21"/>
                <w:highlight w:val="none"/>
              </w:rPr>
              <w:t>的依法缴纳税收的</w:t>
            </w:r>
            <w:r>
              <w:rPr>
                <w:rFonts w:hint="eastAsia"/>
                <w:color w:val="auto"/>
                <w:szCs w:val="21"/>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szCs w:val="21"/>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0624C7A">
            <w:pPr>
              <w:adjustRightInd w:val="0"/>
              <w:snapToGrid w:val="0"/>
              <w:spacing w:line="440" w:lineRule="exact"/>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2025年12月至投标文件提交截止时间前任意1个月</w:t>
            </w:r>
            <w:r>
              <w:rPr>
                <w:rFonts w:hint="eastAsia" w:ascii="宋体" w:hAnsi="宋体" w:cs="宋体"/>
                <w:color w:val="auto"/>
                <w:szCs w:val="21"/>
                <w:highlight w:val="none"/>
              </w:rPr>
              <w:t>的依法缴纳社会保障资金的缴费</w:t>
            </w:r>
            <w:r>
              <w:rPr>
                <w:rFonts w:hint="eastAsia"/>
                <w:color w:val="auto"/>
                <w:szCs w:val="21"/>
                <w:highlight w:val="none"/>
              </w:rPr>
              <w:t>证明材料</w:t>
            </w:r>
            <w:r>
              <w:rPr>
                <w:rFonts w:hint="eastAsia" w:ascii="宋体" w:hAnsi="宋体" w:cs="宋体"/>
                <w:color w:val="auto"/>
                <w:szCs w:val="21"/>
                <w:highlight w:val="none"/>
              </w:rPr>
              <w:t>（</w:t>
            </w:r>
            <w:r>
              <w:rPr>
                <w:rFonts w:hint="eastAsia"/>
                <w:color w:val="auto"/>
                <w:szCs w:val="21"/>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61CAA75">
            <w:pPr>
              <w:adjustRightInd w:val="0"/>
              <w:snapToGrid w:val="0"/>
              <w:spacing w:line="440" w:lineRule="exact"/>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ascii="宋体" w:hAnsi="宋体"/>
                <w:color w:val="auto"/>
                <w:szCs w:val="21"/>
                <w:highlight w:val="none"/>
                <w:u w:val="single"/>
              </w:rPr>
              <w:t>2024年</w:t>
            </w:r>
            <w:r>
              <w:rPr>
                <w:rFonts w:hint="eastAsia"/>
                <w:color w:val="auto"/>
                <w:szCs w:val="21"/>
                <w:highlight w:val="none"/>
              </w:rPr>
              <w:t>或</w:t>
            </w:r>
            <w:r>
              <w:rPr>
                <w:rFonts w:hint="eastAsia" w:ascii="宋体" w:hAnsi="宋体"/>
                <w:color w:val="auto"/>
                <w:szCs w:val="21"/>
                <w:highlight w:val="none"/>
                <w:u w:val="single"/>
              </w:rPr>
              <w:t>2025</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szCs w:val="21"/>
                <w:highlight w:val="none"/>
              </w:rPr>
              <w:t>投标人属于成立时间在规定年度之后的法人或其他组织，</w:t>
            </w:r>
            <w:r>
              <w:rPr>
                <w:rFonts w:hint="eastAsia"/>
                <w:color w:val="auto"/>
                <w:szCs w:val="21"/>
                <w:highlight w:val="none"/>
              </w:rPr>
              <w:t>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C41595">
            <w:pPr>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17CCF1E">
            <w:pPr>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C229183">
            <w:pPr>
              <w:adjustRightInd w:val="0"/>
              <w:snapToGri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27D92C2">
            <w:pPr>
              <w:adjustRightInd w:val="0"/>
              <w:snapToGrid w:val="0"/>
              <w:spacing w:line="440" w:lineRule="exact"/>
              <w:ind w:firstLine="420" w:firstLineChars="20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8.无违法违纪记录承诺</w:t>
            </w:r>
            <w:r>
              <w:rPr>
                <w:rFonts w:hint="eastAsia" w:ascii="宋体" w:hAnsi="宋体" w:cs="Times New Roman"/>
                <w:color w:val="auto"/>
                <w:kern w:val="2"/>
                <w:sz w:val="21"/>
                <w:szCs w:val="21"/>
                <w:highlight w:val="none"/>
                <w:lang w:val="en-US" w:eastAsia="zh-CN" w:bidi="ar-SA"/>
              </w:rPr>
              <w:t>函</w:t>
            </w:r>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C4FA6D9">
            <w:pPr>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供应商为中小微企业或者监狱企业或者残疾人福利性单位的资格证明材料[供应商为中小微企业的应提供《中小企业声明函》；供应商为残疾人福利性单位的应提供《残疾人福利性单位声明函》；供应商为监狱企业的应当提供由省级以上监狱管理局、戒毒管理局（含新疆生产建设兵团）出具的属于监狱企业的证明文件]（声明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B42367C">
            <w:pPr>
              <w:adjustRightInd w:val="0"/>
              <w:snapToGrid w:val="0"/>
              <w:spacing w:line="440" w:lineRule="exact"/>
              <w:ind w:firstLine="420" w:firstLineChars="200"/>
              <w:jc w:val="left"/>
              <w:rPr>
                <w:rFonts w:ascii="宋体" w:hAnsi="宋体" w:cs="Courier New"/>
                <w:b/>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.除招标文件规定必须提供以外，投标人认为需要提供的其他证明材料。</w:t>
            </w:r>
          </w:p>
          <w:p w14:paraId="36311EA5">
            <w:pPr>
              <w:adjustRightInd w:val="0"/>
              <w:snapToGrid w:val="0"/>
              <w:spacing w:line="360" w:lineRule="auto"/>
              <w:ind w:left="413" w:firstLine="420" w:firstLineChars="200"/>
              <w:jc w:val="left"/>
              <w:rPr>
                <w:rFonts w:ascii="宋体" w:hAnsi="宋体"/>
                <w:color w:val="auto"/>
                <w:szCs w:val="21"/>
                <w:highlight w:val="none"/>
              </w:rPr>
            </w:pPr>
          </w:p>
          <w:p w14:paraId="1571737D">
            <w:pPr>
              <w:adjustRightInd w:val="0"/>
              <w:snapToGri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注：</w:t>
            </w:r>
          </w:p>
          <w:p w14:paraId="07F31418">
            <w:pPr>
              <w:adjustRightInd w:val="0"/>
              <w:snapToGri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3D1D2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7A3187FB">
            <w:pPr>
              <w:spacing w:line="360" w:lineRule="auto"/>
              <w:rPr>
                <w:rFonts w:ascii="宋体" w:hAnsi="宋体"/>
                <w:color w:val="auto"/>
                <w:szCs w:val="21"/>
                <w:highlight w:val="none"/>
              </w:rPr>
            </w:pPr>
            <w:bookmarkStart w:id="46" w:name="_13.3"/>
            <w:bookmarkEnd w:id="46"/>
          </w:p>
        </w:tc>
        <w:tc>
          <w:tcPr>
            <w:tcW w:w="8175" w:type="dxa"/>
            <w:tcBorders>
              <w:top w:val="single" w:color="auto" w:sz="4" w:space="0"/>
              <w:left w:val="single" w:color="auto" w:sz="4" w:space="0"/>
              <w:bottom w:val="single" w:color="auto" w:sz="4" w:space="0"/>
              <w:right w:val="single" w:color="auto" w:sz="4" w:space="0"/>
            </w:tcBorders>
            <w:vAlign w:val="center"/>
          </w:tcPr>
          <w:p w14:paraId="593A9F05">
            <w:pPr>
              <w:snapToGrid w:val="0"/>
              <w:spacing w:line="360" w:lineRule="auto"/>
              <w:jc w:val="left"/>
              <w:rPr>
                <w:rFonts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38F35FF4">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BB4E503">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15C287F9">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2E713E0">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5F26FF6">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0BE064F">
            <w:pPr>
              <w:snapToGrid w:val="0"/>
              <w:spacing w:line="360" w:lineRule="auto"/>
              <w:ind w:left="413"/>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504EBA7">
            <w:pPr>
              <w:snapToGrid w:val="0"/>
              <w:spacing w:line="360" w:lineRule="auto"/>
              <w:ind w:left="413"/>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p>
          <w:p w14:paraId="1C0B8C18">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.代理服务费承诺书（格式后附）；</w:t>
            </w:r>
          </w:p>
          <w:p w14:paraId="020A37C9">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D0ABCEF">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.服务方案（格式自拟）【内容不限，可以是项目总体运维方案、工艺运行与出水达标保障、设备设施维护管理、管网巡查与养护方案、安全管理与应急处置、智慧运维与数字化管理等】；</w:t>
            </w:r>
          </w:p>
          <w:p w14:paraId="7FFF0F63">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.项目实施人员一览表（格式后附）；</w:t>
            </w:r>
          </w:p>
          <w:p w14:paraId="76FE55C1">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.投标人对本项目的合理化建议和改进措施（格式自拟）；</w:t>
            </w:r>
          </w:p>
          <w:p w14:paraId="162CB2A5">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4BCE1C36">
            <w:pPr>
              <w:snapToGrid w:val="0"/>
              <w:spacing w:line="360" w:lineRule="auto"/>
              <w:jc w:val="left"/>
              <w:rPr>
                <w:rFonts w:ascii="宋体" w:hAnsi="宋体" w:cs="Courier New"/>
                <w:b/>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42175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35E67E4">
            <w:pPr>
              <w:spacing w:line="360" w:lineRule="auto"/>
              <w:rPr>
                <w:rFonts w:ascii="宋体" w:hAnsi="宋体"/>
                <w:color w:val="auto"/>
                <w:szCs w:val="21"/>
                <w:highlight w:val="none"/>
              </w:rPr>
            </w:pPr>
            <w:bookmarkStart w:id="47" w:name="_13.5"/>
            <w:bookmarkEnd w:id="47"/>
            <w:bookmarkStart w:id="48" w:name="_13.4"/>
            <w:bookmarkEnd w:id="48"/>
            <w:bookmarkStart w:id="49" w:name="_16.2"/>
            <w:bookmarkEnd w:id="49"/>
            <w:r>
              <w:rPr>
                <w:rFonts w:hint="eastAsia" w:ascii="宋体" w:hAnsi="宋体"/>
                <w:color w:val="auto"/>
                <w:szCs w:val="21"/>
                <w:highlight w:val="none"/>
              </w:rPr>
              <w:t>16</w:t>
            </w:r>
            <w:bookmarkStart w:id="50" w:name="_Hlt19194066"/>
            <w:bookmarkStart w:id="51" w:name="_Hlt19194067"/>
            <w:bookmarkStart w:id="52" w:name="_Hlt19693758"/>
            <w:bookmarkStart w:id="53" w:name="_Hlt19693759"/>
            <w:r>
              <w:rPr>
                <w:rFonts w:hint="eastAsia" w:ascii="宋体" w:hAnsi="宋体"/>
                <w:color w:val="auto"/>
                <w:szCs w:val="21"/>
                <w:highlight w:val="none"/>
              </w:rPr>
              <w:t>.</w:t>
            </w:r>
            <w:bookmarkEnd w:id="50"/>
            <w:bookmarkEnd w:id="51"/>
            <w:bookmarkEnd w:id="52"/>
            <w:bookmarkEnd w:id="53"/>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77C455AA">
            <w:pPr>
              <w:snapToGrid w:val="0"/>
              <w:spacing w:line="360" w:lineRule="auto"/>
              <w:rPr>
                <w:rFonts w:ascii="宋体" w:hAnsi="宋体"/>
                <w:b/>
                <w:i/>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即满足全部采购需求所应提供的服务，以及伴随的货物和工程（如有）的价格；包括投标服务、货物、工程的成本、运输（含保险）、安装（如有）、调试、检验、技术服务、培训、税费等所有费用。</w:t>
            </w:r>
            <w:r>
              <w:rPr>
                <w:rFonts w:hint="eastAsia" w:ascii="宋体" w:hAnsi="宋体"/>
                <w:b/>
                <w:color w:val="auto"/>
                <w:szCs w:val="21"/>
                <w:highlight w:val="none"/>
              </w:rPr>
              <w:t>（采购需求另有约定的，从其约定）</w:t>
            </w:r>
          </w:p>
        </w:tc>
      </w:tr>
      <w:tr w14:paraId="35C3C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3A4F127">
            <w:pPr>
              <w:spacing w:line="360" w:lineRule="auto"/>
              <w:rPr>
                <w:rFonts w:ascii="宋体" w:hAnsi="宋体"/>
                <w:color w:val="auto"/>
                <w:szCs w:val="21"/>
                <w:highlight w:val="none"/>
              </w:rPr>
            </w:pPr>
            <w:bookmarkStart w:id="54" w:name="_17.1"/>
            <w:bookmarkEnd w:id="54"/>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39C42B74">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03CB6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22289FB">
            <w:pPr>
              <w:spacing w:line="360" w:lineRule="auto"/>
              <w:rPr>
                <w:rFonts w:ascii="宋体" w:hAnsi="宋体"/>
                <w:color w:val="auto"/>
                <w:szCs w:val="21"/>
                <w:highlight w:val="none"/>
              </w:rPr>
            </w:pPr>
            <w:bookmarkStart w:id="55" w:name="_18"/>
            <w:bookmarkEnd w:id="55"/>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721441B7">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本项目不收取投标保证金。</w:t>
            </w:r>
          </w:p>
          <w:p w14:paraId="0E29FA07">
            <w:pPr>
              <w:snapToGrid w:val="0"/>
              <w:spacing w:line="360" w:lineRule="auto"/>
              <w:rPr>
                <w:rFonts w:ascii="宋体" w:hAnsi="宋体"/>
                <w:color w:val="auto"/>
                <w:szCs w:val="21"/>
                <w:highlight w:val="none"/>
              </w:rPr>
            </w:pPr>
            <w:r>
              <w:rPr>
                <w:rFonts w:hint="eastAsia" w:ascii="宋体" w:hAnsi="宋体"/>
                <w:color w:val="auto"/>
                <w:szCs w:val="21"/>
                <w:highlight w:val="none"/>
              </w:rPr>
              <w:t>□本项目收取投标保证金，具体规定如下：</w:t>
            </w:r>
          </w:p>
          <w:p w14:paraId="7B698B6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投标保证金人民币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p>
          <w:p w14:paraId="1B16A6DF">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投标保证金的</w:t>
            </w:r>
            <w:r>
              <w:rPr>
                <w:rFonts w:hint="eastAsia" w:ascii="宋体" w:hAnsi="宋体" w:cs="宋体"/>
                <w:color w:val="auto"/>
                <w:kern w:val="0"/>
                <w:szCs w:val="21"/>
                <w:highlight w:val="none"/>
                <w:lang w:eastAsia="zh-CN"/>
              </w:rPr>
              <w:t>缴纳</w:t>
            </w:r>
            <w:r>
              <w:rPr>
                <w:rFonts w:hint="eastAsia" w:ascii="宋体" w:hAnsi="宋体" w:cs="宋体"/>
                <w:color w:val="auto"/>
                <w:kern w:val="0"/>
                <w:szCs w:val="21"/>
                <w:highlight w:val="none"/>
              </w:rPr>
              <w:t>方式：银行转账、支票、汇票、本票或者银行、保险机构出具的保函</w:t>
            </w:r>
            <w:r>
              <w:rPr>
                <w:color w:val="auto"/>
                <w:highlight w:val="none"/>
              </w:rPr>
              <w:t>（包含电子保函）</w:t>
            </w:r>
            <w:r>
              <w:rPr>
                <w:rFonts w:hint="eastAsia" w:ascii="宋体" w:hAnsi="宋体" w:cs="宋体"/>
                <w:color w:val="auto"/>
                <w:kern w:val="0"/>
                <w:szCs w:val="21"/>
                <w:highlight w:val="none"/>
              </w:rPr>
              <w:t>，禁止采用现钞方式。采用银行转账方式的，在投标截止时间前</w:t>
            </w:r>
            <w:r>
              <w:rPr>
                <w:rFonts w:hint="eastAsia"/>
                <w:color w:val="auto"/>
                <w:highlight w:val="none"/>
              </w:rPr>
              <w:t>从投标人账户</w:t>
            </w:r>
            <w:r>
              <w:rPr>
                <w:rFonts w:hint="eastAsia" w:ascii="宋体" w:hAnsi="宋体" w:cs="宋体"/>
                <w:color w:val="auto"/>
                <w:kern w:val="0"/>
                <w:szCs w:val="21"/>
                <w:highlight w:val="none"/>
              </w:rPr>
              <w:t>交至指定账户并且到账（开户银行：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w:t>
            </w:r>
            <w:r>
              <w:rPr>
                <w:rFonts w:hint="eastAsia" w:ascii="宋体" w:hAnsi="宋体" w:cs="宋体"/>
                <w:b/>
                <w:color w:val="auto"/>
                <w:kern w:val="0"/>
                <w:szCs w:val="21"/>
                <w:highlight w:val="none"/>
              </w:rPr>
              <w:t>否则视为无效投标保证金。</w:t>
            </w:r>
          </w:p>
          <w:p w14:paraId="4F0C7D92">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2D3A2B99">
            <w:pPr>
              <w:pStyle w:val="15"/>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商务及技术文件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167EFBE2">
            <w:pPr>
              <w:snapToGrid w:val="0"/>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color w:val="auto"/>
                <w:highlight w:val="none"/>
                <w:u w:val="single"/>
              </w:rPr>
              <w:t xml:space="preserve">      </w:t>
            </w:r>
            <w:r>
              <w:rPr>
                <w:rFonts w:hint="eastAsia"/>
                <w:color w:val="auto"/>
                <w:highlight w:val="none"/>
              </w:rPr>
              <w:t>；邮寄地址：</w:t>
            </w:r>
            <w:r>
              <w:rPr>
                <w:rFonts w:hint="eastAsia"/>
                <w:color w:val="auto"/>
                <w:highlight w:val="none"/>
                <w:u w:val="single"/>
              </w:rPr>
              <w:t xml:space="preserve">      </w:t>
            </w:r>
            <w:r>
              <w:rPr>
                <w:rFonts w:hint="eastAsia"/>
                <w:color w:val="auto"/>
                <w:highlight w:val="none"/>
              </w:rPr>
              <w:t>，收件人：</w:t>
            </w:r>
            <w:r>
              <w:rPr>
                <w:rFonts w:hint="eastAsia"/>
                <w:color w:val="auto"/>
                <w:highlight w:val="none"/>
                <w:u w:val="single"/>
              </w:rPr>
              <w:t xml:space="preserve">      </w:t>
            </w:r>
            <w:r>
              <w:rPr>
                <w:rFonts w:hint="eastAsia"/>
                <w:color w:val="auto"/>
                <w:highlight w:val="none"/>
              </w:rPr>
              <w:t>，联系方式：</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2091C766">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139B53AC">
            <w:pPr>
              <w:snapToGrid w:val="0"/>
              <w:spacing w:line="360" w:lineRule="auto"/>
              <w:rPr>
                <w:rFonts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48E5A921">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2D9620F2">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737AA21A">
            <w:pPr>
              <w:snapToGrid w:val="0"/>
              <w:spacing w:line="360" w:lineRule="auto"/>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42A9B682">
            <w:pPr>
              <w:snapToGrid w:val="0"/>
              <w:spacing w:line="360" w:lineRule="auto"/>
              <w:rPr>
                <w:rFonts w:ascii="宋体" w:hAnsi="宋体"/>
                <w:b/>
                <w:color w:val="auto"/>
                <w:szCs w:val="21"/>
                <w:highlight w:val="none"/>
              </w:rPr>
            </w:pPr>
            <w:r>
              <w:rPr>
                <w:rFonts w:hint="eastAsia" w:ascii="宋体" w:hAnsi="宋体"/>
                <w:b/>
                <w:color w:val="auto"/>
                <w:szCs w:val="21"/>
                <w:highlight w:val="none"/>
              </w:rPr>
              <w:t>5.采用银行、保险机构出具保函的，必须为无条件保函，否则视为无效投标保证金。</w:t>
            </w:r>
          </w:p>
        </w:tc>
      </w:tr>
      <w:tr w14:paraId="2BF93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2CE7FD6C">
            <w:pPr>
              <w:spacing w:line="360" w:lineRule="auto"/>
              <w:jc w:val="center"/>
              <w:rPr>
                <w:rFonts w:ascii="宋体" w:hAnsi="宋体"/>
                <w:color w:val="auto"/>
                <w:szCs w:val="21"/>
                <w:highlight w:val="none"/>
              </w:rPr>
            </w:pPr>
            <w:bookmarkStart w:id="56" w:name="_21.1"/>
            <w:bookmarkEnd w:id="56"/>
            <w:bookmarkStart w:id="57" w:name="_19.2"/>
            <w:bookmarkEnd w:id="57"/>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5AF1DAFF">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0B6B3C69">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w:t>
            </w:r>
            <w:r>
              <w:rPr>
                <w:rFonts w:hint="eastAsia"/>
                <w:color w:val="auto"/>
                <w:highlight w:val="none"/>
              </w:rPr>
              <w:t>本项目接受电子备份投标文件。</w:t>
            </w:r>
          </w:p>
        </w:tc>
      </w:tr>
      <w:tr w14:paraId="750AE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13DE4F86">
            <w:pPr>
              <w:spacing w:line="360" w:lineRule="auto"/>
              <w:jc w:val="center"/>
              <w:rPr>
                <w:rFonts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529D778F">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7E008568">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6ABB4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F20D9B9">
            <w:pPr>
              <w:spacing w:line="360" w:lineRule="auto"/>
              <w:jc w:val="center"/>
              <w:rPr>
                <w:rFonts w:ascii="宋体" w:hAnsi="宋体"/>
                <w:color w:val="auto"/>
                <w:szCs w:val="21"/>
                <w:highlight w:val="none"/>
              </w:rPr>
            </w:pPr>
            <w:bookmarkStart w:id="58" w:name="_23"/>
            <w:bookmarkEnd w:id="58"/>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6A4D7096">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37E5174A">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211FE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CD95AF4">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2982FC90">
            <w:pPr>
              <w:snapToGrid w:val="0"/>
              <w:spacing w:line="360" w:lineRule="auto"/>
              <w:rPr>
                <w:rFonts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 xml:space="preserve">  30   </w:t>
            </w:r>
            <w:r>
              <w:rPr>
                <w:rFonts w:hint="eastAsia" w:hAnsi="宋体"/>
                <w:color w:val="auto"/>
                <w:highlight w:val="none"/>
              </w:rPr>
              <w:t>分钟</w:t>
            </w:r>
          </w:p>
        </w:tc>
      </w:tr>
      <w:tr w14:paraId="6AB40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F658306">
            <w:pPr>
              <w:spacing w:line="360" w:lineRule="auto"/>
              <w:jc w:val="center"/>
              <w:rPr>
                <w:rFonts w:ascii="宋体" w:hAnsi="宋体"/>
                <w:color w:val="auto"/>
                <w:szCs w:val="21"/>
                <w:highlight w:val="none"/>
              </w:rPr>
            </w:pPr>
            <w:bookmarkStart w:id="59" w:name="_25.3"/>
            <w:bookmarkEnd w:id="59"/>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54606BA0">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20DA8ED">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311650BC">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4023FE75">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3FE5B741">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w:t>
            </w:r>
          </w:p>
        </w:tc>
      </w:tr>
      <w:tr w14:paraId="4F959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8D30236">
            <w:pPr>
              <w:spacing w:line="360" w:lineRule="auto"/>
              <w:jc w:val="center"/>
              <w:rPr>
                <w:rFonts w:ascii="宋体" w:hAnsi="宋体"/>
                <w:color w:val="auto"/>
                <w:szCs w:val="21"/>
                <w:highlight w:val="none"/>
              </w:rPr>
            </w:pPr>
            <w:bookmarkStart w:id="60" w:name="_26"/>
            <w:bookmarkEnd w:id="60"/>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72089DA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 xml:space="preserve"> 5  </w:t>
            </w:r>
            <w:r>
              <w:rPr>
                <w:rFonts w:hint="eastAsia" w:ascii="宋体" w:hAnsi="宋体"/>
                <w:color w:val="auto"/>
                <w:szCs w:val="21"/>
                <w:highlight w:val="none"/>
              </w:rPr>
              <w:t>人</w:t>
            </w:r>
          </w:p>
        </w:tc>
      </w:tr>
      <w:tr w14:paraId="401B6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7E77101">
            <w:pPr>
              <w:spacing w:line="360" w:lineRule="auto"/>
              <w:jc w:val="center"/>
              <w:rPr>
                <w:rFonts w:ascii="宋体" w:hAnsi="宋体"/>
                <w:color w:val="auto"/>
                <w:szCs w:val="21"/>
                <w:highlight w:val="none"/>
              </w:rPr>
            </w:pPr>
            <w:bookmarkStart w:id="61" w:name="_28.3"/>
            <w:bookmarkEnd w:id="61"/>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44E7175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7076641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√综合评分法</w:t>
            </w:r>
          </w:p>
          <w:p w14:paraId="08EB25F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513E5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769794F6">
            <w:pPr>
              <w:spacing w:line="360" w:lineRule="auto"/>
              <w:jc w:val="center"/>
              <w:rPr>
                <w:rFonts w:ascii="宋体" w:hAnsi="宋体"/>
                <w:color w:val="auto"/>
                <w:szCs w:val="21"/>
                <w:highlight w:val="none"/>
              </w:rPr>
            </w:pPr>
            <w:bookmarkStart w:id="62" w:name="_29.2.2（2）"/>
            <w:bookmarkEnd w:id="62"/>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vAlign w:val="center"/>
          </w:tcPr>
          <w:p w14:paraId="303AA684">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5512E740">
            <w:pPr>
              <w:snapToGrid w:val="0"/>
              <w:spacing w:line="360" w:lineRule="auto"/>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w:t>
            </w:r>
            <w:r>
              <w:rPr>
                <w:rFonts w:hint="eastAsia" w:ascii="宋体" w:hAnsi="宋体"/>
                <w:color w:val="auto"/>
                <w:szCs w:val="21"/>
                <w:highlight w:val="none"/>
                <w:u w:val="single"/>
              </w:rPr>
              <w:t>详见第二章 采购需求</w:t>
            </w:r>
            <w:r>
              <w:rPr>
                <w:rFonts w:hint="eastAsia" w:ascii="宋体" w:hAnsi="宋体"/>
                <w:color w:val="auto"/>
                <w:szCs w:val="21"/>
                <w:highlight w:val="none"/>
              </w:rPr>
              <w:t>。</w:t>
            </w:r>
          </w:p>
        </w:tc>
      </w:tr>
      <w:tr w14:paraId="66BDB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60D58AB9">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vAlign w:val="center"/>
          </w:tcPr>
          <w:p w14:paraId="7B37CB72">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2684D85D">
            <w:pPr>
              <w:snapToGrid w:val="0"/>
              <w:spacing w:line="360" w:lineRule="auto"/>
              <w:rPr>
                <w:rFonts w:hAnsi="宋体"/>
                <w:color w:val="auto"/>
                <w:highlight w:val="none"/>
              </w:rPr>
            </w:pPr>
            <w:r>
              <w:rPr>
                <w:rFonts w:hint="eastAsia" w:ascii="宋体" w:hAnsi="宋体"/>
                <w:color w:val="auto"/>
                <w:szCs w:val="21"/>
                <w:highlight w:val="none"/>
                <w:lang w:eastAsia="zh-CN"/>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rFonts w:hAnsi="宋体"/>
                <w:color w:val="auto"/>
                <w:highlight w:val="none"/>
              </w:rPr>
              <w:t>名</w:t>
            </w:r>
          </w:p>
          <w:p w14:paraId="516D3CAE">
            <w:pPr>
              <w:snapToGrid w:val="0"/>
              <w:spacing w:line="360" w:lineRule="auto"/>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highlight w:val="none"/>
              </w:rPr>
              <w:t>根据[总得分由高到低</w:t>
            </w:r>
            <w:r>
              <w:rPr>
                <w:rFonts w:hAnsi="宋体"/>
                <w:color w:val="auto"/>
                <w:highlight w:val="none"/>
              </w:rPr>
              <w:t>]</w:t>
            </w:r>
            <w:r>
              <w:rPr>
                <w:rFonts w:hint="eastAsia" w:hAnsi="宋体"/>
                <w:color w:val="auto"/>
                <w:highlight w:val="none"/>
              </w:rPr>
              <w:t>排列次序并全部推荐为中标候选人</w:t>
            </w:r>
          </w:p>
        </w:tc>
      </w:tr>
      <w:tr w14:paraId="4196E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648E6B8">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05C7D65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采购人确定中标人时，出现中标候选人并列的情形，采购人按以下的方式确定中标人：</w:t>
            </w:r>
          </w:p>
          <w:p w14:paraId="5E76BBF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√依次按投标报价低的优先、技术评分高的优先、商务评分高的优先顺序确定，通过上述方式依然无法确定中标供应商的，由采购人通过随机抽取的方式确定；</w:t>
            </w:r>
          </w:p>
          <w:p w14:paraId="0C15F64F">
            <w:pPr>
              <w:autoSpaceDE w:val="0"/>
              <w:autoSpaceDN w:val="0"/>
              <w:snapToGrid w:val="0"/>
              <w:spacing w:line="360" w:lineRule="auto"/>
              <w:textAlignment w:val="bottom"/>
              <w:rPr>
                <w:rFonts w:ascii="宋体" w:hAnsi="宋体"/>
                <w:b/>
                <w:color w:val="auto"/>
                <w:szCs w:val="21"/>
                <w:highlight w:val="none"/>
              </w:rPr>
            </w:pPr>
            <w:r>
              <w:rPr>
                <w:rFonts w:hint="eastAsia" w:ascii="宋体" w:hAnsi="宋体"/>
                <w:color w:val="auto"/>
                <w:szCs w:val="21"/>
                <w:highlight w:val="none"/>
              </w:rPr>
              <w:t>□随机抽取；</w:t>
            </w:r>
          </w:p>
        </w:tc>
      </w:tr>
      <w:tr w14:paraId="453EA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551C5A9B">
            <w:pPr>
              <w:spacing w:line="360" w:lineRule="auto"/>
              <w:jc w:val="center"/>
              <w:rPr>
                <w:rFonts w:ascii="宋体" w:hAnsi="宋体"/>
                <w:color w:val="auto"/>
                <w:szCs w:val="21"/>
                <w:highlight w:val="none"/>
              </w:rPr>
            </w:pPr>
            <w:bookmarkStart w:id="63" w:name="_39.1"/>
            <w:bookmarkEnd w:id="63"/>
            <w:r>
              <w:rPr>
                <w:rFonts w:hint="eastAsia" w:ascii="宋体" w:hAnsi="宋体"/>
                <w:color w:val="auto"/>
                <w:szCs w:val="21"/>
                <w:highlight w:val="none"/>
              </w:rPr>
              <w:t>35</w:t>
            </w:r>
          </w:p>
        </w:tc>
        <w:tc>
          <w:tcPr>
            <w:tcW w:w="8175" w:type="dxa"/>
            <w:tcBorders>
              <w:top w:val="single" w:color="auto" w:sz="4" w:space="0"/>
              <w:left w:val="single" w:color="auto" w:sz="4" w:space="0"/>
              <w:bottom w:val="single" w:color="auto" w:sz="4" w:space="0"/>
              <w:right w:val="single" w:color="auto" w:sz="4" w:space="0"/>
            </w:tcBorders>
            <w:vAlign w:val="center"/>
          </w:tcPr>
          <w:p w14:paraId="3B3D99B6">
            <w:pPr>
              <w:autoSpaceDE w:val="0"/>
              <w:autoSpaceDN w:val="0"/>
              <w:snapToGrid w:val="0"/>
              <w:spacing w:line="360" w:lineRule="auto"/>
              <w:textAlignment w:val="bottom"/>
              <w:rPr>
                <w:rFonts w:ascii="宋体" w:hAnsi="宋体" w:cs="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tc>
      </w:tr>
      <w:tr w14:paraId="547F4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071DB09">
            <w:pPr>
              <w:spacing w:line="360" w:lineRule="auto"/>
              <w:jc w:val="center"/>
              <w:rPr>
                <w:rFonts w:ascii="宋体" w:hAnsi="宋体"/>
                <w:color w:val="auto"/>
                <w:szCs w:val="21"/>
                <w:highlight w:val="none"/>
              </w:rPr>
            </w:pPr>
            <w:bookmarkStart w:id="64" w:name="_40.1"/>
            <w:bookmarkEnd w:id="64"/>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7AEC985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619E65E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4B73BD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643C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189DCEB">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vAlign w:val="center"/>
          </w:tcPr>
          <w:p w14:paraId="10ECF63F">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008DC272">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广西晨华工程咨询有限公司</w:t>
            </w:r>
            <w:r>
              <w:rPr>
                <w:rFonts w:hint="eastAsia" w:ascii="宋体" w:hAnsi="宋体"/>
                <w:color w:val="auto"/>
                <w:szCs w:val="21"/>
                <w:highlight w:val="none"/>
              </w:rPr>
              <w:t>联系电话：</w:t>
            </w:r>
            <w:r>
              <w:rPr>
                <w:rFonts w:hint="eastAsia" w:ascii="宋体" w:hAnsi="宋体"/>
                <w:color w:val="auto"/>
                <w:szCs w:val="21"/>
                <w:highlight w:val="none"/>
                <w:lang w:eastAsia="zh-CN"/>
              </w:rPr>
              <w:t>0775-6208067</w:t>
            </w:r>
          </w:p>
          <w:p w14:paraId="59693ACC">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通讯地址：</w:t>
            </w:r>
            <w:r>
              <w:rPr>
                <w:rFonts w:hint="eastAsia" w:ascii="宋体" w:hAnsi="宋体"/>
                <w:color w:val="auto"/>
                <w:szCs w:val="21"/>
                <w:highlight w:val="none"/>
                <w:lang w:eastAsia="zh-CN"/>
              </w:rPr>
              <w:t>北流市天河广场背后丰顺路（40-15）</w:t>
            </w:r>
          </w:p>
          <w:p w14:paraId="35018478">
            <w:pPr>
              <w:snapToGrid w:val="0"/>
              <w:spacing w:line="360" w:lineRule="auto"/>
              <w:rPr>
                <w:rFonts w:ascii="宋体" w:hAnsi="宋体"/>
                <w:color w:val="auto"/>
                <w:szCs w:val="21"/>
                <w:highlight w:val="none"/>
              </w:rPr>
            </w:pPr>
            <w:r>
              <w:rPr>
                <w:rFonts w:hint="eastAsia" w:hAnsi="宋体" w:cs="宋体"/>
                <w:color w:val="auto"/>
                <w:highlight w:val="none"/>
              </w:rPr>
              <w:t>业务时间：</w:t>
            </w:r>
            <w:r>
              <w:rPr>
                <w:rFonts w:hint="eastAsia" w:ascii="宋体" w:hAnsi="宋体"/>
                <w:color w:val="auto"/>
                <w:szCs w:val="21"/>
                <w:highlight w:val="none"/>
              </w:rPr>
              <w:t>工作日每天上午8时00分到12时00分，下午3时00分到6时00分。</w:t>
            </w:r>
          </w:p>
        </w:tc>
      </w:tr>
      <w:tr w14:paraId="21747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0EFA05E">
            <w:pPr>
              <w:spacing w:line="360" w:lineRule="auto"/>
              <w:jc w:val="center"/>
              <w:rPr>
                <w:rFonts w:ascii="宋体" w:hAnsi="宋体"/>
                <w:color w:val="auto"/>
                <w:szCs w:val="21"/>
                <w:highlight w:val="none"/>
              </w:rPr>
            </w:pPr>
            <w:bookmarkStart w:id="65" w:name="_42"/>
            <w:bookmarkEnd w:id="65"/>
            <w:bookmarkStart w:id="66" w:name="_41"/>
            <w:bookmarkEnd w:id="66"/>
            <w:bookmarkStart w:id="67" w:name="_Hlt17709148"/>
            <w:r>
              <w:rPr>
                <w:rFonts w:hint="eastAsia" w:ascii="宋体" w:hAnsi="宋体"/>
                <w:color w:val="auto"/>
                <w:szCs w:val="21"/>
                <w:highlight w:val="none"/>
              </w:rPr>
              <w:t>3</w:t>
            </w:r>
            <w:bookmarkEnd w:id="67"/>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43E81442">
            <w:pPr>
              <w:pStyle w:val="23"/>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395E0736">
            <w:pPr>
              <w:pStyle w:val="23"/>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一次性向采购代理机构支付。</w:t>
            </w:r>
          </w:p>
          <w:p w14:paraId="67477749">
            <w:pPr>
              <w:pStyle w:val="23"/>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BB80F1A">
            <w:pPr>
              <w:pStyle w:val="23"/>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1F281B49">
            <w:pPr>
              <w:pStyle w:val="23"/>
              <w:snapToGrid w:val="0"/>
              <w:spacing w:line="360" w:lineRule="auto"/>
              <w:rPr>
                <w:rFonts w:hAnsi="宋体" w:cs="宋体"/>
                <w:color w:val="auto"/>
                <w:sz w:val="21"/>
                <w:highlight w:val="none"/>
              </w:rPr>
            </w:pPr>
            <w:r>
              <w:rPr>
                <w:rFonts w:hint="eastAsia" w:hAnsi="宋体" w:cs="宋体"/>
                <w:color w:val="auto"/>
                <w:sz w:val="21"/>
                <w:highlight w:val="none"/>
              </w:rPr>
              <w:t>√以分标（√中标金额/□采购预算/□暂定中标金额/□其他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条规定的收费计算标准（□货物招标/√服务招标/□工程招标）采用差额定率累进法计算出收费基准价格，采购代理收费以（</w:t>
            </w:r>
            <w:r>
              <w:rPr>
                <w:rFonts w:hint="eastAsia" w:hAnsi="宋体" w:cs="宋体"/>
                <w:color w:val="auto"/>
                <w:sz w:val="21"/>
                <w:highlight w:val="none"/>
                <w:lang w:eastAsia="zh-CN"/>
              </w:rPr>
              <w:t>☑</w:t>
            </w:r>
            <w:r>
              <w:rPr>
                <w:rFonts w:hint="eastAsia" w:hAnsi="宋体" w:cs="宋体"/>
                <w:color w:val="auto"/>
                <w:sz w:val="21"/>
                <w:highlight w:val="none"/>
              </w:rPr>
              <w:t>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60AB73E5">
            <w:pPr>
              <w:pStyle w:val="23"/>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2C89F0C2">
            <w:pPr>
              <w:pStyle w:val="23"/>
              <w:snapToGrid w:val="0"/>
              <w:spacing w:line="360" w:lineRule="auto"/>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w:t>
            </w:r>
            <w:r>
              <w:rPr>
                <w:rFonts w:hint="eastAsia" w:hAnsi="宋体" w:cs="宋体"/>
                <w:color w:val="auto"/>
                <w:sz w:val="21"/>
                <w:highlight w:val="none"/>
              </w:rPr>
              <w:t xml:space="preserve">账户名称： </w:t>
            </w:r>
          </w:p>
          <w:p w14:paraId="70646CB8">
            <w:pPr>
              <w:pStyle w:val="23"/>
              <w:snapToGrid w:val="0"/>
              <w:spacing w:line="360" w:lineRule="auto"/>
              <w:rPr>
                <w:rFonts w:hint="eastAsia" w:hAnsi="宋体" w:cs="宋体"/>
                <w:color w:val="auto"/>
                <w:sz w:val="21"/>
                <w:highlight w:val="none"/>
                <w:lang w:eastAsia="zh-CN"/>
              </w:rPr>
            </w:pPr>
            <w:r>
              <w:rPr>
                <w:rFonts w:hint="eastAsia" w:hAnsi="宋体" w:cs="宋体"/>
                <w:color w:val="auto"/>
                <w:sz w:val="21"/>
                <w:highlight w:val="none"/>
              </w:rPr>
              <w:t>开户名称：</w:t>
            </w:r>
            <w:r>
              <w:rPr>
                <w:rFonts w:hint="eastAsia" w:hAnsi="宋体" w:cs="宋体"/>
                <w:color w:val="auto"/>
                <w:sz w:val="21"/>
                <w:highlight w:val="none"/>
                <w:lang w:eastAsia="zh-CN"/>
              </w:rPr>
              <w:t>广西晨华工程咨询有限公司</w:t>
            </w:r>
          </w:p>
          <w:p w14:paraId="0F1E7504">
            <w:pPr>
              <w:pStyle w:val="23"/>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银行账号：</w:t>
            </w:r>
            <w:r>
              <w:rPr>
                <w:rFonts w:hint="eastAsia" w:hAnsi="宋体" w:cs="宋体"/>
                <w:color w:val="auto"/>
                <w:sz w:val="21"/>
                <w:highlight w:val="none"/>
                <w:lang w:eastAsia="zh-CN"/>
              </w:rPr>
              <w:t>5482120101156690762</w:t>
            </w:r>
          </w:p>
          <w:p w14:paraId="11A5D1F6">
            <w:pPr>
              <w:pStyle w:val="23"/>
              <w:snapToGrid w:val="0"/>
              <w:spacing w:line="360" w:lineRule="auto"/>
              <w:rPr>
                <w:rFonts w:hint="default" w:hAnsi="宋体" w:eastAsia="宋体" w:cs="宋体"/>
                <w:color w:val="auto"/>
                <w:sz w:val="21"/>
                <w:highlight w:val="none"/>
                <w:lang w:val="en-US" w:eastAsia="zh-CN"/>
              </w:rPr>
            </w:pPr>
            <w:r>
              <w:rPr>
                <w:rFonts w:hint="eastAsia" w:hAnsi="宋体" w:cs="宋体"/>
                <w:color w:val="auto"/>
                <w:sz w:val="21"/>
                <w:highlight w:val="none"/>
              </w:rPr>
              <w:t>开户银行：</w:t>
            </w:r>
            <w:r>
              <w:rPr>
                <w:rFonts w:hint="eastAsia" w:hAnsi="宋体" w:cs="宋体"/>
                <w:color w:val="auto"/>
                <w:sz w:val="21"/>
                <w:highlight w:val="none"/>
                <w:lang w:eastAsia="zh-CN"/>
              </w:rPr>
              <w:t>北流市农村信用合作联社营业部</w:t>
            </w:r>
          </w:p>
        </w:tc>
      </w:tr>
      <w:tr w14:paraId="539F7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BB96868">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62E7045E">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776C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7EDAE80">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644C3F03">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C1A401D">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761A7332">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FC23D1F">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09AFC720">
            <w:pPr>
              <w:spacing w:line="360" w:lineRule="auto"/>
              <w:jc w:val="left"/>
              <w:rPr>
                <w:rFonts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6322D9E4">
      <w:pPr>
        <w:snapToGrid w:val="0"/>
        <w:rPr>
          <w:rFonts w:ascii="宋体" w:hAnsi="宋体"/>
          <w:color w:val="auto"/>
          <w:sz w:val="24"/>
          <w:szCs w:val="20"/>
          <w:highlight w:val="none"/>
        </w:rPr>
      </w:pPr>
    </w:p>
    <w:p w14:paraId="4B0DF1F2">
      <w:pPr>
        <w:pStyle w:val="4"/>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71079CE4">
      <w:pPr>
        <w:pStyle w:val="4"/>
        <w:keepNext w:val="0"/>
        <w:keepLines w:val="0"/>
        <w:jc w:val="center"/>
        <w:rPr>
          <w:color w:val="auto"/>
          <w:highlight w:val="none"/>
        </w:rPr>
      </w:pPr>
      <w:r>
        <w:rPr>
          <w:rFonts w:hint="eastAsia"/>
          <w:color w:val="auto"/>
          <w:highlight w:val="none"/>
        </w:rPr>
        <w:t>一、总  则</w:t>
      </w:r>
    </w:p>
    <w:p w14:paraId="4C1AB7B6">
      <w:pPr>
        <w:pStyle w:val="6"/>
        <w:keepNext w:val="0"/>
        <w:keepLines w:val="0"/>
        <w:spacing w:before="0" w:after="0" w:line="360" w:lineRule="auto"/>
        <w:ind w:left="420" w:leftChars="200"/>
        <w:rPr>
          <w:rFonts w:ascii="黑体" w:hAnsi="黑体" w:eastAsia="黑体"/>
          <w:color w:val="auto"/>
          <w:sz w:val="24"/>
          <w:highlight w:val="none"/>
        </w:rPr>
      </w:pPr>
      <w:bookmarkStart w:id="68" w:name="_Toc254970527"/>
      <w:bookmarkStart w:id="69" w:name="_Toc254970668"/>
      <w:r>
        <w:rPr>
          <w:rFonts w:hint="eastAsia" w:ascii="黑体" w:hAnsi="黑体" w:eastAsia="黑体"/>
          <w:color w:val="auto"/>
          <w:sz w:val="24"/>
          <w:highlight w:val="none"/>
        </w:rPr>
        <w:t>1.适用范围</w:t>
      </w:r>
      <w:bookmarkEnd w:id="68"/>
      <w:bookmarkEnd w:id="69"/>
    </w:p>
    <w:p w14:paraId="380695B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6FAA43B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1F523E3">
      <w:pPr>
        <w:pStyle w:val="6"/>
        <w:keepNext w:val="0"/>
        <w:keepLines w:val="0"/>
        <w:spacing w:before="0" w:after="0" w:line="360" w:lineRule="auto"/>
        <w:ind w:left="420" w:leftChars="200"/>
        <w:rPr>
          <w:rFonts w:ascii="黑体" w:hAnsi="黑体" w:eastAsia="黑体"/>
          <w:color w:val="auto"/>
          <w:sz w:val="24"/>
          <w:highlight w:val="none"/>
        </w:rPr>
      </w:pPr>
      <w:bookmarkStart w:id="70" w:name="_Toc254970528"/>
      <w:bookmarkStart w:id="71" w:name="_Toc254970669"/>
      <w:r>
        <w:rPr>
          <w:rFonts w:hint="eastAsia" w:ascii="黑体" w:hAnsi="黑体" w:eastAsia="黑体"/>
          <w:color w:val="auto"/>
          <w:sz w:val="24"/>
          <w:highlight w:val="none"/>
        </w:rPr>
        <w:t>2.定义</w:t>
      </w:r>
      <w:bookmarkEnd w:id="70"/>
      <w:bookmarkEnd w:id="71"/>
    </w:p>
    <w:p w14:paraId="646EBC44">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07395FD6">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3F1E5422">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098E6975">
      <w:pPr>
        <w:pStyle w:val="7"/>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37705D75">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6CBE34EE">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58019016">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4F017F1F">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0776AE05">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6EFE9C8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72" w:name="_Toc254970529"/>
      <w:bookmarkStart w:id="73" w:name="_Toc254970670"/>
    </w:p>
    <w:p w14:paraId="38C8C9E7">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72"/>
      <w:bookmarkEnd w:id="73"/>
      <w:r>
        <w:rPr>
          <w:rFonts w:hint="eastAsia" w:ascii="黑体" w:hAnsi="黑体" w:eastAsia="黑体"/>
          <w:color w:val="auto"/>
          <w:sz w:val="24"/>
          <w:highlight w:val="none"/>
        </w:rPr>
        <w:t>投标人的资格要求</w:t>
      </w:r>
    </w:p>
    <w:p w14:paraId="09F6865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518CDF98">
      <w:pPr>
        <w:pStyle w:val="6"/>
        <w:keepNext w:val="0"/>
        <w:keepLines w:val="0"/>
        <w:spacing w:before="0" w:after="0" w:line="360" w:lineRule="auto"/>
        <w:ind w:left="420" w:leftChars="200"/>
        <w:rPr>
          <w:rFonts w:ascii="黑体" w:hAnsi="黑体" w:eastAsia="黑体"/>
          <w:color w:val="auto"/>
          <w:sz w:val="24"/>
          <w:highlight w:val="none"/>
        </w:rPr>
      </w:pPr>
      <w:bookmarkStart w:id="74" w:name="_Toc254970671"/>
      <w:bookmarkStart w:id="75" w:name="_Toc254970530"/>
      <w:r>
        <w:rPr>
          <w:rFonts w:hint="eastAsia" w:ascii="黑体" w:hAnsi="黑体" w:eastAsia="黑体"/>
          <w:color w:val="auto"/>
          <w:sz w:val="24"/>
          <w:highlight w:val="none"/>
        </w:rPr>
        <w:t>4.投标委托</w:t>
      </w:r>
      <w:bookmarkEnd w:id="74"/>
      <w:bookmarkEnd w:id="75"/>
    </w:p>
    <w:p w14:paraId="246AAD3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B835558">
      <w:pPr>
        <w:pStyle w:val="6"/>
        <w:keepNext w:val="0"/>
        <w:keepLines w:val="0"/>
        <w:spacing w:before="0" w:after="0" w:line="360" w:lineRule="auto"/>
        <w:ind w:left="420" w:leftChars="200"/>
        <w:rPr>
          <w:rFonts w:ascii="黑体" w:hAnsi="黑体" w:eastAsia="黑体"/>
          <w:color w:val="auto"/>
          <w:sz w:val="24"/>
          <w:highlight w:val="none"/>
        </w:rPr>
      </w:pPr>
      <w:bookmarkStart w:id="76" w:name="_5.投标费用"/>
      <w:bookmarkEnd w:id="76"/>
      <w:bookmarkStart w:id="77" w:name="_Toc254970672"/>
      <w:bookmarkStart w:id="78" w:name="_Toc254970531"/>
      <w:r>
        <w:rPr>
          <w:rFonts w:hint="eastAsia" w:ascii="黑体" w:hAnsi="黑体" w:eastAsia="黑体"/>
          <w:color w:val="auto"/>
          <w:sz w:val="24"/>
          <w:highlight w:val="none"/>
        </w:rPr>
        <w:t>5.投标费用</w:t>
      </w:r>
      <w:bookmarkEnd w:id="77"/>
      <w:bookmarkEnd w:id="78"/>
    </w:p>
    <w:p w14:paraId="686DE64F">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B2960A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5D6CEAF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3737D08E">
      <w:pPr>
        <w:snapToGri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6.</w:t>
      </w:r>
      <w:r>
        <w:rPr>
          <w:rFonts w:hint="eastAsia" w:ascii="宋体" w:hAnsi="宋体"/>
          <w:bCs/>
          <w:color w:val="auto"/>
          <w:szCs w:val="21"/>
          <w:highlight w:val="none"/>
          <w:lang w:val="en-US" w:eastAsia="zh-CN"/>
        </w:rPr>
        <w:t>2</w:t>
      </w: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348AC4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46051D31">
      <w:pPr>
        <w:pStyle w:val="6"/>
        <w:keepNext w:val="0"/>
        <w:keepLines w:val="0"/>
        <w:spacing w:before="0" w:after="0" w:line="360" w:lineRule="auto"/>
        <w:ind w:left="420" w:leftChars="200"/>
        <w:rPr>
          <w:rFonts w:ascii="宋体" w:hAnsi="宋体"/>
          <w:b w:val="0"/>
          <w:color w:val="auto"/>
          <w:sz w:val="21"/>
          <w:szCs w:val="21"/>
          <w:highlight w:val="none"/>
        </w:rPr>
      </w:pPr>
      <w:bookmarkStart w:id="79" w:name="_Toc254970532"/>
      <w:bookmarkStart w:id="80" w:name="_Toc254970673"/>
      <w:r>
        <w:rPr>
          <w:rFonts w:hint="eastAsia" w:ascii="宋体" w:hAnsi="宋体"/>
          <w:b w:val="0"/>
          <w:color w:val="auto"/>
          <w:sz w:val="21"/>
          <w:szCs w:val="21"/>
          <w:highlight w:val="none"/>
        </w:rPr>
        <w:t>7.1本项目不允许转包。</w:t>
      </w:r>
    </w:p>
    <w:p w14:paraId="4D3DCA13">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14:paraId="567E1C9C">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F1C611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8.特别说明</w:t>
      </w:r>
      <w:bookmarkEnd w:id="79"/>
      <w:bookmarkEnd w:id="80"/>
    </w:p>
    <w:p w14:paraId="3EC68A93">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61BEF89A">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7654058E">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0662215">
      <w:pPr>
        <w:pStyle w:val="7"/>
        <w:spacing w:line="360" w:lineRule="auto"/>
        <w:rPr>
          <w:rFonts w:ascii="宋体" w:hAnsi="宋体"/>
          <w:color w:val="auto"/>
          <w:highlight w:val="none"/>
        </w:rPr>
      </w:pPr>
      <w:r>
        <w:rPr>
          <w:rFonts w:ascii="宋体" w:hAnsi="宋体"/>
          <w:color w:val="auto"/>
          <w:highlight w:val="none"/>
        </w:rPr>
        <w:t>8.4</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363F18">
      <w:pPr>
        <w:pStyle w:val="7"/>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711F4FC9">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drawing>
          <wp:inline distT="0" distB="0" distL="114300" distR="114300">
            <wp:extent cx="4827905" cy="762635"/>
            <wp:effectExtent l="0" t="0" r="10795" b="1841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19" r:link="rId20"/>
                    <a:stretch>
                      <a:fillRect/>
                    </a:stretch>
                  </pic:blipFill>
                  <pic:spPr>
                    <a:xfrm>
                      <a:off x="0" y="0"/>
                      <a:ext cx="4827905" cy="762635"/>
                    </a:xfrm>
                    <a:prstGeom prst="rect">
                      <a:avLst/>
                    </a:prstGeom>
                    <a:noFill/>
                    <a:ln>
                      <a:noFill/>
                    </a:ln>
                  </pic:spPr>
                </pic:pic>
              </a:graphicData>
            </a:graphic>
          </wp:inline>
        </w:drawing>
      </w:r>
    </w:p>
    <w:p w14:paraId="5944CA94">
      <w:pPr>
        <w:pStyle w:val="7"/>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F1C73A5">
      <w:pPr>
        <w:pStyle w:val="7"/>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418D5FA7">
      <w:pPr>
        <w:pStyle w:val="7"/>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9B53EB">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4CEF5ECC">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16149EB0">
      <w:pPr>
        <w:pStyle w:val="23"/>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301892F7">
      <w:pPr>
        <w:pStyle w:val="23"/>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39CADD15">
      <w:pPr>
        <w:pStyle w:val="23"/>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6902FD1">
      <w:pPr>
        <w:pStyle w:val="23"/>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54873FD0">
      <w:pPr>
        <w:pStyle w:val="23"/>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3A7F510">
      <w:pPr>
        <w:pStyle w:val="23"/>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3D71533C">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3F92F844">
      <w:pPr>
        <w:pStyle w:val="23"/>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（1）不同投标人的投标文件由同一单位或者个人编制；或不同投标人报名的IP地址一致的；</w:t>
      </w:r>
    </w:p>
    <w:p w14:paraId="044B2FE2">
      <w:pPr>
        <w:pStyle w:val="23"/>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378A926">
      <w:pPr>
        <w:pStyle w:val="23"/>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56FDEB8C">
      <w:pPr>
        <w:pStyle w:val="23"/>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66424468">
      <w:pPr>
        <w:pStyle w:val="23"/>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17472EDD">
      <w:pPr>
        <w:pStyle w:val="23"/>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0DD8909">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6DDEF350">
      <w:pPr>
        <w:pStyle w:val="23"/>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D29241F">
      <w:pPr>
        <w:pStyle w:val="23"/>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4E5B8E01">
      <w:pPr>
        <w:pStyle w:val="23"/>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963A6EA">
      <w:pPr>
        <w:pStyle w:val="23"/>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6F071DB8">
      <w:pPr>
        <w:pStyle w:val="23"/>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F0C1D51">
      <w:pPr>
        <w:pStyle w:val="23"/>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0ECDA7D6">
      <w:pPr>
        <w:pStyle w:val="23"/>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02AC7684">
      <w:pPr>
        <w:pStyle w:val="23"/>
        <w:snapToGrid w:val="0"/>
        <w:spacing w:line="360" w:lineRule="auto"/>
        <w:ind w:left="2" w:leftChars="1" w:firstLine="422" w:firstLineChars="200"/>
        <w:rPr>
          <w:rFonts w:hAnsi="宋体"/>
          <w:b/>
          <w:color w:val="auto"/>
          <w:kern w:val="2"/>
          <w:sz w:val="21"/>
          <w:highlight w:val="none"/>
        </w:rPr>
      </w:pPr>
    </w:p>
    <w:p w14:paraId="2D4B5B27">
      <w:pPr>
        <w:pStyle w:val="4"/>
        <w:keepNext w:val="0"/>
        <w:keepLines w:val="0"/>
        <w:jc w:val="center"/>
        <w:rPr>
          <w:color w:val="auto"/>
          <w:highlight w:val="none"/>
        </w:rPr>
      </w:pPr>
      <w:bookmarkStart w:id="81" w:name="_Toc254970675"/>
      <w:bookmarkStart w:id="82" w:name="_Toc254970534"/>
      <w:r>
        <w:rPr>
          <w:rFonts w:hint="eastAsia"/>
          <w:color w:val="auto"/>
          <w:highlight w:val="none"/>
        </w:rPr>
        <w:t>二、招标文件</w:t>
      </w:r>
      <w:bookmarkEnd w:id="81"/>
      <w:bookmarkEnd w:id="82"/>
    </w:p>
    <w:p w14:paraId="3EF4BFA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4E6994BB">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437B97B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7777E96C">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4E42B8F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70BDADD2">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37C23AF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315BE786">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2DCDCD75">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B4FC9CF">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EFDEEE7">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83"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83"/>
    <w:p w14:paraId="7EC2F28D">
      <w:pPr>
        <w:pStyle w:val="4"/>
        <w:keepNext w:val="0"/>
        <w:keepLines w:val="0"/>
        <w:jc w:val="center"/>
        <w:rPr>
          <w:color w:val="auto"/>
          <w:highlight w:val="none"/>
        </w:rPr>
      </w:pPr>
      <w:bookmarkStart w:id="84" w:name="_Toc254970535"/>
      <w:bookmarkStart w:id="85" w:name="_Toc254970676"/>
      <w:r>
        <w:rPr>
          <w:rFonts w:hint="eastAsia"/>
          <w:color w:val="auto"/>
          <w:highlight w:val="none"/>
        </w:rPr>
        <w:t>三、投标文件的编制</w:t>
      </w:r>
      <w:bookmarkEnd w:id="84"/>
      <w:bookmarkEnd w:id="85"/>
    </w:p>
    <w:p w14:paraId="17DFF4E0">
      <w:pPr>
        <w:pStyle w:val="6"/>
        <w:keepNext w:val="0"/>
        <w:keepLines w:val="0"/>
        <w:spacing w:before="0" w:after="0" w:line="360" w:lineRule="auto"/>
        <w:ind w:left="420" w:leftChars="200"/>
        <w:rPr>
          <w:rFonts w:ascii="黑体" w:hAnsi="黑体" w:eastAsia="黑体"/>
          <w:color w:val="auto"/>
          <w:sz w:val="24"/>
          <w:highlight w:val="none"/>
        </w:rPr>
      </w:pPr>
      <w:bookmarkStart w:id="86" w:name="_Toc254970677"/>
      <w:bookmarkStart w:id="87" w:name="_Toc254970536"/>
      <w:r>
        <w:rPr>
          <w:rFonts w:hint="eastAsia" w:ascii="黑体" w:hAnsi="黑体" w:eastAsia="黑体"/>
          <w:color w:val="auto"/>
          <w:sz w:val="24"/>
          <w:highlight w:val="none"/>
        </w:rPr>
        <w:t>12.投标文件的编制原则</w:t>
      </w:r>
    </w:p>
    <w:p w14:paraId="05C1ED5A">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BBB3D1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86"/>
      <w:bookmarkEnd w:id="87"/>
    </w:p>
    <w:p w14:paraId="5924237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5A71E419">
      <w:pPr>
        <w:pStyle w:val="6"/>
        <w:keepNext w:val="0"/>
        <w:keepLines w:val="0"/>
        <w:spacing w:before="0" w:after="0" w:line="360" w:lineRule="auto"/>
        <w:ind w:left="420" w:leftChars="200"/>
        <w:rPr>
          <w:rFonts w:ascii="宋体" w:hAnsi="宋体"/>
          <w:b w:val="0"/>
          <w:color w:val="auto"/>
          <w:sz w:val="21"/>
          <w:szCs w:val="21"/>
          <w:highlight w:val="none"/>
        </w:rPr>
      </w:pPr>
      <w:bookmarkStart w:id="88" w:name="_13.1报价文件:_具体材料见“投标人须知前附表”。"/>
      <w:bookmarkEnd w:id="88"/>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5E4878AF">
      <w:pPr>
        <w:pStyle w:val="6"/>
        <w:keepNext w:val="0"/>
        <w:keepLines w:val="0"/>
        <w:spacing w:before="0" w:after="0" w:line="360" w:lineRule="auto"/>
        <w:ind w:left="420" w:leftChars="200"/>
        <w:rPr>
          <w:rFonts w:ascii="宋体" w:hAnsi="宋体"/>
          <w:b w:val="0"/>
          <w:color w:val="auto"/>
          <w:sz w:val="21"/>
          <w:szCs w:val="21"/>
          <w:highlight w:val="none"/>
        </w:rPr>
      </w:pPr>
      <w:bookmarkStart w:id="89" w:name="_13.2资格证明文件：具体材料见“投标人须知前附表”。"/>
      <w:bookmarkEnd w:id="89"/>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D4AB71B">
      <w:pPr>
        <w:pStyle w:val="6"/>
        <w:keepNext w:val="0"/>
        <w:keepLines w:val="0"/>
        <w:spacing w:before="0" w:after="0" w:line="360" w:lineRule="auto"/>
        <w:ind w:left="420" w:leftChars="200"/>
        <w:rPr>
          <w:rFonts w:ascii="宋体" w:hAnsi="宋体"/>
          <w:b w:val="0"/>
          <w:color w:val="auto"/>
          <w:sz w:val="21"/>
          <w:szCs w:val="21"/>
          <w:highlight w:val="none"/>
        </w:rPr>
      </w:pPr>
      <w:bookmarkStart w:id="90" w:name="_13.3商务文件:_具体材料见“投标人须知前附表”。"/>
      <w:bookmarkEnd w:id="90"/>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65F3F01">
      <w:pPr>
        <w:pStyle w:val="6"/>
        <w:keepNext w:val="0"/>
        <w:keepLines w:val="0"/>
        <w:spacing w:before="0" w:after="0" w:line="360" w:lineRule="auto"/>
        <w:ind w:left="420" w:leftChars="200"/>
        <w:rPr>
          <w:rFonts w:ascii="黑体" w:hAnsi="黑体" w:eastAsia="黑体"/>
          <w:color w:val="auto"/>
          <w:sz w:val="24"/>
          <w:highlight w:val="none"/>
        </w:rPr>
      </w:pPr>
      <w:bookmarkStart w:id="91" w:name="_13.5投标文件电子版：具体材料见“投标人须知前附表”。"/>
      <w:bookmarkEnd w:id="91"/>
      <w:bookmarkStart w:id="92" w:name="_13.4技术文件：具体材料见“投标人须知前附表”。"/>
      <w:bookmarkEnd w:id="92"/>
      <w:bookmarkStart w:id="93" w:name="_Toc254970678"/>
      <w:bookmarkStart w:id="94" w:name="_Toc254970537"/>
      <w:r>
        <w:rPr>
          <w:rFonts w:hint="eastAsia" w:ascii="黑体" w:hAnsi="黑体" w:eastAsia="黑体"/>
          <w:color w:val="auto"/>
          <w:sz w:val="24"/>
          <w:highlight w:val="none"/>
        </w:rPr>
        <w:t>14.投标文件的语言及计量</w:t>
      </w:r>
      <w:bookmarkEnd w:id="93"/>
      <w:bookmarkEnd w:id="94"/>
    </w:p>
    <w:p w14:paraId="1F00EC0C">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016C444E">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18523CD">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5BBB438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3A1B093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3A3C8F4B">
      <w:pPr>
        <w:pStyle w:val="23"/>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051F8B4">
      <w:pPr>
        <w:pStyle w:val="6"/>
        <w:keepNext w:val="0"/>
        <w:keepLines w:val="0"/>
        <w:spacing w:before="0" w:after="0" w:line="360" w:lineRule="auto"/>
        <w:ind w:left="420" w:leftChars="200"/>
        <w:rPr>
          <w:rFonts w:ascii="黑体" w:hAnsi="黑体" w:eastAsia="黑体"/>
          <w:color w:val="auto"/>
          <w:sz w:val="24"/>
          <w:highlight w:val="none"/>
        </w:rPr>
      </w:pPr>
      <w:bookmarkStart w:id="95" w:name="_Toc254970679"/>
      <w:bookmarkStart w:id="96" w:name="_Toc254970538"/>
      <w:r>
        <w:rPr>
          <w:rFonts w:hint="eastAsia" w:ascii="黑体" w:hAnsi="黑体" w:eastAsia="黑体"/>
          <w:color w:val="auto"/>
          <w:sz w:val="24"/>
          <w:highlight w:val="none"/>
        </w:rPr>
        <w:t>16.投标报价</w:t>
      </w:r>
      <w:bookmarkEnd w:id="95"/>
      <w:bookmarkEnd w:id="96"/>
    </w:p>
    <w:p w14:paraId="23BEDDAB">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6C4ABF83">
      <w:pPr>
        <w:pStyle w:val="6"/>
        <w:keepNext w:val="0"/>
        <w:keepLines w:val="0"/>
        <w:spacing w:before="0" w:after="0" w:line="360" w:lineRule="auto"/>
        <w:ind w:left="420" w:leftChars="200"/>
        <w:rPr>
          <w:rFonts w:ascii="宋体" w:hAnsi="宋体"/>
          <w:b w:val="0"/>
          <w:color w:val="auto"/>
          <w:sz w:val="21"/>
          <w:szCs w:val="21"/>
          <w:highlight w:val="none"/>
        </w:rPr>
      </w:pPr>
      <w:bookmarkStart w:id="97" w:name="_16.2投标报价具体定义见投标人须知前附表。"/>
      <w:bookmarkEnd w:id="97"/>
      <w:r>
        <w:rPr>
          <w:rFonts w:hint="eastAsia" w:ascii="宋体" w:hAnsi="宋体"/>
          <w:b w:val="0"/>
          <w:color w:val="auto"/>
          <w:sz w:val="21"/>
          <w:szCs w:val="21"/>
          <w:highlight w:val="none"/>
        </w:rPr>
        <w:t>16.2投标报价具体包括内容详见“投标人须知前附表”。</w:t>
      </w:r>
    </w:p>
    <w:p w14:paraId="0AA1EEFE">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015A370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7CFED113">
      <w:pPr>
        <w:pStyle w:val="6"/>
        <w:keepNext w:val="0"/>
        <w:keepLines w:val="0"/>
        <w:spacing w:before="0" w:after="0" w:line="360" w:lineRule="auto"/>
        <w:ind w:firstLine="420" w:firstLineChars="200"/>
        <w:rPr>
          <w:rFonts w:ascii="宋体" w:hAnsi="宋体"/>
          <w:b w:val="0"/>
          <w:color w:val="auto"/>
          <w:sz w:val="21"/>
          <w:szCs w:val="21"/>
          <w:highlight w:val="none"/>
        </w:rPr>
      </w:pPr>
      <w:bookmarkStart w:id="98" w:name="_17.1投标有效期应按“投标人须知中的前附表”规定的期限。"/>
      <w:bookmarkEnd w:id="98"/>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6A7C08F">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17.2</w:t>
      </w:r>
      <w:bookmarkStart w:id="99" w:name="_Toc254970540"/>
      <w:bookmarkStart w:id="100"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7C9320A9">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99"/>
      <w:bookmarkEnd w:id="100"/>
    </w:p>
    <w:p w14:paraId="3358F71F">
      <w:pPr>
        <w:pStyle w:val="6"/>
        <w:keepNext w:val="0"/>
        <w:keepLines w:val="0"/>
        <w:spacing w:before="0" w:after="0" w:line="360" w:lineRule="auto"/>
        <w:ind w:left="420" w:leftChars="200"/>
        <w:rPr>
          <w:rFonts w:ascii="黑体" w:hAnsi="黑体" w:eastAsia="黑体"/>
          <w:color w:val="auto"/>
          <w:sz w:val="24"/>
          <w:highlight w:val="none"/>
        </w:rPr>
      </w:pPr>
      <w:bookmarkStart w:id="101" w:name="_18.投标保证金"/>
      <w:bookmarkEnd w:id="101"/>
      <w:bookmarkStart w:id="102" w:name="_Toc254970682"/>
      <w:bookmarkStart w:id="103" w:name="_Toc254970541"/>
      <w:r>
        <w:rPr>
          <w:rFonts w:hint="eastAsia" w:ascii="黑体" w:hAnsi="黑体" w:eastAsia="黑体"/>
          <w:color w:val="auto"/>
          <w:sz w:val="24"/>
          <w:highlight w:val="none"/>
        </w:rPr>
        <w:t>18.投标保证金</w:t>
      </w:r>
      <w:bookmarkEnd w:id="102"/>
      <w:bookmarkEnd w:id="103"/>
    </w:p>
    <w:p w14:paraId="770D2053">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D9DF59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FE4130D">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2BBBA819">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592CA0C5">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20208FAB">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1C344E64">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1DB01FCE">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08C0F4A3">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6D75B9AC">
      <w:pPr>
        <w:snapToGrid w:val="0"/>
        <w:spacing w:line="360" w:lineRule="auto"/>
        <w:ind w:firstLine="420" w:firstLineChars="200"/>
        <w:rPr>
          <w:rFonts w:ascii="宋体" w:hAnsi="宋体"/>
          <w:color w:val="auto"/>
          <w:szCs w:val="21"/>
          <w:highlight w:val="none"/>
        </w:rPr>
      </w:pPr>
      <w:bookmarkStart w:id="104" w:name="_Toc254970683"/>
      <w:bookmarkStart w:id="105" w:name="_Toc254970542"/>
      <w:r>
        <w:rPr>
          <w:rFonts w:hint="eastAsia" w:ascii="宋体" w:hAnsi="宋体"/>
          <w:color w:val="auto"/>
          <w:szCs w:val="21"/>
          <w:highlight w:val="none"/>
        </w:rPr>
        <w:t>（5）投标人出现本章第9.2、9.3情形的；</w:t>
      </w:r>
    </w:p>
    <w:p w14:paraId="5860FEF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04"/>
    <w:bookmarkEnd w:id="105"/>
    <w:p w14:paraId="1C22DAFF">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00382D20">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627D8DB">
      <w:pPr>
        <w:pStyle w:val="6"/>
        <w:keepNext w:val="0"/>
        <w:keepLines w:val="0"/>
        <w:spacing w:before="0" w:after="0" w:line="360" w:lineRule="auto"/>
        <w:ind w:firstLine="315" w:firstLineChars="150"/>
        <w:rPr>
          <w:rFonts w:ascii="宋体" w:hAnsi="宋体"/>
          <w:b w:val="0"/>
          <w:color w:val="auto"/>
          <w:sz w:val="21"/>
          <w:szCs w:val="21"/>
          <w:highlight w:val="none"/>
        </w:rPr>
      </w:pPr>
      <w:bookmarkStart w:id="106" w:name="_19.2投标文件应按报价文件、资格证明文件、商务文件、技术文件分别编制"/>
      <w:bookmarkEnd w:id="106"/>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41B6EDD3">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21CE9C92">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E59435E">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17A14B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1379605D">
      <w:pPr>
        <w:spacing w:line="360" w:lineRule="auto"/>
        <w:ind w:firstLine="420" w:firstLineChars="200"/>
        <w:rPr>
          <w:rFonts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”的文件，是否接受电子备份投标文件详见</w:t>
      </w:r>
      <w:r>
        <w:rPr>
          <w:rFonts w:hint="eastAsia" w:hAnsi="宋体"/>
          <w:bCs/>
          <w:color w:val="auto"/>
          <w:szCs w:val="21"/>
          <w:highlight w:val="none"/>
        </w:rPr>
        <w:t>“投标人须知前附表”。</w:t>
      </w:r>
    </w:p>
    <w:p w14:paraId="327285E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6E870E7C">
      <w:pPr>
        <w:spacing w:line="360" w:lineRule="auto"/>
        <w:ind w:firstLine="420" w:firstLineChars="200"/>
        <w:rPr>
          <w:rFonts w:hAnsi="宋体"/>
          <w:b/>
          <w:color w:val="auto"/>
          <w:highlight w:val="none"/>
        </w:rPr>
      </w:pPr>
      <w:bookmarkStart w:id="107" w:name="_21.1投标人必须在“投标人须知中的前附表”规定的投标文件接收时间和投"/>
      <w:bookmarkEnd w:id="107"/>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4E438DA7">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109E1B0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1C7EDF50">
      <w:pPr>
        <w:snapToGrid w:val="0"/>
        <w:spacing w:line="360" w:lineRule="auto"/>
        <w:ind w:firstLine="420"/>
        <w:jc w:val="left"/>
        <w:rPr>
          <w:rFonts w:ascii="宋体" w:hAnsi="宋体"/>
          <w:color w:val="auto"/>
          <w:szCs w:val="21"/>
          <w:highlight w:val="none"/>
        </w:rPr>
      </w:pPr>
      <w:bookmarkStart w:id="108" w:name="_Toc254970684"/>
      <w:bookmarkStart w:id="109"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08"/>
    <w:bookmarkEnd w:id="109"/>
    <w:p w14:paraId="4A49D3C2">
      <w:pPr>
        <w:pStyle w:val="112"/>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0D4D8F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737B4335">
      <w:pPr>
        <w:pStyle w:val="4"/>
        <w:keepNext w:val="0"/>
        <w:keepLines w:val="0"/>
        <w:jc w:val="center"/>
        <w:rPr>
          <w:color w:val="auto"/>
          <w:highlight w:val="none"/>
        </w:rPr>
      </w:pPr>
      <w:bookmarkStart w:id="110" w:name="_Toc254970685"/>
      <w:bookmarkStart w:id="111" w:name="_Toc254970544"/>
      <w:r>
        <w:rPr>
          <w:rFonts w:hint="eastAsia"/>
          <w:color w:val="auto"/>
          <w:highlight w:val="none"/>
        </w:rPr>
        <w:t>四、开    标</w:t>
      </w:r>
      <w:bookmarkEnd w:id="110"/>
      <w:bookmarkEnd w:id="111"/>
    </w:p>
    <w:p w14:paraId="5ACE447C">
      <w:pPr>
        <w:pStyle w:val="6"/>
        <w:keepNext w:val="0"/>
        <w:keepLines w:val="0"/>
        <w:spacing w:before="0" w:after="0" w:line="360" w:lineRule="auto"/>
        <w:ind w:left="420" w:leftChars="200"/>
        <w:rPr>
          <w:rFonts w:ascii="黑体" w:hAnsi="黑体" w:eastAsia="黑体"/>
          <w:color w:val="auto"/>
          <w:sz w:val="24"/>
          <w:highlight w:val="none"/>
        </w:rPr>
      </w:pPr>
      <w:bookmarkStart w:id="112" w:name="_23.开标时间和地点"/>
      <w:bookmarkEnd w:id="112"/>
      <w:r>
        <w:rPr>
          <w:rFonts w:hint="eastAsia" w:ascii="黑体" w:hAnsi="黑体" w:eastAsia="黑体"/>
          <w:color w:val="auto"/>
          <w:sz w:val="24"/>
          <w:highlight w:val="none"/>
        </w:rPr>
        <w:t>23.开标时间和地点</w:t>
      </w:r>
    </w:p>
    <w:p w14:paraId="3626292E">
      <w:pPr>
        <w:spacing w:line="360" w:lineRule="auto"/>
        <w:ind w:firstLine="420" w:firstLineChars="200"/>
        <w:rPr>
          <w:rFonts w:hAnsi="宋体"/>
          <w:bCs/>
          <w:color w:val="auto"/>
          <w:highlight w:val="none"/>
        </w:rPr>
      </w:pPr>
      <w:r>
        <w:rPr>
          <w:rFonts w:hint="eastAsia" w:hAnsi="宋体"/>
          <w:bCs/>
          <w:color w:val="auto"/>
          <w:highlight w:val="none"/>
        </w:rPr>
        <w:t>开标时间及地点详见“投标人须知前附表”</w:t>
      </w:r>
    </w:p>
    <w:p w14:paraId="7106A545">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6FF46EC">
      <w:pPr>
        <w:pStyle w:val="7"/>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2A509325">
      <w:pPr>
        <w:pStyle w:val="7"/>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029A9E3">
      <w:pPr>
        <w:pStyle w:val="7"/>
        <w:spacing w:line="360" w:lineRule="auto"/>
        <w:rPr>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09675331">
      <w:pPr>
        <w:pStyle w:val="7"/>
        <w:spacing w:line="360" w:lineRule="auto"/>
        <w:rPr>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5BEF3DAA">
      <w:pPr>
        <w:pStyle w:val="7"/>
        <w:spacing w:line="360" w:lineRule="auto"/>
        <w:rPr>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041D8BD0">
      <w:pPr>
        <w:pStyle w:val="7"/>
        <w:spacing w:line="360" w:lineRule="auto"/>
        <w:rPr>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8950FF">
      <w:pPr>
        <w:pStyle w:val="7"/>
        <w:spacing w:line="360" w:lineRule="auto"/>
        <w:rPr>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AF54DCF">
      <w:pPr>
        <w:pStyle w:val="7"/>
        <w:spacing w:line="360" w:lineRule="auto"/>
        <w:rPr>
          <w:color w:val="auto"/>
          <w:szCs w:val="21"/>
          <w:highlight w:val="none"/>
        </w:rPr>
      </w:pPr>
      <w:r>
        <w:rPr>
          <w:rFonts w:hint="eastAsia"/>
          <w:color w:val="auto"/>
          <w:szCs w:val="21"/>
          <w:highlight w:val="none"/>
        </w:rPr>
        <w:t>（5）开标结束。</w:t>
      </w:r>
    </w:p>
    <w:p w14:paraId="6FB6CBBF">
      <w:pPr>
        <w:pStyle w:val="23"/>
        <w:snapToGrid w:val="0"/>
        <w:spacing w:line="360" w:lineRule="auto"/>
        <w:ind w:firstLine="420" w:firstLineChars="20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52B35E83">
      <w:pPr>
        <w:pStyle w:val="23"/>
        <w:snapToGrid w:val="0"/>
        <w:spacing w:line="360" w:lineRule="auto"/>
        <w:ind w:left="689" w:leftChars="228" w:hanging="210" w:hangingChars="100"/>
        <w:rPr>
          <w:rFonts w:hAnsi="宋体"/>
          <w:color w:val="auto"/>
          <w:sz w:val="21"/>
          <w:highlight w:val="none"/>
        </w:rPr>
      </w:pPr>
    </w:p>
    <w:p w14:paraId="463DB8CE">
      <w:pPr>
        <w:pStyle w:val="4"/>
        <w:keepNext w:val="0"/>
        <w:keepLines w:val="0"/>
        <w:jc w:val="center"/>
        <w:rPr>
          <w:color w:val="auto"/>
          <w:highlight w:val="none"/>
        </w:rPr>
      </w:pPr>
      <w:r>
        <w:rPr>
          <w:rFonts w:hint="eastAsia"/>
          <w:color w:val="auto"/>
          <w:highlight w:val="none"/>
        </w:rPr>
        <w:t>五、资格审查</w:t>
      </w:r>
    </w:p>
    <w:p w14:paraId="48E7A24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79499020">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162B1204">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0D5ED6A2">
      <w:pPr>
        <w:pStyle w:val="6"/>
        <w:keepNext w:val="0"/>
        <w:keepLines w:val="0"/>
        <w:numPr>
          <w:ilvl w:val="0"/>
          <w:numId w:val="0"/>
        </w:numPr>
        <w:spacing w:before="0" w:after="0" w:line="360" w:lineRule="auto"/>
        <w:ind w:firstLine="422" w:firstLineChars="200"/>
        <w:rPr>
          <w:rFonts w:ascii="宋体" w:hAnsi="宋体"/>
          <w:color w:val="auto"/>
          <w:sz w:val="21"/>
          <w:szCs w:val="21"/>
          <w:highlight w:val="none"/>
        </w:rPr>
      </w:pPr>
      <w:bookmarkStart w:id="113" w:name="_25.3_投标人有下列情形之一的，资格审查不通过而导致其投标无效："/>
      <w:bookmarkEnd w:id="113"/>
      <w:r>
        <w:rPr>
          <w:rFonts w:hint="eastAsia" w:ascii="宋体" w:hAnsi="宋体"/>
          <w:color w:val="auto"/>
          <w:sz w:val="21"/>
          <w:szCs w:val="21"/>
          <w:highlight w:val="none"/>
        </w:rPr>
        <w:t>25.3 投标人有下列情形之一的，资格审查不通过，作无效投标处理：</w:t>
      </w:r>
    </w:p>
    <w:p w14:paraId="0A5CBAA7">
      <w:pPr>
        <w:pStyle w:val="23"/>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22715C2E">
      <w:pPr>
        <w:pStyle w:val="23"/>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1EA1D6F">
      <w:pPr>
        <w:pStyle w:val="23"/>
        <w:snapToGrid w:val="0"/>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D782B87">
      <w:pPr>
        <w:pStyle w:val="23"/>
        <w:snapToGrid w:val="0"/>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462AABCA">
      <w:pPr>
        <w:pStyle w:val="23"/>
        <w:snapToGrid w:val="0"/>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6E0D44BD">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0E12F722">
      <w:pPr>
        <w:pStyle w:val="23"/>
        <w:snapToGrid w:val="0"/>
        <w:spacing w:line="360" w:lineRule="auto"/>
        <w:ind w:left="689" w:leftChars="228" w:hanging="210" w:hangingChars="100"/>
        <w:rPr>
          <w:rFonts w:hAnsi="宋体"/>
          <w:color w:val="auto"/>
          <w:sz w:val="21"/>
          <w:highlight w:val="none"/>
        </w:rPr>
      </w:pPr>
    </w:p>
    <w:p w14:paraId="089F7932">
      <w:pPr>
        <w:pStyle w:val="4"/>
        <w:keepNext w:val="0"/>
        <w:keepLines w:val="0"/>
        <w:jc w:val="center"/>
        <w:rPr>
          <w:color w:val="auto"/>
          <w:highlight w:val="none"/>
        </w:rPr>
      </w:pPr>
      <w:r>
        <w:rPr>
          <w:rFonts w:hint="eastAsia"/>
          <w:color w:val="auto"/>
          <w:highlight w:val="none"/>
        </w:rPr>
        <w:t>六、评   标</w:t>
      </w:r>
    </w:p>
    <w:p w14:paraId="68F91C39">
      <w:pPr>
        <w:pStyle w:val="6"/>
        <w:keepNext w:val="0"/>
        <w:keepLines w:val="0"/>
        <w:spacing w:before="0" w:after="0" w:line="360" w:lineRule="auto"/>
        <w:ind w:left="420" w:leftChars="200"/>
        <w:rPr>
          <w:rFonts w:ascii="黑体" w:hAnsi="黑体" w:eastAsia="黑体"/>
          <w:color w:val="auto"/>
          <w:sz w:val="24"/>
          <w:highlight w:val="none"/>
        </w:rPr>
      </w:pPr>
      <w:bookmarkStart w:id="114" w:name="_26.组建评标委员会"/>
      <w:bookmarkEnd w:id="114"/>
      <w:r>
        <w:rPr>
          <w:rFonts w:hint="eastAsia" w:ascii="黑体" w:hAnsi="黑体" w:eastAsia="黑体"/>
          <w:color w:val="auto"/>
          <w:sz w:val="24"/>
          <w:highlight w:val="none"/>
        </w:rPr>
        <w:t>26.组建评标委员会</w:t>
      </w:r>
    </w:p>
    <w:p w14:paraId="37BCA53A">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5B1B78D6">
      <w:pPr>
        <w:pStyle w:val="23"/>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47F7909E">
      <w:pPr>
        <w:pStyle w:val="23"/>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7F73E64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1C56D6D7">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4A7CB8D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2DCCF06B">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30158F">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15" w:name="_28.3评标方法。本项目将按须知前附表规定的评标办法进行评标，具体评标"/>
      <w:bookmarkEnd w:id="115"/>
      <w:r>
        <w:rPr>
          <w:rFonts w:hint="eastAsia" w:hAnsi="宋体"/>
          <w:color w:val="auto"/>
          <w:sz w:val="21"/>
          <w:highlight w:val="none"/>
        </w:rPr>
        <w:t>评委表决。评标委员会成员对需要共同认定的事项存在争议的，应当按照少数服从多数的原则作出结论。</w:t>
      </w:r>
    </w:p>
    <w:p w14:paraId="11B7DCE1">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5A1539E">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2911B0DD">
      <w:pPr>
        <w:pStyle w:val="6"/>
        <w:keepNext w:val="0"/>
        <w:keepLines w:val="0"/>
        <w:spacing w:before="0" w:after="0" w:line="360" w:lineRule="auto"/>
        <w:ind w:left="420" w:leftChars="200"/>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26BAC74F">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67CDDF1">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5F5B41E3">
      <w:pPr>
        <w:pStyle w:val="23"/>
        <w:snapToGrid w:val="0"/>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4AFB8B6A">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2F203534">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01A5E19D">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53CCEFB8">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78153BB6">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61A0A090">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（5）其他无法保证电子交易的公平、公正和安全的情况。</w:t>
      </w:r>
    </w:p>
    <w:p w14:paraId="6A3CA06F">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2E3A049">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29.5出现下列情形之一的，应予废标：</w:t>
      </w:r>
    </w:p>
    <w:p w14:paraId="6188E1D1">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5B4BEBD6">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（2）出现影响采购公正的违法、违规行为的；</w:t>
      </w:r>
    </w:p>
    <w:p w14:paraId="0AA35394">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（3）投标人的报价均超过了采购预算，采购人不能支付的；</w:t>
      </w:r>
    </w:p>
    <w:p w14:paraId="36C9F848">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（4）因重大变故，采购任务取消的。</w:t>
      </w:r>
    </w:p>
    <w:p w14:paraId="7D46BFBD">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废标后，采购人应当将废标理由通知所有投标人。</w:t>
      </w:r>
    </w:p>
    <w:p w14:paraId="1E36B0D8">
      <w:pPr>
        <w:pStyle w:val="23"/>
        <w:snapToGrid w:val="0"/>
        <w:spacing w:line="360" w:lineRule="auto"/>
        <w:rPr>
          <w:rFonts w:hAnsi="宋体"/>
          <w:color w:val="auto"/>
          <w:sz w:val="21"/>
          <w:highlight w:val="none"/>
        </w:rPr>
      </w:pPr>
    </w:p>
    <w:p w14:paraId="332B199F">
      <w:pPr>
        <w:pStyle w:val="4"/>
        <w:keepNext w:val="0"/>
        <w:keepLines w:val="0"/>
        <w:jc w:val="center"/>
        <w:rPr>
          <w:color w:val="auto"/>
          <w:highlight w:val="none"/>
        </w:rPr>
      </w:pPr>
      <w:bookmarkStart w:id="116" w:name="_Toc254970546"/>
      <w:bookmarkStart w:id="117" w:name="_Toc254970687"/>
      <w:r>
        <w:rPr>
          <w:rFonts w:hint="eastAsia"/>
          <w:color w:val="auto"/>
          <w:highlight w:val="none"/>
        </w:rPr>
        <w:t>七、</w:t>
      </w:r>
      <w:bookmarkEnd w:id="116"/>
      <w:bookmarkEnd w:id="117"/>
      <w:r>
        <w:rPr>
          <w:rFonts w:hint="eastAsia"/>
          <w:color w:val="auto"/>
          <w:highlight w:val="none"/>
        </w:rPr>
        <w:t>中标和合同</w:t>
      </w:r>
    </w:p>
    <w:p w14:paraId="1782C9B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0F817356">
      <w:pPr>
        <w:pStyle w:val="6"/>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4325566">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A031BDF">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7451108D">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4F4E98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22B0E200">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76DAE5AD">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46AA093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4308E6D">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5D4A05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59184B60">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141081F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5855826B">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63791F7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4415C3BA">
      <w:pPr>
        <w:pStyle w:val="6"/>
        <w:keepNext w:val="0"/>
        <w:keepLines w:val="0"/>
        <w:spacing w:before="0" w:after="0" w:line="360" w:lineRule="auto"/>
        <w:ind w:firstLine="315" w:firstLineChars="150"/>
        <w:rPr>
          <w:rFonts w:ascii="宋体" w:hAnsi="宋体"/>
          <w:color w:val="auto"/>
          <w:sz w:val="21"/>
          <w:szCs w:val="21"/>
          <w:highlight w:val="none"/>
        </w:rPr>
      </w:pPr>
      <w:bookmarkStart w:id="118" w:name="_39.1中标人须于签订合同前按本须知前附表规定的金额转账或电汇到指定账"/>
      <w:bookmarkEnd w:id="118"/>
      <w:r>
        <w:rPr>
          <w:rFonts w:hint="eastAsia" w:ascii="宋体" w:hAnsi="宋体"/>
          <w:b w:val="0"/>
          <w:color w:val="auto"/>
          <w:sz w:val="21"/>
          <w:szCs w:val="21"/>
          <w:highlight w:val="none"/>
          <w:lang w:val="en-US" w:eastAsia="zh-CN"/>
        </w:rPr>
        <w:t xml:space="preserve"> 本项目不收取</w:t>
      </w:r>
      <w:r>
        <w:rPr>
          <w:rFonts w:hint="eastAsia" w:ascii="宋体" w:hAnsi="宋体"/>
          <w:b w:val="0"/>
          <w:color w:val="auto"/>
          <w:sz w:val="21"/>
          <w:szCs w:val="21"/>
          <w:highlight w:val="none"/>
        </w:rPr>
        <w:t>履约保证金</w:t>
      </w:r>
    </w:p>
    <w:p w14:paraId="120292A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620B2D73">
      <w:pPr>
        <w:pStyle w:val="6"/>
        <w:keepNext w:val="0"/>
        <w:keepLines w:val="0"/>
        <w:spacing w:before="0" w:after="0" w:line="360" w:lineRule="auto"/>
        <w:ind w:firstLine="315" w:firstLineChars="150"/>
        <w:rPr>
          <w:rFonts w:ascii="宋体" w:hAnsi="宋体"/>
          <w:b w:val="0"/>
          <w:color w:val="auto"/>
          <w:sz w:val="21"/>
          <w:szCs w:val="21"/>
          <w:highlight w:val="none"/>
        </w:rPr>
      </w:pPr>
      <w:bookmarkStart w:id="119" w:name="_40.1投标人接到中标通知书后，按须知前附表规定向采购人出示相关资格证"/>
      <w:bookmarkEnd w:id="119"/>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w:t>
      </w:r>
    </w:p>
    <w:p w14:paraId="160CDD0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06887BBD">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3CFFB07E">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82299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263F7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00CB0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31E41C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17222649">
      <w:pPr>
        <w:pStyle w:val="6"/>
        <w:keepNext w:val="0"/>
        <w:keepLines w:val="0"/>
        <w:spacing w:before="0" w:after="0" w:line="360" w:lineRule="auto"/>
        <w:ind w:left="420" w:leftChars="200"/>
        <w:rPr>
          <w:rFonts w:ascii="黑体" w:hAnsi="黑体" w:eastAsia="黑体"/>
          <w:color w:val="auto"/>
          <w:sz w:val="24"/>
          <w:highlight w:val="none"/>
        </w:rPr>
      </w:pPr>
      <w:bookmarkStart w:id="120" w:name="_41.政府采购合同公告"/>
      <w:bookmarkEnd w:id="120"/>
      <w:r>
        <w:rPr>
          <w:rFonts w:hint="eastAsia" w:ascii="黑体" w:hAnsi="黑体" w:eastAsia="黑体"/>
          <w:color w:val="auto"/>
          <w:sz w:val="24"/>
          <w:highlight w:val="none"/>
        </w:rPr>
        <w:t>37.政府采购合同公告</w:t>
      </w:r>
    </w:p>
    <w:p w14:paraId="14237EF6">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0CA5EF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5EA8E02C">
      <w:pPr>
        <w:pStyle w:val="7"/>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0FACE0A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63383B7">
      <w:pPr>
        <w:pStyle w:val="23"/>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150F8E5">
      <w:pPr>
        <w:pStyle w:val="23"/>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0A6934F3">
      <w:pPr>
        <w:pStyle w:val="23"/>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0120F3E5">
      <w:pPr>
        <w:pStyle w:val="6"/>
        <w:keepNext w:val="0"/>
        <w:keepLines w:val="0"/>
        <w:spacing w:before="0" w:after="0" w:line="360" w:lineRule="auto"/>
        <w:ind w:firstLine="315" w:firstLineChars="150"/>
        <w:rPr>
          <w:rFonts w:ascii="宋体" w:hAnsi="宋体"/>
          <w:b w:val="0"/>
          <w:color w:val="auto"/>
          <w:sz w:val="21"/>
          <w:szCs w:val="21"/>
          <w:highlight w:val="none"/>
        </w:rPr>
      </w:pPr>
      <w:bookmarkStart w:id="121" w:name="_9.2质疑、投诉应当采用书面形式，质疑函、投诉书均应明确阐述招标文件、"/>
      <w:bookmarkEnd w:id="121"/>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683952B5">
      <w:pPr>
        <w:pStyle w:val="23"/>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7A26E4A2">
      <w:pPr>
        <w:pStyle w:val="23"/>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411E2252">
      <w:pPr>
        <w:pStyle w:val="23"/>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C178D37">
      <w:pPr>
        <w:pStyle w:val="23"/>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E914042">
      <w:pPr>
        <w:pStyle w:val="23"/>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55B168A">
      <w:pPr>
        <w:pStyle w:val="23"/>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227CA1FF">
      <w:pPr>
        <w:pStyle w:val="23"/>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225F82C3">
      <w:pPr>
        <w:pStyle w:val="6"/>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528457C">
      <w:pPr>
        <w:pStyle w:val="23"/>
        <w:snapToGrid w:val="0"/>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4FE8D4D">
      <w:pPr>
        <w:pStyle w:val="23"/>
        <w:snapToGrid w:val="0"/>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247F81FD">
      <w:pPr>
        <w:pStyle w:val="23"/>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4AAA9788">
      <w:pPr>
        <w:pStyle w:val="23"/>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D842755">
      <w:pPr>
        <w:pStyle w:val="4"/>
        <w:keepNext w:val="0"/>
        <w:keepLines w:val="0"/>
        <w:spacing w:before="240" w:after="240" w:line="415" w:lineRule="auto"/>
        <w:jc w:val="center"/>
        <w:rPr>
          <w:color w:val="auto"/>
          <w:highlight w:val="none"/>
        </w:rPr>
      </w:pPr>
      <w:bookmarkStart w:id="122" w:name="_八、其他事项"/>
      <w:bookmarkEnd w:id="122"/>
      <w:r>
        <w:rPr>
          <w:rFonts w:hint="eastAsia"/>
          <w:color w:val="auto"/>
          <w:highlight w:val="none"/>
        </w:rPr>
        <w:t>八、其他事项</w:t>
      </w:r>
    </w:p>
    <w:p w14:paraId="21E5A313">
      <w:pPr>
        <w:pStyle w:val="6"/>
        <w:keepNext w:val="0"/>
        <w:keepLines w:val="0"/>
        <w:spacing w:before="0" w:after="0" w:line="360" w:lineRule="auto"/>
        <w:ind w:left="420" w:leftChars="200"/>
        <w:rPr>
          <w:rFonts w:ascii="黑体" w:hAnsi="黑体" w:eastAsia="黑体"/>
          <w:color w:val="auto"/>
          <w:sz w:val="24"/>
          <w:highlight w:val="none"/>
        </w:rPr>
      </w:pPr>
      <w:bookmarkStart w:id="123" w:name="_42.代理服务费"/>
      <w:bookmarkEnd w:id="123"/>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01ADD66A">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.1代理服务费收取标准及缴费账户详见“投标人须知前附表”。</w:t>
      </w:r>
    </w:p>
    <w:p w14:paraId="05075111">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04BDA145">
      <w:pPr>
        <w:spacing w:line="360" w:lineRule="auto"/>
        <w:rPr>
          <w:rFonts w:ascii="宋体" w:hAnsi="宋体"/>
          <w:color w:val="auto"/>
          <w:szCs w:val="21"/>
          <w:highlight w:val="none"/>
        </w:rPr>
      </w:pPr>
    </w:p>
    <w:tbl>
      <w:tblPr>
        <w:tblStyle w:val="44"/>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E62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tcPr>
          <w:p w14:paraId="79E07EFD">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3474A3EE">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79C1A352">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14A37408">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5DA71878">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6D06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79D143">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3D5DE5B6">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56423FF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469C160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1042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FC1A5C">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Pr>
          <w:p w14:paraId="6B8C0107">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Pr>
          <w:p w14:paraId="75105FE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103D070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5ACB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7F59A3">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Pr>
          <w:p w14:paraId="569EB12F">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Pr>
          <w:p w14:paraId="2100324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1F960F0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04A9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E88962F">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Pr>
          <w:p w14:paraId="68F6699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Pr>
          <w:p w14:paraId="503D512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5B5FC8D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061A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721595">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4AB2A24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42099ED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061F9EC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0B14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A1FA73F">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Pr>
          <w:p w14:paraId="6B5FEC5B">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59FB6268">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1BFB19A8">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761B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B870251">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Pr>
          <w:p w14:paraId="2570AF19">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6EFA2B78">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0E628F2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2E3E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1A95FF">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Pr>
          <w:p w14:paraId="4DF9124E">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67401CCA">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219D6526">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1BF6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8FCFCD">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Pr>
          <w:p w14:paraId="0223A1E0">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2C05BCE8">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732CE26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1A14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301FEC">
            <w:pPr>
              <w:spacing w:line="360" w:lineRule="auto"/>
              <w:rPr>
                <w:rFonts w:ascii="宋体" w:hAnsi="宋体"/>
                <w:color w:val="auto"/>
                <w:szCs w:val="21"/>
                <w:highlight w:val="none"/>
              </w:rPr>
            </w:pPr>
            <w:r>
              <w:rPr>
                <w:rFonts w:hint="eastAsia" w:ascii="宋体" w:hAnsi="宋体"/>
                <w:color w:val="auto"/>
                <w:szCs w:val="21"/>
                <w:highlight w:val="none"/>
              </w:rPr>
              <w:t>100亿元以上</w:t>
            </w:r>
          </w:p>
        </w:tc>
        <w:tc>
          <w:tcPr>
            <w:tcW w:w="1659" w:type="dxa"/>
          </w:tcPr>
          <w:p w14:paraId="03457D80">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1BEC4608">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5247730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2A31CD6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53A190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83FE4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463C36B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F0D216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5C7CC2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5CEFDC8B">
      <w:pPr>
        <w:pStyle w:val="23"/>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78EC9B4E">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280F053C">
      <w:pPr>
        <w:pStyle w:val="23"/>
        <w:spacing w:line="360" w:lineRule="auto"/>
        <w:ind w:firstLine="420" w:firstLineChars="200"/>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6348990D">
      <w:pPr>
        <w:pStyle w:val="23"/>
        <w:spacing w:line="360" w:lineRule="auto"/>
        <w:ind w:firstLine="420" w:firstLineChars="200"/>
        <w:rPr>
          <w:rFonts w:hAnsi="宋体" w:cs="宋体"/>
          <w:color w:val="auto"/>
          <w:sz w:val="21"/>
          <w:highlight w:val="none"/>
        </w:rPr>
      </w:pPr>
      <w:r>
        <w:rPr>
          <w:rFonts w:hint="eastAsia" w:hAnsi="宋体" w:cs="宋体"/>
          <w:color w:val="auto"/>
          <w:sz w:val="21"/>
          <w:highlight w:val="none"/>
        </w:rPr>
        <w:t>40.2 其他事项详见“投标人须知前附表”。</w:t>
      </w:r>
    </w:p>
    <w:p w14:paraId="732461C9">
      <w:pPr>
        <w:pStyle w:val="23"/>
        <w:spacing w:line="360" w:lineRule="auto"/>
        <w:ind w:firstLine="420" w:firstLineChars="200"/>
        <w:rPr>
          <w:rFonts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5C84298">
      <w:pPr>
        <w:pStyle w:val="23"/>
        <w:spacing w:line="360" w:lineRule="auto"/>
        <w:ind w:firstLine="420" w:firstLineChars="200"/>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EAFB4AE">
      <w:pPr>
        <w:pStyle w:val="23"/>
        <w:spacing w:line="360" w:lineRule="auto"/>
        <w:ind w:firstLine="420" w:firstLineChars="200"/>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5B373E4">
      <w:pPr>
        <w:pStyle w:val="23"/>
        <w:spacing w:line="360" w:lineRule="auto"/>
        <w:ind w:firstLine="420" w:firstLineChars="200"/>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071D542">
      <w:pPr>
        <w:pStyle w:val="23"/>
        <w:spacing w:line="360" w:lineRule="auto"/>
        <w:ind w:firstLine="420" w:firstLineChars="20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w:t>
      </w:r>
    </w:p>
    <w:p w14:paraId="6A0F203D">
      <w:pPr>
        <w:pStyle w:val="23"/>
        <w:spacing w:line="360" w:lineRule="auto"/>
        <w:ind w:firstLine="420" w:firstLineChars="200"/>
        <w:rPr>
          <w:rFonts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p>
    <w:p w14:paraId="6154A724">
      <w:pPr>
        <w:pStyle w:val="23"/>
        <w:snapToGrid w:val="0"/>
        <w:spacing w:before="120" w:after="120"/>
        <w:rPr>
          <w:rFonts w:hAnsi="宋体"/>
          <w:color w:val="auto"/>
          <w:highlight w:val="none"/>
        </w:rPr>
      </w:pPr>
    </w:p>
    <w:p w14:paraId="079CE7E6">
      <w:pPr>
        <w:pStyle w:val="23"/>
        <w:snapToGrid w:val="0"/>
        <w:spacing w:before="120" w:after="120"/>
        <w:rPr>
          <w:rFonts w:hAnsi="宋体"/>
          <w:color w:val="auto"/>
          <w:highlight w:val="none"/>
        </w:rPr>
      </w:pPr>
    </w:p>
    <w:p w14:paraId="29791189">
      <w:pPr>
        <w:pStyle w:val="23"/>
        <w:snapToGrid w:val="0"/>
        <w:spacing w:before="120" w:after="120"/>
        <w:rPr>
          <w:rFonts w:hAnsi="宋体"/>
          <w:color w:val="auto"/>
          <w:highlight w:val="none"/>
        </w:rPr>
      </w:pPr>
    </w:p>
    <w:p w14:paraId="24A28A57">
      <w:pPr>
        <w:pStyle w:val="23"/>
        <w:snapToGrid w:val="0"/>
        <w:spacing w:before="120" w:after="120"/>
        <w:rPr>
          <w:rFonts w:hAnsi="宋体"/>
          <w:color w:val="auto"/>
          <w:highlight w:val="none"/>
        </w:rPr>
      </w:pPr>
    </w:p>
    <w:p w14:paraId="0AA1EFB8">
      <w:pPr>
        <w:pStyle w:val="23"/>
        <w:snapToGrid w:val="0"/>
        <w:spacing w:before="120" w:after="120"/>
        <w:rPr>
          <w:rFonts w:hAnsi="宋体"/>
          <w:color w:val="auto"/>
          <w:highlight w:val="none"/>
        </w:rPr>
      </w:pPr>
    </w:p>
    <w:p w14:paraId="01761D98">
      <w:pPr>
        <w:pStyle w:val="23"/>
        <w:snapToGrid w:val="0"/>
        <w:spacing w:before="120" w:after="120"/>
        <w:rPr>
          <w:rFonts w:hAnsi="宋体"/>
          <w:color w:val="auto"/>
          <w:highlight w:val="none"/>
        </w:rPr>
      </w:pPr>
    </w:p>
    <w:p w14:paraId="2B5A0917">
      <w:pPr>
        <w:pStyle w:val="23"/>
        <w:snapToGrid w:val="0"/>
        <w:spacing w:before="120" w:after="120"/>
        <w:rPr>
          <w:rFonts w:hAnsi="宋体"/>
          <w:color w:val="auto"/>
          <w:highlight w:val="none"/>
        </w:rPr>
      </w:pPr>
    </w:p>
    <w:p w14:paraId="381B8C07">
      <w:pPr>
        <w:pStyle w:val="23"/>
        <w:snapToGrid w:val="0"/>
        <w:spacing w:before="120" w:after="120"/>
        <w:rPr>
          <w:rFonts w:hAnsi="宋体"/>
          <w:color w:val="auto"/>
          <w:highlight w:val="none"/>
        </w:rPr>
      </w:pPr>
    </w:p>
    <w:p w14:paraId="13D7B144">
      <w:pPr>
        <w:pStyle w:val="23"/>
        <w:snapToGrid w:val="0"/>
        <w:spacing w:before="120" w:after="120"/>
        <w:rPr>
          <w:rFonts w:hAnsi="宋体"/>
          <w:color w:val="auto"/>
          <w:highlight w:val="none"/>
        </w:rPr>
      </w:pPr>
    </w:p>
    <w:p w14:paraId="54B828DC">
      <w:pPr>
        <w:pStyle w:val="23"/>
        <w:snapToGrid w:val="0"/>
        <w:spacing w:before="120" w:after="120"/>
        <w:rPr>
          <w:rFonts w:hAnsi="宋体"/>
          <w:color w:val="auto"/>
          <w:highlight w:val="none"/>
        </w:rPr>
      </w:pPr>
    </w:p>
    <w:p w14:paraId="380471BD">
      <w:pPr>
        <w:pStyle w:val="23"/>
        <w:snapToGrid w:val="0"/>
        <w:spacing w:before="120" w:after="120"/>
        <w:rPr>
          <w:rFonts w:hAnsi="宋体"/>
          <w:color w:val="auto"/>
          <w:highlight w:val="none"/>
        </w:rPr>
      </w:pPr>
    </w:p>
    <w:p w14:paraId="1D8C3621">
      <w:pPr>
        <w:pStyle w:val="23"/>
        <w:snapToGrid w:val="0"/>
        <w:spacing w:before="120" w:after="120"/>
        <w:rPr>
          <w:rFonts w:hAnsi="宋体"/>
          <w:color w:val="auto"/>
          <w:highlight w:val="none"/>
        </w:rPr>
      </w:pPr>
    </w:p>
    <w:p w14:paraId="27055AFE">
      <w:pPr>
        <w:pStyle w:val="23"/>
        <w:snapToGrid w:val="0"/>
        <w:spacing w:before="120" w:after="120"/>
        <w:rPr>
          <w:rFonts w:hAnsi="宋体"/>
          <w:color w:val="auto"/>
          <w:highlight w:val="none"/>
        </w:rPr>
      </w:pPr>
    </w:p>
    <w:p w14:paraId="1380954C">
      <w:pPr>
        <w:pStyle w:val="2"/>
        <w:jc w:val="center"/>
        <w:rPr>
          <w:color w:val="auto"/>
          <w:highlight w:val="none"/>
        </w:rPr>
      </w:pPr>
      <w:bookmarkStart w:id="124" w:name="_Toc330456896"/>
      <w:bookmarkStart w:id="125" w:name="_Toc254970689"/>
      <w:bookmarkStart w:id="126" w:name="_Toc15687"/>
      <w:bookmarkStart w:id="127" w:name="_Toc254970548"/>
      <w:r>
        <w:rPr>
          <w:rFonts w:hint="eastAsia"/>
          <w:color w:val="auto"/>
          <w:highlight w:val="none"/>
        </w:rPr>
        <w:t>第四章  评标方法及评标标准</w:t>
      </w:r>
      <w:bookmarkEnd w:id="124"/>
      <w:bookmarkEnd w:id="125"/>
      <w:bookmarkEnd w:id="126"/>
      <w:bookmarkEnd w:id="127"/>
    </w:p>
    <w:p w14:paraId="46EC41FA">
      <w:pPr>
        <w:rPr>
          <w:color w:val="auto"/>
          <w:highlight w:val="none"/>
        </w:rPr>
      </w:pPr>
      <w:bookmarkStart w:id="128" w:name="_Toc254970690"/>
      <w:bookmarkStart w:id="129" w:name="_Toc254970549"/>
    </w:p>
    <w:bookmarkEnd w:id="128"/>
    <w:bookmarkEnd w:id="129"/>
    <w:p w14:paraId="70ABE497">
      <w:pPr>
        <w:rPr>
          <w:color w:val="auto"/>
          <w:highlight w:val="none"/>
        </w:rPr>
      </w:pPr>
    </w:p>
    <w:p w14:paraId="0D6D6DB8">
      <w:pPr>
        <w:rPr>
          <w:color w:val="auto"/>
          <w:highlight w:val="none"/>
        </w:rPr>
      </w:pPr>
    </w:p>
    <w:p w14:paraId="3A16DEDF">
      <w:pPr>
        <w:rPr>
          <w:color w:val="auto"/>
          <w:highlight w:val="none"/>
        </w:rPr>
      </w:pPr>
    </w:p>
    <w:p w14:paraId="1A70DF3D">
      <w:pPr>
        <w:rPr>
          <w:color w:val="auto"/>
          <w:highlight w:val="none"/>
        </w:rPr>
      </w:pPr>
    </w:p>
    <w:p w14:paraId="7730F2E9">
      <w:pPr>
        <w:rPr>
          <w:color w:val="auto"/>
          <w:highlight w:val="none"/>
        </w:rPr>
      </w:pPr>
    </w:p>
    <w:p w14:paraId="2BE3C6FD">
      <w:pPr>
        <w:rPr>
          <w:color w:val="auto"/>
          <w:highlight w:val="none"/>
        </w:rPr>
      </w:pPr>
    </w:p>
    <w:p w14:paraId="5C559294">
      <w:pPr>
        <w:rPr>
          <w:color w:val="auto"/>
          <w:highlight w:val="none"/>
        </w:rPr>
      </w:pPr>
    </w:p>
    <w:p w14:paraId="59E51A38">
      <w:pPr>
        <w:rPr>
          <w:color w:val="auto"/>
          <w:highlight w:val="none"/>
        </w:rPr>
      </w:pPr>
    </w:p>
    <w:p w14:paraId="452BCA1C">
      <w:pPr>
        <w:spacing w:before="120" w:beforeLines="50" w:after="120" w:afterLines="50" w:line="400" w:lineRule="exact"/>
        <w:rPr>
          <w:rFonts w:ascii="宋体" w:hAnsi="宋体"/>
          <w:b/>
          <w:color w:val="auto"/>
          <w:sz w:val="24"/>
          <w:highlight w:val="none"/>
        </w:rPr>
      </w:pPr>
    </w:p>
    <w:p w14:paraId="3BF56000">
      <w:pPr>
        <w:spacing w:before="120" w:beforeLines="50" w:after="120" w:afterLines="50" w:line="400" w:lineRule="exact"/>
        <w:rPr>
          <w:rFonts w:ascii="宋体" w:hAnsi="宋体"/>
          <w:b/>
          <w:color w:val="auto"/>
          <w:sz w:val="24"/>
          <w:highlight w:val="none"/>
        </w:rPr>
      </w:pPr>
    </w:p>
    <w:p w14:paraId="4F70B2F2">
      <w:pPr>
        <w:pStyle w:val="23"/>
        <w:spacing w:line="360" w:lineRule="exact"/>
        <w:rPr>
          <w:rFonts w:hAnsi="宋体"/>
          <w:b/>
          <w:color w:val="auto"/>
          <w:sz w:val="24"/>
          <w:highlight w:val="none"/>
        </w:rPr>
      </w:pPr>
    </w:p>
    <w:p w14:paraId="318DCAAD">
      <w:pPr>
        <w:pStyle w:val="23"/>
        <w:spacing w:line="360" w:lineRule="exact"/>
        <w:rPr>
          <w:rFonts w:hAnsi="宋体"/>
          <w:b/>
          <w:color w:val="auto"/>
          <w:sz w:val="24"/>
          <w:highlight w:val="none"/>
        </w:rPr>
      </w:pPr>
    </w:p>
    <w:p w14:paraId="27A523BE">
      <w:pPr>
        <w:pStyle w:val="23"/>
        <w:spacing w:line="360" w:lineRule="exact"/>
        <w:rPr>
          <w:rFonts w:hAnsi="宋体"/>
          <w:b/>
          <w:color w:val="auto"/>
          <w:sz w:val="24"/>
          <w:highlight w:val="none"/>
        </w:rPr>
      </w:pPr>
    </w:p>
    <w:p w14:paraId="05590226">
      <w:pPr>
        <w:pStyle w:val="23"/>
        <w:spacing w:line="360" w:lineRule="exact"/>
        <w:rPr>
          <w:rFonts w:hAnsi="宋体"/>
          <w:b/>
          <w:color w:val="auto"/>
          <w:sz w:val="24"/>
          <w:highlight w:val="none"/>
        </w:rPr>
      </w:pPr>
    </w:p>
    <w:p w14:paraId="42B42247">
      <w:pPr>
        <w:pStyle w:val="23"/>
        <w:spacing w:line="360" w:lineRule="exact"/>
        <w:rPr>
          <w:rFonts w:hAnsi="宋体"/>
          <w:b/>
          <w:color w:val="auto"/>
          <w:sz w:val="24"/>
          <w:highlight w:val="none"/>
        </w:rPr>
      </w:pPr>
    </w:p>
    <w:p w14:paraId="1393D9A8">
      <w:pPr>
        <w:pStyle w:val="23"/>
        <w:spacing w:line="360" w:lineRule="exact"/>
        <w:rPr>
          <w:rFonts w:hAnsi="宋体"/>
          <w:b/>
          <w:color w:val="auto"/>
          <w:sz w:val="24"/>
          <w:highlight w:val="none"/>
        </w:rPr>
      </w:pPr>
    </w:p>
    <w:p w14:paraId="2A11D009">
      <w:pPr>
        <w:pStyle w:val="23"/>
        <w:spacing w:line="360" w:lineRule="exact"/>
        <w:rPr>
          <w:rFonts w:hAnsi="宋体"/>
          <w:bCs/>
          <w:color w:val="auto"/>
          <w:highlight w:val="none"/>
        </w:rPr>
      </w:pPr>
      <w:r>
        <w:rPr>
          <w:rFonts w:hAnsi="宋体"/>
          <w:bCs/>
          <w:color w:val="auto"/>
          <w:highlight w:val="none"/>
        </w:rPr>
        <w:t xml:space="preserve"> </w:t>
      </w:r>
    </w:p>
    <w:p w14:paraId="0866A01F">
      <w:pPr>
        <w:pStyle w:val="4"/>
        <w:keepNext w:val="0"/>
        <w:keepLines w:val="0"/>
        <w:jc w:val="center"/>
        <w:rPr>
          <w:color w:val="auto"/>
          <w:highlight w:val="none"/>
        </w:rPr>
      </w:pPr>
    </w:p>
    <w:p w14:paraId="0B876946">
      <w:pPr>
        <w:rPr>
          <w:color w:val="auto"/>
          <w:highlight w:val="none"/>
        </w:rPr>
      </w:pPr>
    </w:p>
    <w:p w14:paraId="6419773D">
      <w:pPr>
        <w:pStyle w:val="4"/>
        <w:keepNext w:val="0"/>
        <w:keepLines w:val="0"/>
        <w:jc w:val="center"/>
        <w:rPr>
          <w:color w:val="auto"/>
          <w:highlight w:val="none"/>
        </w:rPr>
      </w:pPr>
      <w:r>
        <w:rPr>
          <w:rFonts w:hint="eastAsia"/>
          <w:color w:val="auto"/>
          <w:highlight w:val="none"/>
        </w:rPr>
        <w:t>一、评标方法</w:t>
      </w:r>
    </w:p>
    <w:p w14:paraId="40003EEB">
      <w:pPr>
        <w:pStyle w:val="23"/>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647A9C74">
      <w:pPr>
        <w:pStyle w:val="23"/>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4ED0FB3C">
      <w:pPr>
        <w:pStyle w:val="4"/>
        <w:keepNext w:val="0"/>
        <w:keepLines w:val="0"/>
        <w:jc w:val="center"/>
        <w:rPr>
          <w:color w:val="auto"/>
          <w:highlight w:val="none"/>
        </w:rPr>
      </w:pPr>
      <w:r>
        <w:rPr>
          <w:rFonts w:hint="eastAsia"/>
          <w:color w:val="auto"/>
          <w:highlight w:val="none"/>
        </w:rPr>
        <w:t>二、评标程序</w:t>
      </w:r>
    </w:p>
    <w:p w14:paraId="4243189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23144DDA">
      <w:pPr>
        <w:pStyle w:val="23"/>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5CFB5F9D">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328FE57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55623754">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33F18774">
      <w:pPr>
        <w:pStyle w:val="7"/>
        <w:numPr>
          <w:ilvl w:val="0"/>
          <w:numId w:val="3"/>
        </w:numPr>
        <w:spacing w:line="360" w:lineRule="auto"/>
        <w:ind w:firstLine="398" w:firstLineChars="200"/>
        <w:rPr>
          <w:rFonts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53E6433B">
      <w:pPr>
        <w:pStyle w:val="7"/>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3AE2352">
      <w:pPr>
        <w:pStyle w:val="7"/>
        <w:numPr>
          <w:ilvl w:val="0"/>
          <w:numId w:val="3"/>
        </w:numPr>
        <w:spacing w:line="360" w:lineRule="auto"/>
        <w:ind w:left="-2" w:firstLine="422"/>
        <w:rPr>
          <w:rFonts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0A8DE86B">
      <w:pPr>
        <w:pStyle w:val="7"/>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11A0C5E">
      <w:pPr>
        <w:pStyle w:val="7"/>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修正后的报价，投标人不确认的；</w:t>
      </w:r>
    </w:p>
    <w:p w14:paraId="5F592E2A">
      <w:pPr>
        <w:pStyle w:val="7"/>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B4CEE0D">
      <w:pPr>
        <w:pStyle w:val="7"/>
        <w:numPr>
          <w:ilvl w:val="0"/>
          <w:numId w:val="3"/>
        </w:numPr>
        <w:spacing w:line="360" w:lineRule="auto"/>
        <w:ind w:firstLine="398" w:firstLineChars="200"/>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51556A7F">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54E37B0D">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35F497A9">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036B047E">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B97FDF0">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50F5A173">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7A3F9AA1">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751C1B3B">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524D934E">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0518EE55">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87BE1F0">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33976A5D">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52D831C6">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4AFA576A">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00F85939">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52839FC5">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E952E06">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C1358DF">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D4541C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4FA0056">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55EB92D2">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96C693E">
      <w:pP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4</w:t>
      </w:r>
      <w:r>
        <w:rPr>
          <w:rFonts w:hint="eastAsia" w:ascii="宋体" w:hAnsi="宋体" w:cs="Courier New"/>
          <w:color w:val="auto"/>
          <w:szCs w:val="21"/>
          <w:highlight w:val="none"/>
        </w:rPr>
        <w:t xml:space="preserve">.1投标文件报价出现前后不一致的，除“投标文件前附表”另有规定的情形，按照下列规定修正： </w:t>
      </w:r>
    </w:p>
    <w:p w14:paraId="5F0E3907">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3FAEA2A6">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29A2A3BB">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5F700636">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67AB382E">
      <w:pPr>
        <w:pStyle w:val="23"/>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E973280">
      <w:pPr>
        <w:pStyle w:val="6"/>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97920A7">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36E6A3CD">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926B02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6C3FFF2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6E2DB16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9FC661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12E60C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的，即投标报价＜全部通过符合性审查供应商投标报价平均值×</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1E8C8D4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的，即投标报价＜通过符合性审查的次低报价供应商投标报价×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1114374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45</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的，即投标报价＜采购项目最高限价×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45</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4F98926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2B345DF2">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304C41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38E267A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0AFB40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4F9A777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3E6D56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79964FF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687D9A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4B5CAC9">
      <w:pPr>
        <w:snapToGrid w:val="0"/>
        <w:spacing w:line="360" w:lineRule="auto"/>
        <w:ind w:firstLine="424" w:firstLineChars="202"/>
        <w:jc w:val="center"/>
        <w:rPr>
          <w:color w:val="auto"/>
          <w:highlight w:val="none"/>
        </w:rPr>
      </w:pPr>
      <w:r>
        <w:rPr>
          <w:rFonts w:hAnsi="宋体"/>
          <w:color w:val="auto"/>
          <w:highlight w:val="none"/>
        </w:rPr>
        <w:br w:type="page"/>
      </w:r>
      <w:bookmarkStart w:id="130" w:name="_Hlk71707917"/>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7D31692B">
      <w:pPr>
        <w:pStyle w:val="4"/>
        <w:keepNext w:val="0"/>
        <w:keepLines w:val="0"/>
        <w:jc w:val="center"/>
        <w:rPr>
          <w:color w:val="auto"/>
          <w:highlight w:val="none"/>
        </w:rPr>
      </w:pPr>
      <w:r>
        <w:rPr>
          <w:rFonts w:hint="eastAsia"/>
          <w:color w:val="auto"/>
          <w:highlight w:val="none"/>
        </w:rPr>
        <w:t>综合评分法</w:t>
      </w:r>
    </w:p>
    <w:bookmarkEnd w:id="130"/>
    <w:tbl>
      <w:tblPr>
        <w:tblStyle w:val="44"/>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019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147" w:type="dxa"/>
            <w:gridSpan w:val="2"/>
            <w:vAlign w:val="center"/>
          </w:tcPr>
          <w:p w14:paraId="6B9C830A">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701" w:type="dxa"/>
            <w:vAlign w:val="center"/>
          </w:tcPr>
          <w:p w14:paraId="6E5C108A">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5660" w:type="dxa"/>
            <w:vAlign w:val="center"/>
          </w:tcPr>
          <w:p w14:paraId="5CF36C5A">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0BA0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Align w:val="center"/>
          </w:tcPr>
          <w:p w14:paraId="2371D683">
            <w:pPr>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1585" w:type="dxa"/>
            <w:vAlign w:val="center"/>
          </w:tcPr>
          <w:p w14:paraId="613F1C82">
            <w:pPr>
              <w:adjustRightInd w:val="0"/>
              <w:spacing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4D35800E">
            <w:pPr>
              <w:adjustRightInd w:val="0"/>
              <w:spacing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lang w:val="en-US" w:eastAsia="zh-CN"/>
              </w:rPr>
              <w:t>20</w:t>
            </w:r>
            <w:r>
              <w:rPr>
                <w:rFonts w:hint="eastAsia" w:ascii="宋体" w:hAnsi="宋体"/>
                <w:b/>
                <w:bCs/>
                <w:color w:val="auto"/>
                <w:szCs w:val="21"/>
                <w:highlight w:val="none"/>
              </w:rPr>
              <w:t>分）</w:t>
            </w:r>
          </w:p>
        </w:tc>
        <w:tc>
          <w:tcPr>
            <w:tcW w:w="1701" w:type="dxa"/>
            <w:vAlign w:val="center"/>
          </w:tcPr>
          <w:p w14:paraId="187E6C8F">
            <w:pPr>
              <w:adjustRightInd w:val="0"/>
              <w:spacing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投标报价</w:t>
            </w:r>
          </w:p>
        </w:tc>
        <w:tc>
          <w:tcPr>
            <w:tcW w:w="5660" w:type="dxa"/>
            <w:vAlign w:val="center"/>
          </w:tcPr>
          <w:p w14:paraId="4E3B88BE">
            <w:pPr>
              <w:snapToGrid w:val="0"/>
              <w:spacing w:line="360" w:lineRule="auto"/>
              <w:rPr>
                <w:rFonts w:hint="eastAsia" w:ascii="宋体" w:hAnsi="宋体" w:eastAsia="宋体"/>
                <w:b/>
                <w:bCs w:val="0"/>
                <w:color w:val="auto"/>
                <w:szCs w:val="21"/>
                <w:highlight w:val="none"/>
                <w:lang w:eastAsia="zh-CN"/>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本项目属于100%专门面向中小微企业采购的项目，评标报价不进行政策性扣除。</w:t>
            </w:r>
            <w:r>
              <w:rPr>
                <w:rFonts w:hint="eastAsia" w:ascii="宋体" w:hAnsi="宋体"/>
                <w:b/>
                <w:bCs w:val="0"/>
                <w:color w:val="auto"/>
                <w:szCs w:val="21"/>
                <w:highlight w:val="none"/>
                <w:lang w:eastAsia="zh-CN"/>
              </w:rPr>
              <w:t>）</w:t>
            </w:r>
          </w:p>
          <w:p w14:paraId="3068949A">
            <w:pPr>
              <w:snapToGrid w:val="0"/>
              <w:spacing w:line="360" w:lineRule="auto"/>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）满足招标文件要求且评标报价最低的评标报价为评标基准价，其价格分为满分。</w:t>
            </w:r>
          </w:p>
          <w:p w14:paraId="3719B262">
            <w:pPr>
              <w:spacing w:line="360" w:lineRule="auto"/>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）价格分计算公式：        </w:t>
            </w:r>
          </w:p>
          <w:p w14:paraId="6FDD3CA7">
            <w:pPr>
              <w:spacing w:line="240" w:lineRule="exact"/>
              <w:ind w:firstLine="420" w:firstLineChars="200"/>
              <w:rPr>
                <w:rFonts w:ascii="宋体" w:hAnsi="宋体" w:cs="Courier New"/>
                <w:bCs/>
                <w:color w:val="auto"/>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w:t>
            </w:r>
            <w:r>
              <w:rPr>
                <w:rFonts w:hint="eastAsia" w:ascii="宋体" w:hAnsi="宋体" w:cs="Courier New"/>
                <w:bCs/>
                <w:color w:val="auto"/>
                <w:szCs w:val="21"/>
                <w:highlight w:val="none"/>
                <w:u w:val="single"/>
                <w:lang w:val="en-US" w:eastAsia="zh-CN"/>
              </w:rPr>
              <w:t>20</w:t>
            </w:r>
            <w:r>
              <w:rPr>
                <w:rFonts w:hint="eastAsia" w:ascii="宋体" w:hAnsi="宋体" w:cs="Courier New"/>
                <w:bCs/>
                <w:color w:val="auto"/>
                <w:szCs w:val="21"/>
                <w:highlight w:val="none"/>
              </w:rPr>
              <w:t>分</w:t>
            </w:r>
          </w:p>
          <w:p w14:paraId="156CD7D2">
            <w:pPr>
              <w:spacing w:line="240" w:lineRule="exact"/>
              <w:ind w:firstLine="420" w:firstLineChars="200"/>
              <w:rPr>
                <w:rFonts w:ascii="宋体" w:hAnsi="宋体" w:cs="Courier New"/>
                <w:bCs/>
                <w:color w:val="auto"/>
                <w:szCs w:val="21"/>
                <w:highlight w:val="none"/>
              </w:rPr>
            </w:pPr>
          </w:p>
        </w:tc>
      </w:tr>
      <w:tr w14:paraId="3638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62" w:type="dxa"/>
            <w:vMerge w:val="restart"/>
            <w:vAlign w:val="center"/>
          </w:tcPr>
          <w:p w14:paraId="1D7FED9F">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1585" w:type="dxa"/>
            <w:vMerge w:val="restart"/>
            <w:vAlign w:val="center"/>
          </w:tcPr>
          <w:p w14:paraId="4FCBA93A">
            <w:pPr>
              <w:adjustRightInd w:val="0"/>
              <w:spacing w:line="360" w:lineRule="exact"/>
              <w:jc w:val="center"/>
              <w:textAlignment w:val="baseline"/>
              <w:rPr>
                <w:rFonts w:ascii="宋体" w:hAnsi="宋体"/>
                <w:color w:val="auto"/>
                <w:spacing w:val="-18"/>
                <w:szCs w:val="21"/>
                <w:highlight w:val="none"/>
              </w:rPr>
            </w:pPr>
            <w:r>
              <w:rPr>
                <w:rFonts w:hint="eastAsia" w:ascii="宋体" w:hAnsi="宋体"/>
                <w:b/>
                <w:bCs/>
                <w:color w:val="auto"/>
                <w:szCs w:val="21"/>
                <w:highlight w:val="none"/>
              </w:rPr>
              <w:t>技术分（满分</w:t>
            </w:r>
            <w:r>
              <w:rPr>
                <w:rFonts w:hint="eastAsia" w:ascii="宋体" w:hAnsi="宋体"/>
                <w:b/>
                <w:bCs/>
                <w:color w:val="auto"/>
                <w:szCs w:val="21"/>
                <w:highlight w:val="none"/>
                <w:lang w:val="en-US" w:eastAsia="zh-CN"/>
              </w:rPr>
              <w:t>45</w:t>
            </w:r>
            <w:r>
              <w:rPr>
                <w:rFonts w:hint="eastAsia" w:ascii="宋体" w:hAnsi="宋体"/>
                <w:b/>
                <w:bCs/>
                <w:color w:val="auto"/>
                <w:szCs w:val="21"/>
                <w:highlight w:val="none"/>
              </w:rPr>
              <w:t>分）</w:t>
            </w:r>
          </w:p>
        </w:tc>
        <w:tc>
          <w:tcPr>
            <w:tcW w:w="1701" w:type="dxa"/>
            <w:vAlign w:val="center"/>
          </w:tcPr>
          <w:p w14:paraId="0E20F7F0">
            <w:pPr>
              <w:widowControl/>
              <w:snapToGrid w:val="0"/>
              <w:spacing w:line="360" w:lineRule="atLeast"/>
              <w:jc w:val="center"/>
              <w:rPr>
                <w:rFonts w:ascii="宋体" w:hAnsi="宋体" w:cs="微软雅黑"/>
                <w:color w:val="auto"/>
                <w:spacing w:val="-2"/>
                <w:szCs w:val="21"/>
                <w:highlight w:val="none"/>
              </w:rPr>
            </w:pPr>
            <w:r>
              <w:rPr>
                <w:rFonts w:hint="eastAsia" w:ascii="宋体" w:hAnsi="宋体" w:cs="微软雅黑"/>
                <w:color w:val="auto"/>
                <w:spacing w:val="-2"/>
                <w:szCs w:val="21"/>
                <w:highlight w:val="none"/>
              </w:rPr>
              <w:t>项目总体运维方案分</w:t>
            </w:r>
          </w:p>
          <w:p w14:paraId="25C134EF">
            <w:pPr>
              <w:widowControl/>
              <w:snapToGrid w:val="0"/>
              <w:spacing w:line="360" w:lineRule="atLeast"/>
              <w:jc w:val="center"/>
              <w:rPr>
                <w:rFonts w:ascii="宋体" w:hAnsi="宋体" w:cs="微软雅黑"/>
                <w:color w:val="auto"/>
                <w:szCs w:val="21"/>
                <w:highlight w:val="none"/>
              </w:rPr>
            </w:pPr>
            <w:r>
              <w:rPr>
                <w:rFonts w:hint="eastAsia" w:ascii="宋体" w:hAnsi="宋体" w:cs="微软雅黑"/>
                <w:color w:val="auto"/>
                <w:spacing w:val="-2"/>
                <w:szCs w:val="21"/>
                <w:highlight w:val="none"/>
              </w:rPr>
              <w:t>（满分</w:t>
            </w:r>
            <w:r>
              <w:rPr>
                <w:rFonts w:hint="eastAsia" w:ascii="宋体" w:hAnsi="宋体" w:cs="微软雅黑"/>
                <w:color w:val="auto"/>
                <w:spacing w:val="-2"/>
                <w:szCs w:val="21"/>
                <w:highlight w:val="none"/>
                <w:lang w:val="en-US" w:eastAsia="zh-CN"/>
              </w:rPr>
              <w:t>8</w:t>
            </w:r>
            <w:r>
              <w:rPr>
                <w:rFonts w:hint="eastAsia" w:ascii="宋体" w:hAnsi="宋体" w:cs="微软雅黑"/>
                <w:color w:val="auto"/>
                <w:spacing w:val="-2"/>
                <w:szCs w:val="21"/>
                <w:highlight w:val="none"/>
              </w:rPr>
              <w:t>分）</w:t>
            </w:r>
          </w:p>
        </w:tc>
        <w:tc>
          <w:tcPr>
            <w:tcW w:w="5660" w:type="dxa"/>
            <w:vAlign w:val="center"/>
          </w:tcPr>
          <w:p w14:paraId="4980DAF3">
            <w:pPr>
              <w:widowControl/>
              <w:snapToGrid w:val="0"/>
              <w:spacing w:line="360" w:lineRule="atLeast"/>
              <w:rPr>
                <w:rFonts w:hint="eastAsia" w:ascii="宋体" w:hAnsi="宋体" w:cs="微软雅黑"/>
                <w:color w:val="auto"/>
                <w:spacing w:val="-2"/>
                <w:szCs w:val="21"/>
                <w:highlight w:val="none"/>
              </w:rPr>
            </w:pPr>
            <w:r>
              <w:rPr>
                <w:rFonts w:hint="eastAsia" w:ascii="宋体" w:hAnsi="宋体" w:cs="微软雅黑"/>
                <w:color w:val="auto"/>
                <w:spacing w:val="-2"/>
                <w:szCs w:val="21"/>
                <w:highlight w:val="none"/>
              </w:rPr>
              <w:t>对投标人的项目总体运维方案进行独立评分：</w:t>
            </w:r>
          </w:p>
          <w:p w14:paraId="5B715692">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第一档（8分）：方案完整详尽</w:t>
            </w:r>
            <w:r>
              <w:rPr>
                <w:rFonts w:hint="eastAsia" w:ascii="宋体" w:hAnsi="宋体" w:cs="微软雅黑"/>
                <w:color w:val="auto"/>
                <w:spacing w:val="-2"/>
                <w:szCs w:val="21"/>
                <w:highlight w:val="none"/>
                <w:lang w:val="en-US" w:eastAsia="zh-CN"/>
              </w:rPr>
              <w:t>，</w:t>
            </w:r>
            <w:r>
              <w:rPr>
                <w:rFonts w:ascii="宋体" w:hAnsi="宋体" w:cs="微软雅黑"/>
                <w:color w:val="auto"/>
                <w:spacing w:val="-2"/>
                <w:szCs w:val="21"/>
                <w:highlight w:val="none"/>
                <w:lang w:val="en-US" w:eastAsia="zh-CN"/>
              </w:rPr>
              <w:t>完全贴合镇级污水设施（场站+管网+泵站）运营特点，全面覆盖</w:t>
            </w:r>
            <w:r>
              <w:rPr>
                <w:rFonts w:hint="eastAsia" w:ascii="宋体" w:hAnsi="宋体" w:cs="微软雅黑"/>
                <w:color w:val="auto"/>
                <w:spacing w:val="-2"/>
                <w:szCs w:val="21"/>
                <w:highlight w:val="none"/>
                <w:lang w:val="en-US" w:eastAsia="zh-CN"/>
              </w:rPr>
              <w:t>5</w:t>
            </w:r>
            <w:r>
              <w:rPr>
                <w:rFonts w:ascii="宋体" w:hAnsi="宋体" w:cs="微软雅黑"/>
                <w:color w:val="auto"/>
                <w:spacing w:val="-2"/>
                <w:szCs w:val="21"/>
                <w:highlight w:val="none"/>
                <w:lang w:val="en-US" w:eastAsia="zh-CN"/>
              </w:rPr>
              <w:t>个镇级污水处理场站运营、配套管网巡检清淤、中途污水提升泵站巡查维护全流程，明确包含智慧运维管理云平台建设及运维、人员配置落地、备机备品储备、应急处置等所有核心内容，逻辑清晰、措施具体可操作，可直接落地执行。</w:t>
            </w:r>
          </w:p>
          <w:p w14:paraId="46ED81A1">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二档（6分）：方案完整，贴合镇级污水设施运营特点，全面覆盖场站运营、管网维护、泵站巡查全流程，明确包含智慧运维管理云平台、人员配置、备机备品等核心内容，措施具体、逻辑清晰，仅存在少量细节表述不够细致的情况，不影响方案落地执行。</w:t>
            </w:r>
          </w:p>
          <w:p w14:paraId="4E4AF648">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第三档（4分）：方案覆盖本项目运维核心需求，贴合镇级污水设施运营特点，全面覆盖场站运营、管网维护、泵站巡查核心流程，明确包含智慧运维管理云平台、人员配置等主要内容。</w:t>
            </w:r>
          </w:p>
          <w:p w14:paraId="2F15E6C9">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第四档（2分）：方案简陋，</w:t>
            </w:r>
            <w:r>
              <w:rPr>
                <w:rFonts w:ascii="宋体" w:hAnsi="宋体" w:cs="宋体"/>
                <w:color w:val="auto"/>
                <w:szCs w:val="21"/>
                <w:highlight w:val="none"/>
                <w:lang w:val="en-US" w:eastAsia="zh-CN"/>
              </w:rPr>
              <w:t>未充分贴合</w:t>
            </w:r>
            <w:r>
              <w:rPr>
                <w:rFonts w:ascii="宋体" w:hAnsi="宋体" w:cs="微软雅黑"/>
                <w:color w:val="auto"/>
                <w:spacing w:val="-2"/>
                <w:szCs w:val="21"/>
                <w:highlight w:val="none"/>
                <w:lang w:val="en-US" w:eastAsia="zh-CN"/>
              </w:rPr>
              <w:t>镇级污水设施运营特点，场站+管网+泵站全流程</w:t>
            </w:r>
            <w:r>
              <w:rPr>
                <w:rFonts w:hint="eastAsia" w:ascii="宋体" w:hAnsi="宋体" w:cs="微软雅黑"/>
                <w:color w:val="auto"/>
                <w:spacing w:val="-2"/>
                <w:szCs w:val="21"/>
                <w:highlight w:val="none"/>
                <w:lang w:val="en-US" w:eastAsia="zh-CN"/>
              </w:rPr>
              <w:t>不能</w:t>
            </w:r>
            <w:r>
              <w:rPr>
                <w:rFonts w:ascii="宋体" w:hAnsi="宋体" w:cs="微软雅黑"/>
                <w:color w:val="auto"/>
                <w:spacing w:val="-2"/>
                <w:szCs w:val="21"/>
                <w:highlight w:val="none"/>
                <w:lang w:val="en-US" w:eastAsia="zh-CN"/>
              </w:rPr>
              <w:t>全面覆盖，核心内容笼统模糊。</w:t>
            </w:r>
          </w:p>
          <w:p w14:paraId="02D01BBE">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第五档（0分）：未提供项目总体运维方案，或方案完全不贴合本项目镇级污水设施运维需求，未涉及场站、管网、泵站任何核心运维内容，无实际可操作性，无法满足项目基本运维要求。</w:t>
            </w:r>
          </w:p>
          <w:p w14:paraId="0BD6625D">
            <w:pPr>
              <w:widowControl/>
              <w:snapToGrid w:val="0"/>
              <w:spacing w:line="360" w:lineRule="atLeast"/>
              <w:rPr>
                <w:rFonts w:ascii="宋体" w:hAnsi="宋体" w:cs="微软雅黑"/>
                <w:color w:val="auto"/>
                <w:spacing w:val="-2"/>
                <w:szCs w:val="21"/>
                <w:highlight w:val="none"/>
              </w:rPr>
            </w:pPr>
          </w:p>
        </w:tc>
      </w:tr>
      <w:tr w14:paraId="5C2D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2" w:type="dxa"/>
            <w:vMerge w:val="continue"/>
          </w:tcPr>
          <w:p w14:paraId="03FEB7FE">
            <w:pPr>
              <w:adjustRightInd w:val="0"/>
              <w:snapToGrid w:val="0"/>
              <w:spacing w:line="360" w:lineRule="atLeast"/>
              <w:jc w:val="center"/>
              <w:textAlignment w:val="baseline"/>
              <w:rPr>
                <w:rFonts w:ascii="宋体" w:hAnsi="宋体"/>
                <w:color w:val="auto"/>
                <w:szCs w:val="21"/>
                <w:highlight w:val="none"/>
              </w:rPr>
            </w:pPr>
          </w:p>
        </w:tc>
        <w:tc>
          <w:tcPr>
            <w:tcW w:w="1585" w:type="dxa"/>
            <w:vMerge w:val="continue"/>
          </w:tcPr>
          <w:p w14:paraId="5DE5487D">
            <w:pPr>
              <w:adjustRightInd w:val="0"/>
              <w:snapToGrid w:val="0"/>
              <w:spacing w:line="360" w:lineRule="atLeast"/>
              <w:jc w:val="center"/>
              <w:textAlignment w:val="baseline"/>
              <w:rPr>
                <w:rFonts w:ascii="宋体" w:hAnsi="宋体"/>
                <w:color w:val="auto"/>
                <w:szCs w:val="21"/>
                <w:highlight w:val="none"/>
              </w:rPr>
            </w:pPr>
          </w:p>
        </w:tc>
        <w:tc>
          <w:tcPr>
            <w:tcW w:w="1701" w:type="dxa"/>
            <w:tcMar>
              <w:left w:w="57" w:type="dxa"/>
              <w:right w:w="57" w:type="dxa"/>
            </w:tcMar>
            <w:vAlign w:val="center"/>
          </w:tcPr>
          <w:p w14:paraId="5F285769">
            <w:pPr>
              <w:widowControl/>
              <w:snapToGrid w:val="0"/>
              <w:spacing w:line="360" w:lineRule="atLeast"/>
              <w:jc w:val="center"/>
              <w:rPr>
                <w:rFonts w:ascii="宋体" w:hAnsi="宋体" w:cs="微软雅黑"/>
                <w:color w:val="auto"/>
                <w:spacing w:val="-2"/>
                <w:szCs w:val="21"/>
                <w:highlight w:val="none"/>
              </w:rPr>
            </w:pPr>
            <w:r>
              <w:rPr>
                <w:rFonts w:hint="eastAsia" w:ascii="宋体" w:hAnsi="宋体" w:cs="微软雅黑"/>
                <w:color w:val="auto"/>
                <w:spacing w:val="-2"/>
                <w:szCs w:val="21"/>
                <w:highlight w:val="none"/>
              </w:rPr>
              <w:t>工艺运行与出水达标保障分</w:t>
            </w:r>
          </w:p>
          <w:p w14:paraId="29AE2FB6">
            <w:pPr>
              <w:widowControl/>
              <w:snapToGrid w:val="0"/>
              <w:spacing w:line="360" w:lineRule="atLeast"/>
              <w:jc w:val="center"/>
              <w:rPr>
                <w:rFonts w:ascii="宋体" w:hAnsi="宋体" w:cs="微软雅黑"/>
                <w:color w:val="auto"/>
                <w:spacing w:val="-2"/>
                <w:szCs w:val="21"/>
                <w:highlight w:val="none"/>
              </w:rPr>
            </w:pPr>
            <w:r>
              <w:rPr>
                <w:rFonts w:hint="eastAsia" w:ascii="宋体" w:hAnsi="宋体" w:cs="微软雅黑"/>
                <w:color w:val="auto"/>
                <w:spacing w:val="-2"/>
                <w:szCs w:val="21"/>
                <w:highlight w:val="none"/>
              </w:rPr>
              <w:t>（满分</w:t>
            </w:r>
            <w:r>
              <w:rPr>
                <w:rFonts w:hint="eastAsia" w:ascii="宋体" w:hAnsi="宋体" w:cs="微软雅黑"/>
                <w:color w:val="auto"/>
                <w:spacing w:val="-2"/>
                <w:szCs w:val="21"/>
                <w:highlight w:val="none"/>
                <w:lang w:val="en-US" w:eastAsia="zh-CN"/>
              </w:rPr>
              <w:t>10</w:t>
            </w:r>
            <w:r>
              <w:rPr>
                <w:rFonts w:hint="eastAsia" w:ascii="宋体" w:hAnsi="宋体" w:cs="微软雅黑"/>
                <w:color w:val="auto"/>
                <w:spacing w:val="-2"/>
                <w:szCs w:val="21"/>
                <w:highlight w:val="none"/>
              </w:rPr>
              <w:t>分）</w:t>
            </w:r>
          </w:p>
        </w:tc>
        <w:tc>
          <w:tcPr>
            <w:tcW w:w="5660" w:type="dxa"/>
            <w:vAlign w:val="center"/>
          </w:tcPr>
          <w:p w14:paraId="1A69276B">
            <w:pPr>
              <w:widowControl/>
              <w:snapToGrid w:val="0"/>
              <w:spacing w:line="360" w:lineRule="atLeast"/>
              <w:rPr>
                <w:rFonts w:ascii="宋体" w:hAnsi="宋体" w:cs="微软雅黑"/>
                <w:color w:val="auto"/>
                <w:spacing w:val="-2"/>
                <w:szCs w:val="21"/>
                <w:highlight w:val="none"/>
              </w:rPr>
            </w:pPr>
            <w:r>
              <w:rPr>
                <w:rFonts w:hint="eastAsia" w:ascii="宋体" w:hAnsi="宋体" w:cs="微软雅黑"/>
                <w:color w:val="auto"/>
                <w:spacing w:val="-2"/>
                <w:szCs w:val="21"/>
                <w:highlight w:val="none"/>
              </w:rPr>
              <w:t>对投标人的工艺运行与出水达标保障进行独立评分：</w:t>
            </w:r>
          </w:p>
          <w:p w14:paraId="541CFFFA">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第一档（10分）：工艺运行方案科学严谨</w:t>
            </w:r>
            <w:r>
              <w:rPr>
                <w:rFonts w:hint="eastAsia" w:ascii="宋体" w:hAnsi="宋体" w:cs="微软雅黑"/>
                <w:color w:val="auto"/>
                <w:spacing w:val="-2"/>
                <w:szCs w:val="21"/>
                <w:highlight w:val="none"/>
                <w:lang w:val="en-US" w:eastAsia="zh-CN"/>
              </w:rPr>
              <w:t>。1.</w:t>
            </w:r>
            <w:r>
              <w:rPr>
                <w:rFonts w:ascii="宋体" w:hAnsi="宋体" w:cs="微软雅黑"/>
                <w:color w:val="auto"/>
                <w:spacing w:val="-2"/>
                <w:szCs w:val="21"/>
                <w:highlight w:val="none"/>
                <w:lang w:val="en-US" w:eastAsia="zh-CN"/>
              </w:rPr>
              <w:t>贴合镇级污水处理设施工艺特点</w:t>
            </w:r>
            <w:r>
              <w:rPr>
                <w:rFonts w:hint="eastAsia" w:ascii="宋体" w:hAnsi="宋体" w:cs="微软雅黑"/>
                <w:color w:val="auto"/>
                <w:spacing w:val="-2"/>
                <w:szCs w:val="21"/>
                <w:highlight w:val="none"/>
                <w:lang w:val="en-US" w:eastAsia="zh-CN"/>
              </w:rPr>
              <w:t>，</w:t>
            </w:r>
            <w:r>
              <w:rPr>
                <w:rFonts w:ascii="宋体" w:hAnsi="宋体" w:cs="微软雅黑"/>
                <w:color w:val="auto"/>
                <w:spacing w:val="-2"/>
                <w:szCs w:val="21"/>
                <w:highlight w:val="none"/>
                <w:lang w:val="en-US" w:eastAsia="zh-CN"/>
              </w:rPr>
              <w:t>明确制定污水处理全流程工艺控制标准</w:t>
            </w:r>
            <w:r>
              <w:rPr>
                <w:rFonts w:hint="eastAsia" w:ascii="宋体" w:hAnsi="宋体" w:cs="微软雅黑"/>
                <w:color w:val="auto"/>
                <w:spacing w:val="-2"/>
                <w:szCs w:val="21"/>
                <w:highlight w:val="none"/>
                <w:lang w:val="en-US" w:eastAsia="zh-CN"/>
              </w:rPr>
              <w:t>，</w:t>
            </w:r>
            <w:r>
              <w:rPr>
                <w:rFonts w:ascii="宋体" w:hAnsi="宋体" w:cs="微软雅黑"/>
                <w:color w:val="auto"/>
                <w:spacing w:val="-2"/>
                <w:szCs w:val="21"/>
                <w:highlight w:val="none"/>
                <w:lang w:val="en-US" w:eastAsia="zh-CN"/>
              </w:rPr>
              <w:t>参数调节方案及异常处置流程；</w:t>
            </w:r>
            <w:r>
              <w:rPr>
                <w:rFonts w:hint="eastAsia" w:ascii="宋体" w:hAnsi="宋体" w:cs="微软雅黑"/>
                <w:color w:val="auto"/>
                <w:spacing w:val="-2"/>
                <w:szCs w:val="21"/>
                <w:highlight w:val="none"/>
                <w:lang w:val="en-US" w:eastAsia="zh-CN"/>
              </w:rPr>
              <w:t>2.</w:t>
            </w:r>
            <w:r>
              <w:rPr>
                <w:rFonts w:ascii="宋体" w:hAnsi="宋体" w:cs="微软雅黑"/>
                <w:color w:val="auto"/>
                <w:spacing w:val="-2"/>
                <w:szCs w:val="21"/>
                <w:highlight w:val="none"/>
                <w:lang w:val="en-US" w:eastAsia="zh-CN"/>
              </w:rPr>
              <w:t>水质监测制度完善</w:t>
            </w:r>
            <w:r>
              <w:rPr>
                <w:rFonts w:hint="eastAsia" w:ascii="宋体" w:hAnsi="宋体" w:cs="微软雅黑"/>
                <w:color w:val="auto"/>
                <w:spacing w:val="-2"/>
                <w:szCs w:val="21"/>
                <w:highlight w:val="none"/>
                <w:lang w:val="en-US" w:eastAsia="zh-CN"/>
              </w:rPr>
              <w:t>，</w:t>
            </w:r>
            <w:r>
              <w:rPr>
                <w:rFonts w:ascii="宋体" w:hAnsi="宋体" w:cs="微软雅黑"/>
                <w:color w:val="auto"/>
                <w:spacing w:val="-2"/>
                <w:szCs w:val="21"/>
                <w:highlight w:val="none"/>
                <w:lang w:val="en-US" w:eastAsia="zh-CN"/>
              </w:rPr>
              <w:t>明确监测频次、监测指标（涵盖</w:t>
            </w:r>
            <w:r>
              <w:rPr>
                <w:rFonts w:hint="eastAsia" w:ascii="宋体" w:hAnsi="宋体" w:cs="微软雅黑"/>
                <w:color w:val="auto"/>
                <w:spacing w:val="-2"/>
                <w:szCs w:val="21"/>
                <w:highlight w:val="none"/>
                <w:lang w:val="en-US" w:eastAsia="zh-CN"/>
              </w:rPr>
              <w:t>CODcr、NH3-N、TP、TN、pH</w:t>
            </w:r>
            <w:r>
              <w:rPr>
                <w:rFonts w:ascii="宋体" w:hAnsi="宋体" w:cs="微软雅黑"/>
                <w:color w:val="auto"/>
                <w:spacing w:val="-2"/>
                <w:szCs w:val="21"/>
                <w:highlight w:val="none"/>
                <w:lang w:val="en-US" w:eastAsia="zh-CN"/>
              </w:rPr>
              <w:t>等核心指标）</w:t>
            </w:r>
            <w:r>
              <w:rPr>
                <w:rFonts w:hint="eastAsia" w:ascii="宋体" w:hAnsi="宋体" w:cs="微软雅黑"/>
                <w:color w:val="auto"/>
                <w:spacing w:val="-2"/>
                <w:szCs w:val="21"/>
                <w:highlight w:val="none"/>
                <w:lang w:val="en-US" w:eastAsia="zh-CN"/>
              </w:rPr>
              <w:t>；3.</w:t>
            </w:r>
            <w:r>
              <w:rPr>
                <w:rFonts w:ascii="宋体" w:hAnsi="宋体" w:cs="微软雅黑"/>
                <w:color w:val="auto"/>
                <w:spacing w:val="-2"/>
                <w:szCs w:val="21"/>
                <w:highlight w:val="none"/>
                <w:lang w:val="en-US" w:eastAsia="zh-CN"/>
              </w:rPr>
              <w:t>台账管理规范，明确台账记录、审核、归档流程</w:t>
            </w:r>
            <w:r>
              <w:rPr>
                <w:rFonts w:hint="eastAsia" w:ascii="宋体" w:hAnsi="宋体" w:cs="微软雅黑"/>
                <w:color w:val="auto"/>
                <w:spacing w:val="-2"/>
                <w:szCs w:val="21"/>
                <w:highlight w:val="none"/>
                <w:lang w:val="en-US" w:eastAsia="zh-CN"/>
              </w:rPr>
              <w:t>；4.承诺</w:t>
            </w:r>
            <w:r>
              <w:rPr>
                <w:rFonts w:ascii="宋体" w:hAnsi="宋体" w:cs="微软雅黑"/>
                <w:color w:val="auto"/>
                <w:spacing w:val="-2"/>
                <w:szCs w:val="21"/>
                <w:highlight w:val="none"/>
                <w:lang w:val="en-US" w:eastAsia="zh-CN"/>
              </w:rPr>
              <w:t>监测数据真实可追溯</w:t>
            </w:r>
            <w:r>
              <w:rPr>
                <w:rFonts w:hint="eastAsia" w:ascii="宋体" w:hAnsi="宋体" w:cs="微软雅黑"/>
                <w:color w:val="auto"/>
                <w:spacing w:val="-2"/>
                <w:szCs w:val="21"/>
                <w:highlight w:val="none"/>
                <w:lang w:val="en-US" w:eastAsia="zh-CN"/>
              </w:rPr>
              <w:t>并有保障</w:t>
            </w:r>
            <w:r>
              <w:rPr>
                <w:rFonts w:ascii="宋体" w:hAnsi="宋体" w:cs="微软雅黑"/>
                <w:color w:val="auto"/>
                <w:spacing w:val="-2"/>
                <w:szCs w:val="21"/>
                <w:highlight w:val="none"/>
                <w:lang w:val="en-US" w:eastAsia="zh-CN"/>
              </w:rPr>
              <w:t>措施</w:t>
            </w:r>
            <w:r>
              <w:rPr>
                <w:rFonts w:hint="eastAsia" w:ascii="宋体" w:hAnsi="宋体" w:cs="微软雅黑"/>
                <w:color w:val="auto"/>
                <w:spacing w:val="-2"/>
                <w:szCs w:val="21"/>
                <w:highlight w:val="none"/>
                <w:lang w:val="en-US" w:eastAsia="zh-CN"/>
              </w:rPr>
              <w:t>；5.有</w:t>
            </w:r>
            <w:r>
              <w:rPr>
                <w:rFonts w:ascii="宋体" w:hAnsi="宋体" w:cs="微软雅黑"/>
                <w:color w:val="auto"/>
                <w:spacing w:val="-2"/>
                <w:szCs w:val="21"/>
                <w:highlight w:val="none"/>
                <w:lang w:val="en-US" w:eastAsia="zh-CN"/>
              </w:rPr>
              <w:t>出水稳定达标保障措施，确保出水持续稳定达到一级A标准及地方相关现行标准，无任何达标风险。</w:t>
            </w:r>
          </w:p>
          <w:p w14:paraId="1CBC7292">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第二档（8分）：工艺运行方案合理</w:t>
            </w:r>
            <w:r>
              <w:rPr>
                <w:rFonts w:hint="eastAsia" w:ascii="宋体" w:hAnsi="宋体" w:cs="微软雅黑"/>
                <w:color w:val="auto"/>
                <w:spacing w:val="-2"/>
                <w:szCs w:val="21"/>
                <w:highlight w:val="none"/>
                <w:lang w:val="en-US" w:eastAsia="zh-CN"/>
              </w:rPr>
              <w:t>。1.</w:t>
            </w:r>
            <w:r>
              <w:rPr>
                <w:rFonts w:ascii="宋体" w:hAnsi="宋体" w:cs="微软雅黑"/>
                <w:color w:val="auto"/>
                <w:spacing w:val="-2"/>
                <w:szCs w:val="21"/>
                <w:highlight w:val="none"/>
                <w:lang w:val="en-US" w:eastAsia="zh-CN"/>
              </w:rPr>
              <w:t>贴合镇级污水处理设施工艺特点，明确污水处理工艺控制标准及参数调节方向，异常处置流程基本完善；</w:t>
            </w:r>
            <w:r>
              <w:rPr>
                <w:rFonts w:hint="eastAsia" w:ascii="宋体" w:hAnsi="宋体" w:cs="微软雅黑"/>
                <w:color w:val="auto"/>
                <w:spacing w:val="-2"/>
                <w:szCs w:val="21"/>
                <w:highlight w:val="none"/>
                <w:lang w:val="en-US" w:eastAsia="zh-CN"/>
              </w:rPr>
              <w:t>2.</w:t>
            </w:r>
            <w:r>
              <w:rPr>
                <w:rFonts w:ascii="宋体" w:hAnsi="宋体" w:cs="微软雅黑"/>
                <w:color w:val="auto"/>
                <w:spacing w:val="-2"/>
                <w:szCs w:val="21"/>
                <w:highlight w:val="none"/>
                <w:lang w:val="en-US" w:eastAsia="zh-CN"/>
              </w:rPr>
              <w:t>水质监测制度较完善，明确监测频次、监测指标（涵盖</w:t>
            </w:r>
            <w:r>
              <w:rPr>
                <w:rFonts w:hint="eastAsia" w:ascii="宋体" w:hAnsi="宋体" w:cs="微软雅黑"/>
                <w:color w:val="auto"/>
                <w:spacing w:val="-2"/>
                <w:szCs w:val="21"/>
                <w:highlight w:val="none"/>
                <w:lang w:val="en-US" w:eastAsia="zh-CN"/>
              </w:rPr>
              <w:t>CODcr、NH3-N、TP、TN、pH</w:t>
            </w:r>
            <w:r>
              <w:rPr>
                <w:rFonts w:ascii="宋体" w:hAnsi="宋体" w:cs="微软雅黑"/>
                <w:color w:val="auto"/>
                <w:spacing w:val="-2"/>
                <w:szCs w:val="21"/>
                <w:highlight w:val="none"/>
                <w:lang w:val="en-US" w:eastAsia="zh-CN"/>
              </w:rPr>
              <w:t>等核心指标）</w:t>
            </w:r>
            <w:r>
              <w:rPr>
                <w:rFonts w:hint="eastAsia" w:ascii="宋体" w:hAnsi="宋体" w:cs="微软雅黑"/>
                <w:color w:val="auto"/>
                <w:spacing w:val="-2"/>
                <w:szCs w:val="21"/>
                <w:highlight w:val="none"/>
                <w:lang w:val="en-US" w:eastAsia="zh-CN"/>
              </w:rPr>
              <w:t>；3.</w:t>
            </w:r>
            <w:r>
              <w:rPr>
                <w:rFonts w:ascii="宋体" w:hAnsi="宋体" w:cs="微软雅黑"/>
                <w:color w:val="auto"/>
                <w:spacing w:val="-2"/>
                <w:szCs w:val="21"/>
                <w:highlight w:val="none"/>
                <w:lang w:val="en-US" w:eastAsia="zh-CN"/>
              </w:rPr>
              <w:t>台账管理规范，明确台账记录及归档要求</w:t>
            </w:r>
            <w:r>
              <w:rPr>
                <w:rFonts w:hint="eastAsia" w:ascii="宋体" w:hAnsi="宋体" w:cs="微软雅黑"/>
                <w:color w:val="auto"/>
                <w:spacing w:val="-2"/>
                <w:szCs w:val="21"/>
                <w:highlight w:val="none"/>
                <w:lang w:val="en-US" w:eastAsia="zh-CN"/>
              </w:rPr>
              <w:t>；4.</w:t>
            </w:r>
            <w:r>
              <w:rPr>
                <w:rFonts w:ascii="宋体" w:hAnsi="宋体" w:cs="微软雅黑"/>
                <w:color w:val="auto"/>
                <w:spacing w:val="-2"/>
                <w:szCs w:val="21"/>
                <w:highlight w:val="none"/>
                <w:lang w:val="en-US" w:eastAsia="zh-CN"/>
              </w:rPr>
              <w:t>监测数据可追溯；</w:t>
            </w:r>
            <w:r>
              <w:rPr>
                <w:rFonts w:hint="eastAsia" w:ascii="宋体" w:hAnsi="宋体" w:cs="微软雅黑"/>
                <w:color w:val="auto"/>
                <w:spacing w:val="-2"/>
                <w:szCs w:val="21"/>
                <w:highlight w:val="none"/>
                <w:lang w:val="en-US" w:eastAsia="zh-CN"/>
              </w:rPr>
              <w:t>5.有</w:t>
            </w:r>
            <w:r>
              <w:rPr>
                <w:rFonts w:ascii="宋体" w:hAnsi="宋体" w:cs="微软雅黑"/>
                <w:color w:val="auto"/>
                <w:spacing w:val="-2"/>
                <w:szCs w:val="21"/>
                <w:highlight w:val="none"/>
                <w:lang w:val="en-US" w:eastAsia="zh-CN"/>
              </w:rPr>
              <w:t>出水达标保障措施，确保出水稳定达到一级A标准及地方相关现行标准，偶有轻微波动可及时处置。</w:t>
            </w:r>
          </w:p>
          <w:p w14:paraId="0E4CE9C6">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第三档（6分）：工艺运行方案基本可行</w:t>
            </w:r>
            <w:r>
              <w:rPr>
                <w:rFonts w:hint="eastAsia" w:ascii="宋体" w:hAnsi="宋体" w:cs="微软雅黑"/>
                <w:color w:val="auto"/>
                <w:spacing w:val="-2"/>
                <w:szCs w:val="21"/>
                <w:highlight w:val="none"/>
                <w:lang w:val="en-US" w:eastAsia="zh-CN"/>
              </w:rPr>
              <w:t>。1.</w:t>
            </w:r>
            <w:r>
              <w:rPr>
                <w:rFonts w:ascii="宋体" w:hAnsi="宋体" w:cs="微软雅黑"/>
                <w:color w:val="auto"/>
                <w:spacing w:val="-2"/>
                <w:szCs w:val="21"/>
                <w:highlight w:val="none"/>
                <w:lang w:val="en-US" w:eastAsia="zh-CN"/>
              </w:rPr>
              <w:t>贴合镇级污水处理设施工艺特点，明确污水处理工艺控制核心参数，异常处置流程简单；</w:t>
            </w:r>
            <w:r>
              <w:rPr>
                <w:rFonts w:hint="eastAsia" w:ascii="宋体" w:hAnsi="宋体" w:cs="微软雅黑"/>
                <w:color w:val="auto"/>
                <w:spacing w:val="-2"/>
                <w:szCs w:val="21"/>
                <w:highlight w:val="none"/>
                <w:lang w:val="en-US" w:eastAsia="zh-CN"/>
              </w:rPr>
              <w:t>2.</w:t>
            </w:r>
            <w:r>
              <w:rPr>
                <w:rFonts w:ascii="宋体" w:hAnsi="宋体" w:cs="微软雅黑"/>
                <w:color w:val="auto"/>
                <w:spacing w:val="-2"/>
                <w:szCs w:val="21"/>
                <w:highlight w:val="none"/>
                <w:lang w:val="en-US" w:eastAsia="zh-CN"/>
              </w:rPr>
              <w:t>水质监测制度基本完善，明确监测频次、监测核心指标</w:t>
            </w:r>
            <w:r>
              <w:rPr>
                <w:rFonts w:hint="eastAsia" w:ascii="宋体" w:hAnsi="宋体" w:cs="微软雅黑"/>
                <w:color w:val="auto"/>
                <w:spacing w:val="-2"/>
                <w:szCs w:val="21"/>
                <w:highlight w:val="none"/>
                <w:lang w:val="en-US" w:eastAsia="zh-CN"/>
              </w:rPr>
              <w:t>；3.</w:t>
            </w:r>
            <w:r>
              <w:rPr>
                <w:rFonts w:ascii="宋体" w:hAnsi="宋体" w:cs="微软雅黑"/>
                <w:color w:val="auto"/>
                <w:spacing w:val="-2"/>
                <w:szCs w:val="21"/>
                <w:highlight w:val="none"/>
                <w:lang w:val="en-US" w:eastAsia="zh-CN"/>
              </w:rPr>
              <w:t>台账管理基本规范</w:t>
            </w:r>
            <w:r>
              <w:rPr>
                <w:rFonts w:hint="eastAsia" w:ascii="宋体" w:hAnsi="宋体" w:cs="微软雅黑"/>
                <w:color w:val="auto"/>
                <w:spacing w:val="-2"/>
                <w:szCs w:val="21"/>
                <w:highlight w:val="none"/>
                <w:lang w:val="en-US" w:eastAsia="zh-CN"/>
              </w:rPr>
              <w:t>；4.</w:t>
            </w:r>
            <w:r>
              <w:rPr>
                <w:rFonts w:ascii="宋体" w:hAnsi="宋体" w:cs="微软雅黑"/>
                <w:color w:val="auto"/>
                <w:spacing w:val="-2"/>
                <w:szCs w:val="21"/>
                <w:highlight w:val="none"/>
                <w:lang w:val="en-US" w:eastAsia="zh-CN"/>
              </w:rPr>
              <w:t>出水达标保障措施基本到位，可保障出水基本达到一级A标准及地方相关现行标准，需加强参数调节及异常处置能力。</w:t>
            </w:r>
          </w:p>
          <w:p w14:paraId="5B7948A1">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第四档（2分）：工艺运行方案简陋</w:t>
            </w:r>
            <w:r>
              <w:rPr>
                <w:rFonts w:hint="eastAsia" w:ascii="宋体" w:hAnsi="宋体" w:cs="微软雅黑"/>
                <w:color w:val="auto"/>
                <w:spacing w:val="-2"/>
                <w:szCs w:val="21"/>
                <w:highlight w:val="none"/>
                <w:lang w:val="en-US" w:eastAsia="zh-CN"/>
              </w:rPr>
              <w:t>。1.</w:t>
            </w:r>
            <w:r>
              <w:rPr>
                <w:rFonts w:ascii="宋体" w:hAnsi="宋体" w:cs="宋体"/>
                <w:color w:val="auto"/>
                <w:szCs w:val="21"/>
                <w:highlight w:val="none"/>
                <w:lang w:val="en-US" w:eastAsia="zh-CN"/>
              </w:rPr>
              <w:t>未充分贴合</w:t>
            </w:r>
            <w:r>
              <w:rPr>
                <w:rFonts w:ascii="宋体" w:hAnsi="宋体" w:cs="微软雅黑"/>
                <w:color w:val="auto"/>
                <w:spacing w:val="-2"/>
                <w:szCs w:val="21"/>
                <w:highlight w:val="none"/>
                <w:lang w:val="en-US" w:eastAsia="zh-CN"/>
              </w:rPr>
              <w:t>镇级污水处理设施工艺特点，未明确监工艺控制标准及参数调节要求</w:t>
            </w:r>
            <w:r>
              <w:rPr>
                <w:rFonts w:hint="eastAsia" w:ascii="宋体" w:hAnsi="宋体" w:cs="微软雅黑"/>
                <w:color w:val="auto"/>
                <w:spacing w:val="-2"/>
                <w:szCs w:val="21"/>
                <w:highlight w:val="none"/>
                <w:lang w:val="en-US" w:eastAsia="zh-CN"/>
              </w:rPr>
              <w:t>及</w:t>
            </w:r>
            <w:r>
              <w:rPr>
                <w:rFonts w:ascii="宋体" w:hAnsi="宋体" w:cs="微软雅黑"/>
                <w:color w:val="auto"/>
                <w:spacing w:val="-2"/>
                <w:szCs w:val="21"/>
                <w:highlight w:val="none"/>
                <w:lang w:val="en-US" w:eastAsia="zh-CN"/>
              </w:rPr>
              <w:t>监异常处置流程缺失；</w:t>
            </w:r>
            <w:r>
              <w:rPr>
                <w:rFonts w:hint="eastAsia" w:ascii="宋体" w:hAnsi="宋体" w:cs="微软雅黑"/>
                <w:color w:val="auto"/>
                <w:spacing w:val="-2"/>
                <w:szCs w:val="21"/>
                <w:highlight w:val="none"/>
                <w:lang w:val="en-US" w:eastAsia="zh-CN"/>
              </w:rPr>
              <w:t>2.</w:t>
            </w:r>
            <w:r>
              <w:rPr>
                <w:rFonts w:ascii="宋体" w:hAnsi="宋体" w:cs="微软雅黑"/>
                <w:color w:val="auto"/>
                <w:spacing w:val="-2"/>
                <w:szCs w:val="21"/>
                <w:highlight w:val="none"/>
                <w:lang w:val="en-US" w:eastAsia="zh-CN"/>
              </w:rPr>
              <w:t>水质监测制度不完善，未明确监测频次，仅明确少量监测指标</w:t>
            </w:r>
            <w:r>
              <w:rPr>
                <w:rFonts w:hint="eastAsia" w:ascii="宋体" w:hAnsi="宋体" w:cs="微软雅黑"/>
                <w:color w:val="auto"/>
                <w:spacing w:val="-2"/>
                <w:szCs w:val="21"/>
                <w:highlight w:val="none"/>
                <w:lang w:val="en-US" w:eastAsia="zh-CN"/>
              </w:rPr>
              <w:t>；3.</w:t>
            </w:r>
            <w:r>
              <w:rPr>
                <w:rFonts w:ascii="宋体" w:hAnsi="宋体" w:cs="微软雅黑"/>
                <w:color w:val="auto"/>
                <w:spacing w:val="-2"/>
                <w:szCs w:val="21"/>
                <w:highlight w:val="none"/>
                <w:lang w:val="en-US" w:eastAsia="zh-CN"/>
              </w:rPr>
              <w:t>台账管理不规范，监测数据无法有效追溯；</w:t>
            </w:r>
            <w:r>
              <w:rPr>
                <w:rFonts w:hint="eastAsia" w:ascii="宋体" w:hAnsi="宋体" w:cs="微软雅黑"/>
                <w:color w:val="auto"/>
                <w:spacing w:val="-2"/>
                <w:szCs w:val="21"/>
                <w:highlight w:val="none"/>
                <w:lang w:val="en-US" w:eastAsia="zh-CN"/>
              </w:rPr>
              <w:t>4.</w:t>
            </w:r>
            <w:r>
              <w:rPr>
                <w:rFonts w:ascii="宋体" w:hAnsi="宋体" w:cs="微软雅黑"/>
                <w:color w:val="auto"/>
                <w:spacing w:val="-2"/>
                <w:szCs w:val="21"/>
                <w:highlight w:val="none"/>
                <w:lang w:val="en-US" w:eastAsia="zh-CN"/>
              </w:rPr>
              <w:t>出水达标保障措施笼统，无具体落地手段，出水达标存在较大风险，难以稳定达到一级A标准及地方相关现行标准。</w:t>
            </w:r>
          </w:p>
          <w:p w14:paraId="64192B9F">
            <w:pPr>
              <w:widowControl/>
              <w:snapToGrid w:val="0"/>
              <w:spacing w:line="360" w:lineRule="atLeast"/>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第五档（0分）：未提供工艺运行与出水达标保障相关方案，或方案未涉及工艺运行控制、水质监测、出水达标保障任何核心内容，无任何具体措施，无法保障出水达标，完全不符合项目运维要求。</w:t>
            </w:r>
          </w:p>
          <w:p w14:paraId="5815ECE4">
            <w:pPr>
              <w:widowControl/>
              <w:snapToGrid w:val="0"/>
              <w:spacing w:line="360" w:lineRule="atLeast"/>
              <w:rPr>
                <w:rFonts w:ascii="宋体" w:hAnsi="宋体" w:cs="微软雅黑"/>
                <w:color w:val="auto"/>
                <w:spacing w:val="-2"/>
                <w:szCs w:val="21"/>
                <w:highlight w:val="none"/>
              </w:rPr>
            </w:pPr>
          </w:p>
        </w:tc>
      </w:tr>
      <w:tr w14:paraId="7705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2" w:type="dxa"/>
            <w:vMerge w:val="continue"/>
          </w:tcPr>
          <w:p w14:paraId="3FB190EE">
            <w:pPr>
              <w:adjustRightInd w:val="0"/>
              <w:snapToGrid w:val="0"/>
              <w:spacing w:line="360" w:lineRule="atLeast"/>
              <w:jc w:val="center"/>
              <w:textAlignment w:val="baseline"/>
              <w:rPr>
                <w:rFonts w:ascii="宋体" w:hAnsi="宋体"/>
                <w:color w:val="auto"/>
                <w:szCs w:val="21"/>
                <w:highlight w:val="none"/>
              </w:rPr>
            </w:pPr>
          </w:p>
        </w:tc>
        <w:tc>
          <w:tcPr>
            <w:tcW w:w="1585" w:type="dxa"/>
            <w:vMerge w:val="continue"/>
          </w:tcPr>
          <w:p w14:paraId="61A13E51">
            <w:pPr>
              <w:adjustRightInd w:val="0"/>
              <w:snapToGrid w:val="0"/>
              <w:spacing w:line="360" w:lineRule="atLeast"/>
              <w:jc w:val="center"/>
              <w:textAlignment w:val="baseline"/>
              <w:rPr>
                <w:rFonts w:ascii="宋体" w:hAnsi="宋体"/>
                <w:color w:val="auto"/>
                <w:szCs w:val="21"/>
                <w:highlight w:val="none"/>
              </w:rPr>
            </w:pPr>
          </w:p>
        </w:tc>
        <w:tc>
          <w:tcPr>
            <w:tcW w:w="1701" w:type="dxa"/>
            <w:tcMar>
              <w:left w:w="57" w:type="dxa"/>
              <w:right w:w="57" w:type="dxa"/>
            </w:tcMar>
            <w:vAlign w:val="center"/>
          </w:tcPr>
          <w:p w14:paraId="43CF53D4">
            <w:pPr>
              <w:widowControl/>
              <w:snapToGrid w:val="0"/>
              <w:spacing w:line="360" w:lineRule="atLeast"/>
              <w:jc w:val="center"/>
              <w:rPr>
                <w:rFonts w:hint="eastAsia" w:ascii="宋体" w:hAnsi="宋体" w:cs="微软雅黑"/>
                <w:color w:val="auto"/>
                <w:spacing w:val="-2"/>
                <w:szCs w:val="21"/>
                <w:highlight w:val="none"/>
                <w:lang w:val="en-US" w:eastAsia="zh-CN"/>
              </w:rPr>
            </w:pPr>
            <w:r>
              <w:rPr>
                <w:rFonts w:hint="eastAsia" w:ascii="宋体" w:hAnsi="宋体" w:cs="微软雅黑"/>
                <w:color w:val="auto"/>
                <w:spacing w:val="-2"/>
                <w:szCs w:val="21"/>
                <w:highlight w:val="none"/>
                <w:lang w:val="en-US" w:eastAsia="zh-CN"/>
              </w:rPr>
              <w:t>设备设施维护管理分</w:t>
            </w:r>
          </w:p>
          <w:p w14:paraId="6B26201B">
            <w:pPr>
              <w:widowControl/>
              <w:snapToGrid w:val="0"/>
              <w:spacing w:line="360" w:lineRule="atLeast"/>
              <w:jc w:val="center"/>
              <w:rPr>
                <w:rFonts w:hint="eastAsia" w:ascii="宋体" w:hAnsi="宋体" w:cs="微软雅黑"/>
                <w:color w:val="auto"/>
                <w:spacing w:val="-2"/>
                <w:szCs w:val="21"/>
                <w:highlight w:val="none"/>
                <w:lang w:val="en-US" w:eastAsia="zh-CN"/>
              </w:rPr>
            </w:pPr>
            <w:r>
              <w:rPr>
                <w:rFonts w:hint="eastAsia" w:ascii="宋体" w:hAnsi="宋体" w:cs="微软雅黑"/>
                <w:color w:val="auto"/>
                <w:spacing w:val="-2"/>
                <w:szCs w:val="21"/>
                <w:highlight w:val="none"/>
              </w:rPr>
              <w:t>（满分</w:t>
            </w:r>
            <w:r>
              <w:rPr>
                <w:rFonts w:hint="eastAsia" w:ascii="宋体" w:hAnsi="宋体" w:cs="微软雅黑"/>
                <w:color w:val="auto"/>
                <w:spacing w:val="-2"/>
                <w:szCs w:val="21"/>
                <w:highlight w:val="none"/>
                <w:lang w:val="en-US" w:eastAsia="zh-CN"/>
              </w:rPr>
              <w:t>8</w:t>
            </w:r>
            <w:r>
              <w:rPr>
                <w:rFonts w:hint="eastAsia" w:ascii="宋体" w:hAnsi="宋体" w:cs="微软雅黑"/>
                <w:color w:val="auto"/>
                <w:spacing w:val="-2"/>
                <w:szCs w:val="21"/>
                <w:highlight w:val="none"/>
              </w:rPr>
              <w:t>分）</w:t>
            </w:r>
          </w:p>
        </w:tc>
        <w:tc>
          <w:tcPr>
            <w:tcW w:w="5660" w:type="dxa"/>
            <w:vAlign w:val="center"/>
          </w:tcPr>
          <w:p w14:paraId="40018935">
            <w:pPr>
              <w:widowControl/>
              <w:snapToGrid w:val="0"/>
              <w:spacing w:line="360" w:lineRule="atLeast"/>
              <w:rPr>
                <w:rFonts w:ascii="宋体" w:hAnsi="宋体" w:cs="微软雅黑"/>
                <w:color w:val="auto"/>
                <w:spacing w:val="-2"/>
                <w:szCs w:val="21"/>
                <w:highlight w:val="none"/>
              </w:rPr>
            </w:pPr>
            <w:r>
              <w:rPr>
                <w:rFonts w:hint="eastAsia" w:ascii="宋体" w:hAnsi="宋体" w:cs="微软雅黑"/>
                <w:color w:val="auto"/>
                <w:spacing w:val="-2"/>
                <w:szCs w:val="21"/>
                <w:highlight w:val="none"/>
              </w:rPr>
              <w:t>对投标人的</w:t>
            </w:r>
            <w:r>
              <w:rPr>
                <w:rFonts w:hint="eastAsia" w:ascii="宋体" w:hAnsi="宋体" w:cs="微软雅黑"/>
                <w:color w:val="auto"/>
                <w:spacing w:val="-2"/>
                <w:szCs w:val="21"/>
                <w:highlight w:val="none"/>
                <w:lang w:val="en-US" w:eastAsia="zh-CN"/>
              </w:rPr>
              <w:t>备设施维护管理</w:t>
            </w:r>
            <w:r>
              <w:rPr>
                <w:rFonts w:hint="eastAsia" w:ascii="宋体" w:hAnsi="宋体" w:cs="微软雅黑"/>
                <w:color w:val="auto"/>
                <w:spacing w:val="-2"/>
                <w:szCs w:val="21"/>
                <w:highlight w:val="none"/>
              </w:rPr>
              <w:t>进行独立评分：</w:t>
            </w:r>
          </w:p>
          <w:p w14:paraId="3AF3AF80">
            <w:pPr>
              <w:widowControl/>
              <w:snapToGrid w:val="0"/>
              <w:spacing w:line="360" w:lineRule="atLeast"/>
              <w:rPr>
                <w:rFonts w:hint="eastAsia" w:ascii="宋体" w:hAnsi="宋体" w:cs="微软雅黑"/>
                <w:color w:val="auto"/>
                <w:spacing w:val="-2"/>
                <w:szCs w:val="21"/>
                <w:highlight w:val="none"/>
              </w:rPr>
            </w:pPr>
            <w:r>
              <w:rPr>
                <w:rFonts w:hint="eastAsia" w:ascii="宋体" w:hAnsi="宋体" w:cs="微软雅黑"/>
                <w:color w:val="auto"/>
                <w:spacing w:val="-2"/>
                <w:szCs w:val="21"/>
                <w:highlight w:val="none"/>
                <w:lang w:val="en-US" w:eastAsia="zh-CN"/>
              </w:rPr>
              <w:t>第一档（8分）：设备设施维护管理方案完善。1.贴合镇级污水设施（场站设备、管网、泵站）特点，明确制定设备巡检、保养、维修全流程管理制度，巡检频次清晰，保养计划细化到具体设备及周期，维修流程明确（接到故障通知后1小时内响应、24小时内完成常规维修）；2.备品备件计划完整，明确备品备件种类、数量、采购及储备流程，可满足设备应急维修需求；3.有设备设施维护保障措施，可确保场站设备、管网、泵站所有设备正常稳定运行，无设备故障导致的运维中断风险。</w:t>
            </w:r>
          </w:p>
          <w:p w14:paraId="58C50332">
            <w:pPr>
              <w:widowControl/>
              <w:snapToGrid w:val="0"/>
              <w:spacing w:line="360" w:lineRule="atLeast"/>
              <w:rPr>
                <w:rFonts w:hint="eastAsia" w:ascii="宋体" w:hAnsi="宋体" w:cs="微软雅黑"/>
                <w:color w:val="auto"/>
                <w:spacing w:val="-2"/>
                <w:szCs w:val="21"/>
                <w:highlight w:val="none"/>
              </w:rPr>
            </w:pPr>
            <w:r>
              <w:rPr>
                <w:rFonts w:hint="eastAsia" w:ascii="宋体" w:hAnsi="宋体" w:cs="微软雅黑"/>
                <w:color w:val="auto"/>
                <w:spacing w:val="-2"/>
                <w:szCs w:val="21"/>
                <w:highlight w:val="none"/>
                <w:lang w:val="en-US" w:eastAsia="zh-CN"/>
              </w:rPr>
              <w:t>第二档（7分）：设备设施维护管理方案规范。1.贴合镇级污水设施特点，明确设备巡检、保养、维修管理制度，巡检频次明确，保养计划明确核心设备及周期，维修流程规范（接到故障通知后2小时内响应、24小时内完成常规维修）；2.备品备件计划较完整，明确核心备品备件种类、数量及储备要求，可满足日常维修需求；3.有设备设施维护保障措施，可确保设备基本稳定运行，偶有轻微故障可及时处置，不影响整体运维。</w:t>
            </w:r>
          </w:p>
          <w:p w14:paraId="7AB2FF86">
            <w:pPr>
              <w:widowControl/>
              <w:snapToGrid w:val="0"/>
              <w:spacing w:line="360" w:lineRule="atLeast"/>
              <w:rPr>
                <w:rFonts w:hint="eastAsia" w:ascii="宋体" w:hAnsi="宋体" w:cs="微软雅黑"/>
                <w:color w:val="auto"/>
                <w:spacing w:val="-2"/>
                <w:szCs w:val="21"/>
                <w:highlight w:val="none"/>
              </w:rPr>
            </w:pPr>
            <w:r>
              <w:rPr>
                <w:rFonts w:hint="eastAsia" w:ascii="宋体" w:hAnsi="宋体" w:cs="微软雅黑"/>
                <w:color w:val="auto"/>
                <w:spacing w:val="-2"/>
                <w:szCs w:val="21"/>
                <w:highlight w:val="none"/>
                <w:lang w:val="en-US" w:eastAsia="zh-CN"/>
              </w:rPr>
              <w:t>第三档（5分）：设备设施维护管理方案可行。1.贴合镇级污水设施特点，明确设备巡检、保养、维修核心制度，巡检频次明确，保养计划明确主要设备及周期，维修流程基本规范（接到故障通知后4小时内响应、48小时内完成常规维修）；2.备品备件计划基本完整，明确核心备品备件种类及储备数量，可满足基本维修需求；3.有基础保障措施，设备运行基本正常，需加强巡检频次及维修效率。</w:t>
            </w:r>
          </w:p>
          <w:p w14:paraId="091E57F6">
            <w:pPr>
              <w:widowControl/>
              <w:snapToGrid w:val="0"/>
              <w:spacing w:line="360" w:lineRule="atLeast"/>
              <w:rPr>
                <w:rFonts w:hint="eastAsia" w:ascii="宋体" w:hAnsi="宋体" w:cs="微软雅黑"/>
                <w:color w:val="auto"/>
                <w:spacing w:val="-2"/>
                <w:szCs w:val="21"/>
                <w:highlight w:val="none"/>
              </w:rPr>
            </w:pPr>
            <w:r>
              <w:rPr>
                <w:rFonts w:hint="eastAsia" w:ascii="宋体" w:hAnsi="宋体" w:cs="微软雅黑"/>
                <w:color w:val="auto"/>
                <w:spacing w:val="-2"/>
                <w:szCs w:val="21"/>
                <w:highlight w:val="none"/>
                <w:lang w:val="en-US" w:eastAsia="zh-CN"/>
              </w:rPr>
              <w:t>第四档（2分）：设备设施维护管理方案简陋。1.</w:t>
            </w:r>
            <w:r>
              <w:rPr>
                <w:rFonts w:ascii="宋体" w:hAnsi="宋体" w:cs="宋体"/>
                <w:color w:val="auto"/>
                <w:szCs w:val="21"/>
                <w:highlight w:val="none"/>
                <w:lang w:val="en-US" w:eastAsia="zh-CN"/>
              </w:rPr>
              <w:t>未充分贴合</w:t>
            </w:r>
            <w:r>
              <w:rPr>
                <w:rFonts w:hint="eastAsia" w:ascii="宋体" w:hAnsi="宋体" w:cs="微软雅黑"/>
                <w:color w:val="auto"/>
                <w:spacing w:val="-2"/>
                <w:szCs w:val="21"/>
                <w:highlight w:val="none"/>
                <w:lang w:val="en-US" w:eastAsia="zh-CN"/>
              </w:rPr>
              <w:t>镇级污水设施特点，未明确完整的巡检、保养、维修制度，仅简单提及设备维护相关内容，未明确巡检频次及保养周期，维修流程不规范，响应及处置效率低；2.备品备件计划缺失，未明确备品备件种类及储备要求，无法满足维修需求；3.无设备稳定运行保障措施，设备故障频发，影响正常运维工作。</w:t>
            </w:r>
          </w:p>
          <w:p w14:paraId="1DF458EE">
            <w:pPr>
              <w:widowControl/>
              <w:snapToGrid w:val="0"/>
              <w:spacing w:line="360" w:lineRule="atLeast"/>
              <w:rPr>
                <w:rFonts w:hint="eastAsia" w:ascii="宋体" w:hAnsi="宋体" w:cs="微软雅黑"/>
                <w:color w:val="auto"/>
                <w:spacing w:val="-2"/>
                <w:szCs w:val="21"/>
                <w:highlight w:val="none"/>
              </w:rPr>
            </w:pPr>
            <w:r>
              <w:rPr>
                <w:rFonts w:hint="eastAsia" w:ascii="宋体" w:hAnsi="宋体" w:cs="微软雅黑"/>
                <w:color w:val="auto"/>
                <w:spacing w:val="-2"/>
                <w:szCs w:val="21"/>
                <w:highlight w:val="none"/>
                <w:lang w:val="en-US" w:eastAsia="zh-CN"/>
              </w:rPr>
              <w:t>第五档（0分）：未提供设备设施维护管理相关方案，或方案未涉及设备巡检、保养、维修、备品备件任何核心内容，无任何具体维护措施，无法保障设备设施正常运行，完全不符合项目运维要求。</w:t>
            </w:r>
          </w:p>
        </w:tc>
      </w:tr>
      <w:tr w14:paraId="321D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62" w:type="dxa"/>
            <w:vMerge w:val="continue"/>
          </w:tcPr>
          <w:p w14:paraId="01617C5A">
            <w:pPr>
              <w:adjustRightInd w:val="0"/>
              <w:snapToGrid w:val="0"/>
              <w:spacing w:line="360" w:lineRule="atLeast"/>
              <w:jc w:val="center"/>
              <w:textAlignment w:val="baseline"/>
              <w:rPr>
                <w:rFonts w:ascii="宋体" w:hAnsi="宋体"/>
                <w:color w:val="auto"/>
                <w:szCs w:val="21"/>
                <w:highlight w:val="none"/>
              </w:rPr>
            </w:pPr>
          </w:p>
        </w:tc>
        <w:tc>
          <w:tcPr>
            <w:tcW w:w="1585" w:type="dxa"/>
            <w:vMerge w:val="continue"/>
          </w:tcPr>
          <w:p w14:paraId="5C4CE7C8">
            <w:pPr>
              <w:adjustRightInd w:val="0"/>
              <w:snapToGrid w:val="0"/>
              <w:spacing w:line="360" w:lineRule="atLeast"/>
              <w:jc w:val="center"/>
              <w:textAlignment w:val="baseline"/>
              <w:rPr>
                <w:rFonts w:ascii="宋体" w:hAnsi="宋体"/>
                <w:color w:val="auto"/>
                <w:szCs w:val="21"/>
                <w:highlight w:val="none"/>
              </w:rPr>
            </w:pPr>
          </w:p>
        </w:tc>
        <w:tc>
          <w:tcPr>
            <w:tcW w:w="1701" w:type="dxa"/>
            <w:shd w:val="clear" w:color="auto" w:fill="auto"/>
            <w:tcMar>
              <w:left w:w="57" w:type="dxa"/>
              <w:right w:w="57" w:type="dxa"/>
            </w:tcMar>
            <w:vAlign w:val="center"/>
          </w:tcPr>
          <w:p w14:paraId="4A5A2B70">
            <w:pPr>
              <w:widowControl/>
              <w:snapToGrid w:val="0"/>
              <w:spacing w:line="360" w:lineRule="atLeast"/>
              <w:jc w:val="center"/>
              <w:rPr>
                <w:rFonts w:ascii="宋体" w:hAnsi="宋体" w:cs="微软雅黑"/>
                <w:color w:val="auto"/>
                <w:spacing w:val="-2"/>
                <w:szCs w:val="21"/>
                <w:highlight w:val="none"/>
              </w:rPr>
            </w:pPr>
            <w:r>
              <w:rPr>
                <w:rFonts w:hint="eastAsia" w:ascii="宋体" w:hAnsi="宋体" w:cs="微软雅黑"/>
                <w:color w:val="auto"/>
                <w:spacing w:val="-2"/>
                <w:szCs w:val="21"/>
                <w:highlight w:val="none"/>
              </w:rPr>
              <w:t>管网巡查与养护方案分</w:t>
            </w:r>
          </w:p>
          <w:p w14:paraId="76DC70D0">
            <w:pPr>
              <w:widowControl/>
              <w:snapToGrid w:val="0"/>
              <w:spacing w:line="360" w:lineRule="atLeast"/>
              <w:jc w:val="center"/>
              <w:rPr>
                <w:rFonts w:hint="eastAsia" w:ascii="宋体" w:hAnsi="宋体" w:eastAsia="宋体" w:cs="微软雅黑"/>
                <w:color w:val="auto"/>
                <w:spacing w:val="-2"/>
                <w:kern w:val="2"/>
                <w:sz w:val="21"/>
                <w:szCs w:val="21"/>
                <w:highlight w:val="none"/>
                <w:lang w:val="en-US" w:eastAsia="zh-CN" w:bidi="ar-SA"/>
              </w:rPr>
            </w:pPr>
            <w:r>
              <w:rPr>
                <w:rFonts w:hint="eastAsia" w:ascii="宋体" w:hAnsi="宋体" w:cs="微软雅黑"/>
                <w:color w:val="auto"/>
                <w:spacing w:val="-2"/>
                <w:szCs w:val="21"/>
                <w:highlight w:val="none"/>
              </w:rPr>
              <w:t>（满分</w:t>
            </w:r>
            <w:r>
              <w:rPr>
                <w:rFonts w:hint="eastAsia" w:ascii="宋体" w:hAnsi="宋体" w:cs="微软雅黑"/>
                <w:color w:val="auto"/>
                <w:spacing w:val="-2"/>
                <w:szCs w:val="21"/>
                <w:highlight w:val="none"/>
                <w:lang w:val="en-US" w:eastAsia="zh-CN"/>
              </w:rPr>
              <w:t>6</w:t>
            </w:r>
            <w:r>
              <w:rPr>
                <w:rFonts w:hint="eastAsia" w:ascii="宋体" w:hAnsi="宋体" w:cs="微软雅黑"/>
                <w:color w:val="auto"/>
                <w:spacing w:val="-2"/>
                <w:szCs w:val="21"/>
                <w:highlight w:val="none"/>
              </w:rPr>
              <w:t>分）</w:t>
            </w:r>
          </w:p>
        </w:tc>
        <w:tc>
          <w:tcPr>
            <w:tcW w:w="5660" w:type="dxa"/>
            <w:shd w:val="clear" w:color="auto" w:fill="auto"/>
            <w:vAlign w:val="top"/>
          </w:tcPr>
          <w:p w14:paraId="629A05BA">
            <w:pPr>
              <w:widowControl/>
              <w:snapToGrid w:val="0"/>
              <w:spacing w:line="360" w:lineRule="atLeast"/>
              <w:rPr>
                <w:rFonts w:ascii="宋体" w:hAnsi="宋体" w:cs="微软雅黑"/>
                <w:color w:val="auto"/>
                <w:spacing w:val="-2"/>
                <w:szCs w:val="21"/>
                <w:highlight w:val="none"/>
              </w:rPr>
            </w:pPr>
            <w:r>
              <w:rPr>
                <w:rFonts w:hint="eastAsia" w:ascii="宋体" w:hAnsi="宋体" w:cs="微软雅黑"/>
                <w:color w:val="auto"/>
                <w:spacing w:val="-2"/>
                <w:szCs w:val="21"/>
                <w:highlight w:val="none"/>
              </w:rPr>
              <w:t>对投标人的管网巡查与养护进行独立评分：</w:t>
            </w:r>
          </w:p>
          <w:p w14:paraId="524FCB7F">
            <w:pPr>
              <w:wordWrap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第一档（6分）：管网巡查与养护方案完善详尽</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贴合镇级污水管网（总长约29.421公里）特点，全面覆盖管网巡检、清淤、漏损修复、入户管网维护全流程，明确巡检频次（主干管网每日不少于1次、支管网每两日不少于1次、入户管网每周不少于1次），清淤计划细化到具体路段、周期（每季度不少于1次全面清淤，雨季每月不少于1次重点清淤）；</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漏损修复流程明确（接到漏损通知后2小时内到场排查、24小时内完成常规漏损修复），入户管网维护措施具体，明确维护范围、流程及责任分工；有完整的巡查、清淤、修复台账，记录规范可追溯，可确保管网通畅、无大面积漏损，全面满足项目管网运维需求。</w:t>
            </w:r>
          </w:p>
          <w:p w14:paraId="5BA94CC0">
            <w:pPr>
              <w:wordWrap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第二档（5分）：管网巡查与养护方案规范</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贴合镇级污水管网特点，全面覆盖管网巡检、清淤、漏损修复、入户管网维护全流程，明确巡检频次（主干管网每两日不少于1次、支管网每周不少于2次、入户管网每两周不少于1次），清淤计划明确核心路段及周期（每季度不少于1次全面清淤，雨季每两个月不少于1次重点清淤）；</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漏损修复流程规范（接到漏损通知后3小时内到场排查、24小时内完成常规漏损修复），入户管网维护措施具体，明确维护范围及流程；有完善的巡查、清淤、修复台账，记录规范可追溯，可确保管网基本通畅、无重大漏损，满足项目管网运维需求。</w:t>
            </w:r>
          </w:p>
          <w:p w14:paraId="4B492DE6">
            <w:pPr>
              <w:wordWrap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第三档（4分）：管网巡查与养护方案可行</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贴合镇级污水管网特点，覆盖管网巡检、清淤、漏损修复、入户管网维护核心内容，明确巡检频次（主干管网每周不少于2次、支管网每周不少于1次、入户管网每月不少于1次），清淤计划明确主要路段及周期（每半年不少于1次全面清淤）；</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漏损修复流程基本规范（接到漏损通知后4小时内到场排查、48小时内完成常规漏损修复），入户管网维护有基本措施；有基础的巡查、清淤、修复台账，可实现基本追溯，能保障管网基本通畅，偶有轻微漏损可及时处置。</w:t>
            </w:r>
          </w:p>
          <w:p w14:paraId="18D62CA7">
            <w:pPr>
              <w:wordWrap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第四档（2分）：管网巡查与养护方案简陋</w:t>
            </w:r>
            <w:r>
              <w:rPr>
                <w:rFonts w:hint="eastAsia" w:ascii="宋体" w:hAnsi="宋体" w:cs="宋体"/>
                <w:color w:val="auto"/>
                <w:kern w:val="2"/>
                <w:sz w:val="21"/>
                <w:szCs w:val="21"/>
                <w:highlight w:val="none"/>
                <w:lang w:val="en-US" w:eastAsia="zh-CN" w:bidi="ar-SA"/>
              </w:rPr>
              <w:t>。1.</w:t>
            </w:r>
            <w:r>
              <w:rPr>
                <w:rFonts w:ascii="宋体" w:hAnsi="宋体" w:cs="宋体"/>
                <w:color w:val="auto"/>
                <w:szCs w:val="21"/>
                <w:highlight w:val="none"/>
                <w:lang w:val="en-US" w:eastAsia="zh-CN"/>
              </w:rPr>
              <w:t>未充分贴合</w:t>
            </w:r>
            <w:r>
              <w:rPr>
                <w:rFonts w:hint="eastAsia" w:ascii="宋体" w:hAnsi="宋体" w:eastAsia="宋体" w:cs="宋体"/>
                <w:color w:val="auto"/>
                <w:kern w:val="2"/>
                <w:sz w:val="21"/>
                <w:szCs w:val="21"/>
                <w:highlight w:val="none"/>
                <w:lang w:val="en-US" w:eastAsia="zh-CN" w:bidi="ar-SA"/>
              </w:rPr>
              <w:t>镇级污水管网特点，未全面覆盖管网巡检、清淤、漏损修复、入户管网维护全流程，仅明确少量巡检及清淤内容，未明确具体巡检频次、清淤周期；</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漏损修复流程不规范，响应及处置效率低，入户管网维护措施缺失；无完整台账或台账记录混乱，无法追溯相关工作，管网通畅性无保障，存在多处漏损隐患。</w:t>
            </w:r>
          </w:p>
          <w:p w14:paraId="64CE9762">
            <w:pPr>
              <w:wordWrap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第五档（0分）：未提供管网巡查与养护相关方案，或方案未涉及管网巡检、清淤、漏损修复、入户管网维护任何核心内容，无任何具体养护措施，无法保障管网正常运行，完全不符合项目管网运维要求。</w:t>
            </w:r>
          </w:p>
        </w:tc>
      </w:tr>
      <w:tr w14:paraId="2B2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2" w:type="dxa"/>
            <w:vMerge w:val="continue"/>
          </w:tcPr>
          <w:p w14:paraId="42195B5A">
            <w:pPr>
              <w:adjustRightInd w:val="0"/>
              <w:snapToGrid w:val="0"/>
              <w:spacing w:line="360" w:lineRule="atLeast"/>
              <w:jc w:val="center"/>
              <w:textAlignment w:val="baseline"/>
              <w:rPr>
                <w:rFonts w:ascii="宋体" w:hAnsi="宋体"/>
                <w:color w:val="auto"/>
                <w:szCs w:val="21"/>
                <w:highlight w:val="none"/>
              </w:rPr>
            </w:pPr>
          </w:p>
        </w:tc>
        <w:tc>
          <w:tcPr>
            <w:tcW w:w="1585" w:type="dxa"/>
            <w:vMerge w:val="continue"/>
          </w:tcPr>
          <w:p w14:paraId="01E852F6">
            <w:pPr>
              <w:adjustRightInd w:val="0"/>
              <w:snapToGrid w:val="0"/>
              <w:spacing w:line="360" w:lineRule="atLeast"/>
              <w:jc w:val="center"/>
              <w:textAlignment w:val="baseline"/>
              <w:rPr>
                <w:rFonts w:ascii="宋体" w:hAnsi="宋体"/>
                <w:color w:val="auto"/>
                <w:szCs w:val="21"/>
                <w:highlight w:val="none"/>
              </w:rPr>
            </w:pPr>
          </w:p>
        </w:tc>
        <w:tc>
          <w:tcPr>
            <w:tcW w:w="1701" w:type="dxa"/>
            <w:shd w:val="clear" w:color="auto" w:fill="auto"/>
            <w:tcMar>
              <w:left w:w="57" w:type="dxa"/>
              <w:right w:w="57" w:type="dxa"/>
            </w:tcMar>
            <w:vAlign w:val="center"/>
          </w:tcPr>
          <w:p w14:paraId="6C0EA1A2">
            <w:pPr>
              <w:widowControl/>
              <w:snapToGrid w:val="0"/>
              <w:spacing w:line="360" w:lineRule="atLeast"/>
              <w:jc w:val="center"/>
              <w:rPr>
                <w:rFonts w:hint="default" w:ascii="宋体" w:hAnsi="宋体" w:cs="微软雅黑"/>
                <w:color w:val="auto"/>
                <w:spacing w:val="-2"/>
                <w:szCs w:val="21"/>
                <w:highlight w:val="none"/>
                <w:lang w:val="en-US" w:eastAsia="zh-CN"/>
              </w:rPr>
            </w:pPr>
            <w:r>
              <w:rPr>
                <w:rFonts w:hint="eastAsia" w:ascii="宋体" w:hAnsi="宋体" w:cs="微软雅黑"/>
                <w:color w:val="auto"/>
                <w:spacing w:val="-2"/>
                <w:szCs w:val="21"/>
                <w:highlight w:val="none"/>
                <w:lang w:val="en-US" w:eastAsia="zh-CN"/>
              </w:rPr>
              <w:t>安全管理与应急处置分</w:t>
            </w:r>
          </w:p>
          <w:p w14:paraId="5914708B">
            <w:pPr>
              <w:widowControl/>
              <w:snapToGrid w:val="0"/>
              <w:spacing w:line="360" w:lineRule="atLeast"/>
              <w:jc w:val="center"/>
              <w:rPr>
                <w:rFonts w:hint="eastAsia" w:ascii="宋体" w:hAnsi="宋体" w:cs="微软雅黑"/>
                <w:color w:val="auto"/>
                <w:spacing w:val="-2"/>
                <w:szCs w:val="21"/>
                <w:highlight w:val="none"/>
              </w:rPr>
            </w:pPr>
            <w:r>
              <w:rPr>
                <w:rFonts w:hint="eastAsia" w:ascii="宋体" w:hAnsi="宋体" w:cs="微软雅黑"/>
                <w:color w:val="auto"/>
                <w:spacing w:val="-2"/>
                <w:szCs w:val="21"/>
                <w:highlight w:val="none"/>
                <w:lang w:val="en-US" w:eastAsia="zh-CN"/>
              </w:rPr>
              <w:t>（满分7分）</w:t>
            </w:r>
          </w:p>
          <w:p w14:paraId="01DCEAE9">
            <w:pPr>
              <w:widowControl/>
              <w:snapToGrid w:val="0"/>
              <w:spacing w:line="360" w:lineRule="atLeast"/>
              <w:jc w:val="center"/>
              <w:rPr>
                <w:rFonts w:hint="eastAsia" w:ascii="宋体" w:hAnsi="宋体" w:cs="微软雅黑"/>
                <w:color w:val="auto"/>
                <w:spacing w:val="-2"/>
                <w:szCs w:val="21"/>
                <w:highlight w:val="none"/>
              </w:rPr>
            </w:pPr>
          </w:p>
        </w:tc>
        <w:tc>
          <w:tcPr>
            <w:tcW w:w="5660" w:type="dxa"/>
            <w:shd w:val="clear" w:color="auto" w:fill="auto"/>
            <w:vAlign w:val="top"/>
          </w:tcPr>
          <w:p w14:paraId="0034F901">
            <w:pPr>
              <w:widowControl/>
              <w:snapToGrid w:val="0"/>
              <w:spacing w:line="360" w:lineRule="atLeast"/>
              <w:rPr>
                <w:rFonts w:ascii="宋体" w:hAnsi="宋体" w:cs="微软雅黑"/>
                <w:color w:val="auto"/>
                <w:spacing w:val="-2"/>
                <w:szCs w:val="21"/>
                <w:highlight w:val="none"/>
              </w:rPr>
            </w:pPr>
            <w:r>
              <w:rPr>
                <w:rFonts w:hint="eastAsia" w:ascii="宋体" w:hAnsi="宋体" w:cs="微软雅黑"/>
                <w:color w:val="auto"/>
                <w:spacing w:val="-2"/>
                <w:szCs w:val="21"/>
                <w:highlight w:val="none"/>
              </w:rPr>
              <w:t>对投标人的</w:t>
            </w:r>
            <w:r>
              <w:rPr>
                <w:rFonts w:hint="eastAsia" w:ascii="宋体" w:hAnsi="宋体" w:cs="微软雅黑"/>
                <w:color w:val="auto"/>
                <w:spacing w:val="-2"/>
                <w:szCs w:val="21"/>
                <w:highlight w:val="none"/>
                <w:lang w:val="en-US" w:eastAsia="zh-CN"/>
              </w:rPr>
              <w:t>安全管理与应急处置</w:t>
            </w:r>
            <w:r>
              <w:rPr>
                <w:rFonts w:hint="eastAsia" w:ascii="宋体" w:hAnsi="宋体" w:cs="微软雅黑"/>
                <w:color w:val="auto"/>
                <w:spacing w:val="-2"/>
                <w:szCs w:val="21"/>
                <w:highlight w:val="none"/>
              </w:rPr>
              <w:t>进行独立评分：</w:t>
            </w:r>
          </w:p>
          <w:p w14:paraId="5E48D886">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第一档（7分）：安全管理与应急处置方案完善详尽</w:t>
            </w:r>
            <w:r>
              <w:rPr>
                <w:rFonts w:hint="eastAsia" w:ascii="宋体" w:hAnsi="宋体" w:cs="宋体"/>
                <w:color w:val="auto"/>
                <w:szCs w:val="21"/>
                <w:highlight w:val="none"/>
                <w:lang w:val="en-US" w:eastAsia="zh-CN"/>
              </w:rPr>
              <w:t>。1.</w:t>
            </w:r>
            <w:r>
              <w:rPr>
                <w:rFonts w:ascii="宋体" w:hAnsi="宋体" w:cs="宋体"/>
                <w:color w:val="auto"/>
                <w:szCs w:val="21"/>
                <w:highlight w:val="none"/>
                <w:lang w:val="en-US" w:eastAsia="zh-CN"/>
              </w:rPr>
              <w:t>贴合镇级污水设施（场站、管网、泵站）运营特点，安全生产管理制度健全，明确安全责任分工、日常安全巡查、安全培训及隐患排查流程（每日安全巡查、每月隐患排查、每季度安全培训）；</w:t>
            </w:r>
            <w:r>
              <w:rPr>
                <w:rFonts w:hint="eastAsia" w:ascii="宋体" w:hAnsi="宋体" w:cs="宋体"/>
                <w:color w:val="auto"/>
                <w:szCs w:val="21"/>
                <w:highlight w:val="none"/>
                <w:lang w:val="en-US" w:eastAsia="zh-CN"/>
              </w:rPr>
              <w:t>2.</w:t>
            </w:r>
            <w:r>
              <w:rPr>
                <w:rFonts w:ascii="宋体" w:hAnsi="宋体" w:cs="宋体"/>
                <w:color w:val="auto"/>
                <w:szCs w:val="21"/>
                <w:highlight w:val="none"/>
                <w:lang w:val="en-US" w:eastAsia="zh-CN"/>
              </w:rPr>
              <w:t>危废（污泥、药剂包装等）管理规范，明确收集、储存、转运流程及合规处置要求，全程符合环保及安全规定；</w:t>
            </w:r>
            <w:r>
              <w:rPr>
                <w:rFonts w:hint="eastAsia" w:ascii="宋体" w:hAnsi="宋体" w:cs="宋体"/>
                <w:color w:val="auto"/>
                <w:szCs w:val="21"/>
                <w:highlight w:val="none"/>
                <w:lang w:val="en-US" w:eastAsia="zh-CN"/>
              </w:rPr>
              <w:t>3.</w:t>
            </w:r>
            <w:r>
              <w:rPr>
                <w:rFonts w:ascii="宋体" w:hAnsi="宋体" w:cs="宋体"/>
                <w:color w:val="auto"/>
                <w:szCs w:val="21"/>
                <w:highlight w:val="none"/>
                <w:lang w:val="en-US" w:eastAsia="zh-CN"/>
              </w:rPr>
              <w:t>应急预案全面完整，涵盖防汛、设备故障、水质超标等各类突发情况，每类应急预案均明确处置流程、责任人员、处置时限及保障措施，可直接落地执行；</w:t>
            </w:r>
            <w:r>
              <w:rPr>
                <w:rFonts w:hint="eastAsia" w:ascii="宋体" w:hAnsi="宋体" w:cs="宋体"/>
                <w:color w:val="auto"/>
                <w:szCs w:val="21"/>
                <w:highlight w:val="none"/>
                <w:lang w:val="en-US" w:eastAsia="zh-CN"/>
              </w:rPr>
              <w:t>4.</w:t>
            </w:r>
            <w:r>
              <w:rPr>
                <w:rFonts w:ascii="宋体" w:hAnsi="宋体" w:cs="宋体"/>
                <w:color w:val="auto"/>
                <w:szCs w:val="21"/>
                <w:highlight w:val="none"/>
                <w:lang w:val="en-US" w:eastAsia="zh-CN"/>
              </w:rPr>
              <w:t>定期组织应急演练（每半年不少于1次综合演练），能有效应对各类突发情况，全面保障项目运营安全。</w:t>
            </w:r>
          </w:p>
          <w:p w14:paraId="68E9BAAC">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第二档（6分）：安全管理与应急处置方案规范</w:t>
            </w:r>
            <w:r>
              <w:rPr>
                <w:rFonts w:hint="eastAsia" w:ascii="宋体" w:hAnsi="宋体" w:cs="宋体"/>
                <w:color w:val="auto"/>
                <w:szCs w:val="21"/>
                <w:highlight w:val="none"/>
                <w:lang w:val="en-US" w:eastAsia="zh-CN"/>
              </w:rPr>
              <w:t>。1.</w:t>
            </w:r>
            <w:r>
              <w:rPr>
                <w:rFonts w:ascii="宋体" w:hAnsi="宋体" w:cs="宋体"/>
                <w:color w:val="auto"/>
                <w:szCs w:val="21"/>
                <w:highlight w:val="none"/>
                <w:lang w:val="en-US" w:eastAsia="zh-CN"/>
              </w:rPr>
              <w:t>贴合镇级污水设施运营特点，安全生产管理制度完善，明确安全责任分工、日常安全巡查及隐患排查流程（每日安全巡查、每月隐患排查、每半年安全培训）；</w:t>
            </w:r>
            <w:r>
              <w:rPr>
                <w:rFonts w:hint="eastAsia" w:ascii="宋体" w:hAnsi="宋体" w:cs="宋体"/>
                <w:color w:val="auto"/>
                <w:szCs w:val="21"/>
                <w:highlight w:val="none"/>
                <w:lang w:val="en-US" w:eastAsia="zh-CN"/>
              </w:rPr>
              <w:t>2.</w:t>
            </w:r>
            <w:r>
              <w:rPr>
                <w:rFonts w:ascii="宋体" w:hAnsi="宋体" w:cs="宋体"/>
                <w:color w:val="auto"/>
                <w:szCs w:val="21"/>
                <w:highlight w:val="none"/>
                <w:lang w:val="en-US" w:eastAsia="zh-CN"/>
              </w:rPr>
              <w:t>危废管理规范，明确收集、储存、转运流程，符合环保及安全规定；</w:t>
            </w:r>
            <w:r>
              <w:rPr>
                <w:rFonts w:hint="eastAsia" w:ascii="宋体" w:hAnsi="宋体" w:cs="宋体"/>
                <w:color w:val="auto"/>
                <w:szCs w:val="21"/>
                <w:highlight w:val="none"/>
                <w:lang w:val="en-US" w:eastAsia="zh-CN"/>
              </w:rPr>
              <w:t>3.</w:t>
            </w:r>
            <w:r>
              <w:rPr>
                <w:rFonts w:ascii="宋体" w:hAnsi="宋体" w:cs="宋体"/>
                <w:color w:val="auto"/>
                <w:szCs w:val="21"/>
                <w:highlight w:val="none"/>
                <w:lang w:val="en-US" w:eastAsia="zh-CN"/>
              </w:rPr>
              <w:t>应急预案完整，涵盖防汛、设备故障、水质超标等主要突发情况，明确处置流程、责任人员及处置时限，可落地执行；</w:t>
            </w:r>
            <w:r>
              <w:rPr>
                <w:rFonts w:hint="eastAsia" w:ascii="宋体" w:hAnsi="宋体" w:cs="宋体"/>
                <w:color w:val="auto"/>
                <w:szCs w:val="21"/>
                <w:highlight w:val="none"/>
                <w:lang w:val="en-US" w:eastAsia="zh-CN"/>
              </w:rPr>
              <w:t>4.</w:t>
            </w:r>
            <w:r>
              <w:rPr>
                <w:rFonts w:ascii="宋体" w:hAnsi="宋体" w:cs="宋体"/>
                <w:color w:val="auto"/>
                <w:szCs w:val="21"/>
                <w:highlight w:val="none"/>
                <w:lang w:val="en-US" w:eastAsia="zh-CN"/>
              </w:rPr>
              <w:t>每年度组织应急演练不少于1次，能有效应对各类常见突发情况，保障项目运营安全。</w:t>
            </w:r>
          </w:p>
          <w:p w14:paraId="78557708">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第三档（4分）：安全管理与应急处置方案可行</w:t>
            </w:r>
            <w:r>
              <w:rPr>
                <w:rFonts w:hint="eastAsia" w:ascii="宋体" w:hAnsi="宋体" w:cs="宋体"/>
                <w:color w:val="auto"/>
                <w:szCs w:val="21"/>
                <w:highlight w:val="none"/>
                <w:lang w:val="en-US" w:eastAsia="zh-CN"/>
              </w:rPr>
              <w:t>。1.</w:t>
            </w:r>
            <w:r>
              <w:rPr>
                <w:rFonts w:ascii="宋体" w:hAnsi="宋体" w:cs="宋体"/>
                <w:color w:val="auto"/>
                <w:szCs w:val="21"/>
                <w:highlight w:val="none"/>
                <w:lang w:val="en-US" w:eastAsia="zh-CN"/>
              </w:rPr>
              <w:t>贴合镇级污水设施运营特点，安全生产管理制度基本健全，明确安全责任分工及日常安全巡查流程（每两日安全巡查、每两个月隐患排查）；</w:t>
            </w:r>
            <w:r>
              <w:rPr>
                <w:rFonts w:hint="eastAsia" w:ascii="宋体" w:hAnsi="宋体" w:cs="宋体"/>
                <w:color w:val="auto"/>
                <w:szCs w:val="21"/>
                <w:highlight w:val="none"/>
                <w:lang w:val="en-US" w:eastAsia="zh-CN"/>
              </w:rPr>
              <w:t>2.</w:t>
            </w:r>
            <w:r>
              <w:rPr>
                <w:rFonts w:ascii="宋体" w:hAnsi="宋体" w:cs="宋体"/>
                <w:color w:val="auto"/>
                <w:szCs w:val="21"/>
                <w:highlight w:val="none"/>
                <w:lang w:val="en-US" w:eastAsia="zh-CN"/>
              </w:rPr>
              <w:t>危废管理基本规范，明确收集、储存要求，处置流程合规；</w:t>
            </w:r>
            <w:r>
              <w:rPr>
                <w:rFonts w:hint="eastAsia" w:ascii="宋体" w:hAnsi="宋体" w:cs="宋体"/>
                <w:color w:val="auto"/>
                <w:szCs w:val="21"/>
                <w:highlight w:val="none"/>
                <w:lang w:val="en-US" w:eastAsia="zh-CN"/>
              </w:rPr>
              <w:t>3.</w:t>
            </w:r>
            <w:r>
              <w:rPr>
                <w:rFonts w:ascii="宋体" w:hAnsi="宋体" w:cs="宋体"/>
                <w:color w:val="auto"/>
                <w:szCs w:val="21"/>
                <w:highlight w:val="none"/>
                <w:lang w:val="en-US" w:eastAsia="zh-CN"/>
              </w:rPr>
              <w:t>应急预案基本完整，涵盖防汛、设备故障等核心突发情况，明确主要处置流程及责任人员，措施基本可行；</w:t>
            </w:r>
            <w:r>
              <w:rPr>
                <w:rFonts w:hint="eastAsia" w:ascii="宋体" w:hAnsi="宋体" w:cs="宋体"/>
                <w:color w:val="auto"/>
                <w:szCs w:val="21"/>
                <w:highlight w:val="none"/>
                <w:lang w:val="en-US" w:eastAsia="zh-CN"/>
              </w:rPr>
              <w:t>4.</w:t>
            </w:r>
            <w:r>
              <w:rPr>
                <w:rFonts w:ascii="宋体" w:hAnsi="宋体" w:cs="宋体"/>
                <w:color w:val="auto"/>
                <w:szCs w:val="21"/>
                <w:highlight w:val="none"/>
                <w:lang w:val="en-US" w:eastAsia="zh-CN"/>
              </w:rPr>
              <w:t>偶尔组织应急演练，能应对常见突发情况，基本保障项目运营安全。</w:t>
            </w:r>
          </w:p>
          <w:p w14:paraId="3D7EACA9">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第四档（2分）：安全管理与应急处置方案简陋</w:t>
            </w:r>
            <w:r>
              <w:rPr>
                <w:rFonts w:hint="eastAsia" w:ascii="宋体" w:hAnsi="宋体" w:cs="宋体"/>
                <w:color w:val="auto"/>
                <w:szCs w:val="21"/>
                <w:highlight w:val="none"/>
                <w:lang w:val="en-US" w:eastAsia="zh-CN"/>
              </w:rPr>
              <w:t>。</w:t>
            </w:r>
            <w:r>
              <w:rPr>
                <w:rFonts w:ascii="宋体" w:hAnsi="宋体" w:cs="宋体"/>
                <w:color w:val="auto"/>
                <w:szCs w:val="21"/>
                <w:highlight w:val="none"/>
                <w:lang w:val="en-US" w:eastAsia="zh-CN"/>
              </w:rPr>
              <w:t>未充分贴合镇级污水设施运营特点，安全生产管理制度不健全，未明确安全责任分工，仅简单提及安全巡查，未明确隐患排查及安全培训要求；危废管理不规范，未明确完整的收集、储存、转运流程，存在安全隐患；应急预案不完整，仅覆盖少量突发情况，未明确处置流程、责任人员及处置时限，措施笼统；未组织应急演练，应对突发情况能力薄弱，无法有效保障项目运营安全。</w:t>
            </w:r>
          </w:p>
          <w:p w14:paraId="25DEC00E">
            <w:pPr>
              <w:wordWrap w:val="0"/>
              <w:spacing w:line="400" w:lineRule="exact"/>
              <w:rPr>
                <w:rFonts w:hint="eastAsia" w:ascii="宋体" w:hAnsi="宋体" w:eastAsia="宋体" w:cs="宋体"/>
                <w:color w:val="auto"/>
                <w:kern w:val="2"/>
                <w:sz w:val="21"/>
                <w:szCs w:val="21"/>
                <w:highlight w:val="none"/>
                <w:lang w:val="en-US" w:eastAsia="zh-CN" w:bidi="ar-SA"/>
              </w:rPr>
            </w:pPr>
            <w:r>
              <w:rPr>
                <w:rFonts w:ascii="宋体" w:hAnsi="宋体" w:cs="宋体"/>
                <w:color w:val="auto"/>
                <w:szCs w:val="21"/>
                <w:highlight w:val="none"/>
                <w:lang w:val="en-US" w:eastAsia="zh-CN"/>
              </w:rPr>
              <w:t>第五档（0分）：未提供安全管理与应急处置相关方案，或方案未涉及安全生产制度、危废管理、应急预案任何核心内容，无任何具体安全及应急措施，无法保障项目运营安全，完全不符合项目运维要求。</w:t>
            </w:r>
          </w:p>
        </w:tc>
      </w:tr>
      <w:tr w14:paraId="52BD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327263A6">
            <w:pPr>
              <w:adjustRightInd w:val="0"/>
              <w:snapToGrid w:val="0"/>
              <w:spacing w:line="360" w:lineRule="atLeast"/>
              <w:jc w:val="center"/>
              <w:textAlignment w:val="baseline"/>
              <w:rPr>
                <w:rFonts w:ascii="宋体" w:hAnsi="宋体"/>
                <w:color w:val="auto"/>
                <w:szCs w:val="21"/>
                <w:highlight w:val="none"/>
              </w:rPr>
            </w:pPr>
          </w:p>
        </w:tc>
        <w:tc>
          <w:tcPr>
            <w:tcW w:w="1585" w:type="dxa"/>
            <w:vMerge w:val="continue"/>
          </w:tcPr>
          <w:p w14:paraId="0B5CF059">
            <w:pPr>
              <w:adjustRightInd w:val="0"/>
              <w:snapToGrid w:val="0"/>
              <w:spacing w:line="360" w:lineRule="atLeast"/>
              <w:jc w:val="center"/>
              <w:textAlignment w:val="baseline"/>
              <w:rPr>
                <w:rFonts w:ascii="宋体" w:hAnsi="宋体"/>
                <w:color w:val="auto"/>
                <w:szCs w:val="21"/>
                <w:highlight w:val="none"/>
              </w:rPr>
            </w:pPr>
          </w:p>
        </w:tc>
        <w:tc>
          <w:tcPr>
            <w:tcW w:w="1701" w:type="dxa"/>
            <w:tcMar>
              <w:left w:w="57" w:type="dxa"/>
              <w:right w:w="57" w:type="dxa"/>
            </w:tcMar>
            <w:vAlign w:val="center"/>
          </w:tcPr>
          <w:p w14:paraId="4DE7A38E">
            <w:pPr>
              <w:widowControl/>
              <w:snapToGrid w:val="0"/>
              <w:spacing w:line="360" w:lineRule="atLeast"/>
              <w:jc w:val="center"/>
              <w:rPr>
                <w:rFonts w:ascii="宋体" w:hAnsi="宋体" w:cs="微软雅黑"/>
                <w:color w:val="auto"/>
                <w:spacing w:val="-2"/>
                <w:szCs w:val="21"/>
                <w:highlight w:val="none"/>
              </w:rPr>
            </w:pPr>
            <w:r>
              <w:rPr>
                <w:rFonts w:ascii="宋体" w:hAnsi="宋体" w:cs="微软雅黑"/>
                <w:color w:val="auto"/>
                <w:spacing w:val="-2"/>
                <w:szCs w:val="21"/>
                <w:highlight w:val="none"/>
                <w:lang w:val="en-US" w:eastAsia="zh-CN"/>
              </w:rPr>
              <w:t>智慧运维与数字化管理</w:t>
            </w:r>
          </w:p>
          <w:p w14:paraId="518FD465">
            <w:pPr>
              <w:widowControl/>
              <w:snapToGrid w:val="0"/>
              <w:spacing w:line="360" w:lineRule="atLeast"/>
              <w:jc w:val="center"/>
              <w:rPr>
                <w:rFonts w:ascii="宋体" w:hAnsi="宋体" w:cs="微软雅黑"/>
                <w:color w:val="auto"/>
                <w:spacing w:val="-2"/>
                <w:szCs w:val="21"/>
                <w:highlight w:val="none"/>
              </w:rPr>
            </w:pPr>
            <w:r>
              <w:rPr>
                <w:rFonts w:hint="eastAsia" w:ascii="宋体" w:hAnsi="宋体" w:cs="微软雅黑"/>
                <w:color w:val="auto"/>
                <w:spacing w:val="-2"/>
                <w:szCs w:val="21"/>
                <w:highlight w:val="none"/>
                <w:lang w:val="en-US" w:eastAsia="zh-CN"/>
              </w:rPr>
              <w:t>（满分6分）</w:t>
            </w:r>
          </w:p>
        </w:tc>
        <w:tc>
          <w:tcPr>
            <w:tcW w:w="5660" w:type="dxa"/>
            <w:vAlign w:val="top"/>
          </w:tcPr>
          <w:p w14:paraId="2EA415FA">
            <w:pPr>
              <w:widowControl/>
              <w:snapToGrid w:val="0"/>
              <w:spacing w:line="360" w:lineRule="atLeast"/>
              <w:rPr>
                <w:rFonts w:ascii="宋体" w:hAnsi="宋体" w:cs="微软雅黑"/>
                <w:color w:val="auto"/>
                <w:spacing w:val="-2"/>
                <w:szCs w:val="21"/>
                <w:highlight w:val="none"/>
              </w:rPr>
            </w:pPr>
            <w:r>
              <w:rPr>
                <w:rFonts w:hint="eastAsia" w:ascii="宋体" w:hAnsi="宋体" w:cs="微软雅黑"/>
                <w:color w:val="auto"/>
                <w:spacing w:val="-2"/>
                <w:szCs w:val="21"/>
                <w:highlight w:val="none"/>
              </w:rPr>
              <w:t>对投标人的</w:t>
            </w:r>
            <w:r>
              <w:rPr>
                <w:rFonts w:ascii="宋体" w:hAnsi="宋体" w:cs="微软雅黑"/>
                <w:color w:val="auto"/>
                <w:spacing w:val="-2"/>
                <w:szCs w:val="21"/>
                <w:highlight w:val="none"/>
                <w:lang w:val="en-US" w:eastAsia="zh-CN"/>
              </w:rPr>
              <w:t>智慧运维与数字化管理</w:t>
            </w:r>
            <w:r>
              <w:rPr>
                <w:rFonts w:hint="eastAsia" w:ascii="宋体" w:hAnsi="宋体" w:cs="微软雅黑"/>
                <w:color w:val="auto"/>
                <w:spacing w:val="-2"/>
                <w:szCs w:val="21"/>
                <w:highlight w:val="none"/>
              </w:rPr>
              <w:t>进行独立评分：</w:t>
            </w:r>
          </w:p>
          <w:p w14:paraId="3A8897E3">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第一档（6分）：智慧运维与数字化管理方案完善</w:t>
            </w:r>
            <w:r>
              <w:rPr>
                <w:rFonts w:hint="eastAsia" w:ascii="宋体" w:hAnsi="宋体" w:cs="宋体"/>
                <w:color w:val="auto"/>
                <w:szCs w:val="21"/>
                <w:highlight w:val="none"/>
                <w:lang w:val="en-US" w:eastAsia="zh-CN"/>
              </w:rPr>
              <w:t>。1.</w:t>
            </w:r>
            <w:r>
              <w:rPr>
                <w:rFonts w:ascii="宋体" w:hAnsi="宋体" w:cs="宋体"/>
                <w:color w:val="auto"/>
                <w:szCs w:val="21"/>
                <w:highlight w:val="none"/>
                <w:lang w:val="en-US" w:eastAsia="zh-CN"/>
              </w:rPr>
              <w:t>贴合镇级污水设施（场站、管网、泵站）特点，明确建成智慧运维管理云平台，全面具备在线监控、数据上传、智能报警、移动端管理全功能；</w:t>
            </w:r>
            <w:r>
              <w:rPr>
                <w:rFonts w:hint="eastAsia" w:ascii="宋体" w:hAnsi="宋体" w:cs="宋体"/>
                <w:color w:val="auto"/>
                <w:szCs w:val="21"/>
                <w:highlight w:val="none"/>
                <w:lang w:val="en-US" w:eastAsia="zh-CN"/>
              </w:rPr>
              <w:t>2.</w:t>
            </w:r>
            <w:r>
              <w:rPr>
                <w:rFonts w:ascii="宋体" w:hAnsi="宋体" w:cs="宋体"/>
                <w:color w:val="auto"/>
                <w:szCs w:val="21"/>
                <w:highlight w:val="none"/>
                <w:lang w:val="en-US" w:eastAsia="zh-CN"/>
              </w:rPr>
              <w:t>在线监控覆盖场站设备运行状态、管网巡检情况、泵站运行参数、水质监测数据等所有运维核心环节，实时同步展示；</w:t>
            </w:r>
            <w:r>
              <w:rPr>
                <w:rFonts w:hint="eastAsia" w:ascii="宋体" w:hAnsi="宋体" w:cs="宋体"/>
                <w:color w:val="auto"/>
                <w:szCs w:val="21"/>
                <w:highlight w:val="none"/>
                <w:lang w:val="en-US" w:eastAsia="zh-CN"/>
              </w:rPr>
              <w:t>3.</w:t>
            </w:r>
            <w:r>
              <w:rPr>
                <w:rFonts w:ascii="宋体" w:hAnsi="宋体" w:cs="宋体"/>
                <w:color w:val="auto"/>
                <w:szCs w:val="21"/>
                <w:highlight w:val="none"/>
                <w:lang w:val="en-US" w:eastAsia="zh-CN"/>
              </w:rPr>
              <w:t>数据上传规范，明确每小时自动上传1次核心运维数据（含设备运行参数、水质指标、巡检记录等），数据真实可追溯；</w:t>
            </w:r>
            <w:r>
              <w:rPr>
                <w:rFonts w:hint="eastAsia" w:ascii="宋体" w:hAnsi="宋体" w:cs="宋体"/>
                <w:color w:val="auto"/>
                <w:szCs w:val="21"/>
                <w:highlight w:val="none"/>
                <w:lang w:val="en-US" w:eastAsia="zh-CN"/>
              </w:rPr>
              <w:t>4.</w:t>
            </w:r>
            <w:r>
              <w:rPr>
                <w:rFonts w:ascii="宋体" w:hAnsi="宋体" w:cs="宋体"/>
                <w:color w:val="auto"/>
                <w:szCs w:val="21"/>
                <w:highlight w:val="none"/>
                <w:lang w:val="en-US" w:eastAsia="zh-CN"/>
              </w:rPr>
              <w:t>智能报警功能完善，明确设备故障、水质异常、管网漏损等各类异常情况的报警阈值、通知流程（10分钟内推送至相关责任人），可快速响应处置；</w:t>
            </w:r>
            <w:r>
              <w:rPr>
                <w:rFonts w:hint="eastAsia" w:ascii="宋体" w:hAnsi="宋体" w:cs="宋体"/>
                <w:color w:val="auto"/>
                <w:szCs w:val="21"/>
                <w:highlight w:val="none"/>
                <w:lang w:val="en-US" w:eastAsia="zh-CN"/>
              </w:rPr>
              <w:t>5.</w:t>
            </w:r>
            <w:r>
              <w:rPr>
                <w:rFonts w:ascii="宋体" w:hAnsi="宋体" w:cs="宋体"/>
                <w:color w:val="auto"/>
                <w:szCs w:val="21"/>
                <w:highlight w:val="none"/>
                <w:lang w:val="en-US" w:eastAsia="zh-CN"/>
              </w:rPr>
              <w:t>移动端管理体系健全，支持移动端查看实时数据、接收报警通知、下达运维指令、填写巡检台账，实现运维全流程数字化管控，可直接落地执行。</w:t>
            </w:r>
          </w:p>
          <w:p w14:paraId="584AF68D">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第二档（5分）：智慧运维与数字化管理方案规范</w:t>
            </w:r>
            <w:r>
              <w:rPr>
                <w:rFonts w:hint="eastAsia" w:ascii="宋体" w:hAnsi="宋体" w:cs="宋体"/>
                <w:color w:val="auto"/>
                <w:szCs w:val="21"/>
                <w:highlight w:val="none"/>
                <w:lang w:val="en-US" w:eastAsia="zh-CN"/>
              </w:rPr>
              <w:t>。1.</w:t>
            </w:r>
            <w:r>
              <w:rPr>
                <w:rFonts w:ascii="宋体" w:hAnsi="宋体" w:cs="宋体"/>
                <w:color w:val="auto"/>
                <w:szCs w:val="21"/>
                <w:highlight w:val="none"/>
                <w:lang w:val="en-US" w:eastAsia="zh-CN"/>
              </w:rPr>
              <w:t>贴合镇级污水设施特点，建成智慧运维管理云平台，具备在线监控、数据上传、智能报警、移动端管理核心功能；</w:t>
            </w:r>
            <w:r>
              <w:rPr>
                <w:rFonts w:hint="eastAsia" w:ascii="宋体" w:hAnsi="宋体" w:cs="宋体"/>
                <w:color w:val="auto"/>
                <w:szCs w:val="21"/>
                <w:highlight w:val="none"/>
                <w:lang w:val="en-US" w:eastAsia="zh-CN"/>
              </w:rPr>
              <w:t>2.</w:t>
            </w:r>
            <w:r>
              <w:rPr>
                <w:rFonts w:ascii="宋体" w:hAnsi="宋体" w:cs="宋体"/>
                <w:color w:val="auto"/>
                <w:szCs w:val="21"/>
                <w:highlight w:val="none"/>
                <w:lang w:val="en-US" w:eastAsia="zh-CN"/>
              </w:rPr>
              <w:t>在线监控覆盖场站设备运行、水质监测、泵站运行等主要运维环节，实时展示核心数据；</w:t>
            </w:r>
            <w:r>
              <w:rPr>
                <w:rFonts w:hint="eastAsia" w:ascii="宋体" w:hAnsi="宋体" w:cs="宋体"/>
                <w:color w:val="auto"/>
                <w:szCs w:val="21"/>
                <w:highlight w:val="none"/>
                <w:lang w:val="en-US" w:eastAsia="zh-CN"/>
              </w:rPr>
              <w:t>3.</w:t>
            </w:r>
            <w:r>
              <w:rPr>
                <w:rFonts w:ascii="宋体" w:hAnsi="宋体" w:cs="宋体"/>
                <w:color w:val="auto"/>
                <w:szCs w:val="21"/>
                <w:highlight w:val="none"/>
                <w:lang w:val="en-US" w:eastAsia="zh-CN"/>
              </w:rPr>
              <w:t>数据上传明确每2小时自动上传1次核心运维数据，数据可追溯；</w:t>
            </w:r>
            <w:r>
              <w:rPr>
                <w:rFonts w:hint="eastAsia" w:ascii="宋体" w:hAnsi="宋体" w:cs="宋体"/>
                <w:color w:val="auto"/>
                <w:szCs w:val="21"/>
                <w:highlight w:val="none"/>
                <w:lang w:val="en-US" w:eastAsia="zh-CN"/>
              </w:rPr>
              <w:t>4.</w:t>
            </w:r>
            <w:r>
              <w:rPr>
                <w:rFonts w:ascii="宋体" w:hAnsi="宋体" w:cs="宋体"/>
                <w:color w:val="auto"/>
                <w:szCs w:val="21"/>
                <w:highlight w:val="none"/>
                <w:lang w:val="en-US" w:eastAsia="zh-CN"/>
              </w:rPr>
              <w:t>智能报警功能较完善，明确设备故障、水质异常等主要异常情况的报警阈值及通知流程（20分钟内推送至相关责任人），可及时响应处置；</w:t>
            </w:r>
            <w:r>
              <w:rPr>
                <w:rFonts w:hint="eastAsia" w:ascii="宋体" w:hAnsi="宋体" w:cs="宋体"/>
                <w:color w:val="auto"/>
                <w:szCs w:val="21"/>
                <w:highlight w:val="none"/>
                <w:lang w:val="en-US" w:eastAsia="zh-CN"/>
              </w:rPr>
              <w:t>5.</w:t>
            </w:r>
            <w:r>
              <w:rPr>
                <w:rFonts w:ascii="宋体" w:hAnsi="宋体" w:cs="宋体"/>
                <w:color w:val="auto"/>
                <w:szCs w:val="21"/>
                <w:highlight w:val="none"/>
                <w:lang w:val="en-US" w:eastAsia="zh-CN"/>
              </w:rPr>
              <w:t>移动端管理体系完善，支持移动端查看实时数据、接收报警、填写巡检台账，基本实现运维数字化管控，可落地执行。</w:t>
            </w:r>
          </w:p>
          <w:p w14:paraId="46DA27D6">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第三档（4分）：智慧运维与数字化管理方案可行</w:t>
            </w:r>
            <w:r>
              <w:rPr>
                <w:rFonts w:hint="eastAsia" w:ascii="宋体" w:hAnsi="宋体" w:cs="宋体"/>
                <w:color w:val="auto"/>
                <w:szCs w:val="21"/>
                <w:highlight w:val="none"/>
                <w:lang w:val="en-US" w:eastAsia="zh-CN"/>
              </w:rPr>
              <w:t>。1.</w:t>
            </w:r>
            <w:r>
              <w:rPr>
                <w:rFonts w:ascii="宋体" w:hAnsi="宋体" w:cs="宋体"/>
                <w:color w:val="auto"/>
                <w:szCs w:val="21"/>
                <w:highlight w:val="none"/>
                <w:lang w:val="en-US" w:eastAsia="zh-CN"/>
              </w:rPr>
              <w:t>贴合镇级污水设施特点，具备智慧运维基础功能，建成简易智慧管理平台，涵盖在线监控、数据上传、智能报警、移动端管理主要内容；</w:t>
            </w:r>
            <w:r>
              <w:rPr>
                <w:rFonts w:hint="eastAsia" w:ascii="宋体" w:hAnsi="宋体" w:cs="宋体"/>
                <w:color w:val="auto"/>
                <w:szCs w:val="21"/>
                <w:highlight w:val="none"/>
                <w:lang w:val="en-US" w:eastAsia="zh-CN"/>
              </w:rPr>
              <w:t>2.</w:t>
            </w:r>
            <w:r>
              <w:rPr>
                <w:rFonts w:ascii="宋体" w:hAnsi="宋体" w:cs="宋体"/>
                <w:color w:val="auto"/>
                <w:szCs w:val="21"/>
                <w:highlight w:val="none"/>
                <w:lang w:val="en-US" w:eastAsia="zh-CN"/>
              </w:rPr>
              <w:t>在线监控覆盖场站核心设备、水质监测等关键环节，可查看基础运行数据；数据上传明确每日定时上传2次核心运维数据，数据基本可追溯；</w:t>
            </w:r>
            <w:r>
              <w:rPr>
                <w:rFonts w:hint="eastAsia" w:ascii="宋体" w:hAnsi="宋体" w:cs="宋体"/>
                <w:color w:val="auto"/>
                <w:szCs w:val="21"/>
                <w:highlight w:val="none"/>
                <w:lang w:val="en-US" w:eastAsia="zh-CN"/>
              </w:rPr>
              <w:t>3.</w:t>
            </w:r>
            <w:r>
              <w:rPr>
                <w:rFonts w:ascii="宋体" w:hAnsi="宋体" w:cs="宋体"/>
                <w:color w:val="auto"/>
                <w:szCs w:val="21"/>
                <w:highlight w:val="none"/>
                <w:lang w:val="en-US" w:eastAsia="zh-CN"/>
              </w:rPr>
              <w:t>智能报警仅覆盖设备故障、水质超标等核心异常情况，报警通知流程明确，响应及时；</w:t>
            </w:r>
            <w:r>
              <w:rPr>
                <w:rFonts w:hint="eastAsia" w:ascii="宋体" w:hAnsi="宋体" w:cs="宋体"/>
                <w:color w:val="auto"/>
                <w:szCs w:val="21"/>
                <w:highlight w:val="none"/>
                <w:lang w:val="en-US" w:eastAsia="zh-CN"/>
              </w:rPr>
              <w:t>4.</w:t>
            </w:r>
            <w:r>
              <w:rPr>
                <w:rFonts w:ascii="宋体" w:hAnsi="宋体" w:cs="宋体"/>
                <w:color w:val="auto"/>
                <w:szCs w:val="21"/>
                <w:highlight w:val="none"/>
                <w:lang w:val="en-US" w:eastAsia="zh-CN"/>
              </w:rPr>
              <w:t>移动端管理支持查看基础数据、接收报警通知，可实现基础数字化运维管控，需补充完善功能。</w:t>
            </w:r>
          </w:p>
          <w:p w14:paraId="37308CE5">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第四档（2分）：智慧运维与数字化管理方案简陋</w:t>
            </w:r>
            <w:r>
              <w:rPr>
                <w:rFonts w:hint="eastAsia" w:ascii="宋体" w:hAnsi="宋体" w:cs="宋体"/>
                <w:color w:val="auto"/>
                <w:szCs w:val="21"/>
                <w:highlight w:val="none"/>
                <w:lang w:val="en-US" w:eastAsia="zh-CN"/>
              </w:rPr>
              <w:t>。</w:t>
            </w:r>
            <w:r>
              <w:rPr>
                <w:rFonts w:ascii="宋体" w:hAnsi="宋体" w:cs="宋体"/>
                <w:color w:val="auto"/>
                <w:szCs w:val="21"/>
                <w:highlight w:val="none"/>
                <w:lang w:val="en-US" w:eastAsia="zh-CN"/>
              </w:rPr>
              <w:t>未充分贴合镇级污水设施特点，仅具备基础数字化管理措施，未建成完整智慧运维云平台；仅简单实现部分在线监控功能，未覆盖管网、泵站等核心运维环节；数据上传无固定频次，仅手动不定期上传少量数据，数据追溯性差；智能报警功能缺失或简陋，未明确报警阈值及通知流程，无法及时发现异常；无完善移动端管理体系，仅可查看少量基础数据，无法实现数字化运维管控，需大幅完善。</w:t>
            </w:r>
          </w:p>
          <w:p w14:paraId="08DF1966">
            <w:pPr>
              <w:wordWrap w:val="0"/>
              <w:spacing w:line="400" w:lineRule="exact"/>
              <w:rPr>
                <w:rFonts w:ascii="宋体" w:hAnsi="宋体" w:cs="宋体"/>
                <w:color w:val="auto"/>
                <w:szCs w:val="21"/>
                <w:highlight w:val="none"/>
              </w:rPr>
            </w:pPr>
            <w:r>
              <w:rPr>
                <w:rFonts w:ascii="宋体" w:hAnsi="宋体" w:cs="宋体"/>
                <w:color w:val="auto"/>
                <w:szCs w:val="21"/>
                <w:highlight w:val="none"/>
                <w:lang w:val="en-US" w:eastAsia="zh-CN"/>
              </w:rPr>
              <w:t>第五档（0分）：未提供智慧运维与数字化管理相关方案，或方案未涉及在线监控、数据上传、智能报警、移动端管理任何核心内容，无任何数字化管理措施，完全不具备智慧运维能力，不符合项目智慧运维相关要求。</w:t>
            </w:r>
          </w:p>
        </w:tc>
      </w:tr>
      <w:tr w14:paraId="0316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59C91B43">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3</w:t>
            </w:r>
          </w:p>
        </w:tc>
        <w:tc>
          <w:tcPr>
            <w:tcW w:w="1585" w:type="dxa"/>
            <w:vMerge w:val="restart"/>
            <w:vAlign w:val="center"/>
          </w:tcPr>
          <w:p w14:paraId="1327D26D">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商务分 （满分</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35</w:t>
            </w:r>
            <w:r>
              <w:rPr>
                <w:rFonts w:hint="eastAsia" w:ascii="宋体" w:hAnsi="宋体"/>
                <w:color w:val="auto"/>
                <w:szCs w:val="21"/>
                <w:highlight w:val="none"/>
              </w:rPr>
              <w:t>分）</w:t>
            </w:r>
          </w:p>
        </w:tc>
        <w:tc>
          <w:tcPr>
            <w:tcW w:w="1701" w:type="dxa"/>
            <w:vAlign w:val="center"/>
          </w:tcPr>
          <w:p w14:paraId="3B32D206">
            <w:pPr>
              <w:adjustRightInd w:val="0"/>
              <w:snapToGrid w:val="0"/>
              <w:spacing w:line="360" w:lineRule="atLeast"/>
              <w:jc w:val="center"/>
              <w:textAlignment w:val="baseline"/>
              <w:rPr>
                <w:rFonts w:ascii="宋体" w:hAnsi="宋体"/>
                <w:color w:val="auto"/>
                <w:szCs w:val="21"/>
                <w:highlight w:val="none"/>
              </w:rPr>
            </w:pPr>
            <w:r>
              <w:rPr>
                <w:rFonts w:ascii="宋体" w:hAnsi="宋体"/>
                <w:color w:val="auto"/>
                <w:szCs w:val="21"/>
                <w:highlight w:val="none"/>
              </w:rPr>
              <w:t>服务承诺</w:t>
            </w:r>
          </w:p>
          <w:p w14:paraId="2B03D6AA">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5660" w:type="dxa"/>
            <w:vAlign w:val="center"/>
          </w:tcPr>
          <w:p w14:paraId="6B442300">
            <w:pPr>
              <w:adjustRightInd w:val="0"/>
              <w:snapToGrid w:val="0"/>
              <w:spacing w:line="360" w:lineRule="atLeast"/>
              <w:jc w:val="left"/>
              <w:textAlignment w:val="baseline"/>
              <w:rPr>
                <w:rFonts w:ascii="宋体" w:hAnsi="宋体" w:cs="微软雅黑"/>
                <w:color w:val="auto"/>
                <w:spacing w:val="-2"/>
                <w:szCs w:val="21"/>
                <w:highlight w:val="none"/>
              </w:rPr>
            </w:pPr>
            <w:r>
              <w:rPr>
                <w:rFonts w:hint="eastAsia" w:ascii="宋体" w:hAnsi="宋体" w:cs="微软雅黑"/>
                <w:color w:val="auto"/>
                <w:spacing w:val="-2"/>
                <w:szCs w:val="21"/>
                <w:highlight w:val="none"/>
              </w:rPr>
              <w:t>对投标人的</w:t>
            </w:r>
            <w:r>
              <w:rPr>
                <w:rFonts w:ascii="宋体" w:hAnsi="宋体"/>
                <w:color w:val="auto"/>
                <w:szCs w:val="21"/>
                <w:highlight w:val="none"/>
              </w:rPr>
              <w:t>服务承诺</w:t>
            </w:r>
            <w:r>
              <w:rPr>
                <w:rFonts w:hint="eastAsia" w:ascii="宋体" w:hAnsi="宋体" w:cs="微软雅黑"/>
                <w:color w:val="auto"/>
                <w:spacing w:val="-2"/>
                <w:szCs w:val="21"/>
                <w:highlight w:val="none"/>
              </w:rPr>
              <w:t>进行独立评分：</w:t>
            </w:r>
          </w:p>
          <w:p w14:paraId="63A43C72">
            <w:pPr>
              <w:adjustRightInd w:val="0"/>
              <w:snapToGrid w:val="0"/>
              <w:spacing w:line="360" w:lineRule="atLeast"/>
              <w:textAlignment w:val="baseline"/>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第一档（</w:t>
            </w:r>
            <w:r>
              <w:rPr>
                <w:rFonts w:hint="eastAsia" w:ascii="宋体" w:hAnsi="宋体"/>
                <w:color w:val="auto"/>
                <w:szCs w:val="21"/>
                <w:highlight w:val="none"/>
                <w:lang w:val="en-US" w:eastAsia="zh-CN"/>
              </w:rPr>
              <w:t>8</w:t>
            </w:r>
            <w:r>
              <w:rPr>
                <w:rFonts w:hint="default" w:ascii="宋体" w:hAnsi="宋体"/>
                <w:color w:val="auto"/>
                <w:szCs w:val="21"/>
                <w:highlight w:val="none"/>
                <w:lang w:val="en-US" w:eastAsia="zh-CN"/>
              </w:rPr>
              <w:t>分）：服务承诺完整详尽。</w:t>
            </w:r>
            <w:r>
              <w:rPr>
                <w:rFonts w:hint="eastAsia" w:ascii="宋体" w:hAnsi="宋体"/>
                <w:color w:val="auto"/>
                <w:szCs w:val="21"/>
                <w:highlight w:val="none"/>
                <w:lang w:val="en-US" w:eastAsia="zh-CN"/>
              </w:rPr>
              <w:t>1.</w:t>
            </w:r>
            <w:r>
              <w:rPr>
                <w:rFonts w:hint="default" w:ascii="宋体" w:hAnsi="宋体"/>
                <w:color w:val="auto"/>
                <w:szCs w:val="21"/>
                <w:highlight w:val="none"/>
                <w:lang w:val="en-US" w:eastAsia="zh-CN"/>
              </w:rPr>
              <w:t>响应时效承诺：明确承诺故障2小时内响应、4小时内到场、24小时内完成常规故障处置，同时明确应急故障（如管网大面积漏损、水质严重超标）处置时限（1小时内响应、2小时内到场、12小时内处置），明确响应及处置责任人员、联络方式，附具体保障措施。</w:t>
            </w:r>
            <w:r>
              <w:rPr>
                <w:rFonts w:hint="eastAsia" w:ascii="宋体" w:hAnsi="宋体"/>
                <w:color w:val="auto"/>
                <w:szCs w:val="21"/>
                <w:highlight w:val="none"/>
                <w:lang w:val="en-US" w:eastAsia="zh-CN"/>
              </w:rPr>
              <w:t>2.服务设施条件与管理维护</w:t>
            </w:r>
            <w:r>
              <w:rPr>
                <w:rFonts w:hint="default" w:ascii="宋体" w:hAnsi="宋体"/>
                <w:color w:val="auto"/>
                <w:szCs w:val="21"/>
                <w:highlight w:val="none"/>
                <w:lang w:val="en-US" w:eastAsia="zh-CN"/>
              </w:rPr>
              <w:t>承诺：符合《城镇污水处理厂运行、维护及安全技术规程》(CJJ60-2011) 及相关规范、法规的要求：包括格栅槽、调节池、初沉池、曝气池、二沉池、巴氏计量槽、污泥池等无破损、渗漏；池面清洁，堰口出水均匀等。</w:t>
            </w:r>
            <w:r>
              <w:rPr>
                <w:rFonts w:hint="eastAsia" w:ascii="宋体" w:hAnsi="宋体"/>
                <w:color w:val="auto"/>
                <w:szCs w:val="21"/>
                <w:highlight w:val="none"/>
                <w:lang w:val="en-US" w:eastAsia="zh-CN"/>
              </w:rPr>
              <w:t>3.备机备品承诺：关键设备（提升泵、消毒设备等）均按规范配备备机，数量满足应急需求（至少1台/套关键设备对应1台备机）；备机型号、参数与主机匹配，能直接投入使用，无型号不符、无法兼容情况；备品备件（易损件：密封圈、轴承、滤网等；关键件：泵轴、电机等）储备充足，种类、数量符合运维规范；建立备品备件台账，记录完整；备机备品定期检查，每月至少1次，及时更新损坏、过期备件；备机出现故障时，24小时内完成维修或更换，确保应急可用。</w:t>
            </w:r>
          </w:p>
          <w:p w14:paraId="3F272C3E">
            <w:pPr>
              <w:adjustRightInd w:val="0"/>
              <w:snapToGrid w:val="0"/>
              <w:spacing w:line="360" w:lineRule="atLeast"/>
              <w:textAlignment w:val="baseline"/>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第二档（</w:t>
            </w:r>
            <w:r>
              <w:rPr>
                <w:rFonts w:hint="eastAsia" w:ascii="宋体" w:hAnsi="宋体"/>
                <w:color w:val="auto"/>
                <w:szCs w:val="21"/>
                <w:highlight w:val="none"/>
                <w:lang w:val="en-US" w:eastAsia="zh-CN"/>
              </w:rPr>
              <w:t>6</w:t>
            </w:r>
            <w:r>
              <w:rPr>
                <w:rFonts w:hint="default" w:ascii="宋体" w:hAnsi="宋体"/>
                <w:color w:val="auto"/>
                <w:szCs w:val="21"/>
                <w:highlight w:val="none"/>
                <w:lang w:val="en-US" w:eastAsia="zh-CN"/>
              </w:rPr>
              <w:t>分）：服务承诺规范具体</w:t>
            </w:r>
            <w:r>
              <w:rPr>
                <w:rFonts w:hint="eastAsia" w:ascii="宋体" w:hAnsi="宋体"/>
                <w:color w:val="auto"/>
                <w:szCs w:val="21"/>
                <w:highlight w:val="none"/>
                <w:lang w:val="en-US" w:eastAsia="zh-CN"/>
              </w:rPr>
              <w:t>。1.</w:t>
            </w:r>
            <w:r>
              <w:rPr>
                <w:rFonts w:hint="default" w:ascii="宋体" w:hAnsi="宋体"/>
                <w:color w:val="auto"/>
                <w:szCs w:val="21"/>
                <w:highlight w:val="none"/>
                <w:lang w:val="en-US" w:eastAsia="zh-CN"/>
              </w:rPr>
              <w:t>贴合镇级污水设施运维特点，三项核心承诺均明确可落地。响应时效承诺：明确承诺故障2小时内响应、4小时内到场、24小时内完成常规故障处置，明确响应及处置责任人员、联络方式，保障措施具体。</w:t>
            </w:r>
            <w:r>
              <w:rPr>
                <w:rFonts w:hint="eastAsia" w:ascii="宋体" w:hAnsi="宋体"/>
                <w:color w:val="auto"/>
                <w:szCs w:val="21"/>
                <w:highlight w:val="none"/>
                <w:lang w:val="en-US" w:eastAsia="zh-CN"/>
              </w:rPr>
              <w:t>2.服务设施条件与管理维护</w:t>
            </w:r>
            <w:r>
              <w:rPr>
                <w:rFonts w:hint="default" w:ascii="宋体" w:hAnsi="宋体"/>
                <w:color w:val="auto"/>
                <w:szCs w:val="21"/>
                <w:highlight w:val="none"/>
                <w:lang w:val="en-US" w:eastAsia="zh-CN"/>
              </w:rPr>
              <w:t>承诺：符合《城镇污水处理厂运行、维护及安全技术规程》(CJJ60-2011) 及相关规范、法规的要求。</w:t>
            </w:r>
            <w:r>
              <w:rPr>
                <w:rFonts w:hint="eastAsia" w:ascii="宋体" w:hAnsi="宋体"/>
                <w:color w:val="auto"/>
                <w:szCs w:val="21"/>
                <w:highlight w:val="none"/>
                <w:lang w:val="en-US" w:eastAsia="zh-CN"/>
              </w:rPr>
              <w:t>3.备机备品承诺：关键设备（提升泵、消毒设备等）均按规范配备备机，数量满足应急需求（至少1台/套关键设备对应1台备机）；备机型号、参数与主机匹配，能直接投入使用；备品备件储备充足，种类、数量符合运维规范；建立备品备件台账，记录完整；备机备品定期检查，每月至少1次，及时更新损坏、过期备件。</w:t>
            </w:r>
          </w:p>
          <w:p w14:paraId="49992D2D">
            <w:pPr>
              <w:adjustRightInd w:val="0"/>
              <w:snapToGrid w:val="0"/>
              <w:spacing w:line="360" w:lineRule="atLeast"/>
              <w:textAlignment w:val="baseline"/>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第三档（3分）：服务承诺基本可行，贴合镇级污水设施运维特点，三项核心承诺均明确，无缺失。响应时效承诺：明确承诺故障2小时内响应、4小时内到场、24小时内完成常规故障处置，明确联络方式，保障措施基本到位。</w:t>
            </w:r>
            <w:r>
              <w:rPr>
                <w:rFonts w:hint="eastAsia" w:ascii="宋体" w:hAnsi="宋体"/>
                <w:color w:val="auto"/>
                <w:szCs w:val="21"/>
                <w:highlight w:val="none"/>
                <w:lang w:val="en-US" w:eastAsia="zh-CN"/>
              </w:rPr>
              <w:t>2.服务设施条件与管理维护</w:t>
            </w:r>
            <w:r>
              <w:rPr>
                <w:rFonts w:hint="default" w:ascii="宋体" w:hAnsi="宋体"/>
                <w:color w:val="auto"/>
                <w:szCs w:val="21"/>
                <w:highlight w:val="none"/>
                <w:lang w:val="en-US" w:eastAsia="zh-CN"/>
              </w:rPr>
              <w:t>承诺：符合《城镇污水处理厂运行、维护及安全技术规程》(CJJ60-2011) 及相关规范、法规的要求。</w:t>
            </w:r>
            <w:r>
              <w:rPr>
                <w:rFonts w:hint="eastAsia" w:ascii="宋体" w:hAnsi="宋体"/>
                <w:color w:val="auto"/>
                <w:szCs w:val="21"/>
                <w:highlight w:val="none"/>
                <w:lang w:val="en-US" w:eastAsia="zh-CN"/>
              </w:rPr>
              <w:t>3.备机备品承诺：关键设备（提升泵、消毒设备等）均按规范配备备机，数量满足应急需求（至少1台/套关键设备对应1台备机）；备机型号、参数与主机匹配，能直接投入使用；备品备件储备充足，种类、数量符合运维规范；建立备品备件台账。</w:t>
            </w:r>
          </w:p>
          <w:p w14:paraId="6521BF08">
            <w:pPr>
              <w:adjustRightInd w:val="0"/>
              <w:snapToGrid w:val="0"/>
              <w:spacing w:line="360" w:lineRule="atLeast"/>
              <w:textAlignment w:val="baseline"/>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第四档（1分）：服务承诺简陋，未充分贴合镇级污水设施运维特点，三项核心承诺存在缺失或表述模糊。响应时效承诺：仅承诺故障2小时响应、4小时到场、24小时处置，未明确响应及处置责任人员、联络方式，无任何保障措施。</w:t>
            </w:r>
          </w:p>
          <w:p w14:paraId="22B7B9F9">
            <w:pPr>
              <w:adjustRightInd w:val="0"/>
              <w:snapToGrid w:val="0"/>
              <w:spacing w:line="360" w:lineRule="atLeast"/>
              <w:textAlignment w:val="baseline"/>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第五档（0分）：未提供任何服务承诺，或服务承诺未涉及响应时效、绩效付费、本地化服务三项核心内容，或承诺内容与本项目镇级污水设施运维无关，无任何可操作性，无法满足项目服务要求。</w:t>
            </w:r>
          </w:p>
        </w:tc>
      </w:tr>
      <w:tr w14:paraId="18A0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434153C2">
            <w:pPr>
              <w:adjustRightInd w:val="0"/>
              <w:snapToGrid w:val="0"/>
              <w:spacing w:line="360" w:lineRule="atLeast"/>
              <w:jc w:val="center"/>
              <w:textAlignment w:val="baseline"/>
              <w:rPr>
                <w:rFonts w:hint="eastAsia" w:ascii="宋体" w:hAnsi="宋体"/>
                <w:color w:val="auto"/>
                <w:szCs w:val="21"/>
                <w:highlight w:val="none"/>
              </w:rPr>
            </w:pPr>
          </w:p>
        </w:tc>
        <w:tc>
          <w:tcPr>
            <w:tcW w:w="1585" w:type="dxa"/>
            <w:vMerge w:val="continue"/>
            <w:vAlign w:val="center"/>
          </w:tcPr>
          <w:p w14:paraId="5F29AA47">
            <w:pPr>
              <w:adjustRightInd w:val="0"/>
              <w:snapToGrid w:val="0"/>
              <w:spacing w:line="360" w:lineRule="atLeast"/>
              <w:jc w:val="center"/>
              <w:textAlignment w:val="baseline"/>
              <w:rPr>
                <w:rFonts w:hint="eastAsia" w:ascii="宋体" w:hAnsi="宋体"/>
                <w:color w:val="auto"/>
                <w:szCs w:val="21"/>
                <w:highlight w:val="none"/>
              </w:rPr>
            </w:pPr>
          </w:p>
        </w:tc>
        <w:tc>
          <w:tcPr>
            <w:tcW w:w="1701" w:type="dxa"/>
            <w:vAlign w:val="center"/>
          </w:tcPr>
          <w:p w14:paraId="5BEE0A26">
            <w:pPr>
              <w:adjustRightInd w:val="0"/>
              <w:snapToGrid w:val="0"/>
              <w:spacing w:line="360" w:lineRule="atLeast"/>
              <w:jc w:val="center"/>
              <w:textAlignment w:val="baseline"/>
              <w:rPr>
                <w:rFonts w:hint="eastAsia" w:ascii="宋体" w:hAnsi="宋体"/>
                <w:color w:val="auto"/>
                <w:szCs w:val="21"/>
                <w:highlight w:val="none"/>
              </w:rPr>
            </w:pPr>
            <w:r>
              <w:rPr>
                <w:rFonts w:hint="default" w:ascii="宋体" w:hAnsi="宋体"/>
                <w:color w:val="auto"/>
                <w:szCs w:val="21"/>
                <w:highlight w:val="none"/>
                <w:lang w:val="en-US" w:eastAsia="zh-CN"/>
              </w:rPr>
              <w:t>项目团队配置（</w:t>
            </w:r>
            <w:r>
              <w:rPr>
                <w:rFonts w:hint="eastAsia" w:ascii="宋体" w:hAnsi="宋体"/>
                <w:color w:val="auto"/>
                <w:szCs w:val="21"/>
                <w:highlight w:val="none"/>
                <w:lang w:val="en-US" w:eastAsia="zh-CN"/>
              </w:rPr>
              <w:t>满分</w:t>
            </w:r>
            <w:r>
              <w:rPr>
                <w:rFonts w:hint="default" w:ascii="宋体" w:hAnsi="宋体"/>
                <w:color w:val="auto"/>
                <w:szCs w:val="21"/>
                <w:highlight w:val="none"/>
                <w:lang w:val="en-US" w:eastAsia="zh-CN"/>
              </w:rPr>
              <w:t>10分）</w:t>
            </w:r>
          </w:p>
        </w:tc>
        <w:tc>
          <w:tcPr>
            <w:tcW w:w="5660" w:type="dxa"/>
            <w:vAlign w:val="center"/>
          </w:tcPr>
          <w:p w14:paraId="7126C935">
            <w:pPr>
              <w:adjustRightInd w:val="0"/>
              <w:snapToGrid w:val="0"/>
              <w:spacing w:line="360" w:lineRule="atLeast"/>
              <w:textAlignment w:val="baseline"/>
              <w:rPr>
                <w:rFonts w:hint="default" w:ascii="宋体" w:hAnsi="宋体"/>
                <w:color w:val="auto"/>
                <w:szCs w:val="21"/>
                <w:highlight w:val="none"/>
                <w:lang w:val="en-US" w:eastAsia="zh-CN"/>
              </w:rPr>
            </w:pPr>
            <w:r>
              <w:rPr>
                <w:rFonts w:hint="eastAsia" w:ascii="宋体" w:hAnsi="宋体"/>
                <w:b/>
                <w:bCs/>
                <w:color w:val="auto"/>
                <w:szCs w:val="21"/>
                <w:highlight w:val="none"/>
                <w:lang w:val="en-US" w:eastAsia="zh-CN"/>
              </w:rPr>
              <w:t>（一）</w:t>
            </w:r>
            <w:r>
              <w:rPr>
                <w:rFonts w:hint="default" w:ascii="宋体" w:hAnsi="宋体"/>
                <w:b/>
                <w:bCs/>
                <w:color w:val="auto"/>
                <w:szCs w:val="21"/>
                <w:highlight w:val="none"/>
                <w:lang w:val="en-US" w:eastAsia="zh-CN"/>
              </w:rPr>
              <w:t>项目负责人：</w:t>
            </w:r>
            <w:r>
              <w:rPr>
                <w:rFonts w:hint="default" w:ascii="宋体" w:hAnsi="宋体"/>
                <w:color w:val="auto"/>
                <w:szCs w:val="21"/>
                <w:highlight w:val="none"/>
                <w:lang w:val="en-US" w:eastAsia="zh-CN"/>
              </w:rPr>
              <w:t>具有</w:t>
            </w:r>
            <w:r>
              <w:rPr>
                <w:rFonts w:hint="eastAsia" w:ascii="宋体" w:hAnsi="宋体"/>
                <w:color w:val="auto"/>
                <w:szCs w:val="21"/>
                <w:highlight w:val="none"/>
                <w:lang w:val="en-US" w:eastAsia="zh-CN"/>
              </w:rPr>
              <w:t>生态</w:t>
            </w:r>
            <w:r>
              <w:rPr>
                <w:rFonts w:hint="default" w:ascii="宋体" w:hAnsi="宋体"/>
                <w:color w:val="auto"/>
                <w:szCs w:val="21"/>
                <w:highlight w:val="none"/>
                <w:lang w:val="en-US" w:eastAsia="zh-CN"/>
              </w:rPr>
              <w:t>环</w:t>
            </w:r>
            <w:r>
              <w:rPr>
                <w:rFonts w:hint="eastAsia" w:ascii="宋体" w:hAnsi="宋体"/>
                <w:color w:val="auto"/>
                <w:szCs w:val="21"/>
                <w:highlight w:val="none"/>
                <w:lang w:val="en-US" w:eastAsia="zh-CN"/>
              </w:rPr>
              <w:t>境</w:t>
            </w:r>
            <w:r>
              <w:rPr>
                <w:rFonts w:hint="default" w:ascii="宋体" w:hAnsi="宋体"/>
                <w:color w:val="auto"/>
                <w:szCs w:val="21"/>
                <w:highlight w:val="none"/>
                <w:lang w:val="en-US" w:eastAsia="zh-CN"/>
              </w:rPr>
              <w:t>保</w:t>
            </w:r>
            <w:r>
              <w:rPr>
                <w:rFonts w:hint="eastAsia" w:ascii="宋体" w:hAnsi="宋体"/>
                <w:color w:val="auto"/>
                <w:szCs w:val="21"/>
                <w:highlight w:val="none"/>
                <w:lang w:val="en-US" w:eastAsia="zh-CN"/>
              </w:rPr>
              <w:t>护</w:t>
            </w:r>
            <w:r>
              <w:rPr>
                <w:rFonts w:hint="default" w:ascii="宋体" w:hAnsi="宋体"/>
                <w:color w:val="auto"/>
                <w:szCs w:val="21"/>
                <w:highlight w:val="none"/>
                <w:lang w:val="en-US" w:eastAsia="zh-CN"/>
              </w:rPr>
              <w:t>类中级及以上职称得5分</w:t>
            </w:r>
            <w:r>
              <w:rPr>
                <w:rFonts w:hint="eastAsia" w:ascii="宋体" w:hAnsi="宋体"/>
                <w:color w:val="auto"/>
                <w:szCs w:val="21"/>
                <w:highlight w:val="none"/>
                <w:lang w:val="en-US" w:eastAsia="zh-CN"/>
              </w:rPr>
              <w:t>（提供相关证书复印件。）</w:t>
            </w:r>
            <w:r>
              <w:rPr>
                <w:rFonts w:hint="default" w:ascii="宋体" w:hAnsi="宋体"/>
                <w:color w:val="auto"/>
                <w:szCs w:val="21"/>
                <w:highlight w:val="none"/>
                <w:lang w:val="en-US" w:eastAsia="zh-CN"/>
              </w:rPr>
              <w:br w:type="textWrapping"/>
            </w:r>
            <w:r>
              <w:rPr>
                <w:rFonts w:hint="eastAsia" w:ascii="宋体" w:hAnsi="宋体"/>
                <w:b/>
                <w:bCs/>
                <w:color w:val="auto"/>
                <w:szCs w:val="21"/>
                <w:highlight w:val="none"/>
                <w:lang w:val="en-US" w:eastAsia="zh-CN"/>
              </w:rPr>
              <w:t>（二）</w:t>
            </w:r>
            <w:r>
              <w:rPr>
                <w:rFonts w:hint="default" w:ascii="宋体" w:hAnsi="宋体"/>
                <w:b/>
                <w:bCs/>
                <w:color w:val="auto"/>
                <w:szCs w:val="21"/>
                <w:highlight w:val="none"/>
                <w:lang w:val="en-US" w:eastAsia="zh-CN"/>
              </w:rPr>
              <w:t>技术团队：</w:t>
            </w:r>
            <w:r>
              <w:rPr>
                <w:rFonts w:hint="default" w:ascii="宋体" w:hAnsi="宋体"/>
                <w:color w:val="auto"/>
                <w:szCs w:val="21"/>
                <w:highlight w:val="none"/>
                <w:lang w:val="en-US" w:eastAsia="zh-CN"/>
              </w:rPr>
              <w:t>配备持证化</w:t>
            </w:r>
            <w:r>
              <w:rPr>
                <w:rFonts w:hint="eastAsia" w:ascii="宋体" w:hAnsi="宋体"/>
                <w:color w:val="auto"/>
                <w:szCs w:val="21"/>
                <w:highlight w:val="none"/>
                <w:lang w:val="en-US" w:eastAsia="zh-CN"/>
              </w:rPr>
              <w:t>学检</w:t>
            </w:r>
            <w:r>
              <w:rPr>
                <w:rFonts w:hint="default" w:ascii="宋体" w:hAnsi="宋体"/>
                <w:color w:val="auto"/>
                <w:szCs w:val="21"/>
                <w:highlight w:val="none"/>
                <w:lang w:val="en-US" w:eastAsia="zh-CN"/>
              </w:rPr>
              <w:t>验员、设</w:t>
            </w:r>
            <w:r>
              <w:rPr>
                <w:rFonts w:hint="eastAsia" w:ascii="宋体" w:hAnsi="宋体"/>
                <w:color w:val="auto"/>
                <w:szCs w:val="21"/>
                <w:highlight w:val="none"/>
                <w:lang w:val="en-US" w:eastAsia="zh-CN"/>
              </w:rPr>
              <w:t>施</w:t>
            </w:r>
            <w:r>
              <w:rPr>
                <w:rFonts w:hint="default" w:ascii="宋体" w:hAnsi="宋体"/>
                <w:color w:val="auto"/>
                <w:szCs w:val="21"/>
                <w:highlight w:val="none"/>
                <w:lang w:val="en-US" w:eastAsia="zh-CN"/>
              </w:rPr>
              <w:t>运</w:t>
            </w:r>
            <w:r>
              <w:rPr>
                <w:rFonts w:hint="eastAsia" w:ascii="宋体" w:hAnsi="宋体"/>
                <w:color w:val="auto"/>
                <w:szCs w:val="21"/>
                <w:highlight w:val="none"/>
                <w:lang w:val="en-US" w:eastAsia="zh-CN"/>
              </w:rPr>
              <w:t>行</w:t>
            </w:r>
            <w:r>
              <w:rPr>
                <w:rFonts w:hint="default" w:ascii="宋体" w:hAnsi="宋体"/>
                <w:color w:val="auto"/>
                <w:szCs w:val="21"/>
                <w:highlight w:val="none"/>
                <w:lang w:val="en-US" w:eastAsia="zh-CN"/>
              </w:rPr>
              <w:t>员、</w:t>
            </w:r>
            <w:r>
              <w:rPr>
                <w:rFonts w:hint="eastAsia" w:ascii="宋体" w:hAnsi="宋体"/>
                <w:color w:val="auto"/>
                <w:szCs w:val="21"/>
                <w:highlight w:val="none"/>
                <w:lang w:val="en-US" w:eastAsia="zh-CN"/>
              </w:rPr>
              <w:t>设备运维员、</w:t>
            </w:r>
            <w:r>
              <w:rPr>
                <w:rFonts w:hint="default" w:ascii="宋体" w:hAnsi="宋体"/>
                <w:color w:val="auto"/>
                <w:szCs w:val="21"/>
                <w:highlight w:val="none"/>
                <w:lang w:val="en-US" w:eastAsia="zh-CN"/>
              </w:rPr>
              <w:t>管网员</w:t>
            </w:r>
            <w:r>
              <w:rPr>
                <w:rFonts w:hint="eastAsia" w:ascii="宋体" w:hAnsi="宋体"/>
                <w:color w:val="auto"/>
                <w:szCs w:val="21"/>
                <w:highlight w:val="none"/>
                <w:lang w:val="en-US" w:eastAsia="zh-CN"/>
              </w:rPr>
              <w:t>、监测服务技术员等相关技术人员</w:t>
            </w:r>
            <w:r>
              <w:rPr>
                <w:rFonts w:hint="default" w:ascii="宋体" w:hAnsi="宋体"/>
                <w:color w:val="auto"/>
                <w:szCs w:val="21"/>
                <w:highlight w:val="none"/>
                <w:lang w:val="en-US" w:eastAsia="zh-CN"/>
              </w:rPr>
              <w:t>，每</w:t>
            </w:r>
            <w:r>
              <w:rPr>
                <w:rFonts w:hint="eastAsia" w:ascii="宋体" w:hAnsi="宋体"/>
                <w:color w:val="auto"/>
                <w:szCs w:val="21"/>
                <w:highlight w:val="none"/>
                <w:lang w:val="en-US" w:eastAsia="zh-CN"/>
              </w:rPr>
              <w:t>提供1个证</w:t>
            </w:r>
            <w:r>
              <w:rPr>
                <w:rFonts w:hint="default" w:ascii="宋体" w:hAnsi="宋体"/>
                <w:color w:val="auto"/>
                <w:szCs w:val="21"/>
                <w:highlight w:val="none"/>
                <w:lang w:val="en-US" w:eastAsia="zh-CN"/>
              </w:rPr>
              <w:t>得1分，最多得5分。</w:t>
            </w:r>
            <w:r>
              <w:rPr>
                <w:rFonts w:hint="eastAsia" w:ascii="宋体" w:hAnsi="宋体"/>
                <w:color w:val="auto"/>
                <w:szCs w:val="21"/>
                <w:highlight w:val="none"/>
                <w:lang w:val="en-US" w:eastAsia="zh-CN"/>
              </w:rPr>
              <w:t>（提供相关证书复印件）</w:t>
            </w:r>
          </w:p>
        </w:tc>
      </w:tr>
      <w:tr w14:paraId="121B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7FECA693">
            <w:pPr>
              <w:adjustRightInd w:val="0"/>
              <w:snapToGrid w:val="0"/>
              <w:spacing w:line="360" w:lineRule="atLeast"/>
              <w:jc w:val="center"/>
              <w:textAlignment w:val="baseline"/>
              <w:rPr>
                <w:rFonts w:hint="eastAsia" w:ascii="宋体" w:hAnsi="宋体"/>
                <w:color w:val="auto"/>
                <w:szCs w:val="21"/>
                <w:highlight w:val="none"/>
              </w:rPr>
            </w:pPr>
          </w:p>
        </w:tc>
        <w:tc>
          <w:tcPr>
            <w:tcW w:w="1585" w:type="dxa"/>
            <w:vMerge w:val="continue"/>
            <w:vAlign w:val="center"/>
          </w:tcPr>
          <w:p w14:paraId="5887ADCD">
            <w:pPr>
              <w:adjustRightInd w:val="0"/>
              <w:snapToGrid w:val="0"/>
              <w:spacing w:line="360" w:lineRule="atLeast"/>
              <w:jc w:val="center"/>
              <w:textAlignment w:val="baseline"/>
              <w:rPr>
                <w:rFonts w:hint="eastAsia" w:ascii="宋体" w:hAnsi="宋体"/>
                <w:color w:val="auto"/>
                <w:szCs w:val="21"/>
                <w:highlight w:val="none"/>
              </w:rPr>
            </w:pPr>
          </w:p>
        </w:tc>
        <w:tc>
          <w:tcPr>
            <w:tcW w:w="1701" w:type="dxa"/>
            <w:vAlign w:val="center"/>
          </w:tcPr>
          <w:p w14:paraId="37D5CA52">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信誉分</w:t>
            </w:r>
          </w:p>
          <w:p w14:paraId="08AD1CAD">
            <w:pPr>
              <w:adjustRightInd w:val="0"/>
              <w:snapToGrid w:val="0"/>
              <w:spacing w:line="360" w:lineRule="atLeast"/>
              <w:jc w:val="center"/>
              <w:textAlignment w:val="baseline"/>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val="en-US" w:eastAsia="zh-CN"/>
              </w:rPr>
              <w:t>9</w:t>
            </w:r>
            <w:r>
              <w:rPr>
                <w:rFonts w:hint="eastAsia" w:ascii="宋体" w:hAnsi="宋体"/>
                <w:color w:val="auto"/>
                <w:szCs w:val="21"/>
                <w:highlight w:val="none"/>
              </w:rPr>
              <w:t>分）</w:t>
            </w:r>
          </w:p>
        </w:tc>
        <w:tc>
          <w:tcPr>
            <w:tcW w:w="5660" w:type="dxa"/>
            <w:vAlign w:val="center"/>
          </w:tcPr>
          <w:p w14:paraId="7CE14D55">
            <w:pPr>
              <w:adjustRightInd w:val="0"/>
              <w:snapToGrid w:val="0"/>
              <w:spacing w:line="360" w:lineRule="atLeast"/>
              <w:textAlignment w:val="baseline"/>
              <w:rPr>
                <w:rFonts w:hint="default" w:ascii="宋体" w:hAnsi="宋体"/>
                <w:b/>
                <w:bCs/>
                <w:color w:val="auto"/>
                <w:szCs w:val="21"/>
                <w:highlight w:val="none"/>
                <w:lang w:val="en-US"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一</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企业体系分，满分6分；</w:t>
            </w:r>
          </w:p>
          <w:p w14:paraId="77D26895">
            <w:pPr>
              <w:adjustRightInd w:val="0"/>
              <w:snapToGrid w:val="0"/>
              <w:spacing w:line="360" w:lineRule="atLeast"/>
              <w:ind w:firstLine="420" w:firstLineChars="200"/>
              <w:textAlignment w:val="baseline"/>
              <w:rPr>
                <w:rFonts w:hint="eastAsia" w:ascii="宋体" w:hAnsi="宋体"/>
                <w:color w:val="auto"/>
                <w:szCs w:val="21"/>
                <w:highlight w:val="none"/>
                <w:lang w:eastAsia="zh-CN"/>
              </w:rPr>
            </w:pPr>
            <w:r>
              <w:rPr>
                <w:rFonts w:hint="eastAsia" w:ascii="宋体" w:hAnsi="宋体"/>
                <w:color w:val="auto"/>
                <w:szCs w:val="21"/>
                <w:highlight w:val="none"/>
                <w:lang w:eastAsia="zh-CN"/>
              </w:rPr>
              <w:t>供应商具有质量管理体系认证证书</w:t>
            </w:r>
            <w:r>
              <w:rPr>
                <w:rFonts w:hint="eastAsia" w:ascii="宋体" w:hAnsi="宋体"/>
                <w:color w:val="auto"/>
                <w:szCs w:val="21"/>
                <w:highlight w:val="none"/>
                <w:lang w:val="en-US" w:eastAsia="zh-CN"/>
              </w:rPr>
              <w:t>或质量管理</w:t>
            </w:r>
            <w:r>
              <w:rPr>
                <w:rFonts w:hint="eastAsia" w:ascii="宋体" w:hAnsi="宋体"/>
                <w:color w:val="auto"/>
                <w:szCs w:val="21"/>
                <w:highlight w:val="none"/>
                <w:lang w:eastAsia="zh-CN"/>
              </w:rPr>
              <w:t>制度文件、环境管理体系认证证书</w:t>
            </w:r>
            <w:r>
              <w:rPr>
                <w:rFonts w:hint="eastAsia" w:ascii="宋体" w:hAnsi="宋体"/>
                <w:color w:val="auto"/>
                <w:szCs w:val="21"/>
                <w:highlight w:val="none"/>
                <w:lang w:val="en-US" w:eastAsia="zh-CN"/>
              </w:rPr>
              <w:t>或环境管理</w:t>
            </w:r>
            <w:r>
              <w:rPr>
                <w:rFonts w:hint="eastAsia" w:ascii="宋体" w:hAnsi="宋体"/>
                <w:color w:val="auto"/>
                <w:szCs w:val="21"/>
                <w:highlight w:val="none"/>
                <w:lang w:eastAsia="zh-CN"/>
              </w:rPr>
              <w:t>制度文件、职业健康安全管理体系认证证书</w:t>
            </w:r>
            <w:r>
              <w:rPr>
                <w:rFonts w:hint="eastAsia" w:ascii="宋体" w:hAnsi="宋体"/>
                <w:color w:val="auto"/>
                <w:szCs w:val="21"/>
                <w:highlight w:val="none"/>
                <w:lang w:val="en-US" w:eastAsia="zh-CN"/>
              </w:rPr>
              <w:t>或</w:t>
            </w:r>
            <w:r>
              <w:rPr>
                <w:rFonts w:hint="eastAsia" w:ascii="宋体" w:hAnsi="宋体"/>
                <w:color w:val="auto"/>
                <w:szCs w:val="21"/>
                <w:highlight w:val="none"/>
                <w:lang w:eastAsia="zh-CN"/>
              </w:rPr>
              <w:t>职业健康安全</w:t>
            </w:r>
            <w:r>
              <w:rPr>
                <w:rFonts w:hint="eastAsia" w:ascii="宋体" w:hAnsi="宋体"/>
                <w:color w:val="auto"/>
                <w:szCs w:val="21"/>
                <w:highlight w:val="none"/>
                <w:lang w:val="en-US" w:eastAsia="zh-CN"/>
              </w:rPr>
              <w:t>管理</w:t>
            </w:r>
            <w:r>
              <w:rPr>
                <w:rFonts w:hint="eastAsia" w:ascii="宋体" w:hAnsi="宋体"/>
                <w:color w:val="auto"/>
                <w:szCs w:val="21"/>
                <w:highlight w:val="none"/>
                <w:lang w:eastAsia="zh-CN"/>
              </w:rPr>
              <w:t>制度文件，每提供一项得2分，最多得6分（以提供相关认证证书复印件</w:t>
            </w:r>
            <w:r>
              <w:rPr>
                <w:rFonts w:hint="eastAsia" w:ascii="宋体" w:hAnsi="宋体"/>
                <w:color w:val="auto"/>
                <w:szCs w:val="21"/>
                <w:highlight w:val="none"/>
                <w:lang w:val="en-US" w:eastAsia="zh-CN"/>
              </w:rPr>
              <w:t>或</w:t>
            </w:r>
            <w:r>
              <w:rPr>
                <w:rFonts w:hint="eastAsia" w:ascii="宋体" w:hAnsi="宋体"/>
                <w:color w:val="auto"/>
                <w:szCs w:val="21"/>
                <w:highlight w:val="none"/>
                <w:lang w:eastAsia="zh-CN"/>
              </w:rPr>
              <w:t>制度文件复印件为准）。</w:t>
            </w:r>
          </w:p>
          <w:p w14:paraId="562534D1">
            <w:pPr>
              <w:adjustRightInd w:val="0"/>
              <w:snapToGrid w:val="0"/>
              <w:spacing w:line="360" w:lineRule="atLeast"/>
              <w:textAlignment w:val="baseline"/>
              <w:rPr>
                <w:rFonts w:hint="default" w:ascii="宋体" w:hAnsi="宋体"/>
                <w:b/>
                <w:bCs/>
                <w:color w:val="auto"/>
                <w:szCs w:val="21"/>
                <w:highlight w:val="none"/>
                <w:lang w:val="en-US"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二</w:t>
            </w:r>
            <w:r>
              <w:rPr>
                <w:rFonts w:hint="eastAsia" w:ascii="宋体" w:hAnsi="宋体"/>
                <w:b/>
                <w:bCs/>
                <w:color w:val="auto"/>
                <w:szCs w:val="21"/>
                <w:highlight w:val="none"/>
                <w:lang w:eastAsia="zh-CN"/>
              </w:rPr>
              <w:t>）荣誉</w:t>
            </w:r>
            <w:r>
              <w:rPr>
                <w:rFonts w:hint="eastAsia" w:ascii="宋体" w:hAnsi="宋体"/>
                <w:b/>
                <w:bCs/>
                <w:color w:val="auto"/>
                <w:szCs w:val="21"/>
                <w:highlight w:val="none"/>
                <w:lang w:val="en-US" w:eastAsia="zh-CN"/>
              </w:rPr>
              <w:t>分，满分3分。</w:t>
            </w:r>
          </w:p>
          <w:p w14:paraId="3AD4DB6E">
            <w:pPr>
              <w:adjustRightInd w:val="0"/>
              <w:snapToGrid w:val="0"/>
              <w:spacing w:line="360" w:lineRule="atLeast"/>
              <w:ind w:firstLine="420" w:firstLineChars="200"/>
              <w:textAlignment w:val="baseline"/>
              <w:rPr>
                <w:rFonts w:hint="eastAsia" w:ascii="宋体" w:hAnsi="宋体"/>
                <w:color w:val="auto"/>
                <w:szCs w:val="21"/>
                <w:highlight w:val="none"/>
                <w:lang w:eastAsia="zh-CN"/>
              </w:rPr>
            </w:pPr>
            <w:r>
              <w:rPr>
                <w:rFonts w:hint="eastAsia" w:ascii="宋体" w:hAnsi="宋体"/>
                <w:color w:val="auto"/>
                <w:szCs w:val="21"/>
                <w:highlight w:val="none"/>
                <w:lang w:eastAsia="zh-CN"/>
              </w:rPr>
              <w:t>近3年获得环保领域相关荣誉</w:t>
            </w:r>
            <w:r>
              <w:rPr>
                <w:rFonts w:hint="eastAsia" w:ascii="宋体" w:hAnsi="宋体"/>
                <w:color w:val="auto"/>
                <w:szCs w:val="21"/>
                <w:highlight w:val="none"/>
                <w:lang w:val="en-US" w:eastAsia="zh-CN"/>
              </w:rPr>
              <w:t>或专利</w:t>
            </w:r>
            <w:r>
              <w:rPr>
                <w:rFonts w:hint="eastAsia" w:ascii="宋体" w:hAnsi="宋体"/>
                <w:color w:val="auto"/>
                <w:szCs w:val="21"/>
                <w:highlight w:val="none"/>
                <w:lang w:eastAsia="zh-CN"/>
              </w:rPr>
              <w:t>，得</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分，</w:t>
            </w:r>
            <w:r>
              <w:rPr>
                <w:rFonts w:hint="eastAsia" w:ascii="宋体" w:hAnsi="宋体"/>
                <w:color w:val="auto"/>
                <w:szCs w:val="21"/>
                <w:highlight w:val="none"/>
                <w:lang w:val="en-US" w:eastAsia="zh-CN"/>
              </w:rPr>
              <w:t>提供相关资料复印件。</w:t>
            </w:r>
          </w:p>
        </w:tc>
      </w:tr>
      <w:tr w14:paraId="059E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A56C961">
            <w:pPr>
              <w:adjustRightInd w:val="0"/>
              <w:snapToGrid w:val="0"/>
              <w:spacing w:line="360" w:lineRule="atLeast"/>
              <w:jc w:val="center"/>
              <w:textAlignment w:val="baseline"/>
              <w:rPr>
                <w:rFonts w:ascii="宋体" w:hAnsi="宋体"/>
                <w:color w:val="auto"/>
                <w:szCs w:val="21"/>
                <w:highlight w:val="none"/>
              </w:rPr>
            </w:pPr>
          </w:p>
        </w:tc>
        <w:tc>
          <w:tcPr>
            <w:tcW w:w="1585" w:type="dxa"/>
            <w:vMerge w:val="continue"/>
            <w:vAlign w:val="center"/>
          </w:tcPr>
          <w:p w14:paraId="4FD441A2">
            <w:pPr>
              <w:adjustRightInd w:val="0"/>
              <w:snapToGrid w:val="0"/>
              <w:spacing w:line="360" w:lineRule="atLeast"/>
              <w:jc w:val="center"/>
              <w:textAlignment w:val="baseline"/>
              <w:rPr>
                <w:rFonts w:ascii="宋体" w:hAnsi="宋体"/>
                <w:color w:val="auto"/>
                <w:szCs w:val="21"/>
                <w:highlight w:val="none"/>
              </w:rPr>
            </w:pPr>
          </w:p>
        </w:tc>
        <w:tc>
          <w:tcPr>
            <w:tcW w:w="1701" w:type="dxa"/>
            <w:vAlign w:val="center"/>
          </w:tcPr>
          <w:p w14:paraId="3C508275">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业绩分</w:t>
            </w:r>
          </w:p>
          <w:p w14:paraId="6E718B61">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5660" w:type="dxa"/>
            <w:vAlign w:val="center"/>
          </w:tcPr>
          <w:p w14:paraId="6C514A5B">
            <w:pPr>
              <w:adjustRightInd w:val="0"/>
              <w:snapToGrid w:val="0"/>
              <w:spacing w:line="360" w:lineRule="atLeast"/>
              <w:ind w:firstLine="420" w:firstLineChars="200"/>
              <w:textAlignment w:val="baseline"/>
              <w:rPr>
                <w:rFonts w:ascii="宋体" w:hAnsi="宋体"/>
                <w:color w:val="auto"/>
                <w:szCs w:val="21"/>
                <w:highlight w:val="none"/>
              </w:rPr>
            </w:pPr>
            <w:r>
              <w:rPr>
                <w:rFonts w:hint="eastAsia" w:ascii="宋体" w:hAnsi="宋体"/>
                <w:color w:val="auto"/>
                <w:szCs w:val="21"/>
                <w:highlight w:val="none"/>
              </w:rPr>
              <w:t>供应商自202</w:t>
            </w:r>
            <w:r>
              <w:rPr>
                <w:rFonts w:hint="eastAsia" w:ascii="宋体" w:hAnsi="宋体"/>
                <w:color w:val="auto"/>
                <w:szCs w:val="21"/>
                <w:highlight w:val="none"/>
                <w:lang w:val="en-US" w:eastAsia="zh-CN"/>
              </w:rPr>
              <w:t>0</w:t>
            </w:r>
            <w:r>
              <w:rPr>
                <w:rFonts w:hint="eastAsia" w:ascii="宋体" w:hAnsi="宋体"/>
                <w:color w:val="auto"/>
                <w:szCs w:val="21"/>
                <w:highlight w:val="none"/>
              </w:rPr>
              <w:t>年1月1日至投标截止时间内签订的承担合同或完成</w:t>
            </w:r>
            <w:r>
              <w:rPr>
                <w:rFonts w:hint="eastAsia" w:ascii="宋体" w:hAnsi="宋体"/>
                <w:color w:val="auto"/>
                <w:szCs w:val="21"/>
                <w:highlight w:val="none"/>
                <w:lang w:val="en-US" w:eastAsia="zh-CN"/>
              </w:rPr>
              <w:t>过</w:t>
            </w:r>
            <w:r>
              <w:rPr>
                <w:rFonts w:hint="eastAsia" w:ascii="宋体" w:hAnsi="宋体"/>
                <w:color w:val="auto"/>
                <w:szCs w:val="21"/>
                <w:highlight w:val="none"/>
                <w:lang w:eastAsia="zh-CN"/>
              </w:rPr>
              <w:t>运营维护服务的类似业绩</w:t>
            </w:r>
            <w:r>
              <w:rPr>
                <w:rFonts w:hint="eastAsia" w:ascii="宋体" w:hAnsi="宋体"/>
                <w:color w:val="auto"/>
                <w:szCs w:val="21"/>
                <w:highlight w:val="none"/>
              </w:rPr>
              <w:t>，每项得</w:t>
            </w:r>
            <w:r>
              <w:rPr>
                <w:rFonts w:hint="eastAsia" w:ascii="宋体" w:hAnsi="宋体"/>
                <w:color w:val="auto"/>
                <w:szCs w:val="21"/>
                <w:highlight w:val="none"/>
                <w:lang w:val="en-US" w:eastAsia="zh-CN"/>
              </w:rPr>
              <w:t>2</w:t>
            </w:r>
            <w:r>
              <w:rPr>
                <w:rFonts w:hint="eastAsia" w:ascii="宋体" w:hAnsi="宋体"/>
                <w:color w:val="auto"/>
                <w:szCs w:val="21"/>
                <w:highlight w:val="none"/>
              </w:rPr>
              <w:t>分，满分</w:t>
            </w:r>
            <w:r>
              <w:rPr>
                <w:rFonts w:hint="eastAsia" w:ascii="宋体" w:hAnsi="宋体"/>
                <w:color w:val="auto"/>
                <w:szCs w:val="21"/>
                <w:highlight w:val="none"/>
                <w:lang w:val="en-US" w:eastAsia="zh-CN"/>
              </w:rPr>
              <w:t>8</w:t>
            </w:r>
            <w:r>
              <w:rPr>
                <w:rFonts w:hint="eastAsia" w:ascii="宋体" w:hAnsi="宋体"/>
                <w:color w:val="auto"/>
                <w:szCs w:val="21"/>
                <w:highlight w:val="none"/>
              </w:rPr>
              <w:t>分。【投标文件中需提供成交（中标）通知书或合同书复印件，不提供不得分。】</w:t>
            </w:r>
          </w:p>
        </w:tc>
      </w:tr>
      <w:tr w14:paraId="64A0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vAlign w:val="center"/>
          </w:tcPr>
          <w:p w14:paraId="2A99AD79">
            <w:pPr>
              <w:pStyle w:val="23"/>
              <w:snapToGrid w:val="0"/>
              <w:spacing w:line="360" w:lineRule="atLeast"/>
              <w:rPr>
                <w:rFonts w:hAnsi="宋体"/>
                <w:b/>
                <w:bCs/>
                <w:color w:val="auto"/>
                <w:sz w:val="21"/>
                <w:highlight w:val="none"/>
              </w:rPr>
            </w:pPr>
            <w:r>
              <w:rPr>
                <w:rFonts w:hint="eastAsia" w:hAnsi="宋体"/>
                <w:b/>
                <w:bCs/>
                <w:color w:val="auto"/>
                <w:sz w:val="21"/>
                <w:highlight w:val="none"/>
              </w:rPr>
              <w:t>总得分=1+2+3。本项目为服务类项目，无政策功能分。</w:t>
            </w:r>
          </w:p>
        </w:tc>
      </w:tr>
    </w:tbl>
    <w:p w14:paraId="08C88B05">
      <w:pPr>
        <w:pStyle w:val="23"/>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7F323D33">
      <w:pPr>
        <w:pStyle w:val="4"/>
        <w:keepNext w:val="0"/>
        <w:keepLines w:val="0"/>
        <w:jc w:val="center"/>
        <w:rPr>
          <w:color w:val="auto"/>
          <w:sz w:val="30"/>
          <w:szCs w:val="30"/>
          <w:highlight w:val="none"/>
        </w:rPr>
      </w:pPr>
      <w:r>
        <w:rPr>
          <w:color w:val="auto"/>
          <w:sz w:val="30"/>
          <w:szCs w:val="30"/>
          <w:highlight w:val="none"/>
        </w:rPr>
        <w:br w:type="page"/>
      </w:r>
    </w:p>
    <w:p w14:paraId="4562CC62">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7A479301">
      <w:pPr>
        <w:pStyle w:val="23"/>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26DF918A">
      <w:pPr>
        <w:pStyle w:val="23"/>
        <w:spacing w:line="360" w:lineRule="auto"/>
        <w:ind w:firstLine="420" w:firstLineChars="200"/>
        <w:contextualSpacing/>
        <w:rPr>
          <w:rFonts w:hAnsi="宋体"/>
          <w:b/>
          <w:color w:val="auto"/>
          <w:sz w:val="24"/>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9DF1E7E">
      <w:pPr>
        <w:pStyle w:val="4"/>
        <w:keepNext w:val="0"/>
        <w:keepLines w:val="0"/>
        <w:jc w:val="center"/>
        <w:rPr>
          <w:rFonts w:hAnsi="宋体"/>
          <w:color w:val="auto"/>
          <w:sz w:val="21"/>
          <w:highlight w:val="none"/>
        </w:rPr>
      </w:pPr>
      <w:r>
        <w:rPr>
          <w:rFonts w:hAnsi="宋体"/>
          <w:b w:val="0"/>
          <w:color w:val="auto"/>
          <w:sz w:val="24"/>
          <w:highlight w:val="none"/>
        </w:rPr>
        <w:br w:type="page"/>
      </w:r>
    </w:p>
    <w:p w14:paraId="2FA1ACEE">
      <w:pPr>
        <w:spacing w:before="120" w:beforeLines="50" w:after="120" w:afterLines="50" w:line="400" w:lineRule="exact"/>
        <w:rPr>
          <w:rFonts w:ascii="宋体" w:hAnsi="宋体"/>
          <w:b/>
          <w:color w:val="auto"/>
          <w:sz w:val="24"/>
          <w:highlight w:val="none"/>
        </w:rPr>
      </w:pPr>
    </w:p>
    <w:p w14:paraId="6873E22D">
      <w:pPr>
        <w:spacing w:before="120" w:beforeLines="50" w:after="120" w:afterLines="50" w:line="400" w:lineRule="exact"/>
        <w:rPr>
          <w:rFonts w:ascii="宋体" w:hAnsi="宋体"/>
          <w:b/>
          <w:color w:val="auto"/>
          <w:sz w:val="24"/>
          <w:highlight w:val="none"/>
        </w:rPr>
      </w:pPr>
    </w:p>
    <w:p w14:paraId="40B8CFA2">
      <w:pPr>
        <w:spacing w:before="120" w:beforeLines="50" w:after="120" w:afterLines="50" w:line="400" w:lineRule="exact"/>
        <w:rPr>
          <w:rFonts w:ascii="宋体" w:hAnsi="宋体"/>
          <w:b/>
          <w:color w:val="auto"/>
          <w:sz w:val="24"/>
          <w:highlight w:val="none"/>
        </w:rPr>
      </w:pPr>
    </w:p>
    <w:p w14:paraId="0D025A4A">
      <w:pPr>
        <w:spacing w:before="120" w:beforeLines="50" w:after="120" w:afterLines="50" w:line="400" w:lineRule="exact"/>
        <w:rPr>
          <w:rFonts w:ascii="宋体" w:hAnsi="宋体"/>
          <w:b/>
          <w:color w:val="auto"/>
          <w:sz w:val="24"/>
          <w:highlight w:val="none"/>
        </w:rPr>
      </w:pPr>
    </w:p>
    <w:p w14:paraId="2E4E7398">
      <w:pPr>
        <w:spacing w:before="120" w:beforeLines="50" w:after="120" w:afterLines="50" w:line="400" w:lineRule="exact"/>
        <w:rPr>
          <w:rFonts w:ascii="宋体" w:hAnsi="宋体"/>
          <w:b/>
          <w:color w:val="auto"/>
          <w:sz w:val="24"/>
          <w:highlight w:val="none"/>
        </w:rPr>
      </w:pPr>
    </w:p>
    <w:p w14:paraId="12B5563A">
      <w:pPr>
        <w:spacing w:before="120" w:beforeLines="50" w:after="120" w:afterLines="50" w:line="400" w:lineRule="exact"/>
        <w:rPr>
          <w:rFonts w:ascii="宋体" w:hAnsi="宋体"/>
          <w:b/>
          <w:color w:val="auto"/>
          <w:sz w:val="24"/>
          <w:highlight w:val="none"/>
        </w:rPr>
      </w:pPr>
    </w:p>
    <w:p w14:paraId="51B9B7E6">
      <w:pPr>
        <w:spacing w:before="120" w:beforeLines="50" w:after="120" w:afterLines="50" w:line="400" w:lineRule="exact"/>
        <w:rPr>
          <w:rFonts w:ascii="宋体" w:hAnsi="宋体"/>
          <w:b/>
          <w:color w:val="auto"/>
          <w:sz w:val="24"/>
          <w:highlight w:val="none"/>
        </w:rPr>
      </w:pPr>
    </w:p>
    <w:p w14:paraId="5CD0E1AC">
      <w:pPr>
        <w:spacing w:before="120" w:beforeLines="50" w:after="120" w:afterLines="50" w:line="400" w:lineRule="exact"/>
        <w:rPr>
          <w:rFonts w:ascii="宋体" w:hAnsi="宋体"/>
          <w:b/>
          <w:color w:val="auto"/>
          <w:sz w:val="24"/>
          <w:highlight w:val="none"/>
        </w:rPr>
      </w:pPr>
    </w:p>
    <w:p w14:paraId="546E6BA2">
      <w:pPr>
        <w:spacing w:before="120" w:beforeLines="50" w:after="120" w:afterLines="50" w:line="400" w:lineRule="exact"/>
        <w:rPr>
          <w:rFonts w:ascii="宋体" w:hAnsi="宋体"/>
          <w:b/>
          <w:color w:val="auto"/>
          <w:sz w:val="24"/>
          <w:highlight w:val="none"/>
        </w:rPr>
      </w:pPr>
    </w:p>
    <w:p w14:paraId="2B241220">
      <w:pPr>
        <w:spacing w:before="120" w:beforeLines="50" w:after="120" w:afterLines="50" w:line="400" w:lineRule="exact"/>
        <w:rPr>
          <w:rFonts w:ascii="宋体" w:hAnsi="宋体"/>
          <w:b/>
          <w:color w:val="auto"/>
          <w:sz w:val="24"/>
          <w:highlight w:val="none"/>
        </w:rPr>
      </w:pPr>
    </w:p>
    <w:p w14:paraId="21D81B29">
      <w:pPr>
        <w:spacing w:before="120" w:beforeLines="50" w:after="120" w:afterLines="50" w:line="400" w:lineRule="exact"/>
        <w:rPr>
          <w:rFonts w:ascii="宋体" w:hAnsi="宋体"/>
          <w:b/>
          <w:color w:val="auto"/>
          <w:sz w:val="24"/>
          <w:highlight w:val="none"/>
        </w:rPr>
      </w:pPr>
    </w:p>
    <w:p w14:paraId="7A96BCF2">
      <w:pPr>
        <w:pStyle w:val="2"/>
        <w:jc w:val="center"/>
        <w:rPr>
          <w:color w:val="auto"/>
          <w:highlight w:val="none"/>
        </w:rPr>
      </w:pPr>
      <w:bookmarkStart w:id="131" w:name="_Toc25250"/>
      <w:r>
        <w:rPr>
          <w:rFonts w:hint="eastAsia"/>
          <w:color w:val="auto"/>
          <w:highlight w:val="none"/>
        </w:rPr>
        <w:t>第五章  拟签订的合同文本</w:t>
      </w:r>
      <w:bookmarkEnd w:id="131"/>
    </w:p>
    <w:p w14:paraId="03DB93F1">
      <w:pPr>
        <w:snapToGrid w:val="0"/>
        <w:jc w:val="center"/>
        <w:rPr>
          <w:rFonts w:ascii="宋体" w:hAnsi="宋体"/>
          <w:bCs/>
          <w:color w:val="auto"/>
          <w:sz w:val="32"/>
          <w:szCs w:val="32"/>
          <w:highlight w:val="none"/>
        </w:rPr>
      </w:pPr>
    </w:p>
    <w:p w14:paraId="19C73A21">
      <w:pPr>
        <w:snapToGrid w:val="0"/>
        <w:jc w:val="center"/>
        <w:rPr>
          <w:rFonts w:ascii="宋体" w:hAnsi="宋体"/>
          <w:bCs/>
          <w:color w:val="auto"/>
          <w:sz w:val="32"/>
          <w:szCs w:val="32"/>
          <w:highlight w:val="none"/>
        </w:rPr>
      </w:pPr>
    </w:p>
    <w:p w14:paraId="0B0DB299">
      <w:pPr>
        <w:snapToGrid w:val="0"/>
        <w:jc w:val="center"/>
        <w:rPr>
          <w:rFonts w:ascii="宋体" w:hAnsi="宋体"/>
          <w:bCs/>
          <w:color w:val="auto"/>
          <w:sz w:val="32"/>
          <w:szCs w:val="32"/>
          <w:highlight w:val="none"/>
        </w:rPr>
      </w:pPr>
    </w:p>
    <w:p w14:paraId="27894A4F">
      <w:pPr>
        <w:snapToGrid w:val="0"/>
        <w:jc w:val="center"/>
        <w:rPr>
          <w:rFonts w:ascii="宋体" w:hAnsi="宋体"/>
          <w:bCs/>
          <w:color w:val="auto"/>
          <w:sz w:val="32"/>
          <w:szCs w:val="32"/>
          <w:highlight w:val="none"/>
        </w:rPr>
      </w:pPr>
    </w:p>
    <w:p w14:paraId="58F4916A">
      <w:pPr>
        <w:snapToGrid w:val="0"/>
        <w:jc w:val="center"/>
        <w:rPr>
          <w:rFonts w:ascii="宋体" w:hAnsi="宋体"/>
          <w:bCs/>
          <w:color w:val="auto"/>
          <w:sz w:val="32"/>
          <w:szCs w:val="32"/>
          <w:highlight w:val="none"/>
        </w:rPr>
      </w:pPr>
    </w:p>
    <w:p w14:paraId="397B6BBF">
      <w:pPr>
        <w:snapToGrid w:val="0"/>
        <w:jc w:val="center"/>
        <w:rPr>
          <w:rFonts w:ascii="宋体" w:hAnsi="宋体"/>
          <w:bCs/>
          <w:color w:val="auto"/>
          <w:sz w:val="32"/>
          <w:szCs w:val="32"/>
          <w:highlight w:val="none"/>
        </w:rPr>
      </w:pPr>
    </w:p>
    <w:p w14:paraId="4EE148DD">
      <w:pPr>
        <w:snapToGrid w:val="0"/>
        <w:jc w:val="center"/>
        <w:rPr>
          <w:rFonts w:ascii="宋体" w:hAnsi="宋体"/>
          <w:bCs/>
          <w:color w:val="auto"/>
          <w:sz w:val="32"/>
          <w:szCs w:val="32"/>
          <w:highlight w:val="none"/>
        </w:rPr>
      </w:pPr>
    </w:p>
    <w:p w14:paraId="33B53541">
      <w:pPr>
        <w:snapToGrid w:val="0"/>
        <w:jc w:val="center"/>
        <w:rPr>
          <w:rFonts w:ascii="宋体" w:hAnsi="宋体"/>
          <w:bCs/>
          <w:color w:val="auto"/>
          <w:sz w:val="32"/>
          <w:szCs w:val="32"/>
          <w:highlight w:val="none"/>
        </w:rPr>
      </w:pPr>
    </w:p>
    <w:p w14:paraId="49C8D8D4">
      <w:pPr>
        <w:snapToGrid w:val="0"/>
        <w:jc w:val="center"/>
        <w:rPr>
          <w:rFonts w:ascii="宋体" w:hAnsi="宋体"/>
          <w:bCs/>
          <w:color w:val="auto"/>
          <w:sz w:val="32"/>
          <w:szCs w:val="32"/>
          <w:highlight w:val="none"/>
        </w:rPr>
      </w:pPr>
    </w:p>
    <w:p w14:paraId="39330B2B">
      <w:pPr>
        <w:snapToGrid w:val="0"/>
        <w:jc w:val="center"/>
        <w:rPr>
          <w:rFonts w:ascii="宋体" w:hAnsi="宋体"/>
          <w:bCs/>
          <w:color w:val="auto"/>
          <w:sz w:val="32"/>
          <w:szCs w:val="32"/>
          <w:highlight w:val="none"/>
        </w:rPr>
      </w:pPr>
    </w:p>
    <w:p w14:paraId="76403567">
      <w:pPr>
        <w:snapToGrid w:val="0"/>
        <w:jc w:val="center"/>
        <w:rPr>
          <w:rFonts w:ascii="宋体" w:hAnsi="宋体"/>
          <w:bCs/>
          <w:color w:val="auto"/>
          <w:sz w:val="32"/>
          <w:szCs w:val="32"/>
          <w:highlight w:val="none"/>
        </w:rPr>
      </w:pPr>
    </w:p>
    <w:p w14:paraId="281BB6CD">
      <w:pPr>
        <w:snapToGrid w:val="0"/>
        <w:spacing w:line="360" w:lineRule="auto"/>
        <w:jc w:val="center"/>
        <w:rPr>
          <w:rFonts w:ascii="宋体" w:hAnsi="宋体"/>
          <w:b/>
          <w:bCs/>
          <w:color w:val="auto"/>
          <w:sz w:val="32"/>
          <w:szCs w:val="32"/>
          <w:highlight w:val="none"/>
        </w:rPr>
      </w:pPr>
      <w:r>
        <w:rPr>
          <w:rFonts w:ascii="宋体" w:hAnsi="宋体"/>
          <w:bCs/>
          <w:color w:val="auto"/>
          <w:highlight w:val="none"/>
        </w:rPr>
        <w:br w:type="page"/>
      </w:r>
      <w:r>
        <w:rPr>
          <w:rFonts w:hint="eastAsia" w:ascii="宋体" w:hAnsi="宋体"/>
          <w:b/>
          <w:color w:val="auto"/>
          <w:sz w:val="32"/>
          <w:szCs w:val="32"/>
          <w:highlight w:val="none"/>
        </w:rPr>
        <w:t xml:space="preserve"> </w:t>
      </w:r>
      <w:r>
        <w:rPr>
          <w:rFonts w:hint="eastAsia" w:ascii="宋体" w:hAnsi="宋体"/>
          <w:b/>
          <w:bCs/>
          <w:color w:val="auto"/>
          <w:sz w:val="32"/>
          <w:szCs w:val="32"/>
          <w:highlight w:val="none"/>
        </w:rPr>
        <w:t>政府采购合同</w:t>
      </w:r>
    </w:p>
    <w:p w14:paraId="4A40963D">
      <w:pPr>
        <w:snapToGrid w:val="0"/>
        <w:spacing w:line="360" w:lineRule="auto"/>
        <w:ind w:right="480" w:firstLine="7000" w:firstLineChars="25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合同编号：</w:t>
      </w:r>
    </w:p>
    <w:p w14:paraId="2AD06BBE">
      <w:pPr>
        <w:snapToGrid w:val="0"/>
        <w:spacing w:line="360" w:lineRule="auto"/>
        <w:rPr>
          <w:rFonts w:hint="eastAsia" w:ascii="宋体" w:hAnsi="宋体" w:eastAsia="宋体" w:cs="宋体"/>
          <w:color w:val="auto"/>
          <w:sz w:val="28"/>
          <w:szCs w:val="28"/>
          <w:highlight w:val="none"/>
        </w:rPr>
      </w:pPr>
    </w:p>
    <w:p w14:paraId="18C219BD">
      <w:pPr>
        <w:snapToGrid w:val="0"/>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69622699">
      <w:pPr>
        <w:snapToGrid w:val="0"/>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供应商（乙方）：</w:t>
      </w:r>
      <w:r>
        <w:rPr>
          <w:rFonts w:hint="eastAsia" w:ascii="宋体" w:hAnsi="宋体" w:eastAsia="宋体" w:cs="宋体"/>
          <w:color w:val="auto"/>
          <w:sz w:val="28"/>
          <w:szCs w:val="28"/>
          <w:highlight w:val="none"/>
          <w:u w:val="single"/>
        </w:rPr>
        <w:t xml:space="preserve">                          </w:t>
      </w:r>
    </w:p>
    <w:p w14:paraId="756FAB99">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pacing w:val="-20"/>
          <w:sz w:val="28"/>
          <w:szCs w:val="28"/>
          <w:highlight w:val="none"/>
        </w:rPr>
        <w:t>采 购 计 划 号：</w:t>
      </w:r>
      <w:r>
        <w:rPr>
          <w:rFonts w:hint="eastAsia" w:ascii="宋体" w:hAnsi="宋体" w:eastAsia="宋体" w:cs="宋体"/>
          <w:color w:val="auto"/>
          <w:sz w:val="28"/>
          <w:szCs w:val="28"/>
          <w:highlight w:val="none"/>
          <w:u w:val="single"/>
        </w:rPr>
        <w:t xml:space="preserve">                         </w:t>
      </w:r>
    </w:p>
    <w:p w14:paraId="5816FBA0">
      <w:pPr>
        <w:snapToGrid w:val="0"/>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04C00A76">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合同类型：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合同</w:t>
      </w:r>
    </w:p>
    <w:p w14:paraId="565E027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本合同为中小企业预留合同：</w:t>
      </w:r>
      <w:r>
        <w:rPr>
          <w:rFonts w:hint="eastAsia" w:ascii="宋体" w:hAnsi="宋体" w:eastAsia="宋体" w:cs="宋体"/>
          <w:i/>
          <w:color w:val="auto"/>
          <w:sz w:val="28"/>
          <w:szCs w:val="28"/>
          <w:highlight w:val="none"/>
          <w:u w:val="single"/>
        </w:rPr>
        <w:t>（是/否）</w:t>
      </w:r>
      <w:r>
        <w:rPr>
          <w:rFonts w:hint="eastAsia" w:ascii="宋体" w:hAnsi="宋体" w:eastAsia="宋体" w:cs="宋体"/>
          <w:color w:val="auto"/>
          <w:sz w:val="28"/>
          <w:szCs w:val="28"/>
          <w:highlight w:val="none"/>
        </w:rPr>
        <w:t>。</w:t>
      </w:r>
    </w:p>
    <w:p w14:paraId="6F9198DF">
      <w:pPr>
        <w:pStyle w:val="17"/>
        <w:spacing w:line="360" w:lineRule="auto"/>
        <w:rPr>
          <w:rFonts w:hint="eastAsia" w:ascii="宋体" w:hAnsi="宋体" w:eastAsia="宋体" w:cs="宋体"/>
          <w:color w:val="auto"/>
          <w:sz w:val="28"/>
          <w:szCs w:val="28"/>
          <w:highlight w:val="none"/>
        </w:rPr>
      </w:pPr>
    </w:p>
    <w:p w14:paraId="5E7E9C35">
      <w:pPr>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根据《中华人民共和国民法典》、《中华人民共和国政府采购法》等相关法律法规之规 定，按照平等、自愿、公平和诚实信用的原则，经甲乙双方协商一致，约定以下合同条款，以兹共同遵守、全面履行。</w:t>
      </w:r>
    </w:p>
    <w:p w14:paraId="5F636C4B">
      <w:pPr>
        <w:pStyle w:val="17"/>
        <w:numPr>
          <w:ilvl w:val="0"/>
          <w:numId w:val="5"/>
        </w:numPr>
        <w:spacing w:line="540" w:lineRule="exact"/>
        <w:ind w:left="600" w:leftChars="0" w:firstLine="0" w:firstLineChars="0"/>
        <w:rPr>
          <w:rFonts w:hint="eastAsia" w:ascii="宋体" w:hAnsi="宋体" w:eastAsia="宋体" w:cs="宋体"/>
          <w:b/>
          <w:bCs/>
          <w:color w:val="auto"/>
          <w:spacing w:val="-10"/>
          <w:sz w:val="28"/>
          <w:szCs w:val="28"/>
          <w:highlight w:val="none"/>
          <w:u w:val="none"/>
          <w:lang w:val="en-US" w:eastAsia="zh-CN"/>
        </w:rPr>
      </w:pPr>
      <w:r>
        <w:rPr>
          <w:rFonts w:hint="eastAsia" w:ascii="宋体" w:hAnsi="宋体" w:eastAsia="宋体" w:cs="宋体"/>
          <w:b/>
          <w:bCs/>
          <w:color w:val="auto"/>
          <w:spacing w:val="-10"/>
          <w:sz w:val="28"/>
          <w:szCs w:val="28"/>
          <w:highlight w:val="none"/>
          <w:u w:val="none"/>
          <w:lang w:val="en-US" w:eastAsia="zh-CN"/>
        </w:rPr>
        <w:t>、服务内容概况</w:t>
      </w:r>
    </w:p>
    <w:p w14:paraId="1D174C58">
      <w:pPr>
        <w:pStyle w:val="17"/>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1.1</w:t>
      </w:r>
      <w:r>
        <w:rPr>
          <w:rFonts w:hint="eastAsia" w:ascii="宋体" w:hAnsi="宋体" w:eastAsia="宋体" w:cs="宋体"/>
          <w:color w:val="auto"/>
          <w:spacing w:val="-10"/>
          <w:kern w:val="2"/>
          <w:sz w:val="28"/>
          <w:szCs w:val="28"/>
          <w:highlight w:val="none"/>
          <w:u w:val="none"/>
          <w:lang w:val="en-US" w:eastAsia="zh-CN" w:bidi="ar-SA"/>
        </w:rPr>
        <w:t>大里镇、新圩镇、西埌镇、隆盛镇、民乐镇污水处理厂及配套管网工程项目，合计生活污水处理规模为8500m³／日，配套管网总长约为29.421公里，配套的一体化污水提升泵站共3座（新圩1座、隆盛2座）</w:t>
      </w:r>
      <w:r>
        <w:rPr>
          <w:rFonts w:hint="eastAsia" w:ascii="宋体" w:hAnsi="宋体" w:cs="宋体"/>
          <w:color w:val="auto"/>
          <w:spacing w:val="-10"/>
          <w:kern w:val="2"/>
          <w:sz w:val="28"/>
          <w:szCs w:val="28"/>
          <w:highlight w:val="none"/>
          <w:u w:val="none"/>
          <w:lang w:val="en-US" w:eastAsia="zh-CN" w:bidi="ar-SA"/>
        </w:rPr>
        <w:t>。</w:t>
      </w:r>
    </w:p>
    <w:p w14:paraId="33EBEACB">
      <w:pPr>
        <w:pStyle w:val="17"/>
        <w:widowControl w:val="0"/>
        <w:wordWrap/>
        <w:adjustRightInd/>
        <w:snapToGrid/>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1.1.1镇级污水处理厂的运营维护。</w:t>
      </w:r>
    </w:p>
    <w:p w14:paraId="256A7BFC">
      <w:pPr>
        <w:pStyle w:val="17"/>
        <w:widowControl w:val="0"/>
        <w:wordWrap/>
        <w:adjustRightInd/>
        <w:snapToGrid/>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cs="宋体"/>
          <w:color w:val="auto"/>
          <w:spacing w:val="-10"/>
          <w:sz w:val="28"/>
          <w:szCs w:val="28"/>
          <w:highlight w:val="none"/>
          <w:u w:val="none"/>
          <w:lang w:val="en-US" w:eastAsia="zh-CN"/>
        </w:rPr>
        <w:t>大里镇、新圩镇、西埌镇、隆盛镇、民乐镇等5个</w:t>
      </w:r>
      <w:r>
        <w:rPr>
          <w:rFonts w:hint="eastAsia" w:ascii="宋体" w:hAnsi="宋体" w:eastAsia="宋体" w:cs="宋体"/>
          <w:color w:val="auto"/>
          <w:spacing w:val="-10"/>
          <w:sz w:val="28"/>
          <w:szCs w:val="28"/>
          <w:highlight w:val="none"/>
          <w:u w:val="none"/>
          <w:lang w:val="en-US" w:eastAsia="zh-CN"/>
        </w:rPr>
        <w:t>污水处理厂范围包括厂内所有设备设施、生产工艺管理、设备管理、安全管理、现场管理等与该项目生产经营活动有关的事项。具体包括：</w:t>
      </w:r>
    </w:p>
    <w:p w14:paraId="7B242871">
      <w:pPr>
        <w:pStyle w:val="17"/>
        <w:widowControl w:val="0"/>
        <w:wordWrap/>
        <w:adjustRightInd/>
        <w:snapToGrid/>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1.1.1.1污水处理厂厂区内工艺、设备、设施、安全、现场卫生等事项的运营管理。</w:t>
      </w:r>
    </w:p>
    <w:p w14:paraId="1F7921FC">
      <w:pPr>
        <w:pStyle w:val="17"/>
        <w:widowControl w:val="0"/>
        <w:wordWrap/>
        <w:adjustRightInd/>
        <w:snapToGrid/>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1.1.1.</w:t>
      </w:r>
      <w:r>
        <w:rPr>
          <w:rFonts w:hint="eastAsia" w:ascii="宋体" w:hAnsi="宋体" w:cs="宋体"/>
          <w:color w:val="auto"/>
          <w:spacing w:val="-10"/>
          <w:sz w:val="28"/>
          <w:szCs w:val="28"/>
          <w:highlight w:val="none"/>
          <w:u w:val="none"/>
          <w:lang w:val="en-US" w:eastAsia="zh-CN"/>
        </w:rPr>
        <w:t>2</w:t>
      </w:r>
      <w:r>
        <w:rPr>
          <w:rFonts w:hint="eastAsia" w:ascii="宋体" w:hAnsi="宋体" w:eastAsia="宋体" w:cs="宋体"/>
          <w:color w:val="auto"/>
          <w:spacing w:val="-10"/>
          <w:sz w:val="28"/>
          <w:szCs w:val="28"/>
          <w:highlight w:val="none"/>
          <w:u w:val="none"/>
          <w:lang w:val="en-US" w:eastAsia="zh-CN"/>
        </w:rPr>
        <w:t>承担污水厂运营产生的人工费、水电费、药剂费、化验费、污泥运输处置费、数据网络费</w:t>
      </w:r>
      <w:r>
        <w:rPr>
          <w:rFonts w:hint="eastAsia" w:ascii="宋体" w:hAnsi="宋体" w:cs="宋体"/>
          <w:color w:val="auto"/>
          <w:spacing w:val="-10"/>
          <w:sz w:val="28"/>
          <w:szCs w:val="28"/>
          <w:highlight w:val="none"/>
          <w:u w:val="none"/>
          <w:lang w:val="en-US" w:eastAsia="zh-CN"/>
        </w:rPr>
        <w:t>压泥车（车牌为     ）日常维护费（</w:t>
      </w:r>
      <w:r>
        <w:rPr>
          <w:rFonts w:hint="eastAsia" w:ascii="宋体" w:hAnsi="宋体" w:eastAsia="宋体" w:cs="宋体"/>
          <w:color w:val="auto"/>
          <w:spacing w:val="-10"/>
          <w:w w:val="100"/>
          <w:sz w:val="28"/>
          <w:szCs w:val="28"/>
          <w:highlight w:val="none"/>
          <w:u w:val="none"/>
          <w:lang w:val="en-US" w:eastAsia="zh-CN"/>
        </w:rPr>
        <w:t>含保险、年检、加油、维修等</w:t>
      </w:r>
      <w:r>
        <w:rPr>
          <w:rFonts w:hint="eastAsia" w:ascii="宋体" w:hAnsi="宋体" w:cs="宋体"/>
          <w:color w:val="auto"/>
          <w:spacing w:val="-10"/>
          <w:sz w:val="28"/>
          <w:szCs w:val="28"/>
          <w:highlight w:val="none"/>
          <w:u w:val="none"/>
          <w:lang w:val="en-US" w:eastAsia="zh-CN"/>
        </w:rPr>
        <w:t>）</w:t>
      </w:r>
      <w:r>
        <w:rPr>
          <w:rFonts w:hint="eastAsia" w:ascii="宋体" w:hAnsi="宋体" w:eastAsia="宋体" w:cs="宋体"/>
          <w:color w:val="auto"/>
          <w:spacing w:val="-10"/>
          <w:sz w:val="28"/>
          <w:szCs w:val="28"/>
          <w:highlight w:val="none"/>
          <w:u w:val="none"/>
          <w:lang w:val="en-US" w:eastAsia="zh-CN"/>
        </w:rPr>
        <w:t>和税金等有关费用。</w:t>
      </w:r>
    </w:p>
    <w:p w14:paraId="330AFC81">
      <w:pPr>
        <w:pStyle w:val="17"/>
        <w:widowControl w:val="0"/>
        <w:wordWrap/>
        <w:adjustRightInd/>
        <w:snapToGrid/>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1.1.2配套污水收集管网巡查、清淤维护。</w:t>
      </w:r>
    </w:p>
    <w:p w14:paraId="474C7E03">
      <w:pPr>
        <w:pStyle w:val="17"/>
        <w:widowControl w:val="0"/>
        <w:wordWrap/>
        <w:adjustRightInd/>
        <w:snapToGrid/>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1.1.2.1配套的污水收集管网及其检查井的日常巡视、维护、安全设施养护等工作。</w:t>
      </w:r>
    </w:p>
    <w:p w14:paraId="4273C23A">
      <w:pPr>
        <w:pStyle w:val="17"/>
        <w:widowControl w:val="0"/>
        <w:wordWrap/>
        <w:adjustRightInd/>
        <w:snapToGrid/>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1.1.2.2配套管网内沉积淤泥、砂石板结块等清理、配套检查井、沉砂井内的垃圾、沉砂、淤泥清运等工作。但因施工质量、地基沉降、车辆过载等原因导致的污水管网破断、断管，必须进行开挖施工或采用非开槽施工技术进行换新管修复的一般性修复（单次金额10000元以下，含10000元）。超出一般性修复的较大工程（单次金额为10000元以上），不属于委托范围。若发生此项情况，由乙方提出修复建议并报告项目业主，经甲方同意由乙方先行出资垫付修复，所需费用随运营费用一起申请。</w:t>
      </w:r>
    </w:p>
    <w:p w14:paraId="6C989B26">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kern w:val="0"/>
          <w:sz w:val="28"/>
          <w:szCs w:val="28"/>
          <w:highlight w:val="none"/>
          <w:u w:val="none"/>
          <w:lang w:val="en-US" w:eastAsia="zh-CN"/>
        </w:rPr>
      </w:pPr>
      <w:r>
        <w:rPr>
          <w:rFonts w:hint="eastAsia" w:ascii="宋体" w:hAnsi="宋体" w:eastAsia="宋体" w:cs="宋体"/>
          <w:color w:val="auto"/>
          <w:spacing w:val="-10"/>
          <w:kern w:val="0"/>
          <w:sz w:val="28"/>
          <w:szCs w:val="28"/>
          <w:highlight w:val="none"/>
          <w:u w:val="none"/>
          <w:lang w:val="en-US" w:eastAsia="zh-CN"/>
        </w:rPr>
        <w:t>1.1.</w:t>
      </w:r>
      <w:r>
        <w:rPr>
          <w:rFonts w:hint="eastAsia" w:ascii="宋体" w:hAnsi="宋体" w:cs="宋体"/>
          <w:color w:val="auto"/>
          <w:spacing w:val="-10"/>
          <w:kern w:val="0"/>
          <w:sz w:val="28"/>
          <w:szCs w:val="28"/>
          <w:highlight w:val="none"/>
          <w:u w:val="none"/>
          <w:lang w:val="en-US" w:eastAsia="zh-CN"/>
        </w:rPr>
        <w:t>3</w:t>
      </w:r>
      <w:r>
        <w:rPr>
          <w:rFonts w:hint="eastAsia" w:ascii="宋体" w:hAnsi="宋体" w:eastAsia="宋体" w:cs="宋体"/>
          <w:color w:val="auto"/>
          <w:spacing w:val="-10"/>
          <w:kern w:val="0"/>
          <w:sz w:val="28"/>
          <w:szCs w:val="28"/>
          <w:highlight w:val="none"/>
          <w:u w:val="none"/>
          <w:lang w:val="en-US" w:eastAsia="zh-CN"/>
        </w:rPr>
        <w:t>中途污水提升泵站巡查维护。</w:t>
      </w:r>
    </w:p>
    <w:p w14:paraId="15FD333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kern w:val="0"/>
          <w:sz w:val="28"/>
          <w:szCs w:val="28"/>
          <w:highlight w:val="none"/>
          <w:u w:val="none"/>
          <w:lang w:val="en-US" w:eastAsia="zh-CN"/>
        </w:rPr>
      </w:pPr>
      <w:r>
        <w:rPr>
          <w:rFonts w:hint="eastAsia" w:ascii="宋体" w:hAnsi="宋体" w:eastAsia="宋体" w:cs="宋体"/>
          <w:color w:val="auto"/>
          <w:spacing w:val="-10"/>
          <w:kern w:val="0"/>
          <w:sz w:val="28"/>
          <w:szCs w:val="28"/>
          <w:highlight w:val="none"/>
          <w:u w:val="none"/>
          <w:lang w:val="en-US" w:eastAsia="zh-CN"/>
        </w:rPr>
        <w:t>1.1.</w:t>
      </w:r>
      <w:r>
        <w:rPr>
          <w:rFonts w:hint="eastAsia" w:ascii="宋体" w:hAnsi="宋体" w:cs="宋体"/>
          <w:color w:val="auto"/>
          <w:spacing w:val="-10"/>
          <w:kern w:val="0"/>
          <w:sz w:val="28"/>
          <w:szCs w:val="28"/>
          <w:highlight w:val="none"/>
          <w:u w:val="none"/>
          <w:lang w:val="en-US" w:eastAsia="zh-CN"/>
        </w:rPr>
        <w:t>3</w:t>
      </w:r>
      <w:r>
        <w:rPr>
          <w:rFonts w:hint="eastAsia" w:ascii="宋体" w:hAnsi="宋体" w:eastAsia="宋体" w:cs="宋体"/>
          <w:color w:val="auto"/>
          <w:spacing w:val="-10"/>
          <w:kern w:val="0"/>
          <w:sz w:val="28"/>
          <w:szCs w:val="28"/>
          <w:highlight w:val="none"/>
          <w:u w:val="none"/>
          <w:lang w:val="en-US" w:eastAsia="zh-CN"/>
        </w:rPr>
        <w:t>.1污水提升泵站的设备、设施、安全、现场卫生等事项的运营管理。</w:t>
      </w:r>
    </w:p>
    <w:p w14:paraId="7B443ADD">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kern w:val="0"/>
          <w:sz w:val="28"/>
          <w:szCs w:val="28"/>
          <w:highlight w:val="none"/>
          <w:u w:val="none"/>
          <w:lang w:val="en-US" w:eastAsia="zh-CN"/>
        </w:rPr>
      </w:pPr>
      <w:r>
        <w:rPr>
          <w:rFonts w:hint="eastAsia" w:ascii="宋体" w:hAnsi="宋体" w:eastAsia="宋体" w:cs="宋体"/>
          <w:color w:val="auto"/>
          <w:spacing w:val="-10"/>
          <w:kern w:val="0"/>
          <w:sz w:val="28"/>
          <w:szCs w:val="28"/>
          <w:highlight w:val="none"/>
          <w:u w:val="none"/>
          <w:lang w:val="en-US" w:eastAsia="zh-CN"/>
        </w:rPr>
        <w:t>1.1.</w:t>
      </w:r>
      <w:r>
        <w:rPr>
          <w:rFonts w:hint="eastAsia" w:ascii="宋体" w:hAnsi="宋体" w:cs="宋体"/>
          <w:color w:val="auto"/>
          <w:spacing w:val="-10"/>
          <w:kern w:val="0"/>
          <w:sz w:val="28"/>
          <w:szCs w:val="28"/>
          <w:highlight w:val="none"/>
          <w:u w:val="none"/>
          <w:lang w:val="en-US" w:eastAsia="zh-CN"/>
        </w:rPr>
        <w:t>3</w:t>
      </w:r>
      <w:r>
        <w:rPr>
          <w:rFonts w:hint="eastAsia" w:ascii="宋体" w:hAnsi="宋体" w:eastAsia="宋体" w:cs="宋体"/>
          <w:color w:val="auto"/>
          <w:spacing w:val="-10"/>
          <w:kern w:val="0"/>
          <w:sz w:val="28"/>
          <w:szCs w:val="28"/>
          <w:highlight w:val="none"/>
          <w:u w:val="none"/>
          <w:lang w:val="en-US" w:eastAsia="zh-CN"/>
        </w:rPr>
        <w:t>.</w:t>
      </w:r>
      <w:r>
        <w:rPr>
          <w:rFonts w:hint="eastAsia" w:ascii="宋体" w:hAnsi="宋体" w:cs="宋体"/>
          <w:color w:val="auto"/>
          <w:spacing w:val="-10"/>
          <w:kern w:val="0"/>
          <w:sz w:val="28"/>
          <w:szCs w:val="28"/>
          <w:highlight w:val="none"/>
          <w:u w:val="none"/>
          <w:lang w:val="en-US" w:eastAsia="zh-CN"/>
        </w:rPr>
        <w:t>2</w:t>
      </w:r>
      <w:r>
        <w:rPr>
          <w:rFonts w:hint="eastAsia" w:ascii="宋体" w:hAnsi="宋体" w:eastAsia="宋体" w:cs="宋体"/>
          <w:color w:val="auto"/>
          <w:spacing w:val="-10"/>
          <w:kern w:val="0"/>
          <w:sz w:val="28"/>
          <w:szCs w:val="28"/>
          <w:highlight w:val="none"/>
          <w:u w:val="none"/>
          <w:lang w:val="en-US" w:eastAsia="zh-CN"/>
        </w:rPr>
        <w:t>污水提升泵站的运行与维护记录。</w:t>
      </w:r>
    </w:p>
    <w:p w14:paraId="7ECBC942">
      <w:pPr>
        <w:pStyle w:val="17"/>
        <w:widowControl w:val="0"/>
        <w:kinsoku w:val="0"/>
        <w:wordWrap/>
        <w:overflowPunct w:val="0"/>
        <w:autoSpaceDE w:val="0"/>
        <w:autoSpaceDN w:val="0"/>
        <w:adjustRightInd/>
        <w:snapToGrid/>
        <w:spacing w:beforeLines="0" w:afterLines="0" w:line="540" w:lineRule="exact"/>
        <w:ind w:firstLine="520" w:firstLineChars="200"/>
        <w:outlineLvl w:val="9"/>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1.1.</w:t>
      </w:r>
      <w:r>
        <w:rPr>
          <w:rFonts w:hint="eastAsia" w:ascii="宋体" w:hAnsi="宋体" w:cs="宋体"/>
          <w:color w:val="auto"/>
          <w:spacing w:val="-10"/>
          <w:sz w:val="28"/>
          <w:szCs w:val="28"/>
          <w:highlight w:val="none"/>
          <w:u w:val="none"/>
          <w:lang w:val="en-US" w:eastAsia="zh-CN"/>
        </w:rPr>
        <w:t>3</w:t>
      </w:r>
      <w:r>
        <w:rPr>
          <w:rFonts w:hint="eastAsia" w:ascii="宋体" w:hAnsi="宋体" w:eastAsia="宋体" w:cs="宋体"/>
          <w:color w:val="auto"/>
          <w:spacing w:val="-10"/>
          <w:sz w:val="28"/>
          <w:szCs w:val="28"/>
          <w:highlight w:val="none"/>
          <w:u w:val="none"/>
          <w:lang w:val="en-US" w:eastAsia="zh-CN"/>
        </w:rPr>
        <w:t>.</w:t>
      </w:r>
      <w:r>
        <w:rPr>
          <w:rFonts w:hint="eastAsia" w:ascii="宋体" w:hAnsi="宋体" w:cs="宋体"/>
          <w:color w:val="auto"/>
          <w:spacing w:val="-10"/>
          <w:sz w:val="28"/>
          <w:szCs w:val="28"/>
          <w:highlight w:val="none"/>
          <w:u w:val="none"/>
          <w:lang w:val="en-US" w:eastAsia="zh-CN"/>
        </w:rPr>
        <w:t>3</w:t>
      </w:r>
      <w:r>
        <w:rPr>
          <w:rFonts w:hint="eastAsia" w:ascii="宋体" w:hAnsi="宋体" w:eastAsia="宋体" w:cs="宋体"/>
          <w:color w:val="auto"/>
          <w:spacing w:val="-10"/>
          <w:sz w:val="28"/>
          <w:szCs w:val="28"/>
          <w:highlight w:val="none"/>
          <w:u w:val="none"/>
          <w:lang w:val="en-US" w:eastAsia="zh-CN"/>
        </w:rPr>
        <w:t>承担污水提升泵站运行产生的电费、用电设施（电箱、电线等）及设备更换或维修单项（次）金额10000元以上（含10000元），单项（次）金额10000元以上的更换或维修费用由乙方提出修复建议并报告甲方，经甲方同意由乙方先行出资垫付修复，所需费用随运营费用一起申请。</w:t>
      </w:r>
    </w:p>
    <w:p w14:paraId="52975486">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第二条</w:t>
      </w:r>
      <w:r>
        <w:rPr>
          <w:rFonts w:hint="eastAsia" w:ascii="宋体" w:hAnsi="宋体" w:eastAsia="宋体" w:cs="宋体"/>
          <w:b/>
          <w:bCs/>
          <w:color w:val="auto"/>
          <w:spacing w:val="-10"/>
          <w:sz w:val="28"/>
          <w:szCs w:val="28"/>
          <w:highlight w:val="none"/>
          <w:u w:val="none"/>
        </w:rPr>
        <w:t>、双方的权利和义务</w:t>
      </w:r>
    </w:p>
    <w:p w14:paraId="6E4F3B5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2.1</w:t>
      </w:r>
      <w:r>
        <w:rPr>
          <w:rFonts w:hint="eastAsia" w:ascii="宋体" w:hAnsi="宋体" w:eastAsia="宋体" w:cs="宋体"/>
          <w:color w:val="auto"/>
          <w:spacing w:val="-10"/>
          <w:sz w:val="28"/>
          <w:szCs w:val="28"/>
          <w:highlight w:val="none"/>
          <w:u w:val="none"/>
          <w:lang w:eastAsia="zh-CN"/>
        </w:rPr>
        <w:t>甲方</w:t>
      </w:r>
    </w:p>
    <w:p w14:paraId="4B9E624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2.1.1</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的权利：</w:t>
      </w:r>
    </w:p>
    <w:p w14:paraId="5E8AA42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2.1.1.1</w:t>
      </w:r>
      <w:r>
        <w:rPr>
          <w:rFonts w:hint="eastAsia" w:ascii="宋体" w:hAnsi="宋体" w:eastAsia="宋体" w:cs="宋体"/>
          <w:color w:val="auto"/>
          <w:spacing w:val="-10"/>
          <w:sz w:val="28"/>
          <w:szCs w:val="28"/>
          <w:highlight w:val="none"/>
          <w:u w:val="none"/>
        </w:rPr>
        <w:t>监督</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管理好污水处理设施（含泵站、污水管网）、设备及其他资产，监督</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依法经营、履行合同</w:t>
      </w:r>
      <w:r>
        <w:rPr>
          <w:rFonts w:hint="eastAsia" w:ascii="宋体" w:hAnsi="宋体" w:eastAsia="宋体" w:cs="宋体"/>
          <w:color w:val="auto"/>
          <w:spacing w:val="-10"/>
          <w:sz w:val="28"/>
          <w:szCs w:val="28"/>
          <w:highlight w:val="none"/>
          <w:u w:val="none"/>
          <w:lang w:eastAsia="zh-CN"/>
        </w:rPr>
        <w:t>，范围包括</w:t>
      </w:r>
      <w:r>
        <w:rPr>
          <w:rFonts w:hint="eastAsia" w:ascii="宋体" w:hAnsi="宋体" w:eastAsia="宋体" w:cs="宋体"/>
          <w:color w:val="auto"/>
          <w:spacing w:val="-10"/>
          <w:sz w:val="28"/>
          <w:szCs w:val="28"/>
          <w:highlight w:val="none"/>
          <w:u w:val="none"/>
          <w:lang w:val="en-US" w:eastAsia="zh-CN"/>
        </w:rPr>
        <w:t>但不限于</w:t>
      </w:r>
      <w:r>
        <w:rPr>
          <w:rFonts w:hint="eastAsia" w:ascii="宋体" w:hAnsi="宋体" w:eastAsia="宋体" w:cs="宋体"/>
          <w:color w:val="auto"/>
          <w:spacing w:val="-10"/>
          <w:sz w:val="28"/>
          <w:szCs w:val="28"/>
          <w:highlight w:val="none"/>
          <w:u w:val="none"/>
          <w:lang w:eastAsia="zh-CN"/>
        </w:rPr>
        <w:t>厂内所有设备设施、生产工艺管理、设备管理、安全管理、现场管理等与该项目生产经营活动有关的事项</w:t>
      </w:r>
      <w:r>
        <w:rPr>
          <w:rFonts w:hint="eastAsia" w:ascii="宋体" w:hAnsi="宋体" w:eastAsia="宋体" w:cs="宋体"/>
          <w:color w:val="auto"/>
          <w:spacing w:val="-10"/>
          <w:sz w:val="28"/>
          <w:szCs w:val="28"/>
          <w:highlight w:val="none"/>
          <w:u w:val="none"/>
        </w:rPr>
        <w:t>。</w:t>
      </w:r>
    </w:p>
    <w:p w14:paraId="296CD796">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2.1.1.2</w:t>
      </w:r>
      <w:r>
        <w:rPr>
          <w:rFonts w:hint="eastAsia" w:ascii="宋体" w:hAnsi="宋体" w:eastAsia="宋体" w:cs="宋体"/>
          <w:color w:val="auto"/>
          <w:spacing w:val="-10"/>
          <w:sz w:val="28"/>
          <w:szCs w:val="28"/>
          <w:highlight w:val="none"/>
          <w:u w:val="none"/>
        </w:rPr>
        <w:t>对</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违反本合同要求的行为，</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有权进行核查，由</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和政府有关部门书面通知</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w:t>
      </w:r>
    </w:p>
    <w:p w14:paraId="1BEACE57">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2.1.1.3</w:t>
      </w:r>
      <w:r>
        <w:rPr>
          <w:rFonts w:hint="eastAsia" w:ascii="宋体" w:hAnsi="宋体" w:eastAsia="宋体" w:cs="宋体"/>
          <w:color w:val="auto"/>
          <w:spacing w:val="-10"/>
          <w:sz w:val="28"/>
          <w:szCs w:val="28"/>
          <w:highlight w:val="none"/>
          <w:u w:val="none"/>
        </w:rPr>
        <w:t>有权要求</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做好准备，迎接上级领导或主管部门的检查、调研和业务指导。</w:t>
      </w:r>
    </w:p>
    <w:p w14:paraId="0EB473B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2.1.1.4</w:t>
      </w:r>
      <w:r>
        <w:rPr>
          <w:rFonts w:hint="eastAsia" w:ascii="宋体" w:hAnsi="宋体" w:eastAsia="宋体" w:cs="宋体"/>
          <w:color w:val="auto"/>
          <w:spacing w:val="-10"/>
          <w:sz w:val="28"/>
          <w:szCs w:val="28"/>
          <w:highlight w:val="none"/>
          <w:u w:val="none"/>
        </w:rPr>
        <w:t>有权要求</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及时报告污水处理设施（含泵站、污水管网）运行管理情况。</w:t>
      </w:r>
    </w:p>
    <w:p w14:paraId="1F16C95E">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2.1.1.5</w:t>
      </w:r>
      <w:r>
        <w:rPr>
          <w:rFonts w:hint="eastAsia" w:ascii="宋体" w:hAnsi="宋体" w:eastAsia="宋体" w:cs="宋体"/>
          <w:color w:val="auto"/>
          <w:spacing w:val="-10"/>
          <w:sz w:val="28"/>
          <w:szCs w:val="28"/>
          <w:highlight w:val="none"/>
          <w:u w:val="none"/>
        </w:rPr>
        <w:t>当</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经营班子（含主要技术骨干）出现重大变化，且不能满足污水处理厂正常生产管理需要时，</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有权</w:t>
      </w:r>
      <w:r>
        <w:rPr>
          <w:rFonts w:hint="eastAsia" w:ascii="宋体" w:hAnsi="宋体" w:eastAsia="宋体" w:cs="宋体"/>
          <w:color w:val="auto"/>
          <w:spacing w:val="-10"/>
          <w:sz w:val="28"/>
          <w:szCs w:val="28"/>
          <w:highlight w:val="none"/>
          <w:u w:val="none"/>
          <w:lang w:eastAsia="zh-CN"/>
        </w:rPr>
        <w:t>要求乙方整改</w:t>
      </w:r>
      <w:r>
        <w:rPr>
          <w:rFonts w:hint="eastAsia" w:ascii="宋体" w:hAnsi="宋体" w:eastAsia="宋体" w:cs="宋体"/>
          <w:color w:val="auto"/>
          <w:spacing w:val="-10"/>
          <w:sz w:val="28"/>
          <w:szCs w:val="28"/>
          <w:highlight w:val="none"/>
          <w:u w:val="none"/>
        </w:rPr>
        <w:t>。</w:t>
      </w:r>
    </w:p>
    <w:p w14:paraId="049D5805">
      <w:pPr>
        <w:pStyle w:val="17"/>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2.1.2</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的义务</w:t>
      </w:r>
    </w:p>
    <w:p w14:paraId="57C61482">
      <w:pPr>
        <w:pStyle w:val="17"/>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2.1.2.1确保</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给</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运营维护的资产、条件完整、无权益争议，并按合同规定如期支付合同价款。</w:t>
      </w:r>
    </w:p>
    <w:p w14:paraId="7219A98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2.1.2.2</w:t>
      </w:r>
      <w:r>
        <w:rPr>
          <w:rFonts w:hint="eastAsia" w:ascii="宋体" w:hAnsi="宋体" w:eastAsia="宋体" w:cs="宋体"/>
          <w:color w:val="auto"/>
          <w:spacing w:val="-10"/>
          <w:sz w:val="28"/>
          <w:szCs w:val="28"/>
          <w:highlight w:val="none"/>
          <w:u w:val="none"/>
        </w:rPr>
        <w:t>协助乙方完善本项目正常运营维护所必须的配套设施及外部条件如水、电、通讯、道路等。</w:t>
      </w:r>
    </w:p>
    <w:p w14:paraId="1E22E527">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rPr>
        <w:t>2.1.2.</w:t>
      </w:r>
      <w:r>
        <w:rPr>
          <w:rFonts w:hint="eastAsia" w:ascii="宋体" w:hAnsi="宋体" w:eastAsia="宋体" w:cs="宋体"/>
          <w:color w:val="auto"/>
          <w:spacing w:val="-10"/>
          <w:sz w:val="28"/>
          <w:szCs w:val="28"/>
          <w:highlight w:val="none"/>
          <w:u w:val="none"/>
          <w:lang w:val="en-US" w:eastAsia="zh-CN"/>
        </w:rPr>
        <w:t>3由于国家、地方污水排放标准及污水处理设施（含泵站、污水管网）生产需要或其他政策发生变化，需要进行项目改造、扩容或添置设备的费用由甲方负责。</w:t>
      </w:r>
    </w:p>
    <w:p w14:paraId="2A524EFF">
      <w:pPr>
        <w:widowControl w:val="0"/>
        <w:wordWrap/>
        <w:adjustRightInd/>
        <w:snapToGrid/>
        <w:spacing w:beforeAutospacing="0" w:afterAutospacing="0" w:line="540" w:lineRule="exact"/>
        <w:ind w:firstLine="560" w:firstLineChars="200"/>
        <w:rPr>
          <w:rFonts w:hint="eastAsia" w:ascii="仿宋_GB2312" w:hAnsi="仿宋_GB2312" w:eastAsia="仿宋_GB2312" w:cs="仿宋_GB2312"/>
          <w:color w:val="auto"/>
          <w:spacing w:val="-10"/>
          <w:sz w:val="28"/>
          <w:szCs w:val="28"/>
          <w:highlight w:val="none"/>
          <w:u w:val="none"/>
        </w:rPr>
      </w:pPr>
      <w:r>
        <w:rPr>
          <w:rFonts w:hint="eastAsia" w:ascii="宋体" w:hAnsi="宋体" w:eastAsia="宋体" w:cs="宋体"/>
          <w:color w:val="auto"/>
          <w:sz w:val="28"/>
          <w:szCs w:val="28"/>
          <w:highlight w:val="none"/>
          <w:u w:val="none"/>
          <w:lang w:val="en-US" w:eastAsia="zh-CN"/>
        </w:rPr>
        <w:t>2.1.2.</w:t>
      </w:r>
      <w:r>
        <w:rPr>
          <w:rFonts w:hint="eastAsia" w:ascii="宋体" w:hAnsi="宋体" w:cs="宋体"/>
          <w:color w:val="auto"/>
          <w:spacing w:val="-10"/>
          <w:sz w:val="28"/>
          <w:szCs w:val="28"/>
          <w:highlight w:val="none"/>
          <w:u w:val="none"/>
          <w:lang w:val="en-US" w:eastAsia="zh-CN"/>
        </w:rPr>
        <w:t>4</w:t>
      </w:r>
      <w:r>
        <w:rPr>
          <w:rFonts w:hint="eastAsia" w:ascii="宋体" w:hAnsi="宋体" w:eastAsia="宋体" w:cs="宋体"/>
          <w:color w:val="auto"/>
          <w:spacing w:val="-10"/>
          <w:sz w:val="28"/>
          <w:szCs w:val="28"/>
          <w:highlight w:val="none"/>
          <w:u w:val="none"/>
          <w:lang w:val="en-US" w:eastAsia="zh-CN"/>
        </w:rPr>
        <w:t>甲方移交的设施设备必须保证现场的安全，包括但不限于走道、扶栏、梯子、池盖、设备、电器、线路、机械护栏罩等。</w:t>
      </w:r>
    </w:p>
    <w:p w14:paraId="5351E7B0">
      <w:pPr>
        <w:widowControl w:val="0"/>
        <w:wordWrap/>
        <w:adjustRightInd/>
        <w:snapToGrid/>
        <w:spacing w:beforeAutospacing="0" w:afterAutospacing="0" w:line="540" w:lineRule="exact"/>
        <w:ind w:firstLine="52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pacing w:val="-10"/>
          <w:sz w:val="28"/>
          <w:szCs w:val="28"/>
          <w:highlight w:val="none"/>
          <w:u w:val="none"/>
        </w:rPr>
        <w:t>2.1.2.</w:t>
      </w:r>
      <w:r>
        <w:rPr>
          <w:rFonts w:hint="eastAsia" w:ascii="宋体" w:hAnsi="宋体" w:cs="宋体"/>
          <w:color w:val="auto"/>
          <w:spacing w:val="-10"/>
          <w:sz w:val="28"/>
          <w:szCs w:val="28"/>
          <w:highlight w:val="none"/>
          <w:u w:val="none"/>
          <w:lang w:val="en-US" w:eastAsia="zh-CN"/>
        </w:rPr>
        <w:t>5</w:t>
      </w:r>
      <w:r>
        <w:rPr>
          <w:rFonts w:hint="eastAsia" w:ascii="宋体" w:hAnsi="宋体" w:eastAsia="宋体" w:cs="宋体"/>
          <w:color w:val="auto"/>
          <w:sz w:val="28"/>
          <w:szCs w:val="28"/>
          <w:highlight w:val="none"/>
          <w:u w:val="none"/>
        </w:rPr>
        <w:t>主要设施设备的重置更新由</w:t>
      </w:r>
      <w:r>
        <w:rPr>
          <w:rFonts w:hint="eastAsia" w:ascii="宋体" w:hAnsi="宋体" w:eastAsia="宋体" w:cs="宋体"/>
          <w:color w:val="auto"/>
          <w:sz w:val="28"/>
          <w:szCs w:val="28"/>
          <w:highlight w:val="none"/>
          <w:u w:val="none"/>
          <w:lang w:eastAsia="zh-CN"/>
        </w:rPr>
        <w:t>甲方</w:t>
      </w:r>
      <w:r>
        <w:rPr>
          <w:rFonts w:hint="eastAsia" w:ascii="宋体" w:hAnsi="宋体" w:eastAsia="宋体" w:cs="宋体"/>
          <w:color w:val="auto"/>
          <w:sz w:val="28"/>
          <w:szCs w:val="28"/>
          <w:highlight w:val="none"/>
          <w:u w:val="none"/>
        </w:rPr>
        <w:t>负责。</w:t>
      </w:r>
    </w:p>
    <w:p w14:paraId="6A9888D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2.1.2.</w:t>
      </w:r>
      <w:r>
        <w:rPr>
          <w:rFonts w:hint="eastAsia" w:ascii="宋体" w:hAnsi="宋体" w:cs="宋体"/>
          <w:color w:val="auto"/>
          <w:spacing w:val="-10"/>
          <w:sz w:val="28"/>
          <w:szCs w:val="28"/>
          <w:highlight w:val="none"/>
          <w:u w:val="none"/>
          <w:lang w:val="en-US" w:eastAsia="zh-CN"/>
        </w:rPr>
        <w:t>6</w:t>
      </w:r>
      <w:r>
        <w:rPr>
          <w:rFonts w:hint="eastAsia" w:ascii="宋体" w:hAnsi="宋体" w:eastAsia="宋体" w:cs="宋体"/>
          <w:color w:val="auto"/>
          <w:spacing w:val="-10"/>
          <w:sz w:val="28"/>
          <w:szCs w:val="28"/>
          <w:highlight w:val="none"/>
          <w:u w:val="none"/>
        </w:rPr>
        <w:t>在</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遵守合同的条件下，确保承包期内运营权不被无故中止。</w:t>
      </w:r>
    </w:p>
    <w:p w14:paraId="134B232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2.2</w:t>
      </w:r>
      <w:r>
        <w:rPr>
          <w:rFonts w:hint="eastAsia" w:ascii="宋体" w:hAnsi="宋体" w:eastAsia="宋体" w:cs="宋体"/>
          <w:color w:val="auto"/>
          <w:spacing w:val="-10"/>
          <w:sz w:val="28"/>
          <w:szCs w:val="28"/>
          <w:highlight w:val="none"/>
          <w:u w:val="none"/>
          <w:lang w:eastAsia="zh-CN"/>
        </w:rPr>
        <w:t>乙方</w:t>
      </w:r>
    </w:p>
    <w:p w14:paraId="1A42298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2.2.1</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的权利：</w:t>
      </w:r>
    </w:p>
    <w:p w14:paraId="2FB9C25D">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2.2.1.1</w:t>
      </w:r>
      <w:r>
        <w:rPr>
          <w:rFonts w:hint="eastAsia" w:ascii="宋体" w:hAnsi="宋体" w:eastAsia="宋体" w:cs="宋体"/>
          <w:color w:val="auto"/>
          <w:spacing w:val="-10"/>
          <w:sz w:val="28"/>
          <w:szCs w:val="28"/>
          <w:highlight w:val="none"/>
          <w:u w:val="none"/>
        </w:rPr>
        <w:t>组建经营班子和技术团队，全面负责本项目</w:t>
      </w:r>
      <w:r>
        <w:rPr>
          <w:rFonts w:hint="eastAsia" w:ascii="宋体" w:hAnsi="宋体" w:eastAsia="宋体" w:cs="宋体"/>
          <w:color w:val="auto"/>
          <w:spacing w:val="-10"/>
          <w:sz w:val="28"/>
          <w:szCs w:val="28"/>
          <w:highlight w:val="none"/>
          <w:u w:val="none"/>
          <w:lang w:eastAsia="zh-CN"/>
        </w:rPr>
        <w:t>污水处理厂</w:t>
      </w:r>
      <w:r>
        <w:rPr>
          <w:rFonts w:hint="eastAsia" w:ascii="宋体" w:hAnsi="宋体" w:eastAsia="宋体" w:cs="宋体"/>
          <w:color w:val="auto"/>
          <w:spacing w:val="-10"/>
          <w:sz w:val="28"/>
          <w:szCs w:val="28"/>
          <w:highlight w:val="none"/>
          <w:u w:val="none"/>
        </w:rPr>
        <w:t>生产经营管理。</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经营班子的任免必须书面通知</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，经营班子和技术团队人员情况应书面告知</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并保持稳定。运营维护人员配置要求</w:t>
      </w:r>
      <w:r>
        <w:rPr>
          <w:rFonts w:hint="eastAsia" w:ascii="宋体" w:hAnsi="宋体" w:eastAsia="宋体" w:cs="宋体"/>
          <w:color w:val="auto"/>
          <w:spacing w:val="-10"/>
          <w:sz w:val="28"/>
          <w:szCs w:val="28"/>
          <w:highlight w:val="none"/>
          <w:u w:val="none"/>
          <w:lang w:eastAsia="zh-CN"/>
        </w:rPr>
        <w:t>如下：</w:t>
      </w:r>
    </w:p>
    <w:p w14:paraId="38218AE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2.2.1.1.1</w:t>
      </w:r>
      <w:r>
        <w:rPr>
          <w:rFonts w:hint="eastAsia" w:ascii="宋体" w:hAnsi="宋体" w:eastAsia="宋体" w:cs="宋体"/>
          <w:color w:val="auto"/>
          <w:spacing w:val="-10"/>
          <w:sz w:val="28"/>
          <w:szCs w:val="28"/>
          <w:highlight w:val="none"/>
          <w:u w:val="none"/>
        </w:rPr>
        <w:t>厂区人员配置</w:t>
      </w:r>
      <w:r>
        <w:rPr>
          <w:rFonts w:hint="eastAsia" w:ascii="宋体" w:hAnsi="宋体" w:cs="宋体"/>
          <w:color w:val="auto"/>
          <w:spacing w:val="-10"/>
          <w:sz w:val="28"/>
          <w:szCs w:val="28"/>
          <w:highlight w:val="none"/>
          <w:u w:val="none"/>
          <w:lang w:val="en-US" w:eastAsia="zh-CN"/>
        </w:rPr>
        <w:t>15</w:t>
      </w:r>
      <w:r>
        <w:rPr>
          <w:rFonts w:hint="eastAsia" w:ascii="宋体" w:hAnsi="宋体" w:eastAsia="宋体" w:cs="宋体"/>
          <w:color w:val="auto"/>
          <w:spacing w:val="-10"/>
          <w:sz w:val="28"/>
          <w:szCs w:val="28"/>
          <w:highlight w:val="none"/>
          <w:u w:val="none"/>
        </w:rPr>
        <w:t>人。</w:t>
      </w:r>
    </w:p>
    <w:p w14:paraId="7C008600">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eastAsia="zh-CN"/>
        </w:rPr>
      </w:pPr>
      <w:r>
        <w:rPr>
          <w:rFonts w:hint="eastAsia" w:ascii="宋体" w:hAnsi="宋体" w:eastAsia="宋体" w:cs="宋体"/>
          <w:color w:val="auto"/>
          <w:spacing w:val="-10"/>
          <w:sz w:val="28"/>
          <w:szCs w:val="28"/>
          <w:highlight w:val="none"/>
          <w:u w:val="none"/>
          <w:lang w:eastAsia="zh-CN"/>
        </w:rPr>
        <w:t>一是第三方运营单位需设置北流项目运营管理部，由部长1人、</w:t>
      </w:r>
      <w:r>
        <w:rPr>
          <w:rFonts w:hint="eastAsia" w:ascii="宋体" w:hAnsi="宋体" w:eastAsia="宋体" w:cs="宋体"/>
          <w:color w:val="auto"/>
          <w:spacing w:val="-10"/>
          <w:sz w:val="28"/>
          <w:szCs w:val="28"/>
          <w:highlight w:val="none"/>
          <w:u w:val="none"/>
          <w:lang w:val="en-US" w:eastAsia="zh-CN"/>
        </w:rPr>
        <w:t>工艺技术员1人、维修人员2人、</w:t>
      </w:r>
      <w:r>
        <w:rPr>
          <w:rFonts w:hint="eastAsia" w:ascii="宋体" w:hAnsi="宋体" w:eastAsia="宋体" w:cs="宋体"/>
          <w:color w:val="auto"/>
          <w:spacing w:val="-10"/>
          <w:sz w:val="28"/>
          <w:szCs w:val="28"/>
          <w:highlight w:val="none"/>
          <w:u w:val="none"/>
          <w:lang w:eastAsia="zh-CN"/>
        </w:rPr>
        <w:t>化验</w:t>
      </w:r>
      <w:r>
        <w:rPr>
          <w:rFonts w:hint="eastAsia" w:ascii="宋体" w:hAnsi="宋体" w:eastAsia="宋体" w:cs="宋体"/>
          <w:color w:val="auto"/>
          <w:spacing w:val="-10"/>
          <w:sz w:val="28"/>
          <w:szCs w:val="28"/>
          <w:highlight w:val="none"/>
          <w:u w:val="none"/>
          <w:lang w:val="en-US" w:eastAsia="zh-CN"/>
        </w:rPr>
        <w:t>员1</w:t>
      </w:r>
      <w:r>
        <w:rPr>
          <w:rFonts w:hint="eastAsia" w:ascii="宋体" w:hAnsi="宋体" w:eastAsia="宋体" w:cs="宋体"/>
          <w:color w:val="auto"/>
          <w:spacing w:val="-10"/>
          <w:sz w:val="28"/>
          <w:szCs w:val="28"/>
          <w:highlight w:val="none"/>
          <w:u w:val="none"/>
          <w:lang w:eastAsia="zh-CN"/>
        </w:rPr>
        <w:t>人、</w:t>
      </w:r>
      <w:r>
        <w:rPr>
          <w:rFonts w:hint="eastAsia" w:ascii="宋体" w:hAnsi="宋体" w:eastAsia="宋体" w:cs="宋体"/>
          <w:color w:val="auto"/>
          <w:spacing w:val="-10"/>
          <w:sz w:val="28"/>
          <w:szCs w:val="28"/>
          <w:highlight w:val="none"/>
          <w:u w:val="none"/>
          <w:lang w:val="en-US" w:eastAsia="zh-CN"/>
        </w:rPr>
        <w:t>资料员1</w:t>
      </w:r>
      <w:r>
        <w:rPr>
          <w:rFonts w:hint="eastAsia" w:ascii="宋体" w:hAnsi="宋体" w:eastAsia="宋体" w:cs="宋体"/>
          <w:color w:val="auto"/>
          <w:spacing w:val="-10"/>
          <w:sz w:val="28"/>
          <w:szCs w:val="28"/>
          <w:highlight w:val="none"/>
          <w:u w:val="none"/>
          <w:lang w:eastAsia="zh-CN"/>
        </w:rPr>
        <w:t>人共</w:t>
      </w:r>
      <w:r>
        <w:rPr>
          <w:rFonts w:hint="eastAsia" w:ascii="宋体" w:hAnsi="宋体" w:eastAsia="宋体" w:cs="宋体"/>
          <w:color w:val="auto"/>
          <w:spacing w:val="-10"/>
          <w:sz w:val="28"/>
          <w:szCs w:val="28"/>
          <w:highlight w:val="none"/>
          <w:u w:val="none"/>
          <w:lang w:val="en-US" w:eastAsia="zh-CN"/>
        </w:rPr>
        <w:t>6</w:t>
      </w:r>
      <w:r>
        <w:rPr>
          <w:rFonts w:hint="eastAsia" w:ascii="宋体" w:hAnsi="宋体" w:eastAsia="宋体" w:cs="宋体"/>
          <w:color w:val="auto"/>
          <w:spacing w:val="-10"/>
          <w:sz w:val="28"/>
          <w:szCs w:val="28"/>
          <w:highlight w:val="none"/>
          <w:u w:val="none"/>
          <w:lang w:eastAsia="zh-CN"/>
        </w:rPr>
        <w:t>人组建成，对所辖范围内的镇污水处理厂进行统筹管理，包括工艺、技术、设备等管理进行管控，并通过提升内部管理的效率，控制项目的运营成本。</w:t>
      </w:r>
    </w:p>
    <w:p w14:paraId="6A5B378D">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eastAsia="zh-CN"/>
        </w:rPr>
        <w:t>二是在</w:t>
      </w:r>
      <w:r>
        <w:rPr>
          <w:rFonts w:hint="eastAsia" w:ascii="宋体" w:hAnsi="宋体" w:eastAsia="宋体" w:cs="宋体"/>
          <w:color w:val="auto"/>
          <w:spacing w:val="-10"/>
          <w:sz w:val="28"/>
          <w:szCs w:val="28"/>
          <w:highlight w:val="none"/>
          <w:u w:val="none"/>
          <w:lang w:val="en-US" w:eastAsia="zh-CN"/>
        </w:rPr>
        <w:t>5</w:t>
      </w:r>
      <w:r>
        <w:rPr>
          <w:rFonts w:hint="eastAsia" w:ascii="宋体" w:hAnsi="宋体" w:eastAsia="宋体" w:cs="宋体"/>
          <w:color w:val="auto"/>
          <w:spacing w:val="-10"/>
          <w:sz w:val="28"/>
          <w:szCs w:val="28"/>
          <w:highlight w:val="none"/>
          <w:u w:val="none"/>
          <w:lang w:eastAsia="zh-CN"/>
        </w:rPr>
        <w:t>个镇级污水处理厂</w:t>
      </w:r>
      <w:r>
        <w:rPr>
          <w:rFonts w:hint="eastAsia" w:ascii="宋体" w:hAnsi="宋体" w:eastAsia="宋体" w:cs="宋体"/>
          <w:color w:val="auto"/>
          <w:spacing w:val="-10"/>
          <w:sz w:val="28"/>
          <w:szCs w:val="28"/>
          <w:highlight w:val="none"/>
          <w:u w:val="none"/>
          <w:lang w:val="en-US" w:eastAsia="zh-CN"/>
        </w:rPr>
        <w:t>生产操作方面</w:t>
      </w:r>
      <w:r>
        <w:rPr>
          <w:rFonts w:hint="eastAsia" w:ascii="宋体" w:hAnsi="宋体" w:eastAsia="宋体" w:cs="宋体"/>
          <w:color w:val="auto"/>
          <w:spacing w:val="-10"/>
          <w:sz w:val="28"/>
          <w:szCs w:val="28"/>
          <w:highlight w:val="none"/>
          <w:u w:val="none"/>
          <w:lang w:eastAsia="zh-CN"/>
        </w:rPr>
        <w:t>配备不少于</w:t>
      </w:r>
      <w:r>
        <w:rPr>
          <w:rFonts w:hint="eastAsia" w:ascii="宋体" w:hAnsi="宋体" w:eastAsia="宋体" w:cs="宋体"/>
          <w:color w:val="auto"/>
          <w:spacing w:val="-10"/>
          <w:sz w:val="28"/>
          <w:szCs w:val="28"/>
          <w:highlight w:val="none"/>
          <w:u w:val="none"/>
          <w:lang w:val="en-US" w:eastAsia="zh-CN"/>
        </w:rPr>
        <w:t>11</w:t>
      </w:r>
      <w:r>
        <w:rPr>
          <w:rFonts w:hint="eastAsia" w:ascii="宋体" w:hAnsi="宋体" w:eastAsia="宋体" w:cs="宋体"/>
          <w:color w:val="auto"/>
          <w:spacing w:val="-10"/>
          <w:sz w:val="28"/>
          <w:szCs w:val="28"/>
          <w:highlight w:val="none"/>
          <w:u w:val="none"/>
          <w:lang w:eastAsia="zh-CN"/>
        </w:rPr>
        <w:t>名运行人员，即每个污水处理厂不少于</w:t>
      </w:r>
      <w:r>
        <w:rPr>
          <w:rFonts w:hint="eastAsia" w:ascii="宋体" w:hAnsi="宋体" w:eastAsia="宋体" w:cs="宋体"/>
          <w:color w:val="auto"/>
          <w:spacing w:val="-10"/>
          <w:sz w:val="28"/>
          <w:szCs w:val="28"/>
          <w:highlight w:val="none"/>
          <w:u w:val="none"/>
          <w:lang w:val="en-US" w:eastAsia="zh-CN"/>
        </w:rPr>
        <w:t>2名（其中新圩镇污水处理厂不少于3名）运行人员。</w:t>
      </w:r>
    </w:p>
    <w:p w14:paraId="24633100">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三是配备至少1辆运维车辆。</w:t>
      </w:r>
    </w:p>
    <w:p w14:paraId="20F59EE0">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四是备机备品：中标单位应存有足够数量的设备易损件和备</w:t>
      </w:r>
      <w:r>
        <w:rPr>
          <w:rFonts w:hint="eastAsia" w:ascii="宋体" w:hAnsi="宋体" w:eastAsia="宋体" w:cs="宋体"/>
          <w:color w:val="auto"/>
          <w:spacing w:val="-10"/>
          <w:sz w:val="28"/>
          <w:szCs w:val="28"/>
          <w:highlight w:val="none"/>
          <w:u w:val="none"/>
          <w:lang w:eastAsia="zh-CN"/>
        </w:rPr>
        <w:t>用仪器设备，并及时做好采购管理，有效保证运营维护工作的</w:t>
      </w:r>
      <w:r>
        <w:rPr>
          <w:rFonts w:hint="eastAsia" w:ascii="宋体" w:hAnsi="宋体" w:eastAsia="宋体" w:cs="宋体"/>
          <w:color w:val="auto"/>
          <w:spacing w:val="-10"/>
          <w:sz w:val="28"/>
          <w:szCs w:val="28"/>
          <w:highlight w:val="none"/>
          <w:u w:val="none"/>
          <w:lang w:val="en-US" w:eastAsia="zh-CN"/>
        </w:rPr>
        <w:t>正常开展</w:t>
      </w:r>
      <w:r>
        <w:rPr>
          <w:rFonts w:hint="eastAsia" w:ascii="宋体" w:hAnsi="宋体" w:eastAsia="宋体" w:cs="宋体"/>
          <w:color w:val="auto"/>
          <w:spacing w:val="-10"/>
          <w:sz w:val="28"/>
          <w:szCs w:val="28"/>
          <w:highlight w:val="none"/>
          <w:u w:val="none"/>
          <w:lang w:eastAsia="zh-CN"/>
        </w:rPr>
        <w:t>。</w:t>
      </w:r>
    </w:p>
    <w:p w14:paraId="479727E7">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2.2.1.1.2配套管网巡检维修配置5人</w:t>
      </w:r>
    </w:p>
    <w:p w14:paraId="08968744">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5</w:t>
      </w:r>
      <w:r>
        <w:rPr>
          <w:rFonts w:hint="eastAsia" w:ascii="宋体" w:hAnsi="宋体" w:eastAsia="宋体" w:cs="宋体"/>
          <w:color w:val="auto"/>
          <w:spacing w:val="-10"/>
          <w:sz w:val="28"/>
          <w:szCs w:val="28"/>
          <w:highlight w:val="none"/>
          <w:u w:val="none"/>
          <w:lang w:eastAsia="zh-CN"/>
        </w:rPr>
        <w:t>个镇级污水处理厂配套管网合计长度为</w:t>
      </w:r>
      <w:r>
        <w:rPr>
          <w:rFonts w:hint="eastAsia" w:ascii="宋体" w:hAnsi="宋体" w:eastAsia="宋体" w:cs="宋体"/>
          <w:color w:val="auto"/>
          <w:spacing w:val="-10"/>
          <w:sz w:val="28"/>
          <w:szCs w:val="28"/>
          <w:highlight w:val="none"/>
          <w:u w:val="none"/>
          <w:lang w:val="en-US" w:eastAsia="zh-CN"/>
        </w:rPr>
        <w:t>29.421公里</w:t>
      </w:r>
      <w:r>
        <w:rPr>
          <w:rFonts w:hint="eastAsia" w:ascii="宋体" w:hAnsi="宋体" w:eastAsia="宋体" w:cs="宋体"/>
          <w:color w:val="auto"/>
          <w:spacing w:val="-10"/>
          <w:sz w:val="28"/>
          <w:szCs w:val="28"/>
          <w:highlight w:val="none"/>
          <w:u w:val="none"/>
          <w:lang w:eastAsia="zh-CN"/>
        </w:rPr>
        <w:t>，为了保证管网全方位巡检，</w:t>
      </w:r>
      <w:r>
        <w:rPr>
          <w:rFonts w:hint="eastAsia" w:ascii="宋体" w:hAnsi="宋体" w:eastAsia="宋体" w:cs="宋体"/>
          <w:color w:val="auto"/>
          <w:spacing w:val="-10"/>
          <w:sz w:val="28"/>
          <w:szCs w:val="28"/>
          <w:highlight w:val="none"/>
          <w:u w:val="none"/>
          <w:lang w:val="en-US" w:eastAsia="zh-CN"/>
        </w:rPr>
        <w:t>第三方</w:t>
      </w:r>
      <w:r>
        <w:rPr>
          <w:rFonts w:hint="eastAsia" w:ascii="宋体" w:hAnsi="宋体" w:eastAsia="宋体" w:cs="宋体"/>
          <w:color w:val="auto"/>
          <w:spacing w:val="-10"/>
          <w:sz w:val="28"/>
          <w:szCs w:val="28"/>
          <w:highlight w:val="none"/>
          <w:u w:val="none"/>
          <w:lang w:eastAsia="zh-CN"/>
        </w:rPr>
        <w:t>运营单位需要配置不少于</w:t>
      </w:r>
      <w:r>
        <w:rPr>
          <w:rFonts w:hint="eastAsia" w:ascii="宋体" w:hAnsi="宋体" w:eastAsia="宋体" w:cs="宋体"/>
          <w:color w:val="auto"/>
          <w:spacing w:val="-10"/>
          <w:sz w:val="28"/>
          <w:szCs w:val="28"/>
          <w:highlight w:val="none"/>
          <w:u w:val="none"/>
          <w:lang w:val="en-US" w:eastAsia="zh-CN"/>
        </w:rPr>
        <w:t>5</w:t>
      </w:r>
      <w:r>
        <w:rPr>
          <w:rFonts w:hint="eastAsia" w:ascii="宋体" w:hAnsi="宋体" w:eastAsia="宋体" w:cs="宋体"/>
          <w:color w:val="auto"/>
          <w:spacing w:val="-10"/>
          <w:sz w:val="28"/>
          <w:szCs w:val="28"/>
          <w:highlight w:val="none"/>
          <w:u w:val="none"/>
          <w:lang w:eastAsia="zh-CN"/>
        </w:rPr>
        <w:t>人，同时配置用于巡检的交通工具（小车或面包车</w:t>
      </w:r>
      <w:r>
        <w:rPr>
          <w:rFonts w:hint="eastAsia" w:ascii="宋体" w:hAnsi="宋体" w:eastAsia="宋体" w:cs="宋体"/>
          <w:color w:val="auto"/>
          <w:spacing w:val="-10"/>
          <w:sz w:val="28"/>
          <w:szCs w:val="28"/>
          <w:highlight w:val="none"/>
          <w:u w:val="none"/>
          <w:lang w:val="en-US" w:eastAsia="zh-CN"/>
        </w:rPr>
        <w:t>1辆</w:t>
      </w:r>
      <w:r>
        <w:rPr>
          <w:rFonts w:hint="eastAsia" w:ascii="宋体" w:hAnsi="宋体" w:eastAsia="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lang w:val="en-US" w:eastAsia="zh-CN"/>
        </w:rPr>
        <w:t>负责管网巡查及维修、泵站巡查及维修、厂区检修保养，</w:t>
      </w:r>
      <w:r>
        <w:rPr>
          <w:rFonts w:hint="eastAsia" w:ascii="宋体" w:hAnsi="宋体" w:eastAsia="宋体" w:cs="宋体"/>
          <w:color w:val="auto"/>
          <w:spacing w:val="-10"/>
          <w:sz w:val="28"/>
          <w:szCs w:val="28"/>
          <w:highlight w:val="none"/>
          <w:u w:val="none"/>
          <w:lang w:eastAsia="zh-CN"/>
        </w:rPr>
        <w:t>以满足日常工作的正常开展。</w:t>
      </w:r>
    </w:p>
    <w:p w14:paraId="67C53DD4">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2.2.1.1.3</w:t>
      </w:r>
      <w:r>
        <w:rPr>
          <w:rFonts w:hint="eastAsia" w:ascii="宋体" w:hAnsi="宋体" w:eastAsia="宋体" w:cs="宋体"/>
          <w:color w:val="auto"/>
          <w:spacing w:val="-10"/>
          <w:sz w:val="28"/>
          <w:szCs w:val="28"/>
          <w:highlight w:val="none"/>
          <w:u w:val="none"/>
        </w:rPr>
        <w:t>中途污水提升泵站巡检人员配置</w:t>
      </w:r>
    </w:p>
    <w:p w14:paraId="70EB8EFE">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5</w:t>
      </w:r>
      <w:r>
        <w:rPr>
          <w:rFonts w:hint="eastAsia" w:ascii="宋体" w:hAnsi="宋体" w:eastAsia="宋体" w:cs="宋体"/>
          <w:color w:val="auto"/>
          <w:spacing w:val="-10"/>
          <w:sz w:val="28"/>
          <w:szCs w:val="28"/>
          <w:highlight w:val="none"/>
          <w:u w:val="none"/>
          <w:lang w:eastAsia="zh-CN"/>
        </w:rPr>
        <w:t>个镇级污水处理厂配套共有</w:t>
      </w:r>
      <w:r>
        <w:rPr>
          <w:rFonts w:hint="eastAsia" w:ascii="宋体" w:hAnsi="宋体" w:eastAsia="宋体" w:cs="宋体"/>
          <w:color w:val="auto"/>
          <w:spacing w:val="-10"/>
          <w:sz w:val="28"/>
          <w:szCs w:val="28"/>
          <w:highlight w:val="none"/>
          <w:u w:val="none"/>
          <w:lang w:val="en-US" w:eastAsia="zh-CN"/>
        </w:rPr>
        <w:t>3</w:t>
      </w:r>
      <w:r>
        <w:rPr>
          <w:rFonts w:hint="eastAsia" w:ascii="宋体" w:hAnsi="宋体" w:eastAsia="宋体" w:cs="宋体"/>
          <w:color w:val="auto"/>
          <w:spacing w:val="-10"/>
          <w:sz w:val="28"/>
          <w:szCs w:val="28"/>
          <w:highlight w:val="none"/>
          <w:u w:val="none"/>
          <w:lang w:eastAsia="zh-CN"/>
        </w:rPr>
        <w:t>座中途污水提升泵站，在正常的运行情况下可以实现自动操控。但为了预防不可预见性因素，仍需要操作人员每天巡回检查设备的运行情况并做好相关的运行记录，根据其实际的布置情况，拟按照属地管理原则，由泵站所在的片区的污水管网日常巡检人员服务操作与运营，污水厂厂区的现场操作人员负责协助配合。因此，泵站不需另配置人员</w:t>
      </w:r>
      <w:r>
        <w:rPr>
          <w:rFonts w:hint="eastAsia" w:ascii="宋体" w:hAnsi="宋体" w:eastAsia="宋体" w:cs="宋体"/>
          <w:color w:val="auto"/>
          <w:spacing w:val="-10"/>
          <w:sz w:val="28"/>
          <w:szCs w:val="28"/>
          <w:highlight w:val="none"/>
          <w:u w:val="none"/>
        </w:rPr>
        <w:t>。</w:t>
      </w:r>
    </w:p>
    <w:p w14:paraId="791A87F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2.2.1.2</w:t>
      </w:r>
      <w:r>
        <w:rPr>
          <w:rFonts w:hint="eastAsia" w:ascii="宋体" w:hAnsi="宋体" w:eastAsia="宋体" w:cs="宋体"/>
          <w:color w:val="auto"/>
          <w:spacing w:val="-10"/>
          <w:sz w:val="28"/>
          <w:szCs w:val="28"/>
          <w:highlight w:val="none"/>
          <w:u w:val="none"/>
        </w:rPr>
        <w:t>在国家法律、政策范围内，</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有权建立以经营为目的生产经营管理制度，正确行使生产经营权和经营管理自主权。</w:t>
      </w:r>
    </w:p>
    <w:p w14:paraId="22F33D76">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2.2.1.</w:t>
      </w:r>
      <w:r>
        <w:rPr>
          <w:rFonts w:hint="eastAsia" w:ascii="宋体" w:hAnsi="宋体" w:eastAsia="宋体" w:cs="宋体"/>
          <w:color w:val="auto"/>
          <w:spacing w:val="-10"/>
          <w:sz w:val="28"/>
          <w:szCs w:val="28"/>
          <w:highlight w:val="none"/>
          <w:u w:val="none"/>
          <w:lang w:val="en-US" w:eastAsia="zh-CN"/>
        </w:rPr>
        <w:t>3</w:t>
      </w:r>
      <w:r>
        <w:rPr>
          <w:rFonts w:hint="eastAsia" w:ascii="宋体" w:hAnsi="宋体" w:eastAsia="宋体" w:cs="宋体"/>
          <w:color w:val="auto"/>
          <w:spacing w:val="-10"/>
          <w:sz w:val="28"/>
          <w:szCs w:val="28"/>
          <w:highlight w:val="none"/>
          <w:u w:val="none"/>
        </w:rPr>
        <w:t>在保证正常运行</w:t>
      </w:r>
      <w:r>
        <w:rPr>
          <w:rFonts w:hint="eastAsia" w:ascii="宋体" w:hAnsi="宋体" w:eastAsia="宋体" w:cs="宋体"/>
          <w:color w:val="auto"/>
          <w:spacing w:val="-10"/>
          <w:sz w:val="28"/>
          <w:szCs w:val="28"/>
          <w:highlight w:val="none"/>
          <w:u w:val="none"/>
          <w:lang w:val="en-US" w:eastAsia="zh-CN"/>
        </w:rPr>
        <w:t>和出水达标</w:t>
      </w:r>
      <w:r>
        <w:rPr>
          <w:rFonts w:hint="eastAsia" w:ascii="宋体" w:hAnsi="宋体" w:eastAsia="宋体" w:cs="宋体"/>
          <w:color w:val="auto"/>
          <w:spacing w:val="-10"/>
          <w:sz w:val="28"/>
          <w:szCs w:val="28"/>
          <w:highlight w:val="none"/>
          <w:u w:val="none"/>
        </w:rPr>
        <w:t>的前提下，优化本项目的运行工艺及决定内部行政事务。</w:t>
      </w:r>
    </w:p>
    <w:p w14:paraId="725D89A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2.2.1.</w:t>
      </w:r>
      <w:r>
        <w:rPr>
          <w:rFonts w:hint="eastAsia" w:ascii="宋体" w:hAnsi="宋体" w:eastAsia="宋体" w:cs="宋体"/>
          <w:color w:val="auto"/>
          <w:spacing w:val="-10"/>
          <w:sz w:val="28"/>
          <w:szCs w:val="28"/>
          <w:highlight w:val="none"/>
          <w:u w:val="none"/>
          <w:lang w:val="en-US" w:eastAsia="zh-CN"/>
        </w:rPr>
        <w:t>4</w:t>
      </w:r>
      <w:r>
        <w:rPr>
          <w:rFonts w:hint="eastAsia" w:ascii="宋体" w:hAnsi="宋体" w:eastAsia="宋体" w:cs="宋体"/>
          <w:color w:val="auto"/>
          <w:spacing w:val="-10"/>
          <w:sz w:val="28"/>
          <w:szCs w:val="28"/>
          <w:highlight w:val="none"/>
          <w:u w:val="none"/>
        </w:rPr>
        <w:t>在保证正常运营的前提下，优化内部人员设置，决定本厂的各项规章制度、机构设置、人事任免和专业技术人员的聘任，并按国家劳动法规定与员工签订规范劳动合同。</w:t>
      </w:r>
    </w:p>
    <w:p w14:paraId="6DB16224">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2.2.1.</w:t>
      </w:r>
      <w:r>
        <w:rPr>
          <w:rFonts w:hint="eastAsia" w:ascii="宋体" w:hAnsi="宋体" w:eastAsia="宋体" w:cs="宋体"/>
          <w:color w:val="auto"/>
          <w:spacing w:val="-10"/>
          <w:sz w:val="28"/>
          <w:szCs w:val="28"/>
          <w:highlight w:val="none"/>
          <w:u w:val="none"/>
          <w:lang w:val="en-US" w:eastAsia="zh-CN"/>
        </w:rPr>
        <w:t>5</w:t>
      </w:r>
      <w:r>
        <w:rPr>
          <w:rFonts w:hint="eastAsia" w:ascii="宋体" w:hAnsi="宋体" w:eastAsia="宋体" w:cs="宋体"/>
          <w:color w:val="auto"/>
          <w:spacing w:val="-10"/>
          <w:sz w:val="28"/>
          <w:szCs w:val="28"/>
          <w:highlight w:val="none"/>
          <w:u w:val="none"/>
        </w:rPr>
        <w:t>依照《</w:t>
      </w:r>
      <w:r>
        <w:rPr>
          <w:rFonts w:hint="eastAsia" w:ascii="宋体" w:hAnsi="宋体" w:eastAsia="宋体" w:cs="宋体"/>
          <w:color w:val="auto"/>
          <w:spacing w:val="-10"/>
          <w:sz w:val="28"/>
          <w:szCs w:val="28"/>
          <w:highlight w:val="none"/>
          <w:u w:val="none"/>
          <w:lang w:eastAsia="zh-CN"/>
        </w:rPr>
        <w:t>中华人民共和国劳动法</w:t>
      </w:r>
      <w:r>
        <w:rPr>
          <w:rFonts w:hint="eastAsia" w:ascii="宋体" w:hAnsi="宋体" w:eastAsia="宋体" w:cs="宋体"/>
          <w:color w:val="auto"/>
          <w:spacing w:val="-10"/>
          <w:sz w:val="28"/>
          <w:szCs w:val="28"/>
          <w:highlight w:val="none"/>
          <w:u w:val="none"/>
        </w:rPr>
        <w:t>》和厂规厂纪有关规定，奖惩员工和辞退违纪员工。按照自主制定的分配原则，自定工资和福利标准。</w:t>
      </w:r>
    </w:p>
    <w:p w14:paraId="5AE46EA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2.2.2</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的义务：</w:t>
      </w:r>
    </w:p>
    <w:p w14:paraId="7AF5F89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2.2.2.1</w:t>
      </w:r>
      <w:r>
        <w:rPr>
          <w:rFonts w:hint="eastAsia" w:ascii="宋体" w:hAnsi="宋体" w:eastAsia="宋体" w:cs="宋体"/>
          <w:color w:val="auto"/>
          <w:spacing w:val="-10"/>
          <w:sz w:val="28"/>
          <w:szCs w:val="28"/>
          <w:highlight w:val="none"/>
          <w:u w:val="none"/>
        </w:rPr>
        <w:t>必须遵守国家法律，执行国家政策，完成合同规定各项经济技术指标和任务，维护国家、企业和职工的合法权益。</w:t>
      </w:r>
    </w:p>
    <w:p w14:paraId="2BB439F8">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2.2.2.2</w:t>
      </w:r>
      <w:r>
        <w:rPr>
          <w:rFonts w:hint="eastAsia" w:ascii="宋体" w:hAnsi="宋体" w:eastAsia="宋体" w:cs="宋体"/>
          <w:color w:val="auto"/>
          <w:spacing w:val="-10"/>
          <w:sz w:val="28"/>
          <w:szCs w:val="28"/>
          <w:highlight w:val="none"/>
          <w:u w:val="none"/>
        </w:rPr>
        <w:t>应依法纳税。</w:t>
      </w:r>
    </w:p>
    <w:p w14:paraId="7BDDA94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2.2.2.3</w:t>
      </w:r>
      <w:r>
        <w:rPr>
          <w:rFonts w:hint="eastAsia" w:ascii="宋体" w:hAnsi="宋体" w:eastAsia="宋体" w:cs="宋体"/>
          <w:color w:val="auto"/>
          <w:spacing w:val="-10"/>
          <w:sz w:val="28"/>
          <w:szCs w:val="28"/>
          <w:highlight w:val="none"/>
          <w:u w:val="none"/>
        </w:rPr>
        <w:t>必须在运营中达到的技术质量标准。</w:t>
      </w:r>
    </w:p>
    <w:p w14:paraId="1F6A0F81">
      <w:pPr>
        <w:widowControl w:val="0"/>
        <w:wordWrap/>
        <w:adjustRightInd/>
        <w:snapToGrid/>
        <w:spacing w:beforeAutospacing="0" w:afterAutospacing="0" w:line="540" w:lineRule="exact"/>
        <w:ind w:firstLine="52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pacing w:val="-10"/>
          <w:sz w:val="28"/>
          <w:szCs w:val="28"/>
          <w:highlight w:val="none"/>
          <w:u w:val="none"/>
          <w:lang w:val="en-US" w:eastAsia="zh-CN"/>
        </w:rPr>
        <w:t>2.2.2.4</w:t>
      </w:r>
      <w:r>
        <w:rPr>
          <w:rFonts w:hint="eastAsia" w:ascii="宋体" w:hAnsi="宋体" w:eastAsia="宋体" w:cs="宋体"/>
          <w:color w:val="auto"/>
          <w:spacing w:val="-10"/>
          <w:sz w:val="28"/>
          <w:szCs w:val="28"/>
          <w:highlight w:val="none"/>
          <w:u w:val="none"/>
          <w:lang w:eastAsia="zh-CN"/>
        </w:rPr>
        <w:t>除甲方安排的超过服务内容的特殊工种情况外，在乙方承包期内发生的一切工伤事故，均由乙方自行负责承担。</w:t>
      </w:r>
    </w:p>
    <w:p w14:paraId="6F9D0BF4">
      <w:pPr>
        <w:widowControl w:val="0"/>
        <w:wordWrap/>
        <w:adjustRightInd/>
        <w:snapToGrid/>
        <w:spacing w:beforeAutospacing="0" w:afterAutospacing="0" w:line="540" w:lineRule="exact"/>
        <w:ind w:firstLine="520" w:firstLineChars="200"/>
        <w:rPr>
          <w:rFonts w:hint="eastAsia" w:ascii="宋体" w:hAnsi="宋体" w:eastAsia="宋体" w:cs="宋体"/>
          <w:color w:val="auto"/>
          <w:sz w:val="28"/>
          <w:szCs w:val="28"/>
          <w:highlight w:val="none"/>
          <w:u w:val="none"/>
          <w:lang w:val="en-US"/>
        </w:rPr>
      </w:pPr>
      <w:r>
        <w:rPr>
          <w:rFonts w:hint="eastAsia" w:ascii="宋体" w:hAnsi="宋体" w:eastAsia="宋体" w:cs="宋体"/>
          <w:color w:val="auto"/>
          <w:spacing w:val="-10"/>
          <w:sz w:val="28"/>
          <w:szCs w:val="28"/>
          <w:highlight w:val="none"/>
          <w:u w:val="none"/>
          <w:lang w:val="en-US" w:eastAsia="zh-CN"/>
        </w:rPr>
        <w:t>2.2.2.5乙方按接管运营一个月内，自行出资完成</w:t>
      </w:r>
      <w:r>
        <w:rPr>
          <w:rFonts w:hint="eastAsia" w:ascii="宋体" w:hAnsi="宋体" w:eastAsia="宋体" w:cs="宋体"/>
          <w:b w:val="0"/>
          <w:bCs w:val="0"/>
          <w:color w:val="auto"/>
          <w:spacing w:val="-10"/>
          <w:w w:val="100"/>
          <w:sz w:val="28"/>
          <w:szCs w:val="28"/>
          <w:highlight w:val="none"/>
          <w:u w:val="none"/>
          <w:lang w:val="en-US" w:eastAsia="zh-CN"/>
        </w:rPr>
        <w:t>智慧运维管理云平台系统的建设安装，并开放端口交付使用，智慧运维管理云平台的日常维护所需的一切费用均由乙方负责。</w:t>
      </w:r>
    </w:p>
    <w:p w14:paraId="21181D2B">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2.2.2.6</w:t>
      </w:r>
      <w:r>
        <w:rPr>
          <w:rFonts w:hint="eastAsia" w:ascii="宋体" w:hAnsi="宋体" w:eastAsia="宋体" w:cs="宋体"/>
          <w:color w:val="auto"/>
          <w:spacing w:val="-10"/>
          <w:sz w:val="28"/>
          <w:szCs w:val="28"/>
          <w:highlight w:val="none"/>
          <w:u w:val="none"/>
        </w:rPr>
        <w:t>必须保证本项目的正常运营，未经</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书面同意，不得擅自停止运营。</w:t>
      </w:r>
    </w:p>
    <w:p w14:paraId="632B67AC">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2.2.2.</w:t>
      </w:r>
      <w:r>
        <w:rPr>
          <w:rFonts w:hint="eastAsia" w:ascii="宋体" w:hAnsi="宋体" w:eastAsia="宋体" w:cs="宋体"/>
          <w:color w:val="auto"/>
          <w:spacing w:val="-10"/>
          <w:sz w:val="28"/>
          <w:szCs w:val="28"/>
          <w:highlight w:val="none"/>
          <w:u w:val="none"/>
          <w:lang w:val="en-US" w:eastAsia="zh-CN"/>
        </w:rPr>
        <w:t>7</w:t>
      </w:r>
      <w:r>
        <w:rPr>
          <w:rFonts w:hint="eastAsia" w:ascii="宋体" w:hAnsi="宋体" w:eastAsia="宋体" w:cs="宋体"/>
          <w:color w:val="auto"/>
          <w:spacing w:val="-10"/>
          <w:sz w:val="28"/>
          <w:szCs w:val="28"/>
          <w:highlight w:val="none"/>
          <w:u w:val="none"/>
        </w:rPr>
        <w:t>组建运营管理团队和技术团队，</w:t>
      </w:r>
      <w:r>
        <w:rPr>
          <w:rFonts w:hint="eastAsia" w:ascii="宋体" w:hAnsi="宋体" w:eastAsia="宋体" w:cs="宋体"/>
          <w:color w:val="auto"/>
          <w:spacing w:val="-10"/>
          <w:sz w:val="28"/>
          <w:szCs w:val="28"/>
          <w:highlight w:val="none"/>
          <w:u w:val="none"/>
          <w:lang w:eastAsia="zh-CN"/>
        </w:rPr>
        <w:t>制定</w:t>
      </w:r>
      <w:r>
        <w:rPr>
          <w:rFonts w:hint="eastAsia" w:ascii="宋体" w:hAnsi="宋体" w:eastAsia="宋体" w:cs="宋体"/>
          <w:color w:val="auto"/>
          <w:spacing w:val="-10"/>
          <w:sz w:val="28"/>
          <w:szCs w:val="28"/>
          <w:highlight w:val="none"/>
          <w:u w:val="none"/>
        </w:rPr>
        <w:t>务实、高效的管理制度，保证污水厂正常运营、班子稳定、管理规范。</w:t>
      </w:r>
    </w:p>
    <w:p w14:paraId="2B321E9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2.2.2.8制定泵站、管网、污水处理厂运营管理应急预案，确保紧急情况下对废水的妥善处理。</w:t>
      </w:r>
    </w:p>
    <w:p w14:paraId="0D8C24A2">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2.2.2.9完成运营管理合同中规定的各项经济技术指标。</w:t>
      </w:r>
    </w:p>
    <w:p w14:paraId="4EF9DBE8">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2.2.2.10每月向甲方汇报运营情况。</w:t>
      </w:r>
    </w:p>
    <w:p w14:paraId="789B7CA7">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2.2.2.11服务期内不少于12次检修保养，每次检修保养完需向甲方提供检修保养证明（包括检修台账、照片等相关证明）。</w:t>
      </w:r>
    </w:p>
    <w:p w14:paraId="6AB82C33">
      <w:pPr>
        <w:pStyle w:val="17"/>
        <w:spacing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2.2.2.12</w:t>
      </w:r>
      <w:r>
        <w:rPr>
          <w:rFonts w:hint="eastAsia" w:ascii="宋体" w:hAnsi="宋体" w:eastAsia="宋体" w:cs="宋体"/>
          <w:color w:val="auto"/>
          <w:spacing w:val="-10"/>
          <w:sz w:val="28"/>
          <w:szCs w:val="28"/>
          <w:highlight w:val="none"/>
          <w:u w:val="none"/>
        </w:rPr>
        <w:t>运营期</w:t>
      </w:r>
      <w:r>
        <w:rPr>
          <w:rFonts w:hint="eastAsia" w:ascii="宋体" w:hAnsi="宋体" w:eastAsia="宋体" w:cs="宋体"/>
          <w:color w:val="auto"/>
          <w:spacing w:val="-10"/>
          <w:sz w:val="28"/>
          <w:szCs w:val="28"/>
          <w:highlight w:val="none"/>
          <w:u w:val="none"/>
          <w:lang w:val="en-US" w:eastAsia="zh-CN"/>
        </w:rPr>
        <w:t>内对甲方的</w:t>
      </w:r>
      <w:r>
        <w:rPr>
          <w:rFonts w:hint="eastAsia" w:ascii="宋体" w:hAnsi="宋体" w:eastAsia="宋体" w:cs="宋体"/>
          <w:color w:val="auto"/>
          <w:spacing w:val="-10"/>
          <w:sz w:val="28"/>
          <w:szCs w:val="28"/>
          <w:highlight w:val="none"/>
          <w:u w:val="none"/>
        </w:rPr>
        <w:t>污水处理</w:t>
      </w:r>
      <w:r>
        <w:rPr>
          <w:rFonts w:hint="eastAsia" w:ascii="宋体" w:hAnsi="宋体" w:eastAsia="宋体" w:cs="宋体"/>
          <w:color w:val="auto"/>
          <w:spacing w:val="-10"/>
          <w:sz w:val="28"/>
          <w:szCs w:val="28"/>
          <w:highlight w:val="none"/>
          <w:u w:val="none"/>
          <w:lang w:eastAsia="zh-CN"/>
        </w:rPr>
        <w:t>厂</w:t>
      </w:r>
      <w:r>
        <w:rPr>
          <w:rFonts w:hint="eastAsia" w:ascii="宋体" w:hAnsi="宋体" w:eastAsia="宋体" w:cs="宋体"/>
          <w:color w:val="auto"/>
          <w:spacing w:val="-10"/>
          <w:sz w:val="28"/>
          <w:szCs w:val="28"/>
          <w:highlight w:val="none"/>
          <w:u w:val="none"/>
        </w:rPr>
        <w:t>设施（含泵站、污水管网）所有的设备以及构筑物的安全及完整性</w:t>
      </w:r>
      <w:r>
        <w:rPr>
          <w:rFonts w:hint="eastAsia" w:ascii="宋体" w:hAnsi="宋体" w:eastAsia="宋体" w:cs="宋体"/>
          <w:color w:val="auto"/>
          <w:spacing w:val="-10"/>
          <w:sz w:val="28"/>
          <w:szCs w:val="28"/>
          <w:highlight w:val="none"/>
          <w:u w:val="none"/>
          <w:lang w:val="en-US" w:eastAsia="zh-CN"/>
        </w:rPr>
        <w:t>负责</w:t>
      </w:r>
      <w:r>
        <w:rPr>
          <w:rFonts w:hint="eastAsia" w:ascii="宋体" w:hAnsi="宋体" w:eastAsia="宋体" w:cs="宋体"/>
          <w:color w:val="auto"/>
          <w:spacing w:val="-10"/>
          <w:sz w:val="28"/>
          <w:szCs w:val="28"/>
          <w:highlight w:val="none"/>
          <w:u w:val="none"/>
        </w:rPr>
        <w:t>。</w:t>
      </w:r>
    </w:p>
    <w:p w14:paraId="02162D23">
      <w:pPr>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2.2.2.13运营过程中所有安全责任由乙方负责，必须做到确保安全运营，无事故。</w:t>
      </w:r>
    </w:p>
    <w:p w14:paraId="29E87D29">
      <w:pPr>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2.2.2.14特别约定:由于本合同的服务费由政府拨款，如拨款未能及时到位，乙方不得以此为由而不履行本合同规定的义务，不得以此拖欠工人工资、社保、社会养老保险等，否则甲方有权按规定扣除服务费直至单方终止合同而不承担任何违约责任。</w:t>
      </w:r>
    </w:p>
    <w:p w14:paraId="7AEAA9C9">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 xml:space="preserve">第三条、 </w:t>
      </w:r>
      <w:r>
        <w:rPr>
          <w:rFonts w:hint="eastAsia" w:ascii="宋体" w:hAnsi="宋体" w:eastAsia="宋体" w:cs="宋体"/>
          <w:b/>
          <w:bCs/>
          <w:color w:val="auto"/>
          <w:spacing w:val="-10"/>
          <w:sz w:val="28"/>
          <w:szCs w:val="28"/>
          <w:highlight w:val="none"/>
          <w:u w:val="none"/>
        </w:rPr>
        <w:t>承包形式</w:t>
      </w:r>
    </w:p>
    <w:p w14:paraId="5B70CF59">
      <w:pPr>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3.1</w:t>
      </w:r>
      <w:r>
        <w:rPr>
          <w:rFonts w:hint="eastAsia" w:ascii="宋体" w:hAnsi="宋体" w:eastAsia="宋体" w:cs="宋体"/>
          <w:color w:val="auto"/>
          <w:spacing w:val="-10"/>
          <w:sz w:val="28"/>
          <w:szCs w:val="28"/>
          <w:highlight w:val="none"/>
          <w:u w:val="none"/>
          <w:lang w:val="en-US" w:eastAsia="zh-CN"/>
        </w:rPr>
        <w:t xml:space="preserve"> </w:t>
      </w:r>
      <w:r>
        <w:rPr>
          <w:rFonts w:hint="eastAsia" w:ascii="宋体" w:hAnsi="宋体" w:cs="宋体"/>
          <w:color w:val="auto"/>
          <w:spacing w:val="-10"/>
          <w:sz w:val="28"/>
          <w:szCs w:val="28"/>
          <w:highlight w:val="none"/>
          <w:u w:val="none"/>
          <w:lang w:val="en-US" w:eastAsia="zh-CN"/>
        </w:rPr>
        <w:t>大里镇、新圩镇、西埌镇、隆盛镇、民乐镇等5个</w:t>
      </w:r>
      <w:r>
        <w:rPr>
          <w:rFonts w:hint="eastAsia" w:ascii="宋体" w:hAnsi="宋体" w:eastAsia="宋体" w:cs="宋体"/>
          <w:color w:val="auto"/>
          <w:spacing w:val="-10"/>
          <w:sz w:val="28"/>
          <w:szCs w:val="28"/>
          <w:highlight w:val="none"/>
          <w:u w:val="none"/>
          <w:lang w:val="en-US" w:eastAsia="zh-CN"/>
        </w:rPr>
        <w:t>镇级污水处理设施（含泵站、污水管网）</w:t>
      </w:r>
      <w:r>
        <w:rPr>
          <w:rFonts w:hint="eastAsia" w:ascii="宋体" w:hAnsi="宋体" w:eastAsia="宋体" w:cs="宋体"/>
          <w:color w:val="auto"/>
          <w:spacing w:val="-10"/>
          <w:sz w:val="28"/>
          <w:szCs w:val="28"/>
          <w:highlight w:val="none"/>
          <w:u w:val="none"/>
        </w:rPr>
        <w:t>的所有权为</w:t>
      </w:r>
      <w:r>
        <w:rPr>
          <w:rFonts w:hint="eastAsia" w:ascii="宋体" w:hAnsi="宋体" w:eastAsia="宋体" w:cs="宋体"/>
          <w:color w:val="auto"/>
          <w:spacing w:val="-10"/>
          <w:sz w:val="28"/>
          <w:szCs w:val="28"/>
          <w:highlight w:val="none"/>
          <w:u w:val="none"/>
          <w:lang w:eastAsia="zh-CN"/>
        </w:rPr>
        <w:t>北流市城市管理监督局</w:t>
      </w:r>
      <w:r>
        <w:rPr>
          <w:rFonts w:hint="eastAsia" w:ascii="宋体" w:hAnsi="宋体" w:eastAsia="宋体" w:cs="宋体"/>
          <w:color w:val="auto"/>
          <w:spacing w:val="-10"/>
          <w:sz w:val="28"/>
          <w:szCs w:val="28"/>
          <w:highlight w:val="none"/>
          <w:u w:val="none"/>
        </w:rPr>
        <w:t>。</w:t>
      </w:r>
    </w:p>
    <w:p w14:paraId="535A39E4">
      <w:pPr>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3.2</w:t>
      </w:r>
      <w:r>
        <w:rPr>
          <w:rFonts w:hint="eastAsia" w:ascii="宋体" w:hAnsi="宋体" w:cs="宋体"/>
          <w:color w:val="auto"/>
          <w:spacing w:val="-10"/>
          <w:sz w:val="28"/>
          <w:szCs w:val="28"/>
          <w:highlight w:val="none"/>
          <w:u w:val="none"/>
          <w:lang w:val="en-US" w:eastAsia="zh-CN"/>
        </w:rPr>
        <w:t>大里镇、新圩镇、西埌镇、隆盛镇、民乐镇等5个</w:t>
      </w:r>
      <w:r>
        <w:rPr>
          <w:rFonts w:hint="eastAsia" w:ascii="宋体" w:hAnsi="宋体" w:eastAsia="宋体" w:cs="宋体"/>
          <w:color w:val="auto"/>
          <w:spacing w:val="-10"/>
          <w:sz w:val="28"/>
          <w:szCs w:val="28"/>
          <w:highlight w:val="none"/>
          <w:u w:val="none"/>
          <w:lang w:val="en-US" w:eastAsia="zh-CN"/>
        </w:rPr>
        <w:t>镇级污水处理设施（含泵站、污水管网）</w:t>
      </w:r>
      <w:r>
        <w:rPr>
          <w:rFonts w:hint="eastAsia" w:ascii="宋体" w:hAnsi="宋体" w:eastAsia="宋体" w:cs="宋体"/>
          <w:color w:val="auto"/>
          <w:spacing w:val="-10"/>
          <w:sz w:val="28"/>
          <w:szCs w:val="28"/>
          <w:highlight w:val="none"/>
          <w:u w:val="none"/>
        </w:rPr>
        <w:t>的经营权为</w:t>
      </w:r>
      <w:r>
        <w:rPr>
          <w:rFonts w:hint="eastAsia" w:ascii="宋体" w:hAnsi="宋体" w:eastAsia="宋体" w:cs="宋体"/>
          <w:color w:val="auto"/>
          <w:spacing w:val="-10"/>
          <w:sz w:val="28"/>
          <w:szCs w:val="28"/>
          <w:highlight w:val="none"/>
          <w:u w:val="none"/>
          <w:lang w:val="en-US" w:eastAsia="zh-CN"/>
        </w:rPr>
        <w:t>中标公司</w:t>
      </w:r>
      <w:r>
        <w:rPr>
          <w:rFonts w:hint="eastAsia" w:ascii="宋体" w:hAnsi="宋体" w:eastAsia="宋体" w:cs="宋体"/>
          <w:color w:val="auto"/>
          <w:spacing w:val="-10"/>
          <w:sz w:val="28"/>
          <w:szCs w:val="28"/>
          <w:highlight w:val="none"/>
          <w:u w:val="none"/>
        </w:rPr>
        <w:t>。</w:t>
      </w:r>
    </w:p>
    <w:p w14:paraId="449AD12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3.3</w:t>
      </w:r>
      <w:r>
        <w:rPr>
          <w:rFonts w:hint="eastAsia" w:ascii="宋体" w:hAnsi="宋体" w:eastAsia="宋体" w:cs="宋体"/>
          <w:color w:val="auto"/>
          <w:spacing w:val="-10"/>
          <w:sz w:val="28"/>
          <w:szCs w:val="28"/>
          <w:highlight w:val="none"/>
          <w:u w:val="none"/>
        </w:rPr>
        <w:t>本承包合同不允许转让或分包。</w:t>
      </w:r>
    </w:p>
    <w:p w14:paraId="404CAA01">
      <w:pPr>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3.4双方交接完毕后，视为甲方交付管理运营的设备、设施合格，符合运营规定。</w:t>
      </w:r>
    </w:p>
    <w:p w14:paraId="14FB89FE">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lang w:val="en-US" w:eastAsia="zh-CN"/>
        </w:rPr>
      </w:pP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rPr>
        <w:t>四</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、合同价款</w:t>
      </w:r>
      <w:r>
        <w:rPr>
          <w:rFonts w:hint="eastAsia" w:ascii="宋体" w:hAnsi="宋体" w:eastAsia="宋体" w:cs="宋体"/>
          <w:b/>
          <w:bCs/>
          <w:color w:val="auto"/>
          <w:spacing w:val="-10"/>
          <w:sz w:val="28"/>
          <w:szCs w:val="28"/>
          <w:highlight w:val="none"/>
          <w:u w:val="none"/>
          <w:lang w:val="en-US" w:eastAsia="zh-CN"/>
        </w:rPr>
        <w:t>及</w:t>
      </w:r>
      <w:r>
        <w:rPr>
          <w:rFonts w:hint="eastAsia" w:ascii="宋体" w:hAnsi="宋体" w:eastAsia="宋体" w:cs="宋体"/>
          <w:b/>
          <w:bCs/>
          <w:color w:val="auto"/>
          <w:spacing w:val="-10"/>
          <w:sz w:val="28"/>
          <w:szCs w:val="28"/>
          <w:highlight w:val="none"/>
          <w:u w:val="none"/>
        </w:rPr>
        <w:t>支付</w:t>
      </w:r>
      <w:r>
        <w:rPr>
          <w:rFonts w:hint="eastAsia" w:ascii="宋体" w:hAnsi="宋体" w:eastAsia="宋体" w:cs="宋体"/>
          <w:b/>
          <w:bCs/>
          <w:color w:val="auto"/>
          <w:spacing w:val="-10"/>
          <w:sz w:val="28"/>
          <w:szCs w:val="28"/>
          <w:highlight w:val="none"/>
          <w:u w:val="none"/>
          <w:lang w:val="en-US" w:eastAsia="zh-CN"/>
        </w:rPr>
        <w:t>方式</w:t>
      </w:r>
    </w:p>
    <w:p w14:paraId="429187A6">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lang w:val="en-US" w:eastAsia="zh-CN"/>
        </w:rPr>
        <w:t>4.1合同价款采用包干制，总额共计人民币：   年中标价（¥   ）</w:t>
      </w:r>
      <w:r>
        <w:rPr>
          <w:rFonts w:hint="eastAsia" w:ascii="宋体" w:hAnsi="宋体" w:eastAsia="宋体" w:cs="宋体"/>
          <w:color w:val="auto"/>
          <w:spacing w:val="-10"/>
          <w:sz w:val="28"/>
          <w:szCs w:val="28"/>
          <w:highlight w:val="none"/>
        </w:rPr>
        <w:t>。</w:t>
      </w:r>
      <w:r>
        <w:rPr>
          <w:rFonts w:hint="eastAsia" w:ascii="宋体" w:hAnsi="宋体" w:eastAsia="宋体" w:cs="宋体"/>
          <w:color w:val="auto"/>
          <w:spacing w:val="-10"/>
          <w:sz w:val="28"/>
          <w:szCs w:val="28"/>
          <w:highlight w:val="none"/>
          <w:u w:val="none"/>
          <w:lang w:val="en-US" w:eastAsia="zh-CN"/>
        </w:rPr>
        <w:t>支付方式分为固定服务费按月申请支付和考核费按季度申请支付。</w:t>
      </w:r>
    </w:p>
    <w:p w14:paraId="31A92432">
      <w:pPr>
        <w:pStyle w:val="17"/>
        <w:spacing w:beforeAutospacing="0" w:afterAutospacing="0" w:line="540" w:lineRule="exact"/>
        <w:ind w:firstLine="520" w:firstLineChars="200"/>
        <w:rPr>
          <w:rFonts w:hint="eastAsia" w:ascii="宋体" w:hAnsi="宋体" w:eastAsia="宋体" w:cs="宋体"/>
          <w:color w:val="auto"/>
          <w:spacing w:val="-10"/>
          <w:sz w:val="28"/>
          <w:szCs w:val="28"/>
          <w:highlight w:val="none"/>
          <w:lang w:val="en-US" w:eastAsia="zh-CN"/>
        </w:rPr>
      </w:pPr>
      <w:r>
        <w:rPr>
          <w:rFonts w:hint="eastAsia" w:ascii="宋体" w:hAnsi="宋体" w:eastAsia="宋体" w:cs="宋体"/>
          <w:color w:val="auto"/>
          <w:spacing w:val="-10"/>
          <w:sz w:val="28"/>
          <w:szCs w:val="28"/>
          <w:highlight w:val="none"/>
          <w:lang w:val="en-US" w:eastAsia="zh-CN"/>
        </w:rPr>
        <w:t>4.1.1合同总额的70%作为固定费用，即人民币（¥  ）为固定费用，支付方式为按月申请付款，即每月运维费为</w:t>
      </w:r>
      <w:r>
        <w:rPr>
          <w:rFonts w:hint="eastAsia" w:ascii="宋体" w:hAnsi="宋体" w:eastAsia="宋体" w:cs="宋体"/>
          <w:b w:val="0"/>
          <w:bCs w:val="0"/>
          <w:color w:val="auto"/>
          <w:spacing w:val="-10"/>
          <w:sz w:val="28"/>
          <w:szCs w:val="28"/>
          <w:highlight w:val="none"/>
          <w:lang w:val="en-US" w:eastAsia="zh-CN"/>
        </w:rPr>
        <w:t>人民币</w:t>
      </w:r>
      <w:r>
        <w:rPr>
          <w:rFonts w:hint="eastAsia" w:ascii="宋体" w:hAnsi="宋体" w:eastAsia="宋体" w:cs="宋体"/>
          <w:color w:val="auto"/>
          <w:spacing w:val="-10"/>
          <w:sz w:val="28"/>
          <w:szCs w:val="28"/>
          <w:highlight w:val="none"/>
          <w:lang w:val="en-US" w:eastAsia="zh-CN"/>
        </w:rPr>
        <w:t>（¥</w:t>
      </w:r>
      <w:r>
        <w:rPr>
          <w:rFonts w:hint="eastAsia" w:ascii="宋体" w:hAnsi="宋体" w:cs="宋体"/>
          <w:color w:val="auto"/>
          <w:spacing w:val="-10"/>
          <w:sz w:val="28"/>
          <w:szCs w:val="28"/>
          <w:highlight w:val="none"/>
          <w:lang w:val="en-US" w:eastAsia="zh-CN"/>
        </w:rPr>
        <w:t xml:space="preserve">   </w:t>
      </w:r>
      <w:r>
        <w:rPr>
          <w:rFonts w:hint="eastAsia" w:ascii="宋体" w:hAnsi="宋体" w:eastAsia="宋体" w:cs="宋体"/>
          <w:color w:val="auto"/>
          <w:spacing w:val="-10"/>
          <w:sz w:val="28"/>
          <w:szCs w:val="28"/>
          <w:highlight w:val="none"/>
          <w:lang w:val="en-US" w:eastAsia="zh-CN"/>
        </w:rPr>
        <w:t>）。每月结束后乙方向甲方提交支付申请，并开具等额的增值税发票给甲方，甲方收到发票并在北流市财政局拨付资金后10个工作日内支付乙方。</w:t>
      </w:r>
    </w:p>
    <w:p w14:paraId="0DA074E2">
      <w:pPr>
        <w:pStyle w:val="17"/>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lang w:val="en-US" w:eastAsia="zh-CN"/>
        </w:rPr>
        <w:t>4.1.2合同总额的余下30%作为考核费用即人民币（¥  ），根据季度考核判定结果类型及费用比例申请支付[详见附件1（二）]。</w:t>
      </w:r>
    </w:p>
    <w:p w14:paraId="7B46FB28">
      <w:pPr>
        <w:pStyle w:val="17"/>
        <w:widowControl w:val="0"/>
        <w:kinsoku w:val="0"/>
        <w:wordWrap/>
        <w:overflowPunct w:val="0"/>
        <w:autoSpaceDE w:val="0"/>
        <w:autoSpaceDN w:val="0"/>
        <w:adjustRightInd/>
        <w:snapToGrid/>
        <w:spacing w:before="0" w:beforeAutospacing="0" w:after="0" w:afterAutospacing="0" w:line="540" w:lineRule="exact"/>
        <w:ind w:right="0" w:firstLine="520" w:firstLineChars="200"/>
        <w:jc w:val="left"/>
        <w:outlineLvl w:val="9"/>
        <w:rPr>
          <w:rFonts w:hint="eastAsia" w:ascii="宋体" w:hAnsi="宋体" w:eastAsia="宋体" w:cs="宋体"/>
          <w:color w:val="auto"/>
          <w:spacing w:val="0"/>
          <w:w w:val="10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4.2</w:t>
      </w:r>
      <w:r>
        <w:rPr>
          <w:rFonts w:hint="eastAsia" w:ascii="宋体" w:hAnsi="宋体" w:eastAsia="宋体" w:cs="宋体"/>
          <w:color w:val="auto"/>
          <w:spacing w:val="0"/>
          <w:w w:val="100"/>
          <w:sz w:val="28"/>
          <w:szCs w:val="28"/>
          <w:highlight w:val="none"/>
          <w:u w:val="none"/>
          <w:lang w:eastAsia="zh-CN"/>
        </w:rPr>
        <w:t>以下费用由甲方负责支付：</w:t>
      </w:r>
    </w:p>
    <w:p w14:paraId="20D487E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4.2.1如遇到设施设备的大修、</w:t>
      </w:r>
      <w:r>
        <w:rPr>
          <w:rFonts w:hint="eastAsia" w:ascii="宋体" w:hAnsi="宋体" w:eastAsia="宋体" w:cs="宋体"/>
          <w:color w:val="auto"/>
          <w:spacing w:val="0"/>
          <w:w w:val="100"/>
          <w:sz w:val="28"/>
          <w:szCs w:val="28"/>
          <w:highlight w:val="none"/>
          <w:u w:val="none"/>
          <w:lang w:eastAsia="zh-CN"/>
        </w:rPr>
        <w:t>更新</w:t>
      </w:r>
      <w:r>
        <w:rPr>
          <w:rFonts w:hint="eastAsia" w:ascii="宋体" w:hAnsi="宋体" w:eastAsia="宋体" w:cs="宋体"/>
          <w:color w:val="auto"/>
          <w:spacing w:val="-10"/>
          <w:sz w:val="28"/>
          <w:szCs w:val="28"/>
          <w:highlight w:val="none"/>
          <w:u w:val="none"/>
          <w:lang w:val="en-US" w:eastAsia="zh-CN"/>
        </w:rPr>
        <w:t>：单项（单次）维修或更换费用达人民币10000元以上，费用由甲方负责。具体操作办法是：大修前由乙方向甲方提出大修理计划申请，经甲方同意由乙方先行出资垫付修复，所需费用随运营费用一起申请。</w:t>
      </w:r>
    </w:p>
    <w:p w14:paraId="60BC9263">
      <w:pPr>
        <w:pStyle w:val="17"/>
        <w:widowControl w:val="0"/>
        <w:kinsoku w:val="0"/>
        <w:wordWrap/>
        <w:overflowPunct w:val="0"/>
        <w:autoSpaceDE w:val="0"/>
        <w:autoSpaceDN w:val="0"/>
        <w:adjustRightInd/>
        <w:snapToGrid/>
        <w:spacing w:before="0" w:beforeAutospacing="0" w:after="0" w:afterAutospacing="0" w:line="540" w:lineRule="exact"/>
        <w:ind w:right="0" w:firstLine="520" w:firstLineChars="200"/>
        <w:jc w:val="left"/>
        <w:outlineLvl w:val="9"/>
        <w:rPr>
          <w:rFonts w:hint="eastAsia" w:ascii="宋体" w:hAnsi="宋体" w:eastAsia="宋体" w:cs="宋体"/>
          <w:color w:val="auto"/>
          <w:spacing w:val="0"/>
          <w:w w:val="10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4.2.2</w:t>
      </w:r>
      <w:r>
        <w:rPr>
          <w:rFonts w:hint="eastAsia" w:ascii="宋体" w:hAnsi="宋体" w:eastAsia="宋体" w:cs="宋体"/>
          <w:color w:val="auto"/>
          <w:spacing w:val="0"/>
          <w:w w:val="100"/>
          <w:sz w:val="28"/>
          <w:szCs w:val="28"/>
          <w:highlight w:val="none"/>
          <w:u w:val="none"/>
          <w:lang w:eastAsia="zh-CN"/>
        </w:rPr>
        <w:t>污水厂厂区内各构筑物</w:t>
      </w:r>
      <w:r>
        <w:rPr>
          <w:rFonts w:hint="eastAsia" w:ascii="宋体" w:hAnsi="宋体" w:eastAsia="宋体" w:cs="宋体"/>
          <w:color w:val="auto"/>
          <w:spacing w:val="0"/>
          <w:sz w:val="28"/>
          <w:szCs w:val="28"/>
          <w:highlight w:val="none"/>
          <w:u w:val="none"/>
          <w:lang w:val="en-US" w:eastAsia="zh-CN"/>
        </w:rPr>
        <w:t>、建筑物的修缮费、大修理费用</w:t>
      </w:r>
      <w:r>
        <w:rPr>
          <w:rFonts w:hint="eastAsia" w:ascii="宋体" w:hAnsi="宋体" w:eastAsia="宋体" w:cs="宋体"/>
          <w:color w:val="auto"/>
          <w:spacing w:val="0"/>
          <w:w w:val="100"/>
          <w:sz w:val="28"/>
          <w:szCs w:val="28"/>
          <w:highlight w:val="none"/>
          <w:u w:val="none"/>
          <w:lang w:eastAsia="zh-CN"/>
        </w:rPr>
        <w:t>。</w:t>
      </w:r>
    </w:p>
    <w:p w14:paraId="1E754FBA">
      <w:pPr>
        <w:pStyle w:val="17"/>
        <w:widowControl w:val="0"/>
        <w:kinsoku w:val="0"/>
        <w:wordWrap/>
        <w:overflowPunct w:val="0"/>
        <w:autoSpaceDE w:val="0"/>
        <w:autoSpaceDN w:val="0"/>
        <w:adjustRightInd/>
        <w:snapToGrid/>
        <w:spacing w:before="0" w:beforeAutospacing="0" w:after="0" w:afterAutospacing="0" w:line="540" w:lineRule="exact"/>
        <w:ind w:left="0" w:leftChars="0" w:right="0" w:firstLine="520" w:firstLineChars="200"/>
        <w:jc w:val="left"/>
        <w:outlineLvl w:val="9"/>
        <w:rPr>
          <w:rFonts w:hint="eastAsia" w:ascii="宋体" w:hAnsi="宋体" w:eastAsia="宋体" w:cs="宋体"/>
          <w:color w:val="auto"/>
          <w:spacing w:val="0"/>
          <w:w w:val="10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4.2.3</w:t>
      </w:r>
      <w:r>
        <w:rPr>
          <w:rFonts w:hint="eastAsia" w:ascii="宋体" w:hAnsi="宋体" w:eastAsia="宋体" w:cs="宋体"/>
          <w:color w:val="auto"/>
          <w:spacing w:val="0"/>
          <w:w w:val="100"/>
          <w:sz w:val="28"/>
          <w:szCs w:val="28"/>
          <w:highlight w:val="none"/>
          <w:u w:val="none"/>
          <w:lang w:eastAsia="zh-CN"/>
        </w:rPr>
        <w:t>在运营过程中产生的各项技改费用。</w:t>
      </w:r>
    </w:p>
    <w:p w14:paraId="48BECB23">
      <w:pPr>
        <w:pStyle w:val="17"/>
        <w:widowControl w:val="0"/>
        <w:kinsoku w:val="0"/>
        <w:wordWrap/>
        <w:overflowPunct w:val="0"/>
        <w:autoSpaceDE w:val="0"/>
        <w:autoSpaceDN w:val="0"/>
        <w:adjustRightInd/>
        <w:snapToGrid/>
        <w:spacing w:before="0" w:beforeAutospacing="0" w:after="0" w:afterAutospacing="0" w:line="540" w:lineRule="exact"/>
        <w:ind w:left="0" w:leftChars="0" w:right="0" w:firstLine="520" w:firstLineChars="200"/>
        <w:jc w:val="left"/>
        <w:outlineLvl w:val="9"/>
        <w:rPr>
          <w:rFonts w:hint="eastAsia" w:ascii="宋体" w:hAnsi="宋体" w:eastAsia="宋体" w:cs="宋体"/>
          <w:color w:val="auto"/>
          <w:spacing w:val="0"/>
          <w:w w:val="10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4.2.4</w:t>
      </w:r>
      <w:r>
        <w:rPr>
          <w:rFonts w:hint="eastAsia" w:ascii="宋体" w:hAnsi="宋体" w:eastAsia="宋体" w:cs="宋体"/>
          <w:color w:val="auto"/>
          <w:spacing w:val="0"/>
          <w:w w:val="100"/>
          <w:sz w:val="28"/>
          <w:szCs w:val="28"/>
          <w:highlight w:val="none"/>
          <w:u w:val="none"/>
          <w:lang w:eastAsia="zh-CN"/>
        </w:rPr>
        <w:t>在线水质污染源自动监测系统设备第三方运维费用。</w:t>
      </w:r>
    </w:p>
    <w:p w14:paraId="6447388F">
      <w:pPr>
        <w:pStyle w:val="17"/>
        <w:widowControl w:val="0"/>
        <w:kinsoku w:val="0"/>
        <w:wordWrap/>
        <w:overflowPunct w:val="0"/>
        <w:autoSpaceDE w:val="0"/>
        <w:autoSpaceDN w:val="0"/>
        <w:adjustRightInd/>
        <w:snapToGrid/>
        <w:spacing w:before="0" w:beforeAutospacing="0" w:after="0" w:afterAutospacing="0" w:line="540" w:lineRule="exact"/>
        <w:ind w:left="0" w:leftChars="0" w:right="0" w:firstLine="520" w:firstLineChars="200"/>
        <w:jc w:val="left"/>
        <w:outlineLvl w:val="9"/>
        <w:rPr>
          <w:rFonts w:hint="eastAsia" w:ascii="宋体" w:hAnsi="宋体" w:eastAsia="宋体" w:cs="宋体"/>
          <w:color w:val="auto"/>
          <w:spacing w:val="0"/>
          <w:w w:val="10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4.2.5</w:t>
      </w:r>
      <w:r>
        <w:rPr>
          <w:rFonts w:hint="eastAsia" w:ascii="宋体" w:hAnsi="宋体" w:eastAsia="宋体" w:cs="宋体"/>
          <w:color w:val="auto"/>
          <w:sz w:val="28"/>
          <w:szCs w:val="28"/>
          <w:highlight w:val="none"/>
          <w:u w:val="none"/>
          <w:lang w:eastAsia="zh-CN"/>
        </w:rPr>
        <w:t>排污许可证核发</w:t>
      </w:r>
      <w:r>
        <w:rPr>
          <w:rFonts w:hint="eastAsia" w:ascii="宋体" w:hAnsi="宋体" w:eastAsia="宋体" w:cs="宋体"/>
          <w:color w:val="auto"/>
          <w:spacing w:val="0"/>
          <w:sz w:val="28"/>
          <w:szCs w:val="28"/>
          <w:highlight w:val="none"/>
          <w:u w:val="none"/>
          <w:lang w:val="en-US" w:eastAsia="zh-CN"/>
        </w:rPr>
        <w:t>和季度监测的第三方检测费用</w:t>
      </w:r>
      <w:r>
        <w:rPr>
          <w:rFonts w:hint="eastAsia" w:ascii="宋体" w:hAnsi="宋体" w:eastAsia="宋体" w:cs="宋体"/>
          <w:color w:val="auto"/>
          <w:sz w:val="28"/>
          <w:szCs w:val="28"/>
          <w:highlight w:val="none"/>
          <w:u w:val="none"/>
          <w:lang w:eastAsia="zh-CN"/>
        </w:rPr>
        <w:t>。</w:t>
      </w:r>
    </w:p>
    <w:p w14:paraId="19F96C01">
      <w:pPr>
        <w:pStyle w:val="17"/>
        <w:widowControl w:val="0"/>
        <w:kinsoku w:val="0"/>
        <w:wordWrap/>
        <w:overflowPunct w:val="0"/>
        <w:autoSpaceDE w:val="0"/>
        <w:autoSpaceDN w:val="0"/>
        <w:adjustRightInd/>
        <w:snapToGrid/>
        <w:spacing w:before="0" w:beforeAutospacing="0" w:after="0" w:afterAutospacing="0" w:line="540" w:lineRule="exact"/>
        <w:ind w:left="0" w:leftChars="0" w:right="0" w:firstLine="520" w:firstLineChars="200"/>
        <w:jc w:val="left"/>
        <w:outlineLvl w:val="9"/>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4.2.6</w:t>
      </w:r>
      <w:r>
        <w:rPr>
          <w:rFonts w:hint="eastAsia" w:ascii="宋体" w:hAnsi="宋体" w:eastAsia="宋体" w:cs="宋体"/>
          <w:color w:val="auto"/>
          <w:spacing w:val="0"/>
          <w:w w:val="100"/>
          <w:sz w:val="28"/>
          <w:szCs w:val="28"/>
          <w:highlight w:val="none"/>
          <w:u w:val="none"/>
          <w:lang w:val="en-US" w:eastAsia="zh-CN"/>
        </w:rPr>
        <w:t>运营期内约定的设计处理量、泵站，如有扩容或新增，应增加合同服务费，增加的服务费标准参照本合同标准执行。</w:t>
      </w:r>
    </w:p>
    <w:p w14:paraId="4F8C292F">
      <w:pPr>
        <w:pStyle w:val="17"/>
        <w:widowControl w:val="0"/>
        <w:kinsoku w:val="0"/>
        <w:wordWrap/>
        <w:overflowPunct w:val="0"/>
        <w:autoSpaceDE w:val="0"/>
        <w:autoSpaceDN w:val="0"/>
        <w:adjustRightInd/>
        <w:snapToGrid/>
        <w:spacing w:before="0" w:beforeAutospacing="0" w:after="0" w:afterAutospacing="0" w:line="540" w:lineRule="exact"/>
        <w:ind w:right="0" w:firstLine="520" w:firstLineChars="200"/>
        <w:jc w:val="left"/>
        <w:outlineLvl w:val="9"/>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4.2.7运营期内约定管网长度如有新增，新增管网长度不超过本合同管网总长度10%的，不增加合同服务费；超过本合同管网长度10%的，增加合同服务费，增加的服务费标准参照本合同标准执行。</w:t>
      </w:r>
    </w:p>
    <w:p w14:paraId="569EC1B1">
      <w:pPr>
        <w:pStyle w:val="17"/>
        <w:widowControl w:val="0"/>
        <w:kinsoku w:val="0"/>
        <w:wordWrap/>
        <w:overflowPunct w:val="0"/>
        <w:autoSpaceDE w:val="0"/>
        <w:autoSpaceDN w:val="0"/>
        <w:adjustRightInd/>
        <w:snapToGrid/>
        <w:spacing w:before="0" w:beforeAutospacing="0" w:after="0" w:afterAutospacing="0" w:line="540" w:lineRule="exact"/>
        <w:ind w:right="0" w:firstLine="520" w:firstLineChars="200"/>
        <w:jc w:val="left"/>
        <w:outlineLvl w:val="9"/>
        <w:rPr>
          <w:rFonts w:hint="default" w:ascii="宋体" w:hAnsi="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4.2.8运营期内，污水处理厂、管网、泵站扩容（新增）增加的年服务费不超过本合同年中标费用的10%</w:t>
      </w:r>
      <w:r>
        <w:rPr>
          <w:rFonts w:hint="eastAsia" w:ascii="宋体" w:hAnsi="宋体" w:cs="宋体"/>
          <w:color w:val="auto"/>
          <w:spacing w:val="-10"/>
          <w:sz w:val="28"/>
          <w:szCs w:val="28"/>
          <w:highlight w:val="none"/>
          <w:u w:val="none"/>
          <w:lang w:val="en-US" w:eastAsia="zh-CN"/>
        </w:rPr>
        <w:t>且</w:t>
      </w:r>
      <w:r>
        <w:rPr>
          <w:rFonts w:hint="eastAsia" w:ascii="宋体" w:hAnsi="宋体" w:eastAsia="宋体" w:cs="宋体"/>
          <w:color w:val="auto"/>
          <w:spacing w:val="-10"/>
          <w:sz w:val="28"/>
          <w:szCs w:val="28"/>
          <w:highlight w:val="none"/>
          <w:u w:val="none"/>
          <w:lang w:val="en-US" w:eastAsia="zh-CN"/>
        </w:rPr>
        <w:t>金额不超300万元（桂财采〔2021〕61号）</w:t>
      </w:r>
      <w:r>
        <w:rPr>
          <w:rFonts w:hint="eastAsia" w:ascii="宋体" w:hAnsi="宋体" w:cs="宋体"/>
          <w:color w:val="auto"/>
          <w:spacing w:val="-10"/>
          <w:sz w:val="28"/>
          <w:szCs w:val="28"/>
          <w:highlight w:val="none"/>
          <w:u w:val="none"/>
          <w:lang w:val="en-US" w:eastAsia="zh-CN"/>
        </w:rPr>
        <w:t>，双方签订补充协议；超出本合同</w:t>
      </w:r>
      <w:r>
        <w:rPr>
          <w:rFonts w:hint="eastAsia" w:ascii="宋体" w:hAnsi="宋体" w:eastAsia="宋体" w:cs="宋体"/>
          <w:color w:val="auto"/>
          <w:spacing w:val="-10"/>
          <w:sz w:val="28"/>
          <w:szCs w:val="28"/>
          <w:highlight w:val="none"/>
          <w:u w:val="none"/>
          <w:lang w:val="en-US" w:eastAsia="zh-CN"/>
        </w:rPr>
        <w:t>年中标费用的10%</w:t>
      </w:r>
      <w:r>
        <w:rPr>
          <w:rFonts w:hint="eastAsia" w:ascii="宋体" w:hAnsi="宋体" w:cs="宋体"/>
          <w:color w:val="auto"/>
          <w:spacing w:val="-10"/>
          <w:sz w:val="28"/>
          <w:szCs w:val="28"/>
          <w:highlight w:val="none"/>
          <w:u w:val="none"/>
          <w:lang w:val="en-US" w:eastAsia="zh-CN"/>
        </w:rPr>
        <w:t>或</w:t>
      </w:r>
      <w:r>
        <w:rPr>
          <w:rFonts w:hint="eastAsia" w:ascii="宋体" w:hAnsi="宋体" w:eastAsia="宋体" w:cs="宋体"/>
          <w:color w:val="auto"/>
          <w:spacing w:val="-10"/>
          <w:sz w:val="28"/>
          <w:szCs w:val="28"/>
          <w:highlight w:val="none"/>
          <w:u w:val="none"/>
          <w:lang w:val="en-US" w:eastAsia="zh-CN"/>
        </w:rPr>
        <w:t>金额超300万元</w:t>
      </w:r>
      <w:r>
        <w:rPr>
          <w:rFonts w:hint="eastAsia" w:ascii="宋体" w:hAnsi="宋体" w:cs="宋体"/>
          <w:color w:val="auto"/>
          <w:spacing w:val="-10"/>
          <w:sz w:val="28"/>
          <w:szCs w:val="28"/>
          <w:highlight w:val="none"/>
          <w:u w:val="none"/>
          <w:lang w:val="en-US" w:eastAsia="zh-CN"/>
        </w:rPr>
        <w:t>的另行公开招投标。</w:t>
      </w:r>
    </w:p>
    <w:p w14:paraId="66BAA1AA">
      <w:pPr>
        <w:pStyle w:val="17"/>
        <w:numPr>
          <w:ilvl w:val="0"/>
          <w:numId w:val="0"/>
        </w:numPr>
        <w:snapToGrid/>
        <w:spacing w:line="540" w:lineRule="exact"/>
        <w:ind w:firstLine="520" w:firstLineChars="200"/>
        <w:jc w:val="left"/>
        <w:outlineLvl w:val="9"/>
        <w:rPr>
          <w:rFonts w:hint="eastAsia" w:ascii="宋体" w:hAnsi="宋体" w:eastAsia="宋体" w:cs="宋体"/>
          <w:color w:val="auto"/>
          <w:spacing w:val="-10"/>
          <w:kern w:val="2"/>
          <w:sz w:val="28"/>
          <w:szCs w:val="28"/>
          <w:highlight w:val="none"/>
          <w:u w:val="none"/>
          <w:lang w:val="en-US" w:eastAsia="zh-CN" w:bidi="ar-SA"/>
        </w:rPr>
      </w:pPr>
      <w:r>
        <w:rPr>
          <w:rFonts w:hint="eastAsia" w:ascii="宋体" w:hAnsi="宋体" w:eastAsia="宋体" w:cs="宋体"/>
          <w:color w:val="auto"/>
          <w:spacing w:val="-10"/>
          <w:sz w:val="28"/>
          <w:szCs w:val="28"/>
          <w:highlight w:val="none"/>
          <w:u w:val="none"/>
          <w:lang w:val="en-US" w:eastAsia="zh-CN"/>
        </w:rPr>
        <w:t>4.2.9</w:t>
      </w:r>
      <w:r>
        <w:rPr>
          <w:rFonts w:hint="eastAsia" w:ascii="宋体" w:hAnsi="宋体" w:eastAsia="宋体" w:cs="宋体"/>
          <w:color w:val="auto"/>
          <w:spacing w:val="-10"/>
          <w:kern w:val="2"/>
          <w:sz w:val="28"/>
          <w:szCs w:val="28"/>
          <w:highlight w:val="none"/>
          <w:u w:val="none"/>
          <w:lang w:val="en-US" w:eastAsia="zh-CN" w:bidi="ar-SA"/>
        </w:rPr>
        <w:t>上述各项费用由乙方申请经甲方同意后方可实施或由甲方实施，否则甲方不承担任何费用。</w:t>
      </w:r>
    </w:p>
    <w:p w14:paraId="7881C464">
      <w:pPr>
        <w:tabs>
          <w:tab w:val="left" w:pos="3608"/>
        </w:tabs>
        <w:spacing w:line="540" w:lineRule="exact"/>
        <w:rPr>
          <w:rFonts w:hint="eastAsia" w:ascii="宋体" w:hAnsi="宋体" w:eastAsia="宋体" w:cs="宋体"/>
          <w:b/>
          <w:bCs/>
          <w:color w:val="auto"/>
          <w:spacing w:val="-10"/>
          <w:sz w:val="28"/>
          <w:szCs w:val="28"/>
          <w:highlight w:val="none"/>
          <w:u w:val="none"/>
          <w:lang w:eastAsia="zh-CN"/>
        </w:rPr>
      </w:pPr>
      <w:r>
        <w:rPr>
          <w:rFonts w:hint="eastAsia" w:ascii="宋体" w:hAnsi="宋体" w:eastAsia="宋体" w:cs="宋体"/>
          <w:color w:val="auto"/>
          <w:sz w:val="28"/>
          <w:szCs w:val="28"/>
          <w:highlight w:val="none"/>
          <w:lang w:eastAsia="zh-CN"/>
        </w:rPr>
        <w:tab/>
      </w: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lang w:eastAsia="zh-CN"/>
        </w:rPr>
        <w:t>五</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、质量和</w:t>
      </w:r>
      <w:r>
        <w:rPr>
          <w:rFonts w:hint="eastAsia" w:ascii="宋体" w:hAnsi="宋体" w:eastAsia="宋体" w:cs="宋体"/>
          <w:b/>
          <w:bCs/>
          <w:color w:val="auto"/>
          <w:spacing w:val="-10"/>
          <w:sz w:val="28"/>
          <w:szCs w:val="28"/>
          <w:highlight w:val="none"/>
          <w:u w:val="none"/>
          <w:lang w:eastAsia="zh-CN"/>
        </w:rPr>
        <w:t>运营标准</w:t>
      </w:r>
    </w:p>
    <w:p w14:paraId="6755E57B">
      <w:pPr>
        <w:pStyle w:val="17"/>
        <w:spacing w:line="540" w:lineRule="exact"/>
        <w:ind w:firstLine="52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pacing w:val="-10"/>
          <w:sz w:val="28"/>
          <w:szCs w:val="28"/>
          <w:highlight w:val="none"/>
          <w:u w:val="none"/>
          <w:lang w:val="en-US" w:eastAsia="zh-CN"/>
        </w:rPr>
        <w:t>5.1处理水量以环保部门监测的出水量作为考核依据</w:t>
      </w:r>
      <w:r>
        <w:rPr>
          <w:rFonts w:hint="eastAsia" w:ascii="宋体" w:hAnsi="宋体" w:eastAsia="宋体" w:cs="宋体"/>
          <w:color w:val="auto"/>
          <w:sz w:val="28"/>
          <w:szCs w:val="28"/>
          <w:highlight w:val="none"/>
          <w:u w:val="none"/>
        </w:rPr>
        <w:t>。</w:t>
      </w:r>
    </w:p>
    <w:p w14:paraId="3F0B81B5">
      <w:pPr>
        <w:widowControl w:val="0"/>
        <w:wordWrap/>
        <w:adjustRightInd/>
        <w:snapToGrid/>
        <w:spacing w:beforeAutospacing="0" w:afterAutospacing="0" w:line="540" w:lineRule="exact"/>
        <w:ind w:firstLine="52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pacing w:val="-10"/>
          <w:sz w:val="28"/>
          <w:szCs w:val="28"/>
          <w:highlight w:val="none"/>
          <w:u w:val="none"/>
          <w:lang w:val="en-US" w:eastAsia="zh-CN"/>
        </w:rPr>
        <w:t>5</w:t>
      </w:r>
      <w:r>
        <w:rPr>
          <w:rFonts w:hint="eastAsia" w:ascii="宋体" w:hAnsi="宋体" w:eastAsia="宋体" w:cs="宋体"/>
          <w:color w:val="auto"/>
          <w:spacing w:val="-10"/>
          <w:sz w:val="28"/>
          <w:szCs w:val="28"/>
          <w:highlight w:val="none"/>
          <w:u w:val="none"/>
        </w:rPr>
        <w:t>.2</w:t>
      </w:r>
      <w:r>
        <w:rPr>
          <w:rFonts w:hint="eastAsia" w:ascii="宋体" w:hAnsi="宋体" w:cs="宋体"/>
          <w:color w:val="auto"/>
          <w:spacing w:val="-10"/>
          <w:sz w:val="28"/>
          <w:szCs w:val="28"/>
          <w:highlight w:val="none"/>
          <w:u w:val="none"/>
          <w:lang w:eastAsia="zh-CN"/>
        </w:rPr>
        <w:t>进、</w:t>
      </w:r>
      <w:r>
        <w:rPr>
          <w:rFonts w:hint="eastAsia" w:ascii="宋体" w:hAnsi="宋体" w:eastAsia="宋体" w:cs="宋体"/>
          <w:color w:val="auto"/>
          <w:sz w:val="28"/>
          <w:szCs w:val="28"/>
          <w:highlight w:val="none"/>
          <w:u w:val="none"/>
        </w:rPr>
        <w:t>出水水质：</w:t>
      </w:r>
      <w:r>
        <w:rPr>
          <w:rFonts w:hint="eastAsia" w:ascii="宋体" w:hAnsi="宋体" w:eastAsia="宋体" w:cs="宋体"/>
          <w:color w:val="auto"/>
          <w:sz w:val="28"/>
          <w:szCs w:val="28"/>
          <w:highlight w:val="none"/>
          <w:u w:val="none"/>
          <w:lang w:eastAsia="zh-CN"/>
        </w:rPr>
        <w:t>进水</w:t>
      </w:r>
      <w:r>
        <w:rPr>
          <w:rFonts w:hint="eastAsia" w:ascii="宋体" w:hAnsi="宋体" w:eastAsia="宋体" w:cs="宋体"/>
          <w:color w:val="auto"/>
          <w:sz w:val="28"/>
          <w:szCs w:val="28"/>
          <w:highlight w:val="none"/>
          <w:u w:val="none"/>
        </w:rPr>
        <w:t>CODcr</w:t>
      </w:r>
      <w:r>
        <w:rPr>
          <w:rFonts w:hint="eastAsia" w:ascii="宋体" w:hAnsi="宋体" w:eastAsia="宋体" w:cs="宋体"/>
          <w:color w:val="auto"/>
          <w:sz w:val="28"/>
          <w:szCs w:val="28"/>
          <w:highlight w:val="none"/>
          <w:u w:val="none"/>
          <w:lang w:eastAsia="zh-CN"/>
        </w:rPr>
        <w:t>平均浓度需达</w:t>
      </w:r>
      <w:r>
        <w:rPr>
          <w:rFonts w:hint="eastAsia" w:ascii="宋体" w:hAnsi="宋体" w:eastAsia="宋体" w:cs="宋体"/>
          <w:color w:val="auto"/>
          <w:sz w:val="28"/>
          <w:szCs w:val="28"/>
          <w:highlight w:val="none"/>
          <w:u w:val="none"/>
          <w:lang w:val="en-US" w:eastAsia="zh-CN"/>
        </w:rPr>
        <w:t>100mg/L以上，</w:t>
      </w:r>
      <w:r>
        <w:rPr>
          <w:rFonts w:hint="eastAsia" w:ascii="宋体" w:hAnsi="宋体" w:cs="宋体"/>
          <w:color w:val="auto"/>
          <w:sz w:val="28"/>
          <w:szCs w:val="28"/>
          <w:highlight w:val="none"/>
          <w:u w:val="none"/>
          <w:lang w:val="en-US" w:eastAsia="zh-CN"/>
        </w:rPr>
        <w:t>出水水质</w:t>
      </w:r>
      <w:r>
        <w:rPr>
          <w:rFonts w:hint="eastAsia" w:ascii="宋体" w:hAnsi="宋体" w:eastAsia="宋体" w:cs="宋体"/>
          <w:color w:val="auto"/>
          <w:sz w:val="28"/>
          <w:szCs w:val="28"/>
          <w:highlight w:val="none"/>
          <w:u w:val="none"/>
        </w:rPr>
        <w:t>执行《城镇污水处理厂污染物排放标准》（GB18918-2002）中一级</w:t>
      </w:r>
      <w:r>
        <w:rPr>
          <w:rFonts w:hint="eastAsia" w:ascii="宋体" w:hAnsi="宋体" w:eastAsia="宋体" w:cs="宋体"/>
          <w:color w:val="auto"/>
          <w:sz w:val="28"/>
          <w:szCs w:val="28"/>
          <w:highlight w:val="none"/>
          <w:u w:val="none"/>
          <w:lang w:val="en-US" w:eastAsia="zh-CN"/>
        </w:rPr>
        <w:t>A</w:t>
      </w:r>
      <w:r>
        <w:rPr>
          <w:rFonts w:hint="eastAsia" w:ascii="宋体" w:hAnsi="宋体" w:eastAsia="宋体" w:cs="宋体"/>
          <w:color w:val="auto"/>
          <w:sz w:val="28"/>
          <w:szCs w:val="28"/>
          <w:highlight w:val="none"/>
          <w:u w:val="none"/>
        </w:rPr>
        <w:t>类排放标准：</w:t>
      </w:r>
    </w:p>
    <w:p w14:paraId="7E85CE4B">
      <w:pPr>
        <w:widowControl w:val="0"/>
        <w:wordWrap/>
        <w:adjustRightInd/>
        <w:snapToGrid/>
        <w:spacing w:beforeAutospacing="0" w:afterAutospacing="0" w:line="540" w:lineRule="exact"/>
        <w:ind w:firstLine="56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pacing w:val="-10"/>
          <w:sz w:val="28"/>
          <w:szCs w:val="28"/>
          <w:highlight w:val="none"/>
          <w:u w:val="none"/>
        </w:rPr>
        <w:t>COD：≤</w:t>
      </w:r>
      <w:r>
        <w:rPr>
          <w:rFonts w:hint="eastAsia" w:ascii="宋体" w:hAnsi="宋体" w:eastAsia="宋体" w:cs="宋体"/>
          <w:color w:val="auto"/>
          <w:spacing w:val="-10"/>
          <w:sz w:val="28"/>
          <w:szCs w:val="28"/>
          <w:highlight w:val="none"/>
          <w:u w:val="none"/>
          <w:lang w:val="en-US" w:eastAsia="zh-CN"/>
        </w:rPr>
        <w:t>5</w:t>
      </w:r>
      <w:r>
        <w:rPr>
          <w:rFonts w:hint="eastAsia" w:ascii="宋体" w:hAnsi="宋体" w:eastAsia="宋体" w:cs="宋体"/>
          <w:color w:val="auto"/>
          <w:spacing w:val="-10"/>
          <w:sz w:val="28"/>
          <w:szCs w:val="28"/>
          <w:highlight w:val="none"/>
          <w:u w:val="none"/>
        </w:rPr>
        <w:t xml:space="preserve">0mg/L </w:t>
      </w:r>
      <w:r>
        <w:rPr>
          <w:rFonts w:hint="eastAsia" w:ascii="宋体" w:hAnsi="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rPr>
        <w:t>BOD</w:t>
      </w:r>
      <w:r>
        <w:rPr>
          <w:rFonts w:hint="eastAsia" w:ascii="宋体" w:hAnsi="宋体" w:eastAsia="宋体" w:cs="宋体"/>
          <w:color w:val="auto"/>
          <w:spacing w:val="-10"/>
          <w:sz w:val="28"/>
          <w:szCs w:val="28"/>
          <w:highlight w:val="none"/>
          <w:u w:val="none"/>
          <w:vertAlign w:val="subscript"/>
        </w:rPr>
        <w:t xml:space="preserve">5 </w:t>
      </w:r>
      <w:r>
        <w:rPr>
          <w:rFonts w:hint="eastAsia" w:ascii="宋体" w:hAnsi="宋体" w:eastAsia="宋体" w:cs="宋体"/>
          <w:color w:val="auto"/>
          <w:sz w:val="28"/>
          <w:szCs w:val="28"/>
          <w:highlight w:val="none"/>
          <w:u w:val="none"/>
        </w:rPr>
        <w:t>：</w:t>
      </w:r>
      <w:r>
        <w:rPr>
          <w:rFonts w:hint="eastAsia" w:ascii="宋体" w:hAnsi="宋体" w:eastAsia="宋体" w:cs="宋体"/>
          <w:color w:val="auto"/>
          <w:spacing w:val="-10"/>
          <w:sz w:val="28"/>
          <w:szCs w:val="28"/>
          <w:highlight w:val="none"/>
          <w:u w:val="none"/>
        </w:rPr>
        <w:t>≤</w:t>
      </w:r>
      <w:r>
        <w:rPr>
          <w:rFonts w:hint="eastAsia" w:ascii="宋体" w:hAnsi="宋体" w:eastAsia="宋体" w:cs="宋体"/>
          <w:color w:val="auto"/>
          <w:spacing w:val="-10"/>
          <w:sz w:val="28"/>
          <w:szCs w:val="28"/>
          <w:highlight w:val="none"/>
          <w:u w:val="none"/>
          <w:lang w:val="en-US" w:eastAsia="zh-CN"/>
        </w:rPr>
        <w:t>1</w:t>
      </w:r>
      <w:r>
        <w:rPr>
          <w:rFonts w:hint="eastAsia" w:ascii="宋体" w:hAnsi="宋体" w:eastAsia="宋体" w:cs="宋体"/>
          <w:color w:val="auto"/>
          <w:spacing w:val="-10"/>
          <w:sz w:val="28"/>
          <w:szCs w:val="28"/>
          <w:highlight w:val="none"/>
          <w:u w:val="none"/>
        </w:rPr>
        <w:t>0mg/L</w:t>
      </w:r>
      <w:r>
        <w:rPr>
          <w:rFonts w:hint="eastAsia" w:ascii="宋体" w:hAnsi="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rPr>
        <w:t>总磷：≤</w:t>
      </w:r>
      <w:r>
        <w:rPr>
          <w:rFonts w:hint="eastAsia" w:ascii="宋体" w:hAnsi="宋体" w:eastAsia="宋体" w:cs="宋体"/>
          <w:color w:val="auto"/>
          <w:spacing w:val="-10"/>
          <w:sz w:val="28"/>
          <w:szCs w:val="28"/>
          <w:highlight w:val="none"/>
          <w:u w:val="none"/>
          <w:lang w:val="en-US" w:eastAsia="zh-CN"/>
        </w:rPr>
        <w:t>0.5</w:t>
      </w:r>
      <w:r>
        <w:rPr>
          <w:rFonts w:hint="eastAsia" w:ascii="宋体" w:hAnsi="宋体" w:eastAsia="宋体" w:cs="宋体"/>
          <w:color w:val="auto"/>
          <w:spacing w:val="-10"/>
          <w:sz w:val="28"/>
          <w:szCs w:val="28"/>
          <w:highlight w:val="none"/>
          <w:u w:val="none"/>
        </w:rPr>
        <w:t>mg/L</w:t>
      </w:r>
      <w:r>
        <w:rPr>
          <w:rFonts w:hint="eastAsia" w:ascii="宋体" w:hAnsi="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lang w:eastAsia="zh-CN"/>
        </w:rPr>
        <w:t>总氮：</w:t>
      </w:r>
      <w:r>
        <w:rPr>
          <w:rFonts w:hint="eastAsia" w:ascii="宋体" w:hAnsi="宋体" w:eastAsia="宋体" w:cs="宋体"/>
          <w:color w:val="auto"/>
          <w:spacing w:val="-10"/>
          <w:sz w:val="28"/>
          <w:szCs w:val="28"/>
          <w:highlight w:val="none"/>
          <w:u w:val="none"/>
        </w:rPr>
        <w:t>≤</w:t>
      </w:r>
      <w:r>
        <w:rPr>
          <w:rFonts w:hint="eastAsia" w:ascii="宋体" w:hAnsi="宋体" w:eastAsia="宋体" w:cs="宋体"/>
          <w:color w:val="auto"/>
          <w:spacing w:val="-10"/>
          <w:sz w:val="28"/>
          <w:szCs w:val="28"/>
          <w:highlight w:val="none"/>
          <w:u w:val="none"/>
          <w:lang w:val="en-US" w:eastAsia="zh-CN"/>
        </w:rPr>
        <w:t xml:space="preserve"> 15</w:t>
      </w:r>
      <w:r>
        <w:rPr>
          <w:rFonts w:hint="eastAsia" w:ascii="宋体" w:hAnsi="宋体" w:eastAsia="宋体" w:cs="宋体"/>
          <w:color w:val="auto"/>
          <w:spacing w:val="-10"/>
          <w:sz w:val="28"/>
          <w:szCs w:val="28"/>
          <w:highlight w:val="none"/>
          <w:u w:val="none"/>
        </w:rPr>
        <w:t>mg/L</w:t>
      </w:r>
      <w:r>
        <w:rPr>
          <w:rFonts w:hint="eastAsia" w:ascii="宋体" w:hAnsi="宋体" w:eastAsia="宋体" w:cs="宋体"/>
          <w:color w:val="auto"/>
          <w:spacing w:val="-10"/>
          <w:sz w:val="28"/>
          <w:szCs w:val="28"/>
          <w:highlight w:val="none"/>
          <w:u w:val="none"/>
          <w:lang w:val="en-US" w:eastAsia="zh-CN"/>
        </w:rPr>
        <w:t xml:space="preserve"> </w:t>
      </w:r>
      <w:r>
        <w:rPr>
          <w:rFonts w:hint="eastAsia" w:ascii="宋体" w:hAnsi="宋体" w:cs="宋体"/>
          <w:color w:val="auto"/>
          <w:spacing w:val="-10"/>
          <w:sz w:val="28"/>
          <w:szCs w:val="28"/>
          <w:highlight w:val="none"/>
          <w:u w:val="none"/>
          <w:lang w:val="en-US" w:eastAsia="zh-CN"/>
        </w:rPr>
        <w:t>；</w:t>
      </w:r>
      <w:r>
        <w:rPr>
          <w:rFonts w:hint="eastAsia" w:ascii="宋体" w:hAnsi="宋体" w:eastAsia="宋体" w:cs="宋体"/>
          <w:color w:val="auto"/>
          <w:spacing w:val="-10"/>
          <w:sz w:val="28"/>
          <w:szCs w:val="28"/>
          <w:highlight w:val="none"/>
          <w:u w:val="none"/>
        </w:rPr>
        <w:t>SS：≤</w:t>
      </w:r>
      <w:r>
        <w:rPr>
          <w:rFonts w:hint="eastAsia" w:ascii="宋体" w:hAnsi="宋体" w:eastAsia="宋体" w:cs="宋体"/>
          <w:color w:val="auto"/>
          <w:spacing w:val="-10"/>
          <w:sz w:val="28"/>
          <w:szCs w:val="28"/>
          <w:highlight w:val="none"/>
          <w:u w:val="none"/>
          <w:lang w:val="en-US" w:eastAsia="zh-CN"/>
        </w:rPr>
        <w:t>1</w:t>
      </w:r>
      <w:r>
        <w:rPr>
          <w:rFonts w:hint="eastAsia" w:ascii="宋体" w:hAnsi="宋体" w:eastAsia="宋体" w:cs="宋体"/>
          <w:color w:val="auto"/>
          <w:spacing w:val="-10"/>
          <w:sz w:val="28"/>
          <w:szCs w:val="28"/>
          <w:highlight w:val="none"/>
          <w:u w:val="none"/>
        </w:rPr>
        <w:t xml:space="preserve">0mg/L </w:t>
      </w:r>
      <w:r>
        <w:rPr>
          <w:rFonts w:hint="eastAsia" w:ascii="宋体" w:hAnsi="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rPr>
        <w:t>NH3—N：≤</w:t>
      </w:r>
      <w:r>
        <w:rPr>
          <w:rFonts w:hint="eastAsia" w:ascii="宋体" w:hAnsi="宋体" w:eastAsia="宋体" w:cs="宋体"/>
          <w:color w:val="auto"/>
          <w:spacing w:val="-10"/>
          <w:sz w:val="28"/>
          <w:szCs w:val="28"/>
          <w:highlight w:val="none"/>
          <w:u w:val="none"/>
          <w:lang w:val="en-US" w:eastAsia="zh-CN"/>
        </w:rPr>
        <w:t>5</w:t>
      </w:r>
      <w:r>
        <w:rPr>
          <w:rFonts w:hint="eastAsia" w:ascii="宋体" w:hAnsi="宋体" w:eastAsia="宋体" w:cs="宋体"/>
          <w:color w:val="auto"/>
          <w:spacing w:val="-10"/>
          <w:sz w:val="28"/>
          <w:szCs w:val="28"/>
          <w:highlight w:val="none"/>
          <w:u w:val="none"/>
        </w:rPr>
        <w:t>（</w:t>
      </w:r>
      <w:r>
        <w:rPr>
          <w:rFonts w:hint="eastAsia" w:ascii="宋体" w:hAnsi="宋体" w:eastAsia="宋体" w:cs="宋体"/>
          <w:color w:val="auto"/>
          <w:spacing w:val="-10"/>
          <w:sz w:val="28"/>
          <w:szCs w:val="28"/>
          <w:highlight w:val="none"/>
          <w:u w:val="none"/>
          <w:lang w:val="en-US" w:eastAsia="zh-CN"/>
        </w:rPr>
        <w:t>8</w:t>
      </w:r>
      <w:r>
        <w:rPr>
          <w:rFonts w:hint="eastAsia" w:ascii="宋体" w:hAnsi="宋体" w:eastAsia="宋体" w:cs="宋体"/>
          <w:color w:val="auto"/>
          <w:spacing w:val="-10"/>
          <w:sz w:val="28"/>
          <w:szCs w:val="28"/>
          <w:highlight w:val="none"/>
          <w:u w:val="none"/>
        </w:rPr>
        <w:t>）mg/L</w:t>
      </w:r>
      <w:r>
        <w:rPr>
          <w:rFonts w:hint="eastAsia" w:ascii="宋体" w:hAnsi="宋体" w:cs="宋体"/>
          <w:color w:val="auto"/>
          <w:spacing w:val="-10"/>
          <w:sz w:val="28"/>
          <w:szCs w:val="28"/>
          <w:highlight w:val="none"/>
          <w:u w:val="none"/>
          <w:lang w:val="en-US" w:eastAsia="zh-CN"/>
        </w:rPr>
        <w:t>；</w:t>
      </w:r>
      <w:r>
        <w:rPr>
          <w:rFonts w:hint="eastAsia" w:ascii="宋体" w:hAnsi="宋体" w:eastAsia="宋体" w:cs="宋体"/>
          <w:color w:val="auto"/>
          <w:spacing w:val="-10"/>
          <w:sz w:val="28"/>
          <w:szCs w:val="28"/>
          <w:highlight w:val="none"/>
          <w:u w:val="none"/>
          <w:lang w:val="en-US" w:eastAsia="zh-CN"/>
        </w:rPr>
        <w:t>PH 6.0-9.0</w:t>
      </w:r>
      <w:r>
        <w:rPr>
          <w:rFonts w:hint="eastAsia" w:ascii="宋体" w:hAnsi="宋体" w:eastAsia="宋体" w:cs="宋体"/>
          <w:color w:val="auto"/>
          <w:spacing w:val="-10"/>
          <w:sz w:val="28"/>
          <w:szCs w:val="28"/>
          <w:highlight w:val="none"/>
          <w:u w:val="none"/>
        </w:rPr>
        <w:t>（括号外数值为水温＞12°C时的控制指标，括号内数值为水温≦12°C时的控制指标。）</w:t>
      </w:r>
    </w:p>
    <w:p w14:paraId="5F33215B">
      <w:pPr>
        <w:widowControl w:val="0"/>
        <w:wordWrap/>
        <w:adjustRightInd/>
        <w:snapToGrid/>
        <w:spacing w:beforeAutospacing="0" w:afterAutospacing="0" w:line="540" w:lineRule="exact"/>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none"/>
          <w:lang w:val="en-US" w:eastAsia="zh-CN"/>
        </w:rPr>
        <w:t>3乙方运行过程中发现</w:t>
      </w:r>
      <w:r>
        <w:rPr>
          <w:rFonts w:hint="eastAsia" w:ascii="宋体" w:hAnsi="宋体" w:eastAsia="宋体" w:cs="宋体"/>
          <w:color w:val="auto"/>
          <w:spacing w:val="-10"/>
          <w:sz w:val="28"/>
          <w:szCs w:val="28"/>
          <w:highlight w:val="none"/>
          <w:u w:val="none"/>
        </w:rPr>
        <w:t>进水水质</w:t>
      </w:r>
      <w:r>
        <w:rPr>
          <w:rFonts w:hint="eastAsia" w:ascii="宋体" w:hAnsi="宋体" w:eastAsia="宋体" w:cs="宋体"/>
          <w:color w:val="auto"/>
          <w:spacing w:val="-10"/>
          <w:sz w:val="28"/>
          <w:szCs w:val="28"/>
          <w:highlight w:val="none"/>
          <w:u w:val="none"/>
          <w:lang w:eastAsia="zh-CN"/>
        </w:rPr>
        <w:t>、水量</w:t>
      </w:r>
      <w:r>
        <w:rPr>
          <w:rFonts w:hint="eastAsia" w:ascii="宋体" w:hAnsi="宋体" w:eastAsia="宋体" w:cs="宋体"/>
          <w:color w:val="auto"/>
          <w:spacing w:val="-10"/>
          <w:sz w:val="28"/>
          <w:szCs w:val="28"/>
          <w:highlight w:val="none"/>
          <w:u w:val="none"/>
        </w:rPr>
        <w:t>超过设计标准时，</w:t>
      </w:r>
      <w:r>
        <w:rPr>
          <w:rFonts w:hint="eastAsia" w:ascii="宋体" w:hAnsi="宋体" w:eastAsia="宋体" w:cs="宋体"/>
          <w:color w:val="auto"/>
          <w:sz w:val="28"/>
          <w:szCs w:val="28"/>
          <w:highlight w:val="none"/>
          <w:u w:val="none"/>
        </w:rPr>
        <w:t>应及时通知</w:t>
      </w:r>
      <w:r>
        <w:rPr>
          <w:rFonts w:hint="eastAsia" w:ascii="宋体" w:hAnsi="宋体" w:eastAsia="宋体" w:cs="宋体"/>
          <w:color w:val="auto"/>
          <w:sz w:val="28"/>
          <w:szCs w:val="28"/>
          <w:highlight w:val="none"/>
          <w:u w:val="none"/>
          <w:lang w:eastAsia="zh-CN"/>
        </w:rPr>
        <w:t>甲方</w:t>
      </w:r>
      <w:r>
        <w:rPr>
          <w:rFonts w:hint="eastAsia" w:ascii="宋体" w:hAnsi="宋体" w:eastAsia="宋体" w:cs="宋体"/>
          <w:color w:val="auto"/>
          <w:sz w:val="28"/>
          <w:szCs w:val="28"/>
          <w:highlight w:val="none"/>
          <w:u w:val="none"/>
        </w:rPr>
        <w:t>。双方指派相关人员现场共同确认</w:t>
      </w:r>
      <w:r>
        <w:rPr>
          <w:rFonts w:hint="eastAsia" w:ascii="宋体" w:hAnsi="宋体" w:eastAsia="宋体" w:cs="宋体"/>
          <w:color w:val="auto"/>
          <w:sz w:val="28"/>
          <w:szCs w:val="28"/>
          <w:highlight w:val="none"/>
          <w:u w:val="none"/>
          <w:lang w:eastAsia="zh-CN"/>
        </w:rPr>
        <w:t>；有需要时，甲方配合乙方共同对管网进行排查，找出进水水质和水量超过设计标准的原因</w:t>
      </w:r>
      <w:r>
        <w:rPr>
          <w:rFonts w:hint="eastAsia" w:ascii="宋体" w:hAnsi="宋体" w:eastAsia="宋体" w:cs="宋体"/>
          <w:color w:val="auto"/>
          <w:sz w:val="28"/>
          <w:szCs w:val="28"/>
          <w:highlight w:val="none"/>
          <w:u w:val="none"/>
          <w:lang w:val="en-US" w:eastAsia="zh-CN"/>
        </w:rPr>
        <w:t>，需双方沟通协商解决。</w:t>
      </w:r>
    </w:p>
    <w:p w14:paraId="6DA8D99E">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lang w:eastAsia="zh-CN"/>
        </w:rPr>
        <w:t>六</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、违约责任</w:t>
      </w:r>
    </w:p>
    <w:p w14:paraId="2474FC7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6.1</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的违约责任：</w:t>
      </w:r>
    </w:p>
    <w:p w14:paraId="3DC7F371">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6.1.1</w:t>
      </w:r>
      <w:r>
        <w:rPr>
          <w:rFonts w:hint="eastAsia" w:ascii="宋体" w:hAnsi="宋体" w:eastAsia="宋体" w:cs="宋体"/>
          <w:color w:val="auto"/>
          <w:spacing w:val="-10"/>
          <w:sz w:val="28"/>
          <w:szCs w:val="28"/>
          <w:highlight w:val="none"/>
          <w:u w:val="none"/>
        </w:rPr>
        <w:t>无正当理由且未经</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书面同意对设施停止运营</w:t>
      </w:r>
      <w:r>
        <w:rPr>
          <w:rFonts w:hint="eastAsia" w:ascii="宋体" w:hAnsi="宋体" w:eastAsia="宋体" w:cs="宋体"/>
          <w:color w:val="auto"/>
          <w:spacing w:val="-10"/>
          <w:sz w:val="28"/>
          <w:szCs w:val="28"/>
          <w:highlight w:val="none"/>
          <w:u w:val="none"/>
          <w:lang w:val="en-US" w:eastAsia="zh-CN"/>
        </w:rPr>
        <w:t>达</w:t>
      </w:r>
      <w:r>
        <w:rPr>
          <w:rFonts w:hint="eastAsia" w:ascii="宋体" w:hAnsi="宋体" w:eastAsia="宋体" w:cs="宋体"/>
          <w:color w:val="auto"/>
          <w:spacing w:val="-10"/>
          <w:sz w:val="28"/>
          <w:szCs w:val="28"/>
          <w:highlight w:val="none"/>
          <w:u w:val="none"/>
        </w:rPr>
        <w:t>1天</w:t>
      </w:r>
      <w:r>
        <w:rPr>
          <w:rFonts w:hint="eastAsia" w:ascii="宋体" w:hAnsi="宋体" w:eastAsia="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lang w:val="en-US" w:eastAsia="zh-CN"/>
        </w:rPr>
        <w:t>按合同总额千分之二计算向甲方承担违约金</w:t>
      </w:r>
      <w:r>
        <w:rPr>
          <w:rFonts w:hint="eastAsia" w:ascii="宋体" w:hAnsi="宋体" w:eastAsia="宋体" w:cs="宋体"/>
          <w:color w:val="auto"/>
          <w:spacing w:val="-10"/>
          <w:sz w:val="28"/>
          <w:szCs w:val="28"/>
          <w:highlight w:val="none"/>
          <w:u w:val="none"/>
          <w:lang w:eastAsia="zh-CN"/>
        </w:rPr>
        <w:t>；未经甲方书面同意停止营运达</w:t>
      </w:r>
      <w:r>
        <w:rPr>
          <w:rFonts w:hint="eastAsia" w:ascii="宋体" w:hAnsi="宋体" w:eastAsia="宋体" w:cs="宋体"/>
          <w:color w:val="auto"/>
          <w:spacing w:val="-10"/>
          <w:sz w:val="28"/>
          <w:szCs w:val="28"/>
          <w:highlight w:val="none"/>
          <w:u w:val="none"/>
          <w:lang w:val="en-US" w:eastAsia="zh-CN"/>
        </w:rPr>
        <w:t>3天，甲方还有权单方解除合同，并要求乙方承担上述违约责任。如因战争、洪水、台风、地震、停电、未支付运维款等因素影响而不能执行合同的，乙方不承担违约责任</w:t>
      </w:r>
      <w:r>
        <w:rPr>
          <w:rFonts w:hint="eastAsia" w:ascii="宋体" w:hAnsi="宋体" w:eastAsia="宋体" w:cs="宋体"/>
          <w:color w:val="auto"/>
          <w:spacing w:val="-10"/>
          <w:sz w:val="28"/>
          <w:szCs w:val="28"/>
          <w:highlight w:val="none"/>
          <w:u w:val="none"/>
        </w:rPr>
        <w:t>。</w:t>
      </w:r>
    </w:p>
    <w:p w14:paraId="12BD7FD1">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6.1.2</w:t>
      </w:r>
      <w:r>
        <w:rPr>
          <w:rFonts w:hint="eastAsia" w:ascii="宋体" w:hAnsi="宋体" w:eastAsia="宋体" w:cs="宋体"/>
          <w:color w:val="auto"/>
          <w:spacing w:val="-10"/>
          <w:sz w:val="28"/>
          <w:szCs w:val="28"/>
          <w:highlight w:val="none"/>
          <w:u w:val="none"/>
          <w:lang w:eastAsia="zh-CN"/>
        </w:rPr>
        <w:t>乙方出水水质</w:t>
      </w:r>
      <w:r>
        <w:rPr>
          <w:rFonts w:hint="eastAsia" w:ascii="宋体" w:hAnsi="宋体" w:eastAsia="宋体" w:cs="宋体"/>
          <w:color w:val="auto"/>
          <w:spacing w:val="-10"/>
          <w:sz w:val="28"/>
          <w:szCs w:val="28"/>
          <w:highlight w:val="none"/>
          <w:u w:val="none"/>
        </w:rPr>
        <w:t>不能达标排放，</w:t>
      </w:r>
      <w:r>
        <w:rPr>
          <w:rFonts w:hint="eastAsia" w:ascii="宋体" w:hAnsi="宋体" w:eastAsia="宋体" w:cs="宋体"/>
          <w:color w:val="auto"/>
          <w:spacing w:val="-10"/>
          <w:sz w:val="28"/>
          <w:szCs w:val="28"/>
          <w:highlight w:val="none"/>
          <w:u w:val="none"/>
          <w:lang w:val="en-US" w:eastAsia="zh-CN"/>
        </w:rPr>
        <w:t>承担行政处罚责任</w:t>
      </w:r>
      <w:r>
        <w:rPr>
          <w:rFonts w:hint="eastAsia" w:ascii="宋体" w:hAnsi="宋体" w:eastAsia="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lang w:val="en-US" w:eastAsia="zh-CN"/>
        </w:rPr>
        <w:t>应当及时整改，每被行政处罚一次按按合同总额千分之二计算向甲方承担违约金；</w:t>
      </w:r>
      <w:r>
        <w:rPr>
          <w:rFonts w:hint="eastAsia" w:ascii="宋体" w:hAnsi="宋体" w:eastAsia="宋体" w:cs="宋体"/>
          <w:color w:val="auto"/>
          <w:spacing w:val="-10"/>
          <w:sz w:val="28"/>
          <w:szCs w:val="28"/>
          <w:highlight w:val="none"/>
          <w:u w:val="none"/>
        </w:rPr>
        <w:t>若乙方在一个季度内整改后仍不合格达两次，甲方还有权单方解除并要求承担上述违约金责任。</w:t>
      </w:r>
      <w:r>
        <w:rPr>
          <w:rFonts w:hint="eastAsia" w:ascii="宋体" w:hAnsi="宋体" w:eastAsia="宋体" w:cs="宋体"/>
          <w:color w:val="auto"/>
          <w:spacing w:val="-10"/>
          <w:sz w:val="28"/>
          <w:szCs w:val="28"/>
          <w:highlight w:val="none"/>
          <w:u w:val="none"/>
          <w:lang w:val="en-US" w:eastAsia="zh-CN"/>
        </w:rPr>
        <w:t>但由于处理设备故障、雨水量大造成的等特殊因素造成超标，并及时检修维修，书面向甲方汇报；因进水水量、水质超出设计标准，乙方免去处罚和违约金。</w:t>
      </w:r>
    </w:p>
    <w:p w14:paraId="25F9E139">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6.1.3转包或者分包本服务项目</w:t>
      </w:r>
      <w:r>
        <w:rPr>
          <w:rFonts w:hint="eastAsia" w:ascii="宋体" w:hAnsi="宋体" w:cs="宋体"/>
          <w:color w:val="auto"/>
          <w:spacing w:val="-10"/>
          <w:sz w:val="28"/>
          <w:szCs w:val="28"/>
          <w:highlight w:val="none"/>
          <w:u w:val="none"/>
          <w:lang w:val="en-US" w:eastAsia="zh-CN"/>
        </w:rPr>
        <w:t>，</w:t>
      </w:r>
      <w:r>
        <w:rPr>
          <w:rFonts w:hint="eastAsia" w:ascii="宋体" w:hAnsi="宋体" w:eastAsia="宋体" w:cs="宋体"/>
          <w:color w:val="auto"/>
          <w:spacing w:val="-10"/>
          <w:sz w:val="28"/>
          <w:szCs w:val="28"/>
          <w:highlight w:val="none"/>
          <w:u w:val="none"/>
        </w:rPr>
        <w:t>甲方有权单方解除合同，并有权要求乙方按合同总额</w:t>
      </w:r>
      <w:r>
        <w:rPr>
          <w:rFonts w:hint="eastAsia" w:ascii="宋体" w:hAnsi="宋体" w:eastAsia="宋体" w:cs="宋体"/>
          <w:color w:val="auto"/>
          <w:spacing w:val="-10"/>
          <w:sz w:val="28"/>
          <w:szCs w:val="28"/>
          <w:highlight w:val="none"/>
          <w:u w:val="none"/>
          <w:lang w:val="en-US" w:eastAsia="zh-CN"/>
        </w:rPr>
        <w:t>百分之五</w:t>
      </w:r>
      <w:r>
        <w:rPr>
          <w:rFonts w:hint="eastAsia" w:ascii="宋体" w:hAnsi="宋体" w:eastAsia="宋体" w:cs="宋体"/>
          <w:color w:val="auto"/>
          <w:spacing w:val="-10"/>
          <w:sz w:val="28"/>
          <w:szCs w:val="28"/>
          <w:highlight w:val="none"/>
          <w:u w:val="none"/>
        </w:rPr>
        <w:t>承担违约金。。</w:t>
      </w:r>
    </w:p>
    <w:p w14:paraId="06DC417B">
      <w:pPr>
        <w:pStyle w:val="17"/>
        <w:spacing w:line="540" w:lineRule="exact"/>
        <w:ind w:firstLine="520" w:firstLineChars="200"/>
        <w:rPr>
          <w:rFonts w:hint="eastAsia" w:ascii="宋体" w:hAnsi="宋体" w:eastAsia="宋体" w:cs="宋体"/>
          <w:color w:val="auto"/>
          <w:spacing w:val="-10"/>
          <w:sz w:val="28"/>
          <w:szCs w:val="28"/>
          <w:highlight w:val="none"/>
          <w:u w:val="none"/>
          <w:lang w:val="en-US" w:eastAsia="zh-CN"/>
        </w:rPr>
      </w:pPr>
      <w:r>
        <w:rPr>
          <w:rFonts w:hint="eastAsia" w:ascii="宋体" w:hAnsi="宋体" w:eastAsia="宋体" w:cs="宋体"/>
          <w:color w:val="auto"/>
          <w:spacing w:val="-10"/>
          <w:sz w:val="28"/>
          <w:szCs w:val="28"/>
          <w:highlight w:val="none"/>
          <w:u w:val="none"/>
          <w:lang w:val="en-US" w:eastAsia="zh-CN"/>
        </w:rPr>
        <w:t>6.1.4连续两季度绩效考核不合格（＜60分）的，</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lang w:val="en-US" w:eastAsia="zh-CN"/>
        </w:rPr>
        <w:t>按合同总额</w:t>
      </w:r>
      <w:r>
        <w:rPr>
          <w:rFonts w:hint="eastAsia" w:ascii="宋体" w:hAnsi="宋体" w:eastAsia="宋体" w:cs="宋体"/>
          <w:color w:val="auto"/>
          <w:spacing w:val="-10"/>
          <w:kern w:val="2"/>
          <w:sz w:val="28"/>
          <w:szCs w:val="28"/>
          <w:highlight w:val="none"/>
          <w:u w:val="none"/>
          <w:lang w:val="en-US" w:eastAsia="zh-CN" w:bidi="ar-SA"/>
        </w:rPr>
        <w:t>千分之二</w:t>
      </w:r>
      <w:r>
        <w:rPr>
          <w:rFonts w:hint="eastAsia" w:ascii="宋体" w:hAnsi="宋体" w:eastAsia="宋体" w:cs="宋体"/>
          <w:color w:val="auto"/>
          <w:spacing w:val="-10"/>
          <w:sz w:val="28"/>
          <w:szCs w:val="28"/>
          <w:highlight w:val="none"/>
          <w:u w:val="none"/>
          <w:lang w:val="en-US" w:eastAsia="zh-CN"/>
        </w:rPr>
        <w:t>计算向甲方承担违约金；合同终止。</w:t>
      </w:r>
    </w:p>
    <w:p w14:paraId="579D127B">
      <w:pPr>
        <w:pStyle w:val="17"/>
        <w:spacing w:line="540" w:lineRule="exact"/>
        <w:ind w:firstLine="520" w:firstLineChars="200"/>
        <w:rPr>
          <w:rFonts w:hint="eastAsia" w:ascii="宋体" w:hAnsi="宋体" w:eastAsia="宋体" w:cs="宋体"/>
          <w:color w:val="auto"/>
          <w:spacing w:val="-10"/>
          <w:sz w:val="28"/>
          <w:szCs w:val="28"/>
          <w:highlight w:val="none"/>
          <w:u w:val="none"/>
          <w:lang w:eastAsia="zh-CN"/>
        </w:rPr>
      </w:pPr>
      <w:r>
        <w:rPr>
          <w:rFonts w:hint="eastAsia" w:ascii="宋体" w:hAnsi="宋体" w:eastAsia="宋体" w:cs="宋体"/>
          <w:color w:val="auto"/>
          <w:spacing w:val="-10"/>
          <w:sz w:val="28"/>
          <w:szCs w:val="28"/>
          <w:highlight w:val="none"/>
          <w:u w:val="none"/>
          <w:lang w:val="en-US" w:eastAsia="zh-CN"/>
        </w:rPr>
        <w:t>6.1.5不依法支付工人工资、社保、福利，造成工人信访，</w:t>
      </w:r>
      <w:r>
        <w:rPr>
          <w:rFonts w:hint="eastAsia" w:ascii="宋体" w:hAnsi="宋体" w:eastAsia="宋体" w:cs="宋体"/>
          <w:color w:val="auto"/>
          <w:spacing w:val="-10"/>
          <w:sz w:val="28"/>
          <w:szCs w:val="28"/>
          <w:highlight w:val="none"/>
          <w:u w:val="none"/>
        </w:rPr>
        <w:t>必须在五天内付清拖欠的工人工资、社保、福利以息访了事，同时需按合同数额千分之</w:t>
      </w:r>
      <w:r>
        <w:rPr>
          <w:rFonts w:hint="eastAsia" w:ascii="宋体" w:hAnsi="宋体" w:eastAsia="宋体" w:cs="宋体"/>
          <w:color w:val="auto"/>
          <w:spacing w:val="-10"/>
          <w:sz w:val="28"/>
          <w:szCs w:val="28"/>
          <w:highlight w:val="none"/>
          <w:u w:val="none"/>
          <w:lang w:eastAsia="zh-CN"/>
        </w:rPr>
        <w:t>二</w:t>
      </w:r>
      <w:r>
        <w:rPr>
          <w:rFonts w:hint="eastAsia" w:ascii="宋体" w:hAnsi="宋体" w:eastAsia="宋体" w:cs="宋体"/>
          <w:color w:val="auto"/>
          <w:spacing w:val="-10"/>
          <w:sz w:val="28"/>
          <w:szCs w:val="28"/>
          <w:highlight w:val="none"/>
          <w:u w:val="none"/>
        </w:rPr>
        <w:t>向甲方支付违约金；如五天内不能解决拖欠的工人工资、社保、福利的，甲方还有权单方解除合同，并要求乙方承担上述违约金责任</w:t>
      </w:r>
      <w:r>
        <w:rPr>
          <w:rFonts w:hint="eastAsia" w:ascii="宋体" w:hAnsi="宋体" w:eastAsia="宋体" w:cs="宋体"/>
          <w:color w:val="auto"/>
          <w:spacing w:val="-10"/>
          <w:sz w:val="28"/>
          <w:szCs w:val="28"/>
          <w:highlight w:val="none"/>
          <w:u w:val="none"/>
          <w:lang w:eastAsia="zh-CN"/>
        </w:rPr>
        <w:t>。</w:t>
      </w:r>
    </w:p>
    <w:p w14:paraId="325BD519">
      <w:pPr>
        <w:pStyle w:val="17"/>
        <w:spacing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val="en-US" w:eastAsia="zh-CN"/>
        </w:rPr>
        <w:t>6.2</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的违约责任：</w:t>
      </w:r>
    </w:p>
    <w:p w14:paraId="71FF8D8C">
      <w:pPr>
        <w:spacing w:beforeAutospacing="0" w:afterAutospacing="0" w:line="540" w:lineRule="exact"/>
        <w:ind w:firstLine="52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pacing w:val="-10"/>
          <w:sz w:val="28"/>
          <w:szCs w:val="28"/>
          <w:highlight w:val="none"/>
          <w:u w:val="none"/>
          <w:lang w:val="en-US" w:eastAsia="zh-CN"/>
        </w:rPr>
        <w:t>6.2.1北流市财政局拨付资金后10个工作日内，</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未按合同约定支付合同价款</w:t>
      </w:r>
      <w:r>
        <w:rPr>
          <w:rFonts w:hint="eastAsia" w:ascii="宋体" w:hAnsi="宋体" w:eastAsia="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rPr>
        <w:t>每日按</w:t>
      </w:r>
      <w:r>
        <w:rPr>
          <w:rFonts w:hint="eastAsia" w:ascii="宋体" w:hAnsi="宋体" w:eastAsia="宋体" w:cs="宋体"/>
          <w:color w:val="auto"/>
          <w:spacing w:val="-10"/>
          <w:sz w:val="28"/>
          <w:szCs w:val="28"/>
          <w:highlight w:val="none"/>
          <w:u w:val="none"/>
          <w:lang w:val="en-US" w:eastAsia="zh-CN"/>
        </w:rPr>
        <w:t>逾期未付</w:t>
      </w:r>
      <w:r>
        <w:rPr>
          <w:rFonts w:hint="eastAsia" w:ascii="宋体" w:hAnsi="宋体" w:eastAsia="宋体" w:cs="宋体"/>
          <w:color w:val="auto"/>
          <w:spacing w:val="-10"/>
          <w:sz w:val="28"/>
          <w:szCs w:val="28"/>
          <w:highlight w:val="none"/>
          <w:u w:val="none"/>
        </w:rPr>
        <w:t>金额的</w:t>
      </w:r>
      <w:r>
        <w:rPr>
          <w:rFonts w:hint="eastAsia" w:ascii="宋体" w:hAnsi="宋体" w:eastAsia="宋体" w:cs="宋体"/>
          <w:color w:val="auto"/>
          <w:spacing w:val="-10"/>
          <w:sz w:val="28"/>
          <w:szCs w:val="28"/>
          <w:highlight w:val="none"/>
          <w:u w:val="single"/>
          <w:lang w:eastAsia="zh-CN"/>
        </w:rPr>
        <w:t>千</w:t>
      </w:r>
      <w:r>
        <w:rPr>
          <w:rFonts w:hint="eastAsia" w:ascii="宋体" w:hAnsi="宋体" w:eastAsia="宋体" w:cs="宋体"/>
          <w:color w:val="auto"/>
          <w:spacing w:val="-10"/>
          <w:sz w:val="28"/>
          <w:szCs w:val="28"/>
          <w:highlight w:val="none"/>
          <w:u w:val="single"/>
        </w:rPr>
        <w:t>分之</w:t>
      </w:r>
      <w:r>
        <w:rPr>
          <w:rFonts w:hint="eastAsia" w:ascii="宋体" w:hAnsi="宋体" w:eastAsia="宋体" w:cs="宋体"/>
          <w:color w:val="auto"/>
          <w:spacing w:val="-10"/>
          <w:sz w:val="28"/>
          <w:szCs w:val="28"/>
          <w:highlight w:val="none"/>
          <w:u w:val="single"/>
          <w:lang w:eastAsia="zh-CN"/>
        </w:rPr>
        <w:t>二</w:t>
      </w:r>
      <w:r>
        <w:rPr>
          <w:rFonts w:hint="eastAsia" w:ascii="宋体" w:hAnsi="宋体" w:eastAsia="宋体" w:cs="宋体"/>
          <w:color w:val="auto"/>
          <w:spacing w:val="-10"/>
          <w:sz w:val="28"/>
          <w:szCs w:val="28"/>
          <w:highlight w:val="none"/>
          <w:u w:val="none"/>
        </w:rPr>
        <w:t>向</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支付</w:t>
      </w:r>
      <w:r>
        <w:rPr>
          <w:rFonts w:hint="eastAsia" w:ascii="宋体" w:hAnsi="宋体" w:eastAsia="宋体" w:cs="宋体"/>
          <w:color w:val="auto"/>
          <w:spacing w:val="-10"/>
          <w:sz w:val="28"/>
          <w:szCs w:val="28"/>
          <w:highlight w:val="none"/>
          <w:u w:val="none"/>
          <w:lang w:val="en-US" w:eastAsia="zh-CN"/>
        </w:rPr>
        <w:t>违约</w:t>
      </w:r>
      <w:r>
        <w:rPr>
          <w:rFonts w:hint="eastAsia" w:ascii="宋体" w:hAnsi="宋体" w:eastAsia="宋体" w:cs="宋体"/>
          <w:color w:val="auto"/>
          <w:spacing w:val="-10"/>
          <w:sz w:val="28"/>
          <w:szCs w:val="28"/>
          <w:highlight w:val="none"/>
          <w:u w:val="none"/>
        </w:rPr>
        <w:t>金</w:t>
      </w:r>
      <w:r>
        <w:rPr>
          <w:rFonts w:hint="eastAsia" w:ascii="宋体" w:hAnsi="宋体" w:eastAsia="宋体" w:cs="宋体"/>
          <w:b w:val="0"/>
          <w:bCs w:val="0"/>
          <w:color w:val="auto"/>
          <w:spacing w:val="-10"/>
          <w:sz w:val="28"/>
          <w:szCs w:val="28"/>
          <w:highlight w:val="none"/>
          <w:u w:val="none"/>
          <w:lang w:eastAsia="zh-CN"/>
        </w:rPr>
        <w:t>；</w:t>
      </w:r>
    </w:p>
    <w:p w14:paraId="396F4E50">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lang w:eastAsia="zh-CN"/>
        </w:rPr>
        <w:t>七</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、合同的变更、解除或终止</w:t>
      </w:r>
    </w:p>
    <w:p w14:paraId="779DA67E">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本合同生效后即具有法律约束力，发包、承包双方均不得随意变更或解除。正常情况下本合同需要变更，须经双方协商一致达成新的书面协议。在新的书面协议未达成之前，本合同依然有效</w:t>
      </w:r>
      <w:r>
        <w:rPr>
          <w:rFonts w:hint="eastAsia" w:ascii="宋体" w:hAnsi="宋体" w:eastAsia="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lang w:val="en-US" w:eastAsia="zh-CN"/>
        </w:rPr>
        <w:t>除非本合同另有约定外</w:t>
      </w:r>
      <w:r>
        <w:rPr>
          <w:rFonts w:hint="eastAsia" w:ascii="宋体" w:hAnsi="宋体" w:eastAsia="宋体" w:cs="宋体"/>
          <w:color w:val="auto"/>
          <w:spacing w:val="-10"/>
          <w:sz w:val="28"/>
          <w:szCs w:val="28"/>
          <w:highlight w:val="none"/>
          <w:u w:val="none"/>
        </w:rPr>
        <w:t>。本合同如要解除，须经双方协商一致并达成书面意见。</w:t>
      </w:r>
    </w:p>
    <w:p w14:paraId="273A4F3F">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lang w:eastAsia="zh-CN"/>
        </w:rPr>
        <w:t>八</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w:t>
      </w:r>
      <w:r>
        <w:rPr>
          <w:rFonts w:hint="eastAsia" w:ascii="宋体" w:hAnsi="宋体" w:eastAsia="宋体" w:cs="宋体"/>
          <w:b/>
          <w:bCs/>
          <w:color w:val="auto"/>
          <w:spacing w:val="-10"/>
          <w:sz w:val="28"/>
          <w:szCs w:val="28"/>
          <w:highlight w:val="none"/>
          <w:u w:val="none"/>
          <w:lang w:eastAsia="zh-CN"/>
        </w:rPr>
        <w:t>合同</w:t>
      </w:r>
      <w:r>
        <w:rPr>
          <w:rFonts w:hint="eastAsia" w:ascii="宋体" w:hAnsi="宋体" w:eastAsia="宋体" w:cs="宋体"/>
          <w:b/>
          <w:bCs/>
          <w:color w:val="auto"/>
          <w:spacing w:val="-10"/>
          <w:sz w:val="28"/>
          <w:szCs w:val="28"/>
          <w:highlight w:val="none"/>
          <w:u w:val="none"/>
        </w:rPr>
        <w:t>期限</w:t>
      </w:r>
    </w:p>
    <w:p w14:paraId="78FD251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lang w:eastAsia="zh-CN"/>
        </w:rPr>
        <w:t>合同</w:t>
      </w:r>
      <w:r>
        <w:rPr>
          <w:rFonts w:hint="eastAsia" w:ascii="宋体" w:hAnsi="宋体" w:eastAsia="宋体" w:cs="宋体"/>
          <w:color w:val="auto"/>
          <w:spacing w:val="-10"/>
          <w:sz w:val="28"/>
          <w:szCs w:val="28"/>
          <w:highlight w:val="none"/>
          <w:u w:val="none"/>
        </w:rPr>
        <w:t>期限为</w:t>
      </w:r>
      <w:r>
        <w:rPr>
          <w:rFonts w:hint="eastAsia" w:ascii="宋体" w:hAnsi="宋体" w:eastAsia="宋体" w:cs="宋体"/>
          <w:color w:val="auto"/>
          <w:spacing w:val="-10"/>
          <w:sz w:val="28"/>
          <w:szCs w:val="28"/>
          <w:highlight w:val="none"/>
          <w:u w:val="none"/>
          <w:lang w:val="en-US" w:eastAsia="zh-CN"/>
        </w:rPr>
        <w:t>3</w:t>
      </w:r>
      <w:r>
        <w:rPr>
          <w:rFonts w:hint="eastAsia" w:ascii="宋体" w:hAnsi="宋体" w:eastAsia="宋体" w:cs="宋体"/>
          <w:color w:val="auto"/>
          <w:spacing w:val="-10"/>
          <w:sz w:val="28"/>
          <w:szCs w:val="28"/>
          <w:highlight w:val="none"/>
          <w:u w:val="none"/>
        </w:rPr>
        <w:t>年，自</w:t>
      </w:r>
      <w:r>
        <w:rPr>
          <w:rFonts w:hint="eastAsia" w:ascii="宋体" w:hAnsi="宋体" w:eastAsia="宋体" w:cs="宋体"/>
          <w:color w:val="auto"/>
          <w:spacing w:val="-10"/>
          <w:sz w:val="28"/>
          <w:szCs w:val="28"/>
          <w:highlight w:val="none"/>
          <w:u w:val="none"/>
          <w:lang w:val="en-US" w:eastAsia="zh-CN"/>
        </w:rPr>
        <w:t xml:space="preserve">       年      月      日</w:t>
      </w:r>
      <w:r>
        <w:rPr>
          <w:rFonts w:hint="eastAsia" w:ascii="宋体" w:hAnsi="宋体" w:eastAsia="宋体" w:cs="宋体"/>
          <w:color w:val="auto"/>
          <w:spacing w:val="-10"/>
          <w:sz w:val="28"/>
          <w:szCs w:val="28"/>
          <w:highlight w:val="none"/>
          <w:u w:val="none"/>
          <w:lang w:eastAsia="zh-CN"/>
        </w:rPr>
        <w:t>起生效</w:t>
      </w:r>
      <w:r>
        <w:rPr>
          <w:rFonts w:hint="eastAsia" w:ascii="宋体" w:hAnsi="宋体" w:eastAsia="宋体" w:cs="宋体"/>
          <w:color w:val="auto"/>
          <w:spacing w:val="-10"/>
          <w:sz w:val="28"/>
          <w:szCs w:val="28"/>
          <w:highlight w:val="none"/>
          <w:u w:val="none"/>
        </w:rPr>
        <w:t>。</w:t>
      </w:r>
    </w:p>
    <w:p w14:paraId="23635D5F">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lang w:eastAsia="zh-CN"/>
        </w:rPr>
        <w:t>九</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、不可抗力</w:t>
      </w:r>
    </w:p>
    <w:p w14:paraId="7D396840">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由于受诸如战争、洪水、台风、地震等不可抗力事件的影响而不能执行合同时</w:t>
      </w:r>
      <w:r>
        <w:rPr>
          <w:rFonts w:hint="eastAsia" w:ascii="宋体" w:hAnsi="宋体" w:eastAsia="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rPr>
        <w:t>互不承担违约责任。由于不可抗力的原因使本合同无法完全履行或无法履行时，经</w:t>
      </w:r>
      <w:r>
        <w:rPr>
          <w:rFonts w:hint="eastAsia" w:ascii="宋体" w:hAnsi="宋体" w:eastAsia="宋体" w:cs="宋体"/>
          <w:color w:val="auto"/>
          <w:spacing w:val="-10"/>
          <w:sz w:val="28"/>
          <w:szCs w:val="28"/>
          <w:highlight w:val="none"/>
          <w:u w:val="none"/>
          <w:lang w:eastAsia="zh-CN"/>
        </w:rPr>
        <w:t>甲乙</w:t>
      </w:r>
      <w:r>
        <w:rPr>
          <w:rFonts w:hint="eastAsia" w:ascii="宋体" w:hAnsi="宋体" w:eastAsia="宋体" w:cs="宋体"/>
          <w:color w:val="auto"/>
          <w:spacing w:val="-10"/>
          <w:sz w:val="28"/>
          <w:szCs w:val="28"/>
          <w:highlight w:val="none"/>
          <w:u w:val="none"/>
        </w:rPr>
        <w:t>双方协商一致，可以变更或解除本合同。</w:t>
      </w:r>
    </w:p>
    <w:p w14:paraId="3EEFE941">
      <w:pPr>
        <w:widowControl w:val="0"/>
        <w:wordWrap/>
        <w:adjustRightInd/>
        <w:snapToGrid/>
        <w:spacing w:beforeAutospacing="0" w:afterAutospacing="0" w:line="540" w:lineRule="exact"/>
        <w:ind w:firstLine="522" w:firstLineChars="20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rPr>
        <w:t>十</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、合同修改</w:t>
      </w:r>
    </w:p>
    <w:p w14:paraId="2D52B49A">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对合同条款做出任何修改，均须由</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rPr>
        <w:t>、</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rPr>
        <w:t>双方协商，以书面补充合同形式进行。</w:t>
      </w:r>
    </w:p>
    <w:p w14:paraId="2A0FB216">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rPr>
        <w:t>十一</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、争议解决与适用法律</w:t>
      </w:r>
    </w:p>
    <w:p w14:paraId="3152F4DB">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13.１本合同按《中华人民共和国</w:t>
      </w:r>
      <w:r>
        <w:rPr>
          <w:rFonts w:hint="eastAsia" w:ascii="宋体" w:hAnsi="宋体" w:eastAsia="宋体" w:cs="宋体"/>
          <w:color w:val="auto"/>
          <w:spacing w:val="-10"/>
          <w:sz w:val="28"/>
          <w:szCs w:val="28"/>
          <w:highlight w:val="none"/>
          <w:u w:val="none"/>
          <w:lang w:eastAsia="zh-CN"/>
        </w:rPr>
        <w:t>民法典</w:t>
      </w:r>
      <w:r>
        <w:rPr>
          <w:rFonts w:hint="eastAsia" w:ascii="宋体" w:hAnsi="宋体" w:eastAsia="宋体" w:cs="宋体"/>
          <w:color w:val="auto"/>
          <w:spacing w:val="-10"/>
          <w:sz w:val="28"/>
          <w:szCs w:val="28"/>
          <w:highlight w:val="none"/>
          <w:u w:val="none"/>
        </w:rPr>
        <w:t>》解释。</w:t>
      </w:r>
    </w:p>
    <w:p w14:paraId="0230D845">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13.2在履行本合同过程中发生争议时</w:t>
      </w:r>
      <w:r>
        <w:rPr>
          <w:rFonts w:hint="eastAsia" w:ascii="宋体" w:hAnsi="宋体" w:eastAsia="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rPr>
        <w:t>双方协商解决；协商无效时，向</w:t>
      </w:r>
      <w:r>
        <w:rPr>
          <w:rFonts w:hint="eastAsia" w:ascii="宋体" w:hAnsi="宋体" w:eastAsia="宋体" w:cs="宋体"/>
          <w:color w:val="auto"/>
          <w:spacing w:val="-10"/>
          <w:sz w:val="28"/>
          <w:szCs w:val="28"/>
          <w:highlight w:val="none"/>
          <w:u w:val="none"/>
          <w:lang w:eastAsia="zh-CN"/>
        </w:rPr>
        <w:t>污水处理厂所在地</w:t>
      </w:r>
      <w:r>
        <w:rPr>
          <w:rFonts w:hint="eastAsia" w:ascii="宋体" w:hAnsi="宋体" w:eastAsia="宋体" w:cs="宋体"/>
          <w:color w:val="auto"/>
          <w:spacing w:val="-10"/>
          <w:sz w:val="28"/>
          <w:szCs w:val="28"/>
          <w:highlight w:val="none"/>
          <w:u w:val="none"/>
        </w:rPr>
        <w:t>人民法院提起诉讼解决。</w:t>
      </w:r>
    </w:p>
    <w:p w14:paraId="1346F962">
      <w:pPr>
        <w:widowControl w:val="0"/>
        <w:wordWrap/>
        <w:adjustRightInd/>
        <w:snapToGrid/>
        <w:spacing w:beforeAutospacing="0" w:afterAutospacing="0" w:line="540" w:lineRule="exact"/>
        <w:ind w:firstLine="522" w:firstLineChars="200"/>
        <w:outlineLvl w:val="0"/>
        <w:rPr>
          <w:rFonts w:hint="eastAsia" w:ascii="宋体" w:hAnsi="宋体" w:eastAsia="宋体" w:cs="宋体"/>
          <w:b/>
          <w:bCs/>
          <w:color w:val="auto"/>
          <w:spacing w:val="-10"/>
          <w:sz w:val="28"/>
          <w:szCs w:val="28"/>
          <w:highlight w:val="none"/>
          <w:u w:val="none"/>
        </w:rPr>
      </w:pPr>
      <w:r>
        <w:rPr>
          <w:rFonts w:hint="eastAsia" w:ascii="宋体" w:hAnsi="宋体" w:eastAsia="宋体" w:cs="宋体"/>
          <w:b/>
          <w:bCs/>
          <w:color w:val="auto"/>
          <w:spacing w:val="-10"/>
          <w:sz w:val="28"/>
          <w:szCs w:val="28"/>
          <w:highlight w:val="none"/>
          <w:u w:val="none"/>
          <w:lang w:val="en-US" w:eastAsia="zh-CN"/>
        </w:rPr>
        <w:t>第</w:t>
      </w:r>
      <w:r>
        <w:rPr>
          <w:rFonts w:hint="eastAsia" w:ascii="宋体" w:hAnsi="宋体" w:eastAsia="宋体" w:cs="宋体"/>
          <w:b/>
          <w:bCs/>
          <w:color w:val="auto"/>
          <w:spacing w:val="-10"/>
          <w:sz w:val="28"/>
          <w:szCs w:val="28"/>
          <w:highlight w:val="none"/>
          <w:u w:val="none"/>
        </w:rPr>
        <w:t>十</w:t>
      </w:r>
      <w:r>
        <w:rPr>
          <w:rFonts w:hint="eastAsia" w:ascii="宋体" w:hAnsi="宋体" w:eastAsia="宋体" w:cs="宋体"/>
          <w:b/>
          <w:bCs/>
          <w:color w:val="auto"/>
          <w:spacing w:val="-10"/>
          <w:sz w:val="28"/>
          <w:szCs w:val="28"/>
          <w:highlight w:val="none"/>
          <w:u w:val="none"/>
          <w:lang w:eastAsia="zh-CN"/>
        </w:rPr>
        <w:t>二</w:t>
      </w:r>
      <w:r>
        <w:rPr>
          <w:rFonts w:hint="eastAsia" w:ascii="宋体" w:hAnsi="宋体" w:eastAsia="宋体" w:cs="宋体"/>
          <w:b/>
          <w:bCs/>
          <w:color w:val="auto"/>
          <w:spacing w:val="-10"/>
          <w:sz w:val="28"/>
          <w:szCs w:val="28"/>
          <w:highlight w:val="none"/>
          <w:u w:val="none"/>
          <w:lang w:val="en-US" w:eastAsia="zh-CN"/>
        </w:rPr>
        <w:t>条</w:t>
      </w:r>
      <w:r>
        <w:rPr>
          <w:rFonts w:hint="eastAsia" w:ascii="宋体" w:hAnsi="宋体" w:eastAsia="宋体" w:cs="宋体"/>
          <w:b/>
          <w:bCs/>
          <w:color w:val="auto"/>
          <w:spacing w:val="-10"/>
          <w:sz w:val="28"/>
          <w:szCs w:val="28"/>
          <w:highlight w:val="none"/>
          <w:u w:val="none"/>
        </w:rPr>
        <w:t>、其他</w:t>
      </w:r>
    </w:p>
    <w:p w14:paraId="03B36963">
      <w:pPr>
        <w:widowControl w:val="0"/>
        <w:wordWrap/>
        <w:adjustRightInd/>
        <w:snapToGrid/>
        <w:spacing w:beforeAutospacing="0" w:afterAutospacing="0" w:line="540" w:lineRule="exact"/>
        <w:ind w:firstLine="520" w:firstLineChars="200"/>
        <w:rPr>
          <w:rFonts w:hint="eastAsia" w:ascii="宋体" w:hAnsi="宋体" w:eastAsia="宋体" w:cs="宋体"/>
          <w:color w:val="auto"/>
          <w:spacing w:val="-10"/>
          <w:sz w:val="28"/>
          <w:szCs w:val="28"/>
          <w:highlight w:val="none"/>
          <w:u w:val="none"/>
        </w:rPr>
      </w:pPr>
      <w:r>
        <w:rPr>
          <w:rFonts w:hint="eastAsia" w:ascii="宋体" w:hAnsi="宋体" w:eastAsia="宋体" w:cs="宋体"/>
          <w:color w:val="auto"/>
          <w:spacing w:val="-10"/>
          <w:sz w:val="28"/>
          <w:szCs w:val="28"/>
          <w:highlight w:val="none"/>
          <w:u w:val="none"/>
        </w:rPr>
        <w:t>本合同一式</w:t>
      </w:r>
      <w:r>
        <w:rPr>
          <w:rFonts w:hint="eastAsia" w:ascii="宋体" w:hAnsi="宋体" w:eastAsia="宋体" w:cs="宋体"/>
          <w:color w:val="auto"/>
          <w:spacing w:val="-10"/>
          <w:sz w:val="28"/>
          <w:szCs w:val="28"/>
          <w:highlight w:val="none"/>
          <w:u w:val="none"/>
          <w:lang w:val="en-US" w:eastAsia="zh-CN"/>
        </w:rPr>
        <w:t>陆</w:t>
      </w:r>
      <w:r>
        <w:rPr>
          <w:rFonts w:hint="eastAsia" w:ascii="宋体" w:hAnsi="宋体" w:eastAsia="宋体" w:cs="宋体"/>
          <w:color w:val="auto"/>
          <w:spacing w:val="-10"/>
          <w:sz w:val="28"/>
          <w:szCs w:val="28"/>
          <w:highlight w:val="none"/>
          <w:u w:val="none"/>
        </w:rPr>
        <w:t>份，</w:t>
      </w:r>
      <w:r>
        <w:rPr>
          <w:rFonts w:hint="eastAsia" w:ascii="宋体" w:hAnsi="宋体" w:eastAsia="宋体" w:cs="宋体"/>
          <w:color w:val="auto"/>
          <w:spacing w:val="-10"/>
          <w:sz w:val="28"/>
          <w:szCs w:val="28"/>
          <w:highlight w:val="none"/>
          <w:u w:val="none"/>
          <w:lang w:eastAsia="zh-CN"/>
        </w:rPr>
        <w:t>甲方</w:t>
      </w:r>
      <w:r>
        <w:rPr>
          <w:rFonts w:hint="eastAsia" w:ascii="宋体" w:hAnsi="宋体" w:eastAsia="宋体" w:cs="宋体"/>
          <w:color w:val="auto"/>
          <w:spacing w:val="-10"/>
          <w:sz w:val="28"/>
          <w:szCs w:val="28"/>
          <w:highlight w:val="none"/>
          <w:u w:val="none"/>
          <w:lang w:val="en-US" w:eastAsia="zh-CN"/>
        </w:rPr>
        <w:t>叁</w:t>
      </w:r>
      <w:r>
        <w:rPr>
          <w:rFonts w:hint="eastAsia" w:ascii="宋体" w:hAnsi="宋体" w:eastAsia="宋体" w:cs="宋体"/>
          <w:color w:val="auto"/>
          <w:spacing w:val="-10"/>
          <w:sz w:val="28"/>
          <w:szCs w:val="28"/>
          <w:highlight w:val="none"/>
          <w:u w:val="none"/>
        </w:rPr>
        <w:t>份，</w:t>
      </w:r>
      <w:r>
        <w:rPr>
          <w:rFonts w:hint="eastAsia" w:ascii="宋体" w:hAnsi="宋体" w:eastAsia="宋体" w:cs="宋体"/>
          <w:color w:val="auto"/>
          <w:spacing w:val="-10"/>
          <w:sz w:val="28"/>
          <w:szCs w:val="28"/>
          <w:highlight w:val="none"/>
          <w:u w:val="none"/>
          <w:lang w:eastAsia="zh-CN"/>
        </w:rPr>
        <w:t>乙方</w:t>
      </w:r>
      <w:r>
        <w:rPr>
          <w:rFonts w:hint="eastAsia" w:ascii="宋体" w:hAnsi="宋体" w:eastAsia="宋体" w:cs="宋体"/>
          <w:color w:val="auto"/>
          <w:spacing w:val="-10"/>
          <w:sz w:val="28"/>
          <w:szCs w:val="28"/>
          <w:highlight w:val="none"/>
          <w:u w:val="none"/>
          <w:lang w:val="en-US" w:eastAsia="zh-CN"/>
        </w:rPr>
        <w:t>贰</w:t>
      </w:r>
      <w:r>
        <w:rPr>
          <w:rFonts w:hint="eastAsia" w:ascii="宋体" w:hAnsi="宋体" w:eastAsia="宋体" w:cs="宋体"/>
          <w:color w:val="auto"/>
          <w:spacing w:val="-10"/>
          <w:sz w:val="28"/>
          <w:szCs w:val="28"/>
          <w:highlight w:val="none"/>
          <w:u w:val="none"/>
        </w:rPr>
        <w:t>份，代理</w:t>
      </w:r>
      <w:r>
        <w:rPr>
          <w:rFonts w:hint="eastAsia" w:ascii="宋体" w:hAnsi="宋体" w:eastAsia="宋体" w:cs="宋体"/>
          <w:color w:val="auto"/>
          <w:spacing w:val="-10"/>
          <w:sz w:val="28"/>
          <w:szCs w:val="28"/>
          <w:highlight w:val="none"/>
          <w:u w:val="none"/>
          <w:lang w:val="en-US" w:eastAsia="zh-CN"/>
        </w:rPr>
        <w:t>公司壹</w:t>
      </w:r>
      <w:r>
        <w:rPr>
          <w:rFonts w:hint="eastAsia" w:ascii="宋体" w:hAnsi="宋体" w:eastAsia="宋体" w:cs="宋体"/>
          <w:color w:val="auto"/>
          <w:spacing w:val="-10"/>
          <w:sz w:val="28"/>
          <w:szCs w:val="28"/>
          <w:highlight w:val="none"/>
          <w:u w:val="none"/>
        </w:rPr>
        <w:t>份</w:t>
      </w:r>
      <w:r>
        <w:rPr>
          <w:rFonts w:hint="eastAsia" w:ascii="宋体" w:hAnsi="宋体" w:eastAsia="宋体" w:cs="宋体"/>
          <w:color w:val="auto"/>
          <w:spacing w:val="-10"/>
          <w:sz w:val="28"/>
          <w:szCs w:val="28"/>
          <w:highlight w:val="none"/>
          <w:u w:val="none"/>
          <w:lang w:eastAsia="zh-CN"/>
        </w:rPr>
        <w:t>，</w:t>
      </w:r>
      <w:r>
        <w:rPr>
          <w:rFonts w:hint="eastAsia" w:ascii="宋体" w:hAnsi="宋体" w:eastAsia="宋体" w:cs="宋体"/>
          <w:color w:val="auto"/>
          <w:spacing w:val="-10"/>
          <w:sz w:val="28"/>
          <w:szCs w:val="28"/>
          <w:highlight w:val="none"/>
          <w:u w:val="none"/>
        </w:rPr>
        <w:t>均具有同等法律效力。</w:t>
      </w:r>
    </w:p>
    <w:p w14:paraId="4DE0DC45">
      <w:pPr>
        <w:rPr>
          <w:rFonts w:hint="eastAsia" w:ascii="宋体" w:hAnsi="宋体" w:eastAsia="宋体" w:cs="宋体"/>
          <w:b w:val="0"/>
          <w:bCs/>
          <w:color w:val="auto"/>
          <w:spacing w:val="-10"/>
          <w:sz w:val="28"/>
          <w:szCs w:val="28"/>
          <w:highlight w:val="none"/>
          <w:u w:val="none"/>
        </w:rPr>
      </w:pPr>
    </w:p>
    <w:p w14:paraId="4A65D3DF">
      <w:pPr>
        <w:rPr>
          <w:rFonts w:hint="eastAsia" w:ascii="宋体" w:hAnsi="宋体" w:eastAsia="宋体" w:cs="宋体"/>
          <w:b w:val="0"/>
          <w:bCs/>
          <w:color w:val="auto"/>
          <w:spacing w:val="-10"/>
          <w:sz w:val="28"/>
          <w:szCs w:val="28"/>
          <w:highlight w:val="none"/>
          <w:u w:val="none"/>
          <w:lang w:eastAsia="zh-CN"/>
        </w:rPr>
      </w:pPr>
      <w:r>
        <w:rPr>
          <w:rFonts w:hint="eastAsia" w:ascii="宋体" w:hAnsi="宋体" w:eastAsia="宋体" w:cs="宋体"/>
          <w:b w:val="0"/>
          <w:bCs/>
          <w:color w:val="auto"/>
          <w:spacing w:val="-10"/>
          <w:sz w:val="28"/>
          <w:szCs w:val="28"/>
          <w:highlight w:val="none"/>
          <w:u w:val="none"/>
        </w:rPr>
        <w:t>甲方：</w:t>
      </w:r>
      <w:r>
        <w:rPr>
          <w:rFonts w:hint="eastAsia" w:ascii="宋体" w:hAnsi="宋体" w:eastAsia="宋体" w:cs="宋体"/>
          <w:b w:val="0"/>
          <w:bCs/>
          <w:color w:val="auto"/>
          <w:sz w:val="28"/>
          <w:szCs w:val="28"/>
          <w:highlight w:val="none"/>
          <w:u w:val="none"/>
          <w:lang w:eastAsia="zh-CN"/>
        </w:rPr>
        <w:t>北流市城市管理监督局</w:t>
      </w:r>
      <w:r>
        <w:rPr>
          <w:rFonts w:hint="eastAsia" w:ascii="宋体" w:hAnsi="宋体" w:eastAsia="宋体" w:cs="宋体"/>
          <w:b w:val="0"/>
          <w:bCs/>
          <w:color w:val="auto"/>
          <w:sz w:val="28"/>
          <w:szCs w:val="28"/>
          <w:highlight w:val="none"/>
          <w:u w:val="none"/>
        </w:rPr>
        <w:t xml:space="preserve">  </w:t>
      </w:r>
      <w:r>
        <w:rPr>
          <w:rFonts w:hint="eastAsia" w:ascii="宋体" w:hAnsi="宋体" w:eastAsia="宋体" w:cs="宋体"/>
          <w:b w:val="0"/>
          <w:bCs/>
          <w:color w:val="auto"/>
          <w:sz w:val="28"/>
          <w:szCs w:val="28"/>
          <w:highlight w:val="none"/>
          <w:u w:val="none"/>
          <w:lang w:val="en-US" w:eastAsia="zh-CN"/>
        </w:rPr>
        <w:t xml:space="preserve">        </w:t>
      </w:r>
      <w:r>
        <w:rPr>
          <w:rFonts w:hint="eastAsia" w:ascii="宋体" w:hAnsi="宋体" w:eastAsia="宋体" w:cs="宋体"/>
          <w:b w:val="0"/>
          <w:bCs/>
          <w:color w:val="auto"/>
          <w:spacing w:val="-10"/>
          <w:sz w:val="28"/>
          <w:szCs w:val="28"/>
          <w:highlight w:val="none"/>
          <w:u w:val="none"/>
        </w:rPr>
        <w:t>乙方：</w:t>
      </w:r>
    </w:p>
    <w:p w14:paraId="24A804ED">
      <w:pPr>
        <w:spacing w:beforeAutospacing="0" w:afterAutospacing="0" w:line="600" w:lineRule="exact"/>
        <w:rPr>
          <w:rFonts w:hint="eastAsia" w:ascii="宋体" w:hAnsi="宋体" w:eastAsia="宋体" w:cs="宋体"/>
          <w:b w:val="0"/>
          <w:bCs/>
          <w:color w:val="auto"/>
          <w:spacing w:val="-10"/>
          <w:sz w:val="28"/>
          <w:szCs w:val="28"/>
          <w:highlight w:val="none"/>
          <w:u w:val="none"/>
        </w:rPr>
      </w:pPr>
      <w:r>
        <w:rPr>
          <w:rFonts w:hint="eastAsia" w:ascii="宋体" w:hAnsi="宋体" w:eastAsia="宋体" w:cs="宋体"/>
          <w:b w:val="0"/>
          <w:bCs/>
          <w:color w:val="auto"/>
          <w:spacing w:val="-10"/>
          <w:sz w:val="28"/>
          <w:szCs w:val="28"/>
          <w:highlight w:val="none"/>
          <w:u w:val="none"/>
        </w:rPr>
        <w:t xml:space="preserve">法人代表/委托代理人：                   法人代表/委托代理人： </w:t>
      </w:r>
    </w:p>
    <w:p w14:paraId="7EBBD180">
      <w:pPr>
        <w:spacing w:beforeAutospacing="0" w:afterAutospacing="0" w:line="600" w:lineRule="exact"/>
        <w:rPr>
          <w:rFonts w:hint="eastAsia" w:ascii="宋体" w:hAnsi="宋体" w:eastAsia="宋体" w:cs="宋体"/>
          <w:b w:val="0"/>
          <w:bCs/>
          <w:color w:val="auto"/>
          <w:spacing w:val="-10"/>
          <w:sz w:val="28"/>
          <w:szCs w:val="28"/>
          <w:highlight w:val="none"/>
          <w:u w:val="none"/>
        </w:rPr>
      </w:pPr>
      <w:r>
        <w:rPr>
          <w:rFonts w:hint="eastAsia" w:ascii="宋体" w:hAnsi="宋体" w:eastAsia="宋体" w:cs="宋体"/>
          <w:b w:val="0"/>
          <w:bCs/>
          <w:color w:val="auto"/>
          <w:spacing w:val="-10"/>
          <w:sz w:val="28"/>
          <w:szCs w:val="28"/>
          <w:highlight w:val="none"/>
          <w:u w:val="none"/>
        </w:rPr>
        <w:t>联系人：                                 联系人：</w:t>
      </w:r>
    </w:p>
    <w:p w14:paraId="2A1771E6">
      <w:pPr>
        <w:spacing w:beforeAutospacing="0" w:afterAutospacing="0" w:line="600" w:lineRule="exact"/>
        <w:rPr>
          <w:rFonts w:hint="eastAsia" w:ascii="宋体" w:hAnsi="宋体" w:eastAsia="宋体" w:cs="宋体"/>
          <w:b w:val="0"/>
          <w:bCs/>
          <w:color w:val="auto"/>
          <w:spacing w:val="-10"/>
          <w:sz w:val="28"/>
          <w:szCs w:val="28"/>
          <w:highlight w:val="none"/>
          <w:u w:val="none"/>
        </w:rPr>
      </w:pPr>
      <w:r>
        <w:rPr>
          <w:rFonts w:hint="eastAsia" w:ascii="宋体" w:hAnsi="宋体" w:eastAsia="宋体" w:cs="宋体"/>
          <w:b w:val="0"/>
          <w:bCs/>
          <w:color w:val="auto"/>
          <w:spacing w:val="-10"/>
          <w:sz w:val="28"/>
          <w:szCs w:val="28"/>
          <w:highlight w:val="none"/>
          <w:u w:val="none"/>
        </w:rPr>
        <w:t>电话：                                   电话：</w:t>
      </w:r>
    </w:p>
    <w:p w14:paraId="1CD8F651">
      <w:pPr>
        <w:pStyle w:val="17"/>
        <w:rPr>
          <w:rFonts w:hint="eastAsia" w:ascii="宋体" w:hAnsi="宋体" w:eastAsia="宋体" w:cs="宋体"/>
          <w:b w:val="0"/>
          <w:bCs/>
          <w:color w:val="auto"/>
          <w:spacing w:val="-10"/>
          <w:kern w:val="2"/>
          <w:sz w:val="28"/>
          <w:szCs w:val="28"/>
          <w:highlight w:val="none"/>
          <w:u w:val="none"/>
          <w:lang w:val="en-US" w:eastAsia="zh-CN" w:bidi="ar-SA"/>
        </w:rPr>
      </w:pPr>
      <w:r>
        <w:rPr>
          <w:rFonts w:hint="eastAsia" w:ascii="宋体" w:hAnsi="宋体" w:eastAsia="宋体" w:cs="宋体"/>
          <w:b w:val="0"/>
          <w:bCs/>
          <w:color w:val="auto"/>
          <w:spacing w:val="-10"/>
          <w:sz w:val="28"/>
          <w:szCs w:val="28"/>
          <w:highlight w:val="none"/>
          <w:u w:val="none"/>
          <w:lang w:eastAsia="zh-CN"/>
        </w:rPr>
        <w:t>开户名：</w:t>
      </w:r>
      <w:r>
        <w:rPr>
          <w:rFonts w:hint="eastAsia" w:ascii="宋体" w:hAnsi="宋体" w:eastAsia="宋体" w:cs="宋体"/>
          <w:b w:val="0"/>
          <w:bCs/>
          <w:color w:val="auto"/>
          <w:spacing w:val="-10"/>
          <w:sz w:val="28"/>
          <w:szCs w:val="28"/>
          <w:highlight w:val="none"/>
          <w:u w:val="none"/>
          <w:lang w:val="en-US" w:eastAsia="zh-CN"/>
        </w:rPr>
        <w:t xml:space="preserve">                                 </w:t>
      </w:r>
      <w:r>
        <w:rPr>
          <w:rFonts w:hint="eastAsia" w:ascii="宋体" w:hAnsi="宋体" w:eastAsia="宋体" w:cs="宋体"/>
          <w:b w:val="0"/>
          <w:bCs/>
          <w:color w:val="auto"/>
          <w:spacing w:val="-10"/>
          <w:sz w:val="28"/>
          <w:szCs w:val="28"/>
          <w:highlight w:val="none"/>
          <w:u w:val="none"/>
          <w:lang w:eastAsia="zh-CN"/>
        </w:rPr>
        <w:t>开户名：</w:t>
      </w:r>
    </w:p>
    <w:p w14:paraId="6E15D90B">
      <w:pPr>
        <w:spacing w:beforeAutospacing="0" w:afterAutospacing="0" w:line="680" w:lineRule="exact"/>
        <w:rPr>
          <w:rFonts w:hint="eastAsia" w:ascii="宋体" w:hAnsi="宋体" w:eastAsia="宋体" w:cs="宋体"/>
          <w:b w:val="0"/>
          <w:bCs/>
          <w:color w:val="auto"/>
          <w:spacing w:val="-10"/>
          <w:kern w:val="2"/>
          <w:sz w:val="28"/>
          <w:szCs w:val="28"/>
          <w:highlight w:val="none"/>
          <w:u w:val="none"/>
          <w:lang w:val="en-US" w:eastAsia="zh-CN" w:bidi="ar-SA"/>
        </w:rPr>
      </w:pPr>
      <w:r>
        <w:rPr>
          <w:rFonts w:hint="eastAsia" w:ascii="宋体" w:hAnsi="宋体" w:eastAsia="宋体" w:cs="宋体"/>
          <w:b w:val="0"/>
          <w:bCs/>
          <w:color w:val="auto"/>
          <w:spacing w:val="-10"/>
          <w:kern w:val="2"/>
          <w:sz w:val="28"/>
          <w:szCs w:val="28"/>
          <w:highlight w:val="none"/>
          <w:u w:val="none"/>
          <w:lang w:val="en-US" w:eastAsia="zh-CN" w:bidi="ar-SA"/>
        </w:rPr>
        <w:t>开户行：                                 开户行：</w:t>
      </w:r>
    </w:p>
    <w:p w14:paraId="1B96057A">
      <w:pPr>
        <w:pStyle w:val="17"/>
        <w:rPr>
          <w:rFonts w:hint="eastAsia" w:ascii="宋体" w:hAnsi="宋体" w:eastAsia="宋体" w:cs="宋体"/>
          <w:b w:val="0"/>
          <w:bCs/>
          <w:color w:val="auto"/>
          <w:spacing w:val="-10"/>
          <w:kern w:val="2"/>
          <w:sz w:val="28"/>
          <w:szCs w:val="28"/>
          <w:highlight w:val="none"/>
          <w:u w:val="none"/>
          <w:lang w:val="en-US" w:eastAsia="zh-CN" w:bidi="ar-SA"/>
        </w:rPr>
      </w:pPr>
      <w:r>
        <w:rPr>
          <w:rFonts w:hint="eastAsia" w:ascii="宋体" w:hAnsi="宋体" w:eastAsia="宋体" w:cs="宋体"/>
          <w:b w:val="0"/>
          <w:bCs/>
          <w:color w:val="auto"/>
          <w:spacing w:val="-10"/>
          <w:kern w:val="2"/>
          <w:sz w:val="28"/>
          <w:szCs w:val="28"/>
          <w:highlight w:val="none"/>
          <w:u w:val="none"/>
          <w:lang w:val="en-US" w:eastAsia="zh-CN" w:bidi="ar-SA"/>
        </w:rPr>
        <w:t>账号：                                   账号：</w:t>
      </w:r>
    </w:p>
    <w:p w14:paraId="42406A7A">
      <w:pPr>
        <w:spacing w:beforeAutospacing="0" w:afterAutospacing="0" w:line="680" w:lineRule="exact"/>
        <w:rPr>
          <w:rFonts w:hint="eastAsia" w:ascii="宋体" w:hAnsi="宋体" w:eastAsia="宋体" w:cs="宋体"/>
          <w:b w:val="0"/>
          <w:bCs/>
          <w:color w:val="auto"/>
          <w:spacing w:val="-10"/>
          <w:sz w:val="28"/>
          <w:szCs w:val="28"/>
          <w:highlight w:val="none"/>
          <w:u w:val="none"/>
        </w:rPr>
      </w:pPr>
      <w:r>
        <w:rPr>
          <w:rFonts w:hint="eastAsia" w:ascii="宋体" w:hAnsi="宋体" w:eastAsia="宋体" w:cs="宋体"/>
          <w:b w:val="0"/>
          <w:bCs/>
          <w:color w:val="auto"/>
          <w:spacing w:val="-10"/>
          <w:sz w:val="28"/>
          <w:szCs w:val="28"/>
          <w:highlight w:val="none"/>
          <w:u w:val="none"/>
        </w:rPr>
        <w:t>日期：      年    月    日              日期：    年    月    日</w:t>
      </w:r>
    </w:p>
    <w:p w14:paraId="343ED899">
      <w:pPr>
        <w:rPr>
          <w:rFonts w:hint="eastAsia" w:ascii="宋体" w:hAnsi="Times New Roman" w:cs="Times New Roman"/>
          <w:b/>
          <w:bCs/>
          <w:color w:val="auto"/>
          <w:sz w:val="28"/>
          <w:szCs w:val="28"/>
          <w:highlight w:val="none"/>
          <w:u w:val="none"/>
          <w:lang w:val="en-US" w:eastAsia="zh-CN"/>
        </w:rPr>
      </w:pPr>
      <w:r>
        <w:rPr>
          <w:rFonts w:hint="eastAsia" w:ascii="宋体" w:hAnsi="Times New Roman" w:cs="Times New Roman"/>
          <w:b/>
          <w:bCs/>
          <w:color w:val="auto"/>
          <w:sz w:val="28"/>
          <w:szCs w:val="28"/>
          <w:highlight w:val="none"/>
          <w:u w:val="none"/>
          <w:lang w:val="en-US" w:eastAsia="zh-CN"/>
        </w:rPr>
        <w:br w:type="page"/>
      </w:r>
    </w:p>
    <w:p w14:paraId="585C04FD">
      <w:pPr>
        <w:spacing w:beforeAutospacing="0" w:afterAutospacing="0" w:line="540" w:lineRule="exact"/>
        <w:ind w:firstLine="562" w:firstLineChars="200"/>
        <w:rPr>
          <w:rFonts w:hint="eastAsia" w:ascii="宋体" w:hAnsi="Times New Roman" w:cs="Times New Roman"/>
          <w:b/>
          <w:bCs/>
          <w:color w:val="auto"/>
          <w:sz w:val="28"/>
          <w:szCs w:val="28"/>
          <w:highlight w:val="none"/>
          <w:u w:val="none"/>
        </w:rPr>
      </w:pPr>
      <w:r>
        <w:rPr>
          <w:rFonts w:hint="eastAsia" w:ascii="宋体" w:hAnsi="Times New Roman" w:cs="Times New Roman"/>
          <w:b/>
          <w:bCs/>
          <w:color w:val="auto"/>
          <w:sz w:val="28"/>
          <w:szCs w:val="28"/>
          <w:highlight w:val="none"/>
          <w:u w:val="none"/>
          <w:lang w:val="en-US" w:eastAsia="zh-CN"/>
        </w:rPr>
        <w:t>附件1：</w:t>
      </w:r>
      <w:r>
        <w:rPr>
          <w:rFonts w:hint="eastAsia" w:ascii="宋体" w:cs="Times New Roman"/>
          <w:b/>
          <w:bCs/>
          <w:color w:val="auto"/>
          <w:sz w:val="28"/>
          <w:szCs w:val="28"/>
          <w:highlight w:val="none"/>
          <w:u w:val="none"/>
          <w:lang w:val="en-US" w:eastAsia="zh-CN"/>
        </w:rPr>
        <w:t>北流市大里镇、新圩镇、西埌镇、隆盛镇、民乐镇等5个镇级污水处理设施（含泵站、污水管网）运营维护</w:t>
      </w:r>
      <w:r>
        <w:rPr>
          <w:rFonts w:hint="eastAsia" w:ascii="宋体" w:hAnsi="Times New Roman" w:cs="Times New Roman"/>
          <w:b/>
          <w:bCs/>
          <w:color w:val="auto"/>
          <w:sz w:val="28"/>
          <w:szCs w:val="28"/>
          <w:highlight w:val="none"/>
          <w:u w:val="none"/>
          <w:lang w:val="en-US" w:eastAsia="zh-CN"/>
        </w:rPr>
        <w:t xml:space="preserve">管理考核细则 </w:t>
      </w:r>
    </w:p>
    <w:p w14:paraId="34750208">
      <w:pPr>
        <w:spacing w:beforeAutospacing="0" w:afterAutospacing="0" w:line="540" w:lineRule="exact"/>
        <w:ind w:firstLine="560" w:firstLineChars="200"/>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lang w:val="en-US" w:eastAsia="zh-CN"/>
        </w:rPr>
        <w:t xml:space="preserve">（一）考核体系设置情况 </w:t>
      </w:r>
    </w:p>
    <w:p w14:paraId="306BA8DF">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1.绩效考核原则 </w:t>
      </w:r>
    </w:p>
    <w:p w14:paraId="2017C20E">
      <w:pPr>
        <w:pStyle w:val="17"/>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仿宋_GB2312" w:hAnsi="仿宋_GB2312" w:eastAsia="宋体" w:cs="仿宋_GB2312"/>
          <w:color w:val="auto"/>
          <w:spacing w:val="0"/>
          <w:w w:val="100"/>
          <w:highlight w:val="none"/>
          <w:lang w:val="en-US" w:eastAsia="zh-CN"/>
        </w:rPr>
      </w:pPr>
      <w:r>
        <w:rPr>
          <w:rFonts w:hint="eastAsia" w:ascii="宋体" w:hAnsi="Times New Roman" w:cs="Times New Roman"/>
          <w:color w:val="auto"/>
          <w:sz w:val="28"/>
          <w:szCs w:val="28"/>
          <w:highlight w:val="none"/>
          <w:u w:val="none"/>
          <w:lang w:val="en-US" w:eastAsia="zh-CN"/>
        </w:rPr>
        <w:t>（1）污水处理厂、配套管网的日常巡检维护运营、配套污水提升泵站的费用采取包干制，每季度考核一次。为了保证能够覆盖运营成本和运营商的合理运营利润，</w:t>
      </w:r>
      <w:r>
        <w:rPr>
          <w:rFonts w:hint="eastAsia" w:ascii="宋体" w:hAnsi="Times New Roman" w:cs="Times New Roman"/>
          <w:b/>
          <w:bCs/>
          <w:color w:val="auto"/>
          <w:sz w:val="28"/>
          <w:szCs w:val="28"/>
          <w:highlight w:val="none"/>
          <w:u w:val="none"/>
          <w:lang w:val="en-US" w:eastAsia="zh-CN"/>
        </w:rPr>
        <w:t>70%的费用计作固定费用，余下30%的费用作为绩效考核费用直接参与绩效挂钩考核</w:t>
      </w:r>
      <w:r>
        <w:rPr>
          <w:rFonts w:hint="eastAsia" w:ascii="宋体" w:hAnsi="Times New Roman" w:eastAsia="宋体" w:cs="Times New Roman"/>
          <w:b/>
          <w:bCs/>
          <w:color w:val="auto"/>
          <w:spacing w:val="0"/>
          <w:w w:val="100"/>
          <w:szCs w:val="28"/>
          <w:highlight w:val="none"/>
          <w:u w:val="none"/>
          <w:lang w:eastAsia="zh-CN"/>
        </w:rPr>
        <w:t>。</w:t>
      </w:r>
    </w:p>
    <w:p w14:paraId="07F1932F">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（2）</w:t>
      </w:r>
      <w:r>
        <w:rPr>
          <w:rFonts w:hint="eastAsia" w:ascii="宋体" w:hAnsi="Times New Roman" w:eastAsia="宋体" w:cs="Times New Roman"/>
          <w:color w:val="auto"/>
          <w:spacing w:val="0"/>
          <w:w w:val="100"/>
          <w:sz w:val="28"/>
          <w:szCs w:val="28"/>
          <w:highlight w:val="none"/>
          <w:u w:val="none"/>
          <w:lang w:eastAsia="zh-CN"/>
        </w:rPr>
        <w:t>固定费用（</w:t>
      </w:r>
      <w:r>
        <w:rPr>
          <w:rFonts w:hint="eastAsia" w:ascii="宋体" w:hAnsi="Times New Roman" w:eastAsia="宋体" w:cs="Times New Roman"/>
          <w:color w:val="auto"/>
          <w:spacing w:val="0"/>
          <w:w w:val="100"/>
          <w:sz w:val="28"/>
          <w:szCs w:val="28"/>
          <w:highlight w:val="none"/>
          <w:u w:val="none"/>
          <w:lang w:val="en-US" w:eastAsia="zh-CN"/>
        </w:rPr>
        <w:t>7</w:t>
      </w:r>
      <w:r>
        <w:rPr>
          <w:rFonts w:hint="eastAsia" w:ascii="宋体" w:hAnsi="Times New Roman" w:eastAsia="宋体" w:cs="Times New Roman"/>
          <w:color w:val="auto"/>
          <w:spacing w:val="0"/>
          <w:w w:val="100"/>
          <w:sz w:val="28"/>
          <w:szCs w:val="28"/>
          <w:highlight w:val="none"/>
          <w:u w:val="none"/>
          <w:lang w:eastAsia="zh-CN"/>
        </w:rPr>
        <w:t>0%的费用）不参与绩效挂钩考核。</w:t>
      </w:r>
    </w:p>
    <w:p w14:paraId="093F836F">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2.污水处理厂、配套管网等各项的绩效考核费设置情况 </w:t>
      </w:r>
    </w:p>
    <w:p w14:paraId="6C5CE969">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（1）污水处理运营绩效考核费用 </w:t>
      </w:r>
    </w:p>
    <w:p w14:paraId="2E7370A6">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① </w:t>
      </w:r>
      <w:r>
        <w:rPr>
          <w:rFonts w:hint="eastAsia" w:ascii="宋体" w:cs="Times New Roman"/>
          <w:color w:val="auto"/>
          <w:sz w:val="28"/>
          <w:szCs w:val="28"/>
          <w:highlight w:val="none"/>
          <w:u w:val="none"/>
          <w:lang w:val="en-US" w:eastAsia="zh-CN"/>
        </w:rPr>
        <w:t>5</w:t>
      </w:r>
      <w:r>
        <w:rPr>
          <w:rFonts w:hint="eastAsia" w:ascii="宋体" w:hAnsi="Times New Roman" w:cs="Times New Roman"/>
          <w:color w:val="auto"/>
          <w:sz w:val="28"/>
          <w:szCs w:val="28"/>
          <w:highlight w:val="none"/>
          <w:u w:val="none"/>
          <w:lang w:val="en-US" w:eastAsia="zh-CN"/>
        </w:rPr>
        <w:t>个乡镇污水处理厂区年度运营费、泵站年运营维护费分为固定费用、与绩效考核挂钩费用两大部分。年绩效考核费用占污水处理运维费、泵站年运营维护费用总额的</w:t>
      </w:r>
      <w:r>
        <w:rPr>
          <w:rFonts w:hint="eastAsia" w:ascii="宋体" w:cs="Times New Roman"/>
          <w:color w:val="auto"/>
          <w:sz w:val="28"/>
          <w:szCs w:val="28"/>
          <w:highlight w:val="none"/>
          <w:u w:val="none"/>
          <w:lang w:val="en-US" w:eastAsia="zh-CN"/>
        </w:rPr>
        <w:t>7</w:t>
      </w:r>
      <w:r>
        <w:rPr>
          <w:rFonts w:hint="eastAsia" w:ascii="宋体" w:hAnsi="Times New Roman" w:cs="Times New Roman"/>
          <w:color w:val="auto"/>
          <w:sz w:val="28"/>
          <w:szCs w:val="28"/>
          <w:highlight w:val="none"/>
          <w:u w:val="none"/>
          <w:lang w:val="en-US" w:eastAsia="zh-CN"/>
        </w:rPr>
        <w:t xml:space="preserve">0%。具体按表1进行考核。 </w:t>
      </w:r>
    </w:p>
    <w:p w14:paraId="061C5410">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② 污水处理水量的绩效考核费用。一是出水水质若未达到排放标准，除扣减绩效考核费用外，不免除环保等部门作出的相应处罚</w:t>
      </w:r>
      <w:r>
        <w:rPr>
          <w:rFonts w:hint="eastAsia" w:ascii="宋体" w:hAnsi="宋体"/>
          <w:color w:val="auto"/>
          <w:spacing w:val="-10"/>
          <w:sz w:val="28"/>
          <w:szCs w:val="28"/>
          <w:highlight w:val="none"/>
          <w:u w:val="none"/>
          <w:lang w:val="en-US" w:eastAsia="zh-CN"/>
        </w:rPr>
        <w:t>；</w:t>
      </w:r>
      <w:r>
        <w:rPr>
          <w:rFonts w:hint="eastAsia" w:ascii="宋体" w:hAnsi="Times New Roman" w:cs="Times New Roman"/>
          <w:color w:val="auto"/>
          <w:sz w:val="28"/>
          <w:szCs w:val="28"/>
          <w:highlight w:val="none"/>
          <w:u w:val="none"/>
          <w:lang w:val="en-US" w:eastAsia="zh-CN"/>
        </w:rPr>
        <w:t>除进水水质超出设计标准，双方共同协商解决。二是处理水量达不到基本水量的，按阶梯扣减相应绩效考核费用，年绩效考核费用占考核比例</w:t>
      </w:r>
      <w:r>
        <w:rPr>
          <w:rFonts w:hint="eastAsia" w:ascii="宋体" w:cs="Times New Roman"/>
          <w:color w:val="auto"/>
          <w:sz w:val="28"/>
          <w:szCs w:val="28"/>
          <w:highlight w:val="none"/>
          <w:u w:val="none"/>
          <w:lang w:val="en-US" w:eastAsia="zh-CN"/>
        </w:rPr>
        <w:t>20%，</w:t>
      </w:r>
      <w:r>
        <w:rPr>
          <w:rFonts w:hint="eastAsia" w:ascii="宋体" w:hAnsi="Times New Roman" w:cs="Times New Roman"/>
          <w:color w:val="auto"/>
          <w:sz w:val="28"/>
          <w:szCs w:val="28"/>
          <w:highlight w:val="none"/>
          <w:u w:val="none"/>
          <w:lang w:val="en-US" w:eastAsia="zh-CN"/>
        </w:rPr>
        <w:t xml:space="preserve">按表2分段式考核。 </w:t>
      </w:r>
    </w:p>
    <w:p w14:paraId="1A54D669">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（2）配套污水管网日常运营维护绩效考核费用 </w:t>
      </w:r>
    </w:p>
    <w:p w14:paraId="3CEAC23E">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年绩效考核费用占配套管网年日常巡检维护费用的</w:t>
      </w:r>
      <w:r>
        <w:rPr>
          <w:rFonts w:hint="eastAsia" w:ascii="宋体" w:cs="Times New Roman"/>
          <w:color w:val="auto"/>
          <w:sz w:val="28"/>
          <w:szCs w:val="28"/>
          <w:highlight w:val="none"/>
          <w:u w:val="none"/>
          <w:lang w:val="en-US" w:eastAsia="zh-CN"/>
        </w:rPr>
        <w:t>3</w:t>
      </w:r>
      <w:r>
        <w:rPr>
          <w:rFonts w:hint="eastAsia" w:ascii="宋体" w:hAnsi="Times New Roman" w:cs="Times New Roman"/>
          <w:color w:val="auto"/>
          <w:sz w:val="28"/>
          <w:szCs w:val="28"/>
          <w:highlight w:val="none"/>
          <w:u w:val="none"/>
          <w:lang w:val="en-US" w:eastAsia="zh-CN"/>
        </w:rPr>
        <w:t xml:space="preserve">0%。具体按表3进行考核。 </w:t>
      </w:r>
    </w:p>
    <w:p w14:paraId="076B31C5">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3.考核方式方法 </w:t>
      </w:r>
    </w:p>
    <w:p w14:paraId="1B3894EB">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（1）常规考核 </w:t>
      </w:r>
    </w:p>
    <w:p w14:paraId="50EC830A">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① 考核时间。常规考核从正式移交之日起开始</w:t>
      </w:r>
      <w:r>
        <w:rPr>
          <w:rFonts w:hint="eastAsia" w:ascii="宋体" w:cs="Times New Roman"/>
          <w:color w:val="auto"/>
          <w:sz w:val="28"/>
          <w:szCs w:val="28"/>
          <w:highlight w:val="none"/>
          <w:u w:val="none"/>
          <w:lang w:val="en-US" w:eastAsia="zh-CN"/>
        </w:rPr>
        <w:t>（满三个月为一个季度）</w:t>
      </w:r>
      <w:r>
        <w:rPr>
          <w:rFonts w:hint="eastAsia" w:ascii="宋体" w:hAnsi="Times New Roman" w:cs="Times New Roman"/>
          <w:color w:val="auto"/>
          <w:sz w:val="28"/>
          <w:szCs w:val="28"/>
          <w:highlight w:val="none"/>
          <w:u w:val="none"/>
          <w:lang w:val="en-US" w:eastAsia="zh-CN"/>
        </w:rPr>
        <w:t xml:space="preserve">，每季度进行一次，考核时间为当季度最后一个月。 </w:t>
      </w:r>
    </w:p>
    <w:p w14:paraId="4BE5DDB7">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② 台帐材料。运营单位按绩效考核指标内容向业主提交各厂有水量、水质的月运维报告及报表、水质化验报告、电费单、污泥处置</w:t>
      </w:r>
      <w:r>
        <w:rPr>
          <w:rFonts w:hint="eastAsia" w:ascii="宋体" w:cs="Times New Roman"/>
          <w:color w:val="auto"/>
          <w:sz w:val="28"/>
          <w:szCs w:val="28"/>
          <w:highlight w:val="none"/>
          <w:u w:val="none"/>
          <w:lang w:val="en-US" w:eastAsia="zh-CN"/>
        </w:rPr>
        <w:t>、安全责任书、安全培训、员工技能培训计划、应急预案</w:t>
      </w:r>
      <w:r>
        <w:rPr>
          <w:rFonts w:hint="eastAsia" w:ascii="宋体" w:hAnsi="Times New Roman" w:cs="Times New Roman"/>
          <w:color w:val="auto"/>
          <w:sz w:val="28"/>
          <w:szCs w:val="28"/>
          <w:highlight w:val="none"/>
          <w:u w:val="none"/>
          <w:lang w:val="en-US" w:eastAsia="zh-CN"/>
        </w:rPr>
        <w:t xml:space="preserve">等相关运维记录台帐以及佐证材料。 </w:t>
      </w:r>
    </w:p>
    <w:p w14:paraId="14970C0D">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③ 考核方式。由业主负责开展运营期评价，对各镇污水处理厂及其泵站设施设备进行现场检查及资料检查，对服务效果进行考核评价；在有必要的情况下，也可以通过环保部门数据平台数据或通过环保部门或第三方检验机构见证取样检测、送检等，其结果作为绩效考核的依据。考核分满分为100分。考核工作应在7日内完成，并在考核工作完成后</w:t>
      </w:r>
      <w:r>
        <w:rPr>
          <w:rFonts w:hint="eastAsia" w:ascii="宋体" w:cs="Times New Roman"/>
          <w:color w:val="auto"/>
          <w:sz w:val="28"/>
          <w:szCs w:val="28"/>
          <w:highlight w:val="none"/>
          <w:u w:val="none"/>
          <w:lang w:val="en-US" w:eastAsia="zh-CN"/>
        </w:rPr>
        <w:t>7</w:t>
      </w:r>
      <w:r>
        <w:rPr>
          <w:rFonts w:hint="eastAsia" w:ascii="宋体" w:hAnsi="Times New Roman" w:cs="Times New Roman"/>
          <w:color w:val="auto"/>
          <w:sz w:val="28"/>
          <w:szCs w:val="28"/>
          <w:highlight w:val="none"/>
          <w:u w:val="none"/>
          <w:lang w:val="en-US" w:eastAsia="zh-CN"/>
        </w:rPr>
        <w:t xml:space="preserve">天内出具考核报告。 </w:t>
      </w:r>
    </w:p>
    <w:p w14:paraId="593001CF">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（2）随机抽查 </w:t>
      </w:r>
    </w:p>
    <w:p w14:paraId="3C561D02">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基于监管需要，业主可自行不定期对污水处理厂区及泵站运行管理情况进行抽检，或者可以随时委托第三方检测机构对项目服务范围内任意污水厂水质水量进行随机抽检。随机抽查检测费由业主自行承担。对在随机抽查过程中和有关部门、上级督查发现的问题，将对应绩效考核指标表标准对应项进行扣分，同时以书面的形式下达整改通知要求运营商进行整改，若不按时完成整改，再予以双倍扣分。 </w:t>
      </w:r>
    </w:p>
    <w:p w14:paraId="41C22E28">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4.污水处理厂、配套管网等各项的绩效考核指标设置情况 </w:t>
      </w:r>
    </w:p>
    <w:p w14:paraId="7930C87E">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 xml:space="preserve">（1）表 1 污水处理厂及其泵站设施运营维护绩效考核指标（季度考核） </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643"/>
        <w:gridCol w:w="975"/>
        <w:gridCol w:w="1106"/>
        <w:gridCol w:w="10"/>
        <w:gridCol w:w="3898"/>
        <w:gridCol w:w="3300"/>
      </w:tblGrid>
      <w:tr w14:paraId="3A61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53" w:type="dxa"/>
            <w:gridSpan w:val="2"/>
            <w:noWrap w:val="0"/>
            <w:vAlign w:val="center"/>
          </w:tcPr>
          <w:p w14:paraId="561C2FEE">
            <w:pPr>
              <w:pStyle w:val="1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081" w:type="dxa"/>
            <w:gridSpan w:val="2"/>
            <w:noWrap w:val="0"/>
            <w:vAlign w:val="center"/>
          </w:tcPr>
          <w:p w14:paraId="4DA4A6B4">
            <w:pPr>
              <w:pStyle w:val="1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考核项目</w:t>
            </w:r>
          </w:p>
        </w:tc>
        <w:tc>
          <w:tcPr>
            <w:tcW w:w="3908" w:type="dxa"/>
            <w:gridSpan w:val="2"/>
            <w:noWrap w:val="0"/>
            <w:vAlign w:val="center"/>
          </w:tcPr>
          <w:p w14:paraId="5DB303C9">
            <w:pPr>
              <w:pStyle w:val="1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基本指标</w:t>
            </w:r>
          </w:p>
        </w:tc>
        <w:tc>
          <w:tcPr>
            <w:tcW w:w="3300" w:type="dxa"/>
            <w:noWrap w:val="0"/>
            <w:vAlign w:val="center"/>
          </w:tcPr>
          <w:p w14:paraId="74723A0B">
            <w:pPr>
              <w:pStyle w:val="1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14:paraId="44B6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53630485">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5" w:type="dxa"/>
            <w:vMerge w:val="restart"/>
            <w:noWrap w:val="0"/>
            <w:vAlign w:val="center"/>
          </w:tcPr>
          <w:p w14:paraId="21A3A47D">
            <w:pPr>
              <w:pStyle w:val="102"/>
              <w:jc w:val="both"/>
              <w:rPr>
                <w:rFonts w:hint="eastAsia" w:ascii="宋体" w:hAnsi="宋体" w:eastAsia="宋体" w:cs="宋体"/>
                <w:color w:val="auto"/>
                <w:sz w:val="21"/>
                <w:szCs w:val="21"/>
                <w:highlight w:val="none"/>
              </w:rPr>
            </w:pPr>
          </w:p>
          <w:p w14:paraId="72DEA734">
            <w:pPr>
              <w:pStyle w:val="102"/>
              <w:jc w:val="both"/>
              <w:rPr>
                <w:rFonts w:hint="eastAsia" w:ascii="宋体" w:hAnsi="宋体" w:eastAsia="宋体" w:cs="宋体"/>
                <w:color w:val="auto"/>
                <w:sz w:val="21"/>
                <w:szCs w:val="21"/>
                <w:highlight w:val="none"/>
              </w:rPr>
            </w:pPr>
          </w:p>
          <w:p w14:paraId="253A145A">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p w14:paraId="322DAC0F">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w:t>
            </w:r>
          </w:p>
          <w:p w14:paraId="4B8F11BD">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条件</w:t>
            </w:r>
          </w:p>
          <w:p w14:paraId="12F30DDE">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与管</w:t>
            </w:r>
          </w:p>
          <w:p w14:paraId="72FD3696">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理维</w:t>
            </w:r>
          </w:p>
          <w:p w14:paraId="10CC13A8">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护考</w:t>
            </w:r>
          </w:p>
          <w:p w14:paraId="46F6D47B">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w:t>
            </w:r>
          </w:p>
          <w:p w14:paraId="232A093E">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1106" w:type="dxa"/>
            <w:noWrap w:val="0"/>
            <w:vAlign w:val="center"/>
          </w:tcPr>
          <w:p w14:paraId="433D6200">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构筑物（</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3908" w:type="dxa"/>
            <w:gridSpan w:val="2"/>
            <w:noWrap w:val="0"/>
            <w:vAlign w:val="center"/>
          </w:tcPr>
          <w:p w14:paraId="43C4CA00">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符合《城镇污水处理厂运行、维护及安全技术规程》(CJJ60-2011) 及相关规范、法规的要求：包括格栅槽、调节池、初沉池、曝气池、二沉池、巴氏计量槽、污泥池等无破损、渗漏；池面清洁，堰口出水均匀等。</w:t>
            </w:r>
          </w:p>
        </w:tc>
        <w:tc>
          <w:tcPr>
            <w:tcW w:w="3300" w:type="dxa"/>
            <w:noWrap w:val="0"/>
            <w:vAlign w:val="center"/>
          </w:tcPr>
          <w:p w14:paraId="67A4A896">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不符合要求每次/处扣1分并要求整改，超过规定的周期未完成整 改，扣罚分数按上一周期的扣分加倍。</w:t>
            </w:r>
          </w:p>
        </w:tc>
      </w:tr>
      <w:tr w14:paraId="2645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5172A78B">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75" w:type="dxa"/>
            <w:vMerge w:val="continue"/>
            <w:noWrap w:val="0"/>
            <w:vAlign w:val="center"/>
          </w:tcPr>
          <w:p w14:paraId="13B3B19D">
            <w:pPr>
              <w:widowControl/>
              <w:jc w:val="both"/>
              <w:rPr>
                <w:rFonts w:hint="eastAsia" w:ascii="宋体" w:hAnsi="宋体" w:eastAsia="宋体" w:cs="宋体"/>
                <w:color w:val="auto"/>
                <w:sz w:val="21"/>
                <w:szCs w:val="21"/>
                <w:highlight w:val="none"/>
              </w:rPr>
            </w:pPr>
          </w:p>
        </w:tc>
        <w:tc>
          <w:tcPr>
            <w:tcW w:w="1106" w:type="dxa"/>
            <w:noWrap w:val="0"/>
            <w:vAlign w:val="center"/>
          </w:tcPr>
          <w:p w14:paraId="28C0622C">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4C4C8D3A">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w:t>
            </w:r>
          </w:p>
          <w:p w14:paraId="5457108A">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3908" w:type="dxa"/>
            <w:gridSpan w:val="2"/>
            <w:noWrap w:val="0"/>
            <w:vAlign w:val="center"/>
          </w:tcPr>
          <w:p w14:paraId="6B1E7722">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符合《城镇污水处理厂运行、维护及安全技术规程》(CJJ60-2011) 及相关规范的要求：污水处理所有设备如监测系统、曝气设备、消毒设备、池内设备、加药装置设备、风机、水泵等运行正常，外观整洁，螺栓齐全牢固；设备无渗漏，计量仪表、设施设备定期检定、设备台账及维护档案齐全等。定期开展设施、设备厂保养，防止损坏及生锈氧化。</w:t>
            </w:r>
          </w:p>
        </w:tc>
        <w:tc>
          <w:tcPr>
            <w:tcW w:w="3300" w:type="dxa"/>
            <w:noWrap w:val="0"/>
            <w:vAlign w:val="center"/>
          </w:tcPr>
          <w:p w14:paraId="22903666">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设施设备至少每周维护保养1次，发现设备故障及损坏未及时修复；油漆无锈蚀，每次/处扣2分。并在规定时间内完成整改，超过规定的周期未完成整 改，扣罚分数按上一周期的扣分加倍。</w:t>
            </w:r>
          </w:p>
        </w:tc>
      </w:tr>
      <w:tr w14:paraId="2346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6CE55920">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75" w:type="dxa"/>
            <w:noWrap w:val="0"/>
            <w:vAlign w:val="center"/>
          </w:tcPr>
          <w:p w14:paraId="7754F468">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w:t>
            </w:r>
          </w:p>
          <w:p w14:paraId="57EF0386">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处置（</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1106" w:type="dxa"/>
            <w:noWrap w:val="0"/>
            <w:vAlign w:val="center"/>
          </w:tcPr>
          <w:p w14:paraId="39208393">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908" w:type="dxa"/>
            <w:gridSpan w:val="2"/>
            <w:noWrap w:val="0"/>
            <w:vAlign w:val="center"/>
          </w:tcPr>
          <w:p w14:paraId="6CB1682E">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严格按照《北流市城镇污水处理厂污泥制度（试行）》文件要求，好做厂区产生、储存、运输处置过程，且及时登记厂区污泥管理台账，做到无害化处理。</w:t>
            </w:r>
          </w:p>
        </w:tc>
        <w:tc>
          <w:tcPr>
            <w:tcW w:w="3300" w:type="dxa"/>
            <w:noWrap w:val="0"/>
            <w:vAlign w:val="center"/>
          </w:tcPr>
          <w:p w14:paraId="19083DAA">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擅自倾倒、堆放、露天堆放的污泥，每次/处扣2分；产生、运输、处置全流程记录不完整，数据不可追溯‌，每次/处扣1分并要求整改，超过规定的周期未完成整 改，扣罚分数按上一周期的扣分加倍。</w:t>
            </w:r>
          </w:p>
        </w:tc>
      </w:tr>
      <w:tr w14:paraId="60C4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2DB3329D">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75" w:type="dxa"/>
            <w:vMerge w:val="restart"/>
            <w:noWrap w:val="0"/>
            <w:vAlign w:val="center"/>
          </w:tcPr>
          <w:p w14:paraId="40680BEA">
            <w:pPr>
              <w:pStyle w:val="102"/>
              <w:jc w:val="both"/>
              <w:rPr>
                <w:rFonts w:hint="eastAsia" w:ascii="宋体" w:hAnsi="宋体" w:eastAsia="宋体" w:cs="宋体"/>
                <w:color w:val="auto"/>
                <w:sz w:val="21"/>
                <w:szCs w:val="21"/>
                <w:highlight w:val="none"/>
              </w:rPr>
            </w:pPr>
          </w:p>
          <w:p w14:paraId="5ACAEDAC">
            <w:pPr>
              <w:pStyle w:val="102"/>
              <w:jc w:val="both"/>
              <w:rPr>
                <w:rFonts w:hint="eastAsia" w:ascii="宋体" w:hAnsi="宋体" w:eastAsia="宋体" w:cs="宋体"/>
                <w:color w:val="auto"/>
                <w:sz w:val="21"/>
                <w:szCs w:val="21"/>
                <w:highlight w:val="none"/>
              </w:rPr>
            </w:pPr>
          </w:p>
          <w:p w14:paraId="5E6E7AEE">
            <w:pPr>
              <w:pStyle w:val="102"/>
              <w:jc w:val="both"/>
              <w:rPr>
                <w:rFonts w:hint="eastAsia" w:ascii="宋体" w:hAnsi="宋体" w:eastAsia="宋体" w:cs="宋体"/>
                <w:color w:val="auto"/>
                <w:sz w:val="21"/>
                <w:szCs w:val="21"/>
                <w:highlight w:val="none"/>
              </w:rPr>
            </w:pPr>
          </w:p>
          <w:p w14:paraId="79E37D99">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p w14:paraId="46B009D2">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w:t>
            </w:r>
          </w:p>
          <w:p w14:paraId="7B46B68D">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37分</w:t>
            </w:r>
            <w:r>
              <w:rPr>
                <w:rFonts w:hint="eastAsia" w:ascii="宋体" w:hAnsi="宋体" w:eastAsia="宋体" w:cs="宋体"/>
                <w:color w:val="auto"/>
                <w:sz w:val="21"/>
                <w:szCs w:val="21"/>
                <w:highlight w:val="none"/>
                <w:lang w:eastAsia="zh-CN"/>
              </w:rPr>
              <w:t>）</w:t>
            </w:r>
          </w:p>
          <w:p w14:paraId="12EBE5F4">
            <w:pPr>
              <w:pStyle w:val="102"/>
              <w:jc w:val="both"/>
              <w:rPr>
                <w:rFonts w:hint="eastAsia" w:ascii="宋体" w:hAnsi="宋体" w:eastAsia="宋体" w:cs="宋体"/>
                <w:color w:val="auto"/>
                <w:sz w:val="21"/>
                <w:szCs w:val="21"/>
                <w:highlight w:val="none"/>
              </w:rPr>
            </w:pPr>
          </w:p>
          <w:p w14:paraId="4748DCE7">
            <w:pPr>
              <w:pStyle w:val="102"/>
              <w:jc w:val="both"/>
              <w:rPr>
                <w:rFonts w:hint="eastAsia" w:ascii="宋体" w:hAnsi="宋体" w:eastAsia="宋体" w:cs="宋体"/>
                <w:color w:val="auto"/>
                <w:sz w:val="21"/>
                <w:szCs w:val="21"/>
                <w:highlight w:val="none"/>
              </w:rPr>
            </w:pPr>
          </w:p>
          <w:p w14:paraId="1047D844">
            <w:pPr>
              <w:pStyle w:val="102"/>
              <w:jc w:val="both"/>
              <w:rPr>
                <w:rFonts w:hint="eastAsia" w:ascii="宋体" w:hAnsi="宋体" w:eastAsia="宋体" w:cs="宋体"/>
                <w:color w:val="auto"/>
                <w:sz w:val="21"/>
                <w:szCs w:val="21"/>
                <w:highlight w:val="none"/>
              </w:rPr>
            </w:pPr>
          </w:p>
        </w:tc>
        <w:tc>
          <w:tcPr>
            <w:tcW w:w="1106" w:type="dxa"/>
            <w:noWrap w:val="0"/>
            <w:vAlign w:val="center"/>
          </w:tcPr>
          <w:p w14:paraId="527C7210">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w:t>
            </w:r>
          </w:p>
          <w:p w14:paraId="0BCA4D4D">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水质</w:t>
            </w:r>
          </w:p>
          <w:p w14:paraId="3F87489F">
            <w:pPr>
              <w:pStyle w:val="10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3908" w:type="dxa"/>
            <w:gridSpan w:val="2"/>
            <w:noWrap w:val="0"/>
            <w:vAlign w:val="center"/>
          </w:tcPr>
          <w:p w14:paraId="4303380C">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进水</w:t>
            </w:r>
            <w:r>
              <w:rPr>
                <w:rFonts w:hint="eastAsia" w:ascii="宋体" w:hAnsi="宋体" w:eastAsia="宋体" w:cs="宋体"/>
                <w:color w:val="auto"/>
                <w:sz w:val="21"/>
                <w:szCs w:val="21"/>
                <w:highlight w:val="none"/>
              </w:rPr>
              <w:t>CODcr</w:t>
            </w:r>
            <w:r>
              <w:rPr>
                <w:rFonts w:hint="eastAsia" w:ascii="宋体" w:hAnsi="宋体" w:eastAsia="宋体" w:cs="宋体"/>
                <w:color w:val="auto"/>
                <w:sz w:val="21"/>
                <w:szCs w:val="21"/>
                <w:highlight w:val="none"/>
                <w:lang w:eastAsia="zh-CN"/>
              </w:rPr>
              <w:t>平均浓度需达</w:t>
            </w:r>
            <w:r>
              <w:rPr>
                <w:rFonts w:hint="eastAsia" w:ascii="宋体" w:hAnsi="宋体" w:eastAsia="宋体" w:cs="宋体"/>
                <w:color w:val="auto"/>
                <w:sz w:val="21"/>
                <w:szCs w:val="21"/>
                <w:highlight w:val="none"/>
                <w:lang w:val="en-US" w:eastAsia="zh-CN"/>
              </w:rPr>
              <w:t>100mg/L以上，</w:t>
            </w:r>
            <w:r>
              <w:rPr>
                <w:rFonts w:hint="eastAsia" w:ascii="宋体" w:hAnsi="宋体" w:eastAsia="宋体" w:cs="宋体"/>
                <w:color w:val="auto"/>
                <w:sz w:val="21"/>
                <w:szCs w:val="21"/>
                <w:highlight w:val="none"/>
              </w:rPr>
              <w:t>出水水质中 CODcr、NH3-N、TP、TN、pH、等指标需达到《城镇污水处理厂污染物排放标准 (GB18918-2002) 中一级排放A标准。</w:t>
            </w:r>
          </w:p>
        </w:tc>
        <w:tc>
          <w:tcPr>
            <w:tcW w:w="3300" w:type="dxa"/>
            <w:noWrap w:val="0"/>
            <w:vAlign w:val="center"/>
          </w:tcPr>
          <w:p w14:paraId="64AEF625">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根据绩效考核周期的检测水质化验报告及玉林市污染源自动监控平台数据，每发现任何一项数据不达标扣3分并要求整改，超过规定的周期未完成整改，予以加倍扣分。</w:t>
            </w:r>
          </w:p>
        </w:tc>
      </w:tr>
      <w:tr w14:paraId="17F1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3" w:type="dxa"/>
            <w:gridSpan w:val="2"/>
            <w:noWrap w:val="0"/>
            <w:vAlign w:val="center"/>
          </w:tcPr>
          <w:p w14:paraId="5AAA9D0F">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75" w:type="dxa"/>
            <w:vMerge w:val="continue"/>
            <w:noWrap w:val="0"/>
            <w:vAlign w:val="center"/>
          </w:tcPr>
          <w:p w14:paraId="29ABF73D">
            <w:pPr>
              <w:widowControl/>
              <w:jc w:val="both"/>
              <w:rPr>
                <w:rFonts w:hint="eastAsia" w:ascii="宋体" w:hAnsi="宋体" w:eastAsia="宋体" w:cs="宋体"/>
                <w:color w:val="auto"/>
                <w:sz w:val="21"/>
                <w:szCs w:val="21"/>
                <w:highlight w:val="none"/>
              </w:rPr>
            </w:pPr>
          </w:p>
        </w:tc>
        <w:tc>
          <w:tcPr>
            <w:tcW w:w="1106" w:type="dxa"/>
            <w:noWrap w:val="0"/>
            <w:vAlign w:val="center"/>
          </w:tcPr>
          <w:p w14:paraId="1172A3D4">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厂区运营台账</w:t>
            </w:r>
          </w:p>
          <w:p w14:paraId="2B2759EE">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3908" w:type="dxa"/>
            <w:gridSpan w:val="2"/>
            <w:noWrap w:val="0"/>
            <w:vAlign w:val="center"/>
          </w:tcPr>
          <w:p w14:paraId="34A4C469">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按要求处理集水池中被格栅拦截栅渣，外运至指定地点；交接班、生产物质、异常数据等厂区内运行记录和统计报表应做到完整、规范。</w:t>
            </w:r>
          </w:p>
        </w:tc>
        <w:tc>
          <w:tcPr>
            <w:tcW w:w="3300" w:type="dxa"/>
            <w:noWrap w:val="0"/>
            <w:vAlign w:val="center"/>
          </w:tcPr>
          <w:p w14:paraId="7CC6FB45">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每发现1处不合格/不完善扣 0.5 分并要求整改，超过规定的周期未完成整改，予以加倍扣分。</w:t>
            </w:r>
          </w:p>
        </w:tc>
      </w:tr>
      <w:tr w14:paraId="729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57E8CBD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75" w:type="dxa"/>
            <w:vMerge w:val="continue"/>
            <w:noWrap w:val="0"/>
            <w:vAlign w:val="center"/>
          </w:tcPr>
          <w:p w14:paraId="7E981F8D">
            <w:pPr>
              <w:widowControl/>
              <w:jc w:val="both"/>
              <w:rPr>
                <w:rFonts w:hint="eastAsia" w:ascii="宋体" w:hAnsi="宋体" w:eastAsia="宋体" w:cs="宋体"/>
                <w:color w:val="auto"/>
                <w:sz w:val="21"/>
                <w:szCs w:val="21"/>
                <w:highlight w:val="none"/>
              </w:rPr>
            </w:pPr>
          </w:p>
        </w:tc>
        <w:tc>
          <w:tcPr>
            <w:tcW w:w="1116" w:type="dxa"/>
            <w:gridSpan w:val="2"/>
            <w:noWrap w:val="0"/>
            <w:vAlign w:val="center"/>
          </w:tcPr>
          <w:p w14:paraId="407DEFF5">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出水水质化验</w:t>
            </w:r>
          </w:p>
          <w:p w14:paraId="0DBC02F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3898" w:type="dxa"/>
            <w:noWrap w:val="0"/>
            <w:vAlign w:val="center"/>
          </w:tcPr>
          <w:p w14:paraId="4A5E0B84">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A按要求配置检测仪器；</w:t>
            </w:r>
          </w:p>
          <w:p w14:paraId="292244C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B制定严格的管理制度（上墙）；</w:t>
            </w:r>
          </w:p>
          <w:p w14:paraId="4E91A238">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C按相关规定对水质进行</w:t>
            </w:r>
            <w:r>
              <w:rPr>
                <w:rFonts w:hint="eastAsia" w:ascii="宋体" w:hAnsi="宋体" w:eastAsia="宋体" w:cs="宋体"/>
                <w:color w:val="auto"/>
                <w:sz w:val="21"/>
                <w:szCs w:val="21"/>
                <w:highlight w:val="none"/>
                <w:lang w:eastAsia="zh-CN"/>
              </w:rPr>
              <w:t>人工</w:t>
            </w:r>
            <w:r>
              <w:rPr>
                <w:rFonts w:hint="eastAsia" w:ascii="宋体" w:hAnsi="宋体" w:eastAsia="宋体" w:cs="宋体"/>
                <w:color w:val="auto"/>
                <w:sz w:val="21"/>
                <w:szCs w:val="21"/>
                <w:highlight w:val="none"/>
              </w:rPr>
              <w:t>化验（每周）；</w:t>
            </w:r>
          </w:p>
          <w:p w14:paraId="30B6F539">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D检测仪器、化学试剂使用规范；</w:t>
            </w:r>
          </w:p>
          <w:p w14:paraId="30B63ABC">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E按相关要求对水样进行采样和保管；</w:t>
            </w:r>
          </w:p>
          <w:p w14:paraId="1EBF9D4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F化验试剂（危险化学品、剧毒品）管理、储存规范；</w:t>
            </w:r>
          </w:p>
          <w:p w14:paraId="37F391E9">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rPr>
              <w:t>化验数据及时登记造册、上报。</w:t>
            </w:r>
          </w:p>
        </w:tc>
        <w:tc>
          <w:tcPr>
            <w:tcW w:w="3300" w:type="dxa"/>
            <w:noWrap w:val="0"/>
            <w:vAlign w:val="center"/>
          </w:tcPr>
          <w:p w14:paraId="541C063C">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每发现1处不合格扣2分并要求整 改，超过规定的周期未完成整改，予以加倍扣分。化验数据弄虚作假扣8分，并负相应责任。</w:t>
            </w:r>
          </w:p>
        </w:tc>
      </w:tr>
      <w:tr w14:paraId="3C4D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5D4FB7E9">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75" w:type="dxa"/>
            <w:vMerge w:val="continue"/>
            <w:noWrap w:val="0"/>
            <w:vAlign w:val="center"/>
          </w:tcPr>
          <w:p w14:paraId="112A2FAE">
            <w:pPr>
              <w:widowControl/>
              <w:jc w:val="both"/>
              <w:rPr>
                <w:rFonts w:hint="eastAsia" w:ascii="宋体" w:hAnsi="宋体" w:eastAsia="宋体" w:cs="宋体"/>
                <w:color w:val="auto"/>
                <w:sz w:val="21"/>
                <w:szCs w:val="21"/>
                <w:highlight w:val="none"/>
              </w:rPr>
            </w:pPr>
          </w:p>
        </w:tc>
        <w:tc>
          <w:tcPr>
            <w:tcW w:w="1116" w:type="dxa"/>
            <w:gridSpan w:val="2"/>
            <w:noWrap w:val="0"/>
            <w:vAlign w:val="center"/>
          </w:tcPr>
          <w:p w14:paraId="5EF5AE0F">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w:t>
            </w:r>
          </w:p>
          <w:p w14:paraId="3064202F">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w:t>
            </w:r>
          </w:p>
          <w:p w14:paraId="1B51FC6C">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898" w:type="dxa"/>
            <w:noWrap w:val="0"/>
            <w:vAlign w:val="center"/>
          </w:tcPr>
          <w:p w14:paraId="5A5DDDA8">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安装进出厂水在线计量、检测设备的污水厂，运营商需做好进出水流量、COD、pH、NH3-N、TN、TP等指标数据的记录，并对日常设备运行是否正常情况进行记录。监测房上锁，无关人员不得进入。记录好进出监测房时间、人员姓名。</w:t>
            </w:r>
          </w:p>
        </w:tc>
        <w:tc>
          <w:tcPr>
            <w:tcW w:w="3300" w:type="dxa"/>
            <w:noWrap w:val="0"/>
            <w:vAlign w:val="center"/>
          </w:tcPr>
          <w:p w14:paraId="5D89576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做好日常运营记录，如未按要求做好相关项，记录每缺一项扣1分并要求整改，超过规定的周期未完成整改，予以加倍扣分。</w:t>
            </w:r>
          </w:p>
        </w:tc>
      </w:tr>
      <w:tr w14:paraId="348C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39B1F3CF">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75" w:type="dxa"/>
            <w:vMerge w:val="restart"/>
            <w:noWrap w:val="0"/>
            <w:vAlign w:val="center"/>
          </w:tcPr>
          <w:p w14:paraId="29C7E8EF">
            <w:pPr>
              <w:pStyle w:val="1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厂容</w:t>
            </w:r>
          </w:p>
          <w:p w14:paraId="3C1F2C32">
            <w:pPr>
              <w:pStyle w:val="1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厂貌</w:t>
            </w:r>
          </w:p>
          <w:p w14:paraId="60B8AA72">
            <w:pPr>
              <w:pStyle w:val="1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1116" w:type="dxa"/>
            <w:gridSpan w:val="2"/>
            <w:noWrap w:val="0"/>
            <w:vAlign w:val="center"/>
          </w:tcPr>
          <w:p w14:paraId="109D232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室内 </w:t>
            </w:r>
          </w:p>
          <w:p w14:paraId="310BA069">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898" w:type="dxa"/>
            <w:noWrap w:val="0"/>
            <w:vAlign w:val="center"/>
          </w:tcPr>
          <w:p w14:paraId="4BCB7326">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厂区内所有室内无垃圾 堆放、无烟头、照明设施分布整齐完好；门、窗、玻璃明亮、无破损；室内无乱涂画、整洁；操作人员着装整齐统一工作服，文明礼貌。</w:t>
            </w:r>
          </w:p>
        </w:tc>
        <w:tc>
          <w:tcPr>
            <w:tcW w:w="3300" w:type="dxa"/>
            <w:noWrap w:val="0"/>
            <w:vAlign w:val="center"/>
          </w:tcPr>
          <w:p w14:paraId="0067266F">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不符合要求每次/处扣 0.5 分并要 求整改，超过规定的周期未完成整 改，扣罚分数按上一周期的扣分加倍。</w:t>
            </w:r>
          </w:p>
        </w:tc>
      </w:tr>
      <w:tr w14:paraId="6AD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607A6D08">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975" w:type="dxa"/>
            <w:vMerge w:val="continue"/>
            <w:noWrap w:val="0"/>
            <w:vAlign w:val="center"/>
          </w:tcPr>
          <w:p w14:paraId="7A134FAB">
            <w:pPr>
              <w:widowControl/>
              <w:jc w:val="both"/>
              <w:rPr>
                <w:rFonts w:hint="eastAsia" w:ascii="宋体" w:hAnsi="宋体" w:eastAsia="宋体" w:cs="宋体"/>
                <w:color w:val="auto"/>
                <w:sz w:val="21"/>
                <w:szCs w:val="21"/>
                <w:highlight w:val="none"/>
              </w:rPr>
            </w:pPr>
          </w:p>
        </w:tc>
        <w:tc>
          <w:tcPr>
            <w:tcW w:w="1116" w:type="dxa"/>
            <w:gridSpan w:val="2"/>
            <w:noWrap w:val="0"/>
            <w:vAlign w:val="center"/>
          </w:tcPr>
          <w:p w14:paraId="014A0715">
            <w:pPr>
              <w:pStyle w:val="1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室外 </w:t>
            </w:r>
          </w:p>
          <w:p w14:paraId="5C0BD680">
            <w:pPr>
              <w:pStyle w:val="1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3898" w:type="dxa"/>
            <w:noWrap w:val="0"/>
            <w:vAlign w:val="center"/>
          </w:tcPr>
          <w:p w14:paraId="325903C4">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内道路畅通，道路卫生清洁；厂区照明设施分布整齐完好；厂区给排水设施完好无损；构筑物、建筑物护栏、围墙完好、无杂草、树枝；配备灭火器、救生圈等安全设备；配电柜、配电箱上锁关闭。设置固定宣传栏、移动展板等。</w:t>
            </w:r>
          </w:p>
        </w:tc>
        <w:tc>
          <w:tcPr>
            <w:tcW w:w="3300" w:type="dxa"/>
            <w:noWrap w:val="0"/>
            <w:vAlign w:val="center"/>
          </w:tcPr>
          <w:p w14:paraId="281166A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每发现1处不合格/不完善扣 0.5 分并要求 整改，超过规定的周期未完成整 改，扣罚分数按上一周期的扣分加倍。</w:t>
            </w:r>
          </w:p>
        </w:tc>
      </w:tr>
      <w:tr w14:paraId="78A5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2E5BABE0">
            <w:pPr>
              <w:pStyle w:val="10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75" w:type="dxa"/>
            <w:noWrap w:val="0"/>
            <w:vAlign w:val="center"/>
          </w:tcPr>
          <w:p w14:paraId="097A25E2">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备机备品（5分）</w:t>
            </w:r>
          </w:p>
        </w:tc>
        <w:tc>
          <w:tcPr>
            <w:tcW w:w="1116" w:type="dxa"/>
            <w:gridSpan w:val="2"/>
            <w:noWrap w:val="0"/>
            <w:vAlign w:val="center"/>
          </w:tcPr>
          <w:p w14:paraId="6082AC25">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备机备品配置完整性（5分）</w:t>
            </w:r>
          </w:p>
        </w:tc>
        <w:tc>
          <w:tcPr>
            <w:tcW w:w="3898" w:type="dxa"/>
            <w:noWrap w:val="0"/>
            <w:vAlign w:val="center"/>
          </w:tcPr>
          <w:p w14:paraId="5558E144">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设备（提升泵、消毒设备等）均按规范配备备机，数量满足应急需求（至少1台/套关键设备对应1台备机）；备机型号、参数与主机匹配，能直接投入使用，无型号不符、无法兼容情况；备品备件（易损件：密封圈、轴承、滤网等；关键件：泵轴、电机等）储备充足，种类、数量符合运维规范；建立备品备件台账，记录完整；备机备品定期检查，每月至少1次，及时更新损坏、过期备件；备机出现故障时，24小时内完成维修或更换，确保应急可用。</w:t>
            </w:r>
          </w:p>
        </w:tc>
        <w:tc>
          <w:tcPr>
            <w:tcW w:w="3300" w:type="dxa"/>
            <w:noWrap w:val="0"/>
            <w:vAlign w:val="center"/>
          </w:tcPr>
          <w:p w14:paraId="1D14BD27">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每发现1处未配备备机备品，或备机备品数量不足应急需求，每次扣1分/次并要求及时配备，超过规定的周期未完成配备，扣罚分数按上一周期的扣分加倍；</w:t>
            </w:r>
          </w:p>
          <w:p w14:paraId="15E273C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故障处置时效超过24小时但不超过48小时，扣0.5分/次；故障处置超时超过48小时，或备机故障后长期未处理扣1分/次，并要求整改，超过规定周期未完成整改，扣罚分数加倍。</w:t>
            </w:r>
          </w:p>
        </w:tc>
      </w:tr>
      <w:tr w14:paraId="5BCC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1D99566B">
            <w:pPr>
              <w:pStyle w:val="10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975" w:type="dxa"/>
            <w:noWrap w:val="0"/>
            <w:vAlign w:val="center"/>
          </w:tcPr>
          <w:p w14:paraId="05FB1765">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督查通报（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116" w:type="dxa"/>
            <w:gridSpan w:val="2"/>
            <w:noWrap w:val="0"/>
            <w:vAlign w:val="center"/>
          </w:tcPr>
          <w:p w14:paraId="49BE44E5">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被上级通报或收到整改通知书（10分））</w:t>
            </w:r>
          </w:p>
        </w:tc>
        <w:tc>
          <w:tcPr>
            <w:tcW w:w="3898" w:type="dxa"/>
            <w:noWrap w:val="0"/>
            <w:vAlign w:val="center"/>
          </w:tcPr>
          <w:p w14:paraId="34ADF124">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对监管部门、上级单位督查发现的问题，在规定期限内完成整改（一般问题3个工作日内，重点问题7个工作日内，重大问题按整改方案期限）； 整改完成后，及时提交整改报告、佐证材料，确保整改闭环；针对通报中反复出现的问题，建立长效防控机制，杜绝同类问题再次发生； 无拒不落实督查通报要求、拖延整改、虚假整改情况。</w:t>
            </w:r>
          </w:p>
        </w:tc>
        <w:tc>
          <w:tcPr>
            <w:tcW w:w="3300" w:type="dxa"/>
            <w:noWrap w:val="0"/>
            <w:vAlign w:val="center"/>
          </w:tcPr>
          <w:p w14:paraId="36466384">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未在规定期限内完成整改的，扣 2分/次；其中一般问题整改期限为3个工作日重点问题为 7 个工作日，重大问题按整改方案明确的期限执行。未提交整改报告的，扣2 分/次。整改事项未落实的，扣1分/项/次。</w:t>
            </w:r>
          </w:p>
          <w:p w14:paraId="6543F0AA">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被自治区通报的，扣5分/次，同步扣除运营费 5000 元。被玉林市通报的，扣3分/次，同步扣除运营费 3000 元。被北流市通报的，扣1分/次，同步扣除运营费 1000 元。被监管部门通报的，扣0.5分/次，同步扣除运营费 500 元。</w:t>
            </w:r>
          </w:p>
        </w:tc>
      </w:tr>
      <w:tr w14:paraId="2593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jc w:val="center"/>
        </w:trPr>
        <w:tc>
          <w:tcPr>
            <w:tcW w:w="643" w:type="dxa"/>
            <w:noWrap w:val="0"/>
            <w:vAlign w:val="center"/>
          </w:tcPr>
          <w:p w14:paraId="4F653147">
            <w:pPr>
              <w:pStyle w:val="10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975" w:type="dxa"/>
            <w:noWrap w:val="0"/>
            <w:vAlign w:val="center"/>
          </w:tcPr>
          <w:p w14:paraId="3CBB1193">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配合上级部门督查（3分）</w:t>
            </w:r>
          </w:p>
        </w:tc>
        <w:tc>
          <w:tcPr>
            <w:tcW w:w="1116" w:type="dxa"/>
            <w:gridSpan w:val="2"/>
            <w:noWrap w:val="0"/>
            <w:vAlign w:val="center"/>
          </w:tcPr>
          <w:p w14:paraId="078DFE53">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迎检</w:t>
            </w:r>
          </w:p>
          <w:p w14:paraId="0E7266AD">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w:t>
            </w:r>
          </w:p>
          <w:p w14:paraId="6CDA68B8">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3898" w:type="dxa"/>
            <w:noWrap w:val="0"/>
            <w:vAlign w:val="center"/>
          </w:tcPr>
          <w:p w14:paraId="268F41A6">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厂内工作人员需严格遵守制定的《污水处理厂生产运作管理制度及操作规程》。在任何情况下，积极配合甲方共同做好上级部门的各种检查、参观活动，并提供相应的资料。</w:t>
            </w:r>
          </w:p>
        </w:tc>
        <w:tc>
          <w:tcPr>
            <w:tcW w:w="3300" w:type="dxa"/>
            <w:noWrap w:val="0"/>
            <w:vAlign w:val="center"/>
          </w:tcPr>
          <w:p w14:paraId="12BDBF84">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每发现1次不合格扣 1 分并整改， 未按时完成整改，予以加倍扣分。不配合迎检工作的扣 3 分。</w:t>
            </w:r>
          </w:p>
        </w:tc>
      </w:tr>
      <w:tr w14:paraId="4527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783" w:hRule="atLeast"/>
          <w:jc w:val="center"/>
        </w:trPr>
        <w:tc>
          <w:tcPr>
            <w:tcW w:w="643" w:type="dxa"/>
            <w:noWrap w:val="0"/>
            <w:vAlign w:val="center"/>
          </w:tcPr>
          <w:p w14:paraId="5EEDD634">
            <w:pPr>
              <w:pStyle w:val="10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975" w:type="dxa"/>
            <w:noWrap w:val="0"/>
            <w:vAlign w:val="center"/>
          </w:tcPr>
          <w:p w14:paraId="597C06C2">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泵站运行管理</w:t>
            </w:r>
          </w:p>
          <w:p w14:paraId="51B0B90A">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116" w:type="dxa"/>
            <w:gridSpan w:val="2"/>
            <w:noWrap w:val="0"/>
            <w:vAlign w:val="center"/>
          </w:tcPr>
          <w:p w14:paraId="7FB17CCD">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3898" w:type="dxa"/>
            <w:noWrap w:val="0"/>
            <w:vAlign w:val="center"/>
          </w:tcPr>
          <w:p w14:paraId="6651BF91">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泵站定期清淤，不出现堵塞导致污水无法抽送现象。泵站巡查、维护日志记录及时、准确登记造册。捞出的垃圾、油污要及时入袋。</w:t>
            </w:r>
          </w:p>
        </w:tc>
        <w:tc>
          <w:tcPr>
            <w:tcW w:w="3300" w:type="dxa"/>
            <w:noWrap w:val="0"/>
            <w:vAlign w:val="center"/>
          </w:tcPr>
          <w:p w14:paraId="6EC4E61C">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每周定期对泵站清理不少于2次，发现泵站未清理油污、污泥、垃圾，每次扣2分，台账不完善，每次扣1分，发现周边有垃圾、油污堆积，每次扣0.5分，并要求整改，超过规定周期未完成整改，扣罚分数加倍。</w:t>
            </w:r>
          </w:p>
        </w:tc>
      </w:tr>
      <w:tr w14:paraId="204E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1837" w:hRule="atLeast"/>
          <w:jc w:val="center"/>
        </w:trPr>
        <w:tc>
          <w:tcPr>
            <w:tcW w:w="643" w:type="dxa"/>
            <w:noWrap w:val="0"/>
            <w:vAlign w:val="center"/>
          </w:tcPr>
          <w:p w14:paraId="2FF2A9FF">
            <w:pPr>
              <w:pStyle w:val="10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975" w:type="dxa"/>
            <w:noWrap w:val="0"/>
            <w:vAlign w:val="center"/>
          </w:tcPr>
          <w:p w14:paraId="60F88805">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安全生产管理（1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116" w:type="dxa"/>
            <w:gridSpan w:val="2"/>
            <w:noWrap w:val="0"/>
            <w:vAlign w:val="center"/>
          </w:tcPr>
          <w:p w14:paraId="2C0356FF">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3898" w:type="dxa"/>
            <w:noWrap w:val="0"/>
            <w:vAlign w:val="center"/>
          </w:tcPr>
          <w:p w14:paraId="2F25EE5C">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执行有关安全管理制度，确保安全生产。建立健全相关应急预案；制定应急训练计划，并开展培训及训练。建立完善的治安管理系统，配备必要的抢险装备、器材，且能定期组织演练。</w:t>
            </w:r>
          </w:p>
        </w:tc>
        <w:tc>
          <w:tcPr>
            <w:tcW w:w="3300" w:type="dxa"/>
            <w:noWrap w:val="0"/>
            <w:vAlign w:val="center"/>
          </w:tcPr>
          <w:p w14:paraId="7FA7B446">
            <w:pPr>
              <w:pStyle w:val="1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每出现一次安全事故扣 5 分；未建立健全应急预案扣4分；无具体的训练计划扣3分；未建立完善的治安管理系统，扣1分。每年至少2次安全演练，未开展培训、训练及演练，每次扣2分，并要求整改，超过规定周期未完成整改，扣罚分数加倍。</w:t>
            </w:r>
          </w:p>
        </w:tc>
      </w:tr>
    </w:tbl>
    <w:p w14:paraId="71DB4BCA">
      <w:pPr>
        <w:spacing w:before="91" w:beforeAutospacing="0" w:afterAutospacing="0" w:line="218" w:lineRule="auto"/>
        <w:ind w:left="163"/>
        <w:rPr>
          <w:rFonts w:ascii="宋体" w:hAnsi="宋体" w:eastAsia="宋体" w:cs="宋体"/>
          <w:color w:val="auto"/>
          <w:spacing w:val="6"/>
          <w:sz w:val="28"/>
          <w:szCs w:val="28"/>
          <w:highlight w:val="none"/>
          <w:u w:val="none"/>
        </w:rPr>
      </w:pPr>
    </w:p>
    <w:p w14:paraId="69FEB461">
      <w:pPr>
        <w:spacing w:before="91" w:beforeAutospacing="0" w:afterAutospacing="0" w:line="218" w:lineRule="auto"/>
        <w:ind w:firstLine="584" w:firstLineChars="200"/>
        <w:rPr>
          <w:rFonts w:ascii="宋体" w:hAnsi="宋体" w:eastAsia="宋体" w:cs="宋体"/>
          <w:color w:val="auto"/>
          <w:spacing w:val="3"/>
          <w:sz w:val="28"/>
          <w:szCs w:val="28"/>
          <w:highlight w:val="none"/>
          <w:u w:val="none"/>
          <w:vertAlign w:val="baseline"/>
        </w:rPr>
      </w:pPr>
      <w:r>
        <w:rPr>
          <w:rFonts w:ascii="宋体" w:hAnsi="宋体" w:eastAsia="宋体" w:cs="宋体"/>
          <w:color w:val="auto"/>
          <w:spacing w:val="6"/>
          <w:sz w:val="28"/>
          <w:szCs w:val="28"/>
          <w:highlight w:val="none"/>
          <w:u w:val="none"/>
        </w:rPr>
        <w:t>(</w:t>
      </w:r>
      <w:r>
        <w:rPr>
          <w:rFonts w:ascii="宋体" w:hAnsi="宋体" w:eastAsia="宋体" w:cs="宋体"/>
          <w:color w:val="auto"/>
          <w:spacing w:val="4"/>
          <w:sz w:val="28"/>
          <w:szCs w:val="28"/>
          <w:highlight w:val="none"/>
          <w:u w:val="none"/>
        </w:rPr>
        <w:t>2</w:t>
      </w:r>
      <w:r>
        <w:rPr>
          <w:rFonts w:ascii="宋体" w:hAnsi="宋体" w:eastAsia="宋体" w:cs="宋体"/>
          <w:color w:val="auto"/>
          <w:spacing w:val="3"/>
          <w:sz w:val="28"/>
          <w:szCs w:val="28"/>
          <w:highlight w:val="none"/>
          <w:u w:val="none"/>
        </w:rPr>
        <w:t>) 表 2  污水处理水量的绩效考核指标表</w:t>
      </w:r>
    </w:p>
    <w:tbl>
      <w:tblPr>
        <w:tblStyle w:val="44"/>
        <w:tblpPr w:leftFromText="180" w:rightFromText="180" w:vertAnchor="text" w:horzAnchor="page" w:tblpX="1176" w:tblpY="471"/>
        <w:tblOverlap w:val="never"/>
        <w:tblW w:w="9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3869"/>
        <w:gridCol w:w="2697"/>
        <w:gridCol w:w="2506"/>
      </w:tblGrid>
      <w:tr w14:paraId="793BF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746" w:type="dxa"/>
            <w:noWrap w:val="0"/>
            <w:vAlign w:val="center"/>
          </w:tcPr>
          <w:p w14:paraId="557AB7AE">
            <w:pPr>
              <w:spacing w:line="460" w:lineRule="exact"/>
              <w:jc w:val="center"/>
              <w:rPr>
                <w:rFonts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序号</w:t>
            </w:r>
          </w:p>
        </w:tc>
        <w:tc>
          <w:tcPr>
            <w:tcW w:w="3869" w:type="dxa"/>
            <w:noWrap w:val="0"/>
            <w:vAlign w:val="center"/>
          </w:tcPr>
          <w:p w14:paraId="614E9693">
            <w:pPr>
              <w:spacing w:line="460" w:lineRule="exact"/>
              <w:jc w:val="center"/>
              <w:rPr>
                <w:rFonts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季度平均负荷率（B</w:t>
            </w:r>
            <w:r>
              <w:rPr>
                <w:rFonts w:hint="eastAsia" w:ascii="华文仿宋" w:hAnsi="华文仿宋" w:eastAsia="华文仿宋" w:cs="华文仿宋"/>
                <w:color w:val="auto"/>
                <w:kern w:val="0"/>
                <w:sz w:val="24"/>
                <w:szCs w:val="44"/>
                <w:highlight w:val="none"/>
              </w:rPr>
              <w:t>%</w:t>
            </w:r>
            <w:r>
              <w:rPr>
                <w:rFonts w:hint="eastAsia" w:ascii="华文仿宋" w:hAnsi="华文仿宋" w:eastAsia="华文仿宋" w:cs="华文仿宋"/>
                <w:bCs/>
                <w:color w:val="auto"/>
                <w:sz w:val="24"/>
                <w:szCs w:val="24"/>
                <w:highlight w:val="none"/>
              </w:rPr>
              <w:t>）</w:t>
            </w:r>
          </w:p>
        </w:tc>
        <w:tc>
          <w:tcPr>
            <w:tcW w:w="2697" w:type="dxa"/>
            <w:noWrap w:val="0"/>
            <w:vAlign w:val="center"/>
          </w:tcPr>
          <w:p w14:paraId="619EC64C">
            <w:pPr>
              <w:spacing w:line="300" w:lineRule="exact"/>
              <w:jc w:val="center"/>
              <w:rPr>
                <w:rFonts w:hint="eastAsia"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N2</w:t>
            </w:r>
          </w:p>
          <w:p w14:paraId="2877ABB0">
            <w:pPr>
              <w:spacing w:line="300" w:lineRule="exact"/>
              <w:jc w:val="center"/>
              <w:rPr>
                <w:rFonts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（污水处理水量绩效考核当季度得分值）</w:t>
            </w:r>
          </w:p>
        </w:tc>
        <w:tc>
          <w:tcPr>
            <w:tcW w:w="2506" w:type="dxa"/>
            <w:noWrap w:val="0"/>
            <w:vAlign w:val="center"/>
          </w:tcPr>
          <w:p w14:paraId="337763C7">
            <w:pPr>
              <w:spacing w:line="460" w:lineRule="exact"/>
              <w:jc w:val="center"/>
              <w:rPr>
                <w:rFonts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备注</w:t>
            </w:r>
          </w:p>
        </w:tc>
      </w:tr>
      <w:tr w14:paraId="3EDF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746" w:type="dxa"/>
            <w:noWrap w:val="0"/>
            <w:vAlign w:val="center"/>
          </w:tcPr>
          <w:p w14:paraId="5B5D1F51">
            <w:pPr>
              <w:spacing w:line="460" w:lineRule="exact"/>
              <w:jc w:val="center"/>
              <w:rPr>
                <w:rFonts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1</w:t>
            </w:r>
          </w:p>
        </w:tc>
        <w:tc>
          <w:tcPr>
            <w:tcW w:w="3869" w:type="dxa"/>
            <w:noWrap w:val="0"/>
            <w:vAlign w:val="center"/>
          </w:tcPr>
          <w:p w14:paraId="3EFF25E4">
            <w:pPr>
              <w:spacing w:line="460" w:lineRule="exact"/>
              <w:jc w:val="center"/>
              <w:rPr>
                <w:rFonts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B</w:t>
            </w:r>
            <w:r>
              <w:rPr>
                <w:rFonts w:hint="eastAsia" w:ascii="华文仿宋" w:hAnsi="华文仿宋" w:eastAsia="华文仿宋" w:cs="华文仿宋"/>
                <w:color w:val="auto"/>
                <w:kern w:val="0"/>
                <w:sz w:val="24"/>
                <w:szCs w:val="44"/>
                <w:highlight w:val="none"/>
              </w:rPr>
              <w:t>%</w:t>
            </w:r>
            <w:r>
              <w:rPr>
                <w:rFonts w:hint="eastAsia" w:ascii="华文仿宋" w:hAnsi="华文仿宋" w:eastAsia="华文仿宋" w:cs="华文仿宋"/>
                <w:bCs/>
                <w:color w:val="auto"/>
                <w:sz w:val="24"/>
                <w:szCs w:val="24"/>
                <w:highlight w:val="none"/>
              </w:rPr>
              <w:t>＜30%</w:t>
            </w:r>
          </w:p>
        </w:tc>
        <w:tc>
          <w:tcPr>
            <w:tcW w:w="2697" w:type="dxa"/>
            <w:noWrap w:val="0"/>
            <w:vAlign w:val="center"/>
          </w:tcPr>
          <w:p w14:paraId="081D787A">
            <w:pPr>
              <w:spacing w:line="460" w:lineRule="exact"/>
              <w:jc w:val="center"/>
              <w:rPr>
                <w:rFonts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0</w:t>
            </w:r>
          </w:p>
        </w:tc>
        <w:tc>
          <w:tcPr>
            <w:tcW w:w="2506" w:type="dxa"/>
            <w:noWrap w:val="0"/>
            <w:vAlign w:val="center"/>
          </w:tcPr>
          <w:p w14:paraId="1B718122">
            <w:pPr>
              <w:spacing w:line="460" w:lineRule="exact"/>
              <w:jc w:val="center"/>
              <w:rPr>
                <w:rFonts w:ascii="华文仿宋" w:hAnsi="华文仿宋" w:eastAsia="华文仿宋" w:cs="华文仿宋"/>
                <w:bCs/>
                <w:color w:val="auto"/>
                <w:sz w:val="24"/>
                <w:szCs w:val="24"/>
                <w:highlight w:val="none"/>
              </w:rPr>
            </w:pPr>
          </w:p>
        </w:tc>
      </w:tr>
      <w:tr w14:paraId="10C7D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746" w:type="dxa"/>
            <w:noWrap w:val="0"/>
            <w:vAlign w:val="center"/>
          </w:tcPr>
          <w:p w14:paraId="48093DEC">
            <w:pPr>
              <w:spacing w:line="460" w:lineRule="exact"/>
              <w:jc w:val="center"/>
              <w:rPr>
                <w:rFonts w:hint="eastAsia" w:ascii="华文仿宋" w:hAnsi="华文仿宋" w:eastAsia="华文仿宋" w:cs="华文仿宋"/>
                <w:bCs/>
                <w:color w:val="auto"/>
                <w:sz w:val="24"/>
                <w:szCs w:val="24"/>
                <w:highlight w:val="none"/>
                <w:lang w:val="en-US" w:eastAsia="zh-CN"/>
              </w:rPr>
            </w:pPr>
            <w:r>
              <w:rPr>
                <w:rFonts w:hint="eastAsia" w:ascii="华文仿宋" w:hAnsi="华文仿宋" w:eastAsia="华文仿宋" w:cs="华文仿宋"/>
                <w:bCs/>
                <w:color w:val="auto"/>
                <w:sz w:val="24"/>
                <w:szCs w:val="24"/>
                <w:highlight w:val="none"/>
                <w:lang w:val="en-US" w:eastAsia="zh-CN"/>
              </w:rPr>
              <w:t>2</w:t>
            </w:r>
          </w:p>
        </w:tc>
        <w:tc>
          <w:tcPr>
            <w:tcW w:w="3869" w:type="dxa"/>
            <w:noWrap w:val="0"/>
            <w:vAlign w:val="center"/>
          </w:tcPr>
          <w:p w14:paraId="44ED5ED1">
            <w:pPr>
              <w:spacing w:line="460" w:lineRule="exact"/>
              <w:jc w:val="center"/>
              <w:rPr>
                <w:rFonts w:hint="eastAsia"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rPr>
              <w:t>30%≤B</w:t>
            </w:r>
            <w:r>
              <w:rPr>
                <w:rFonts w:hint="eastAsia" w:ascii="华文仿宋" w:hAnsi="华文仿宋" w:eastAsia="华文仿宋" w:cs="华文仿宋"/>
                <w:color w:val="auto"/>
                <w:kern w:val="0"/>
                <w:sz w:val="24"/>
                <w:szCs w:val="44"/>
                <w:highlight w:val="none"/>
              </w:rPr>
              <w:t>%</w:t>
            </w:r>
            <w:r>
              <w:rPr>
                <w:rFonts w:hint="eastAsia" w:ascii="华文仿宋" w:hAnsi="华文仿宋" w:eastAsia="华文仿宋" w:cs="华文仿宋"/>
                <w:bCs/>
                <w:color w:val="auto"/>
                <w:sz w:val="24"/>
                <w:szCs w:val="24"/>
                <w:highlight w:val="none"/>
              </w:rPr>
              <w:t>＜</w:t>
            </w:r>
            <w:r>
              <w:rPr>
                <w:rFonts w:hint="eastAsia" w:ascii="华文仿宋" w:hAnsi="华文仿宋" w:eastAsia="华文仿宋" w:cs="华文仿宋"/>
                <w:bCs/>
                <w:color w:val="auto"/>
                <w:sz w:val="24"/>
                <w:szCs w:val="24"/>
                <w:highlight w:val="none"/>
                <w:lang w:val="en-US" w:eastAsia="zh-CN"/>
              </w:rPr>
              <w:t>75</w:t>
            </w:r>
            <w:r>
              <w:rPr>
                <w:rFonts w:hint="eastAsia" w:ascii="华文仿宋" w:hAnsi="华文仿宋" w:eastAsia="华文仿宋" w:cs="华文仿宋"/>
                <w:bCs/>
                <w:color w:val="auto"/>
                <w:sz w:val="24"/>
                <w:szCs w:val="24"/>
                <w:highlight w:val="none"/>
              </w:rPr>
              <w:t>%</w:t>
            </w:r>
          </w:p>
        </w:tc>
        <w:tc>
          <w:tcPr>
            <w:tcW w:w="2697" w:type="dxa"/>
            <w:noWrap w:val="0"/>
            <w:vAlign w:val="center"/>
          </w:tcPr>
          <w:p w14:paraId="42A7B314">
            <w:pPr>
              <w:spacing w:line="460" w:lineRule="exact"/>
              <w:jc w:val="center"/>
              <w:rPr>
                <w:rFonts w:hint="default" w:ascii="华文仿宋" w:hAnsi="华文仿宋" w:eastAsia="华文仿宋" w:cs="华文仿宋"/>
                <w:bCs/>
                <w:color w:val="auto"/>
                <w:sz w:val="24"/>
                <w:szCs w:val="24"/>
                <w:highlight w:val="none"/>
                <w:lang w:val="en-US" w:eastAsia="zh-CN"/>
              </w:rPr>
            </w:pPr>
            <w:r>
              <w:rPr>
                <w:rFonts w:hint="eastAsia" w:ascii="华文仿宋" w:hAnsi="华文仿宋" w:eastAsia="华文仿宋" w:cs="华文仿宋"/>
                <w:bCs/>
                <w:color w:val="auto"/>
                <w:sz w:val="24"/>
                <w:szCs w:val="24"/>
                <w:highlight w:val="none"/>
                <w:lang w:val="en-US" w:eastAsia="zh-CN"/>
              </w:rPr>
              <w:t>B</w:t>
            </w:r>
          </w:p>
        </w:tc>
        <w:tc>
          <w:tcPr>
            <w:tcW w:w="2506" w:type="dxa"/>
            <w:noWrap w:val="0"/>
            <w:vAlign w:val="center"/>
          </w:tcPr>
          <w:p w14:paraId="3DB4BD33">
            <w:pPr>
              <w:spacing w:line="460" w:lineRule="exact"/>
              <w:jc w:val="center"/>
              <w:rPr>
                <w:rFonts w:ascii="华文仿宋" w:hAnsi="华文仿宋" w:eastAsia="华文仿宋" w:cs="华文仿宋"/>
                <w:bCs/>
                <w:color w:val="auto"/>
                <w:sz w:val="24"/>
                <w:szCs w:val="24"/>
                <w:highlight w:val="none"/>
              </w:rPr>
            </w:pPr>
          </w:p>
        </w:tc>
      </w:tr>
      <w:tr w14:paraId="6AB4C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746" w:type="dxa"/>
            <w:noWrap w:val="0"/>
            <w:vAlign w:val="center"/>
          </w:tcPr>
          <w:p w14:paraId="00F335B1">
            <w:pPr>
              <w:spacing w:line="460" w:lineRule="exact"/>
              <w:jc w:val="center"/>
              <w:rPr>
                <w:rFonts w:hint="eastAsia" w:ascii="华文仿宋" w:hAnsi="华文仿宋" w:eastAsia="华文仿宋" w:cs="华文仿宋"/>
                <w:bCs/>
                <w:color w:val="auto"/>
                <w:sz w:val="24"/>
                <w:szCs w:val="24"/>
                <w:highlight w:val="none"/>
                <w:lang w:eastAsia="zh-CN"/>
              </w:rPr>
            </w:pPr>
            <w:r>
              <w:rPr>
                <w:rFonts w:hint="eastAsia" w:ascii="华文仿宋" w:hAnsi="华文仿宋" w:eastAsia="华文仿宋" w:cs="华文仿宋"/>
                <w:bCs/>
                <w:color w:val="auto"/>
                <w:sz w:val="24"/>
                <w:szCs w:val="24"/>
                <w:highlight w:val="none"/>
                <w:lang w:val="en-US" w:eastAsia="zh-CN"/>
              </w:rPr>
              <w:t>3</w:t>
            </w:r>
          </w:p>
        </w:tc>
        <w:tc>
          <w:tcPr>
            <w:tcW w:w="3869" w:type="dxa"/>
            <w:noWrap w:val="0"/>
            <w:vAlign w:val="center"/>
          </w:tcPr>
          <w:p w14:paraId="1853753E">
            <w:pPr>
              <w:spacing w:line="460" w:lineRule="exact"/>
              <w:jc w:val="center"/>
              <w:rPr>
                <w:rFonts w:ascii="华文仿宋" w:hAnsi="华文仿宋" w:eastAsia="华文仿宋" w:cs="华文仿宋"/>
                <w:bCs/>
                <w:color w:val="auto"/>
                <w:sz w:val="24"/>
                <w:szCs w:val="24"/>
                <w:highlight w:val="none"/>
              </w:rPr>
            </w:pPr>
            <w:r>
              <w:rPr>
                <w:rFonts w:hint="eastAsia" w:ascii="华文仿宋" w:hAnsi="华文仿宋" w:eastAsia="华文仿宋" w:cs="华文仿宋"/>
                <w:bCs/>
                <w:color w:val="auto"/>
                <w:sz w:val="24"/>
                <w:szCs w:val="24"/>
                <w:highlight w:val="none"/>
                <w:lang w:val="en-US" w:eastAsia="zh-CN"/>
              </w:rPr>
              <w:t>75</w:t>
            </w:r>
            <w:r>
              <w:rPr>
                <w:rFonts w:hint="eastAsia" w:ascii="华文仿宋" w:hAnsi="华文仿宋" w:eastAsia="华文仿宋" w:cs="华文仿宋"/>
                <w:bCs/>
                <w:color w:val="auto"/>
                <w:sz w:val="24"/>
                <w:szCs w:val="24"/>
                <w:highlight w:val="none"/>
              </w:rPr>
              <w:t>%≤B</w:t>
            </w:r>
            <w:r>
              <w:rPr>
                <w:rFonts w:hint="eastAsia" w:ascii="华文仿宋" w:hAnsi="华文仿宋" w:eastAsia="华文仿宋" w:cs="华文仿宋"/>
                <w:color w:val="auto"/>
                <w:kern w:val="0"/>
                <w:sz w:val="24"/>
                <w:szCs w:val="44"/>
                <w:highlight w:val="none"/>
              </w:rPr>
              <w:t>%</w:t>
            </w:r>
            <w:r>
              <w:rPr>
                <w:rFonts w:hint="eastAsia" w:ascii="华文仿宋" w:hAnsi="华文仿宋" w:eastAsia="华文仿宋" w:cs="华文仿宋"/>
                <w:bCs/>
                <w:color w:val="auto"/>
                <w:sz w:val="24"/>
                <w:szCs w:val="24"/>
                <w:highlight w:val="none"/>
              </w:rPr>
              <w:t>＜</w:t>
            </w:r>
            <w:r>
              <w:rPr>
                <w:rFonts w:hint="eastAsia" w:ascii="华文仿宋" w:hAnsi="华文仿宋" w:eastAsia="华文仿宋" w:cs="华文仿宋"/>
                <w:bCs/>
                <w:color w:val="auto"/>
                <w:sz w:val="24"/>
                <w:szCs w:val="24"/>
                <w:highlight w:val="none"/>
                <w:lang w:val="en-US" w:eastAsia="zh-CN"/>
              </w:rPr>
              <w:t>120</w:t>
            </w:r>
            <w:r>
              <w:rPr>
                <w:rFonts w:hint="eastAsia" w:ascii="华文仿宋" w:hAnsi="华文仿宋" w:eastAsia="华文仿宋" w:cs="华文仿宋"/>
                <w:bCs/>
                <w:color w:val="auto"/>
                <w:sz w:val="24"/>
                <w:szCs w:val="24"/>
                <w:highlight w:val="none"/>
              </w:rPr>
              <w:t>%</w:t>
            </w:r>
          </w:p>
        </w:tc>
        <w:tc>
          <w:tcPr>
            <w:tcW w:w="2697" w:type="dxa"/>
            <w:noWrap w:val="0"/>
            <w:vAlign w:val="center"/>
          </w:tcPr>
          <w:p w14:paraId="37FA772A">
            <w:pPr>
              <w:spacing w:line="460" w:lineRule="exact"/>
              <w:jc w:val="center"/>
              <w:rPr>
                <w:rFonts w:hint="default" w:ascii="华文仿宋" w:hAnsi="华文仿宋" w:eastAsia="华文仿宋" w:cs="华文仿宋"/>
                <w:bCs/>
                <w:color w:val="auto"/>
                <w:sz w:val="24"/>
                <w:szCs w:val="24"/>
                <w:highlight w:val="none"/>
                <w:lang w:val="en-US" w:eastAsia="zh-CN"/>
              </w:rPr>
            </w:pPr>
            <w:r>
              <w:rPr>
                <w:rFonts w:hint="eastAsia" w:ascii="华文仿宋" w:hAnsi="华文仿宋" w:eastAsia="华文仿宋" w:cs="华文仿宋"/>
                <w:bCs/>
                <w:color w:val="auto"/>
                <w:sz w:val="24"/>
                <w:szCs w:val="24"/>
                <w:highlight w:val="none"/>
                <w:lang w:val="en-US" w:eastAsia="zh-CN"/>
              </w:rPr>
              <w:t>100</w:t>
            </w:r>
          </w:p>
        </w:tc>
        <w:tc>
          <w:tcPr>
            <w:tcW w:w="2506" w:type="dxa"/>
            <w:noWrap w:val="0"/>
            <w:vAlign w:val="center"/>
          </w:tcPr>
          <w:p w14:paraId="3E9C72D8">
            <w:pPr>
              <w:spacing w:line="460" w:lineRule="exact"/>
              <w:jc w:val="center"/>
              <w:rPr>
                <w:rFonts w:ascii="华文仿宋" w:hAnsi="华文仿宋" w:eastAsia="华文仿宋" w:cs="华文仿宋"/>
                <w:bCs/>
                <w:color w:val="auto"/>
                <w:sz w:val="24"/>
                <w:szCs w:val="24"/>
                <w:highlight w:val="none"/>
              </w:rPr>
            </w:pPr>
          </w:p>
        </w:tc>
      </w:tr>
    </w:tbl>
    <w:p w14:paraId="3A85ECF5">
      <w:pPr>
        <w:spacing w:before="65" w:beforeAutospacing="0" w:afterAutospacing="0" w:line="360" w:lineRule="exact"/>
        <w:ind w:left="0" w:leftChars="0" w:firstLine="0" w:firstLineChars="0"/>
        <w:rPr>
          <w:rFonts w:hint="eastAsia" w:ascii="宋体" w:hAnsi="宋体" w:cs="宋体"/>
          <w:color w:val="auto"/>
          <w:spacing w:val="14"/>
          <w:sz w:val="20"/>
          <w:szCs w:val="20"/>
          <w:highlight w:val="none"/>
          <w:u w:val="none"/>
          <w:lang w:eastAsia="zh-CN"/>
        </w:rPr>
      </w:pPr>
    </w:p>
    <w:p w14:paraId="5A5AAEFE">
      <w:pPr>
        <w:spacing w:before="65" w:beforeAutospacing="0" w:afterAutospacing="0" w:line="360" w:lineRule="exact"/>
        <w:ind w:left="0" w:firstLine="456" w:firstLineChars="200"/>
        <w:rPr>
          <w:rFonts w:hint="eastAsia" w:ascii="宋体" w:hAnsi="宋体" w:cs="宋体"/>
          <w:color w:val="auto"/>
          <w:spacing w:val="14"/>
          <w:sz w:val="20"/>
          <w:szCs w:val="20"/>
          <w:highlight w:val="none"/>
          <w:u w:val="none"/>
          <w:lang w:eastAsia="zh-CN"/>
        </w:rPr>
      </w:pPr>
    </w:p>
    <w:p w14:paraId="22E53B53">
      <w:pPr>
        <w:spacing w:before="56" w:line="218" w:lineRule="auto"/>
        <w:ind w:firstLine="452" w:firstLineChars="200"/>
        <w:rPr>
          <w:rFonts w:hint="eastAsia" w:ascii="宋体" w:hAnsi="宋体" w:eastAsia="宋体" w:cs="宋体"/>
          <w:color w:val="auto"/>
          <w:spacing w:val="3"/>
          <w:sz w:val="22"/>
          <w:szCs w:val="22"/>
          <w:highlight w:val="none"/>
          <w:u w:val="none"/>
        </w:rPr>
      </w:pPr>
      <w:r>
        <w:rPr>
          <w:rFonts w:hint="eastAsia" w:ascii="宋体" w:hAnsi="宋体" w:eastAsia="宋体" w:cs="宋体"/>
          <w:color w:val="auto"/>
          <w:spacing w:val="3"/>
          <w:sz w:val="22"/>
          <w:szCs w:val="22"/>
          <w:highlight w:val="none"/>
          <w:u w:val="none"/>
        </w:rPr>
        <w:t>注:在进厂水里符合设计水里的前提下，进厂污水需全部处理，不得自减产、停产，不得对周边环境造成污染。若出现客观原因、管网坍塌等不属于乙方管网服务维修范围内造成污水处理负荷率达不到75%，绩效考核</w:t>
      </w:r>
      <w:r>
        <w:rPr>
          <w:rFonts w:hint="eastAsia" w:ascii="宋体" w:hAnsi="宋体" w:eastAsia="宋体" w:cs="宋体"/>
          <w:color w:val="auto"/>
          <w:spacing w:val="3"/>
          <w:sz w:val="22"/>
          <w:szCs w:val="22"/>
          <w:highlight w:val="none"/>
          <w:u w:val="none"/>
          <w:lang w:val="en-US" w:eastAsia="zh-CN"/>
        </w:rPr>
        <w:t>不予扣分</w:t>
      </w:r>
      <w:r>
        <w:rPr>
          <w:rFonts w:hint="eastAsia" w:ascii="宋体" w:hAnsi="宋体" w:eastAsia="宋体" w:cs="宋体"/>
          <w:color w:val="auto"/>
          <w:spacing w:val="3"/>
          <w:sz w:val="22"/>
          <w:szCs w:val="22"/>
          <w:highlight w:val="none"/>
          <w:u w:val="none"/>
        </w:rPr>
        <w:t>;若发现污水应抽未抽、应处理未处理的情况，除扣减绩效考核费用外，不免除环保等部门作出的相应处罚。</w:t>
      </w:r>
    </w:p>
    <w:p w14:paraId="11CEE183">
      <w:pPr>
        <w:spacing w:before="56" w:line="218" w:lineRule="auto"/>
        <w:ind w:firstLine="572" w:firstLineChars="200"/>
        <w:rPr>
          <w:rFonts w:ascii="宋体" w:hAnsi="宋体" w:eastAsia="宋体" w:cs="宋体"/>
          <w:color w:val="auto"/>
          <w:spacing w:val="3"/>
          <w:sz w:val="28"/>
          <w:szCs w:val="28"/>
          <w:highlight w:val="none"/>
          <w:u w:val="none"/>
        </w:rPr>
      </w:pPr>
    </w:p>
    <w:p w14:paraId="73010585">
      <w:pPr>
        <w:spacing w:before="56" w:line="218" w:lineRule="auto"/>
        <w:ind w:firstLine="572" w:firstLineChars="200"/>
        <w:rPr>
          <w:rFonts w:ascii="宋体" w:hAnsi="宋体" w:eastAsia="宋体" w:cs="宋体"/>
          <w:color w:val="auto"/>
          <w:spacing w:val="3"/>
          <w:sz w:val="28"/>
          <w:szCs w:val="28"/>
          <w:highlight w:val="none"/>
          <w:u w:val="none"/>
        </w:rPr>
      </w:pPr>
    </w:p>
    <w:p w14:paraId="609CBB1F">
      <w:pPr>
        <w:spacing w:before="56" w:line="218" w:lineRule="auto"/>
        <w:ind w:firstLine="572" w:firstLineChars="200"/>
        <w:rPr>
          <w:color w:val="auto"/>
          <w:highlight w:val="none"/>
          <w:u w:val="none"/>
        </w:rPr>
      </w:pPr>
      <w:r>
        <w:rPr>
          <w:rFonts w:ascii="宋体" w:hAnsi="宋体" w:eastAsia="宋体" w:cs="宋体"/>
          <w:color w:val="auto"/>
          <w:spacing w:val="3"/>
          <w:sz w:val="28"/>
          <w:szCs w:val="28"/>
          <w:highlight w:val="none"/>
          <w:u w:val="none"/>
        </w:rPr>
        <w:t>(3) 表 3  污水厂配套管网巡查维护绩效考核指</w:t>
      </w:r>
      <w:r>
        <w:rPr>
          <w:rFonts w:ascii="宋体" w:hAnsi="宋体" w:eastAsia="宋体" w:cs="宋体"/>
          <w:color w:val="auto"/>
          <w:spacing w:val="1"/>
          <w:sz w:val="28"/>
          <w:szCs w:val="28"/>
          <w:highlight w:val="none"/>
          <w:u w:val="none"/>
        </w:rPr>
        <w:t>标</w:t>
      </w:r>
      <w:r>
        <w:rPr>
          <w:rFonts w:ascii="宋体" w:hAnsi="宋体" w:eastAsia="宋体" w:cs="宋体"/>
          <w:color w:val="auto"/>
          <w:sz w:val="28"/>
          <w:szCs w:val="28"/>
          <w:highlight w:val="none"/>
          <w:u w:val="none"/>
        </w:rPr>
        <w:t>表</w:t>
      </w:r>
    </w:p>
    <w:p w14:paraId="12F10299">
      <w:pPr>
        <w:rPr>
          <w:color w:val="auto"/>
          <w:highlight w:val="none"/>
          <w:u w:val="none"/>
        </w:rPr>
      </w:pPr>
    </w:p>
    <w:tbl>
      <w:tblPr>
        <w:tblStyle w:val="44"/>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1115"/>
        <w:gridCol w:w="1007"/>
        <w:gridCol w:w="466"/>
        <w:gridCol w:w="5531"/>
      </w:tblGrid>
      <w:tr w14:paraId="7AC4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blHeader/>
          <w:jc w:val="center"/>
        </w:trPr>
        <w:tc>
          <w:tcPr>
            <w:tcW w:w="653" w:type="dxa"/>
            <w:noWrap w:val="0"/>
            <w:vAlign w:val="center"/>
          </w:tcPr>
          <w:p w14:paraId="131D836C">
            <w:pPr>
              <w:pStyle w:val="99"/>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序号</w:t>
            </w:r>
          </w:p>
        </w:tc>
        <w:tc>
          <w:tcPr>
            <w:tcW w:w="1115" w:type="dxa"/>
            <w:noWrap w:val="0"/>
            <w:vAlign w:val="center"/>
          </w:tcPr>
          <w:p w14:paraId="3BA57662">
            <w:pPr>
              <w:pStyle w:val="99"/>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考核项目</w:t>
            </w:r>
          </w:p>
        </w:tc>
        <w:tc>
          <w:tcPr>
            <w:tcW w:w="1007" w:type="dxa"/>
            <w:noWrap w:val="0"/>
            <w:vAlign w:val="center"/>
          </w:tcPr>
          <w:p w14:paraId="66D98C0C">
            <w:pPr>
              <w:pStyle w:val="99"/>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考核内容</w:t>
            </w:r>
          </w:p>
        </w:tc>
        <w:tc>
          <w:tcPr>
            <w:tcW w:w="466" w:type="dxa"/>
            <w:noWrap w:val="0"/>
            <w:vAlign w:val="center"/>
          </w:tcPr>
          <w:p w14:paraId="3BA504D9">
            <w:pPr>
              <w:pStyle w:val="99"/>
              <w:spacing w:before="118" w:beforeLines="0" w:line="30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分值</w:t>
            </w:r>
          </w:p>
        </w:tc>
        <w:tc>
          <w:tcPr>
            <w:tcW w:w="5531" w:type="dxa"/>
            <w:noWrap w:val="0"/>
            <w:vAlign w:val="center"/>
          </w:tcPr>
          <w:p w14:paraId="287BAB03">
            <w:pPr>
              <w:pStyle w:val="99"/>
              <w:spacing w:before="118" w:beforeLines="0" w:line="300" w:lineRule="auto"/>
              <w:ind w:right="1"/>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评分标准</w:t>
            </w:r>
          </w:p>
        </w:tc>
      </w:tr>
      <w:tr w14:paraId="3903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jc w:val="center"/>
        </w:trPr>
        <w:tc>
          <w:tcPr>
            <w:tcW w:w="653" w:type="dxa"/>
            <w:vMerge w:val="restart"/>
            <w:noWrap w:val="0"/>
            <w:vAlign w:val="center"/>
          </w:tcPr>
          <w:p w14:paraId="69905221">
            <w:pPr>
              <w:pStyle w:val="99"/>
              <w:spacing w:line="300" w:lineRule="auto"/>
              <w:ind w:left="1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5" w:type="dxa"/>
            <w:vMerge w:val="restart"/>
            <w:noWrap w:val="0"/>
            <w:vAlign w:val="center"/>
          </w:tcPr>
          <w:p w14:paraId="2AE133E5">
            <w:pPr>
              <w:pStyle w:val="99"/>
              <w:spacing w:line="300" w:lineRule="auto"/>
              <w:ind w:left="156"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组织管 理（1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w:t>
            </w:r>
          </w:p>
        </w:tc>
        <w:tc>
          <w:tcPr>
            <w:tcW w:w="1007" w:type="dxa"/>
            <w:noWrap w:val="0"/>
            <w:vAlign w:val="center"/>
          </w:tcPr>
          <w:p w14:paraId="2C351651">
            <w:pPr>
              <w:pStyle w:val="99"/>
              <w:spacing w:line="300" w:lineRule="auto"/>
              <w:ind w:right="1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人员配置情况</w:t>
            </w:r>
          </w:p>
        </w:tc>
        <w:tc>
          <w:tcPr>
            <w:tcW w:w="466" w:type="dxa"/>
            <w:noWrap w:val="0"/>
            <w:vAlign w:val="center"/>
          </w:tcPr>
          <w:p w14:paraId="1C27D3ED">
            <w:pPr>
              <w:pStyle w:val="99"/>
              <w:spacing w:before="165" w:beforeLines="0" w:line="300" w:lineRule="auto"/>
              <w:ind w:left="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531" w:type="dxa"/>
            <w:noWrap w:val="0"/>
            <w:vAlign w:val="center"/>
          </w:tcPr>
          <w:p w14:paraId="4A7A3104">
            <w:pPr>
              <w:pStyle w:val="99"/>
              <w:spacing w:line="300" w:lineRule="auto"/>
              <w:ind w:left="99" w:right="-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管网配置人员要求</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人(配备1名专人负责到镇，当发现问题时，专人要及时回应、配合，不能推脱），每厂区配备专职管理人员，未配有专职管理人员，扣2分；管网巡检维护人员占比低于65%，扣2分；运行管理机构未配置的，扣8分。</w:t>
            </w:r>
          </w:p>
        </w:tc>
      </w:tr>
      <w:tr w14:paraId="26D4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8" w:hRule="atLeast"/>
          <w:jc w:val="center"/>
        </w:trPr>
        <w:tc>
          <w:tcPr>
            <w:tcW w:w="653" w:type="dxa"/>
            <w:vMerge w:val="continue"/>
            <w:noWrap w:val="0"/>
            <w:vAlign w:val="center"/>
          </w:tcPr>
          <w:p w14:paraId="46D82034">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2B544CA6">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09ABA67E">
            <w:pPr>
              <w:pStyle w:val="99"/>
              <w:spacing w:before="150" w:beforeLines="0" w:line="300" w:lineRule="auto"/>
              <w:ind w:right="1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规章制度建设</w:t>
            </w:r>
          </w:p>
        </w:tc>
        <w:tc>
          <w:tcPr>
            <w:tcW w:w="466" w:type="dxa"/>
            <w:noWrap w:val="0"/>
            <w:vAlign w:val="center"/>
          </w:tcPr>
          <w:p w14:paraId="768365F9">
            <w:pPr>
              <w:pStyle w:val="99"/>
              <w:spacing w:line="300" w:lineRule="auto"/>
              <w:ind w:left="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31" w:type="dxa"/>
            <w:noWrap w:val="0"/>
            <w:vAlign w:val="center"/>
          </w:tcPr>
          <w:p w14:paraId="55F61B2A">
            <w:pPr>
              <w:pStyle w:val="99"/>
              <w:spacing w:before="31" w:beforeLines="0" w:line="300" w:lineRule="auto"/>
              <w:ind w:left="99" w:right="1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管理体制和运营机制、机构设置和人员配备、规章制度、档案管理等工作准备完善；缺一项扣1分。</w:t>
            </w:r>
          </w:p>
        </w:tc>
      </w:tr>
      <w:tr w14:paraId="45F1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653" w:type="dxa"/>
            <w:vMerge w:val="continue"/>
            <w:noWrap w:val="0"/>
            <w:vAlign w:val="center"/>
          </w:tcPr>
          <w:p w14:paraId="61BE807A">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1183E939">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2F9B2542">
            <w:pPr>
              <w:pStyle w:val="99"/>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员工技能培训</w:t>
            </w:r>
          </w:p>
        </w:tc>
        <w:tc>
          <w:tcPr>
            <w:tcW w:w="466" w:type="dxa"/>
            <w:noWrap w:val="0"/>
            <w:vAlign w:val="center"/>
          </w:tcPr>
          <w:p w14:paraId="0C3D4582">
            <w:pPr>
              <w:pStyle w:val="99"/>
              <w:spacing w:before="173" w:beforeLines="0" w:line="300" w:lineRule="auto"/>
              <w:ind w:left="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5531" w:type="dxa"/>
            <w:noWrap w:val="0"/>
            <w:vAlign w:val="center"/>
          </w:tcPr>
          <w:p w14:paraId="544144A8">
            <w:pPr>
              <w:pStyle w:val="99"/>
              <w:spacing w:line="300" w:lineRule="auto"/>
              <w:ind w:left="99"/>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每月无具体的员工技能培训计划，未按计划培训，扣2分；每月未开展员工技能培训，扣1分，培训材料、培训相片作为佐证材料。</w:t>
            </w:r>
          </w:p>
        </w:tc>
      </w:tr>
      <w:tr w14:paraId="22D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653" w:type="dxa"/>
            <w:vMerge w:val="restart"/>
            <w:noWrap w:val="0"/>
            <w:vAlign w:val="center"/>
          </w:tcPr>
          <w:p w14:paraId="648BE063">
            <w:pPr>
              <w:pStyle w:val="99"/>
              <w:spacing w:line="300" w:lineRule="auto"/>
              <w:ind w:left="1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15" w:type="dxa"/>
            <w:vMerge w:val="restart"/>
            <w:noWrap w:val="0"/>
            <w:vAlign w:val="center"/>
          </w:tcPr>
          <w:p w14:paraId="75EF1A8D">
            <w:pPr>
              <w:pStyle w:val="99"/>
              <w:spacing w:before="173" w:beforeLines="0" w:line="300" w:lineRule="auto"/>
              <w:ind w:left="156"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管网维护质量（</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0分）</w:t>
            </w:r>
          </w:p>
        </w:tc>
        <w:tc>
          <w:tcPr>
            <w:tcW w:w="1007" w:type="dxa"/>
            <w:noWrap w:val="0"/>
            <w:vAlign w:val="center"/>
          </w:tcPr>
          <w:p w14:paraId="29C33E20">
            <w:pPr>
              <w:pStyle w:val="99"/>
              <w:spacing w:before="116" w:beforeLines="0" w:line="30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井盖</w:t>
            </w:r>
            <w:r>
              <w:rPr>
                <w:rFonts w:hint="eastAsia" w:ascii="宋体" w:hAnsi="宋体" w:eastAsia="宋体" w:cs="宋体"/>
                <w:color w:val="auto"/>
                <w:sz w:val="21"/>
                <w:szCs w:val="21"/>
                <w:highlight w:val="none"/>
                <w:lang w:val="en-US" w:eastAsia="zh-CN"/>
              </w:rPr>
              <w:t>维护</w:t>
            </w:r>
          </w:p>
        </w:tc>
        <w:tc>
          <w:tcPr>
            <w:tcW w:w="466" w:type="dxa"/>
            <w:noWrap w:val="0"/>
            <w:vAlign w:val="center"/>
          </w:tcPr>
          <w:p w14:paraId="2A53A356">
            <w:pPr>
              <w:pStyle w:val="99"/>
              <w:spacing w:before="172" w:beforeLines="0" w:line="300" w:lineRule="auto"/>
              <w:ind w:left="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5531" w:type="dxa"/>
            <w:noWrap w:val="0"/>
            <w:vAlign w:val="center"/>
          </w:tcPr>
          <w:p w14:paraId="54A01C0F">
            <w:pPr>
              <w:pStyle w:val="99"/>
              <w:spacing w:line="30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井盖缺失、损坏及移位等事故后，应当在事故发生或接到投诉2h内到达现场，组织抢修，必须及时安放护栏和警示标志，并应在8h内恢复。未提交整改报告扣2分，未按照要求完成整改扣5分，超过2天未完成整改扣10分。</w:t>
            </w:r>
          </w:p>
        </w:tc>
      </w:tr>
      <w:tr w14:paraId="2AFA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jc w:val="center"/>
        </w:trPr>
        <w:tc>
          <w:tcPr>
            <w:tcW w:w="653" w:type="dxa"/>
            <w:vMerge w:val="continue"/>
            <w:noWrap w:val="0"/>
            <w:vAlign w:val="center"/>
          </w:tcPr>
          <w:p w14:paraId="5C4FF9EB">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47E53413">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03151746">
            <w:pPr>
              <w:pStyle w:val="99"/>
              <w:spacing w:before="117" w:beforeLines="0"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检查井</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污水管道</w:t>
            </w:r>
          </w:p>
        </w:tc>
        <w:tc>
          <w:tcPr>
            <w:tcW w:w="466" w:type="dxa"/>
            <w:noWrap w:val="0"/>
            <w:vAlign w:val="center"/>
          </w:tcPr>
          <w:p w14:paraId="28263AA7">
            <w:pPr>
              <w:pStyle w:val="99"/>
              <w:spacing w:before="173" w:beforeLines="0" w:line="300" w:lineRule="auto"/>
              <w:ind w:left="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5531" w:type="dxa"/>
            <w:noWrap w:val="0"/>
            <w:vAlign w:val="center"/>
          </w:tcPr>
          <w:p w14:paraId="57C55869">
            <w:pPr>
              <w:pStyle w:val="99"/>
              <w:spacing w:line="300" w:lineRule="auto"/>
              <w:ind w:left="9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每发现一个检查井、污水管道破损、堵塞、淤积造成污水直排的，按时整改及提交整改报告不扣分，未提交整改报告扣2分，5天内未完成整改扣5分。检查井内无防坠网，扣0.5分/次/个，扣完为止。</w:t>
            </w:r>
          </w:p>
        </w:tc>
      </w:tr>
      <w:tr w14:paraId="65D4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continue"/>
            <w:noWrap w:val="0"/>
            <w:vAlign w:val="center"/>
          </w:tcPr>
          <w:p w14:paraId="65B5B202">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3D123214">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1F4498CD">
            <w:pPr>
              <w:pStyle w:val="99"/>
              <w:spacing w:before="118" w:beforeLines="0"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截污</w:t>
            </w:r>
            <w:r>
              <w:rPr>
                <w:rFonts w:hint="eastAsia" w:ascii="宋体" w:hAnsi="宋体" w:eastAsia="宋体" w:cs="宋体"/>
                <w:color w:val="auto"/>
                <w:sz w:val="21"/>
                <w:szCs w:val="21"/>
                <w:highlight w:val="none"/>
                <w:lang w:eastAsia="zh-CN"/>
              </w:rPr>
              <w:t>井</w:t>
            </w:r>
          </w:p>
        </w:tc>
        <w:tc>
          <w:tcPr>
            <w:tcW w:w="466" w:type="dxa"/>
            <w:noWrap w:val="0"/>
            <w:vAlign w:val="center"/>
          </w:tcPr>
          <w:p w14:paraId="041513C5">
            <w:pPr>
              <w:pStyle w:val="99"/>
              <w:spacing w:before="174" w:beforeLines="0" w:line="300" w:lineRule="auto"/>
              <w:ind w:left="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5531" w:type="dxa"/>
            <w:noWrap w:val="0"/>
            <w:vAlign w:val="center"/>
          </w:tcPr>
          <w:p w14:paraId="11752E30">
            <w:pPr>
              <w:pStyle w:val="99"/>
              <w:spacing w:line="300" w:lineRule="auto"/>
              <w:ind w:left="99"/>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每周定期对管网（检查井、截污井等）进行清理不少于2次（含井、井盖周边1米内无杂草），未按要求发现1次扣2分。及时对截流设施及其上下游检查井进行清疏维护，清除截污管段内的堵塞物，确保截流设施不堵塞，晴天污水不溢流。考核周期发现截污井、检查井内有大量积淤垃圾、油污、油渣的1次扣2分，清理出的垃圾、油污等未入袋处理，每次扣0.5分，扣完为止。</w:t>
            </w:r>
          </w:p>
        </w:tc>
      </w:tr>
      <w:tr w14:paraId="789A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noWrap w:val="0"/>
            <w:vAlign w:val="center"/>
          </w:tcPr>
          <w:p w14:paraId="15E81B78">
            <w:pPr>
              <w:widowControl/>
              <w:spacing w:line="300" w:lineRule="auto"/>
              <w:jc w:val="center"/>
              <w:rPr>
                <w:rFonts w:hint="eastAsia" w:ascii="宋体" w:hAnsi="宋体" w:eastAsia="宋体" w:cs="宋体"/>
                <w:color w:val="auto"/>
                <w:sz w:val="21"/>
                <w:szCs w:val="21"/>
                <w:highlight w:val="none"/>
              </w:rPr>
            </w:pPr>
          </w:p>
        </w:tc>
        <w:tc>
          <w:tcPr>
            <w:tcW w:w="1115" w:type="dxa"/>
            <w:noWrap w:val="0"/>
            <w:vAlign w:val="center"/>
          </w:tcPr>
          <w:p w14:paraId="636E508B">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02D10D61">
            <w:pPr>
              <w:pStyle w:val="99"/>
              <w:spacing w:before="185" w:beforeLines="0" w:line="300" w:lineRule="auto"/>
              <w:ind w:right="15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制定管网设施巡查养护计划表</w:t>
            </w:r>
          </w:p>
        </w:tc>
        <w:tc>
          <w:tcPr>
            <w:tcW w:w="466" w:type="dxa"/>
            <w:noWrap w:val="0"/>
            <w:vAlign w:val="center"/>
          </w:tcPr>
          <w:p w14:paraId="33D2FAD7">
            <w:pPr>
              <w:pStyle w:val="99"/>
              <w:spacing w:line="300" w:lineRule="auto"/>
              <w:ind w:left="1"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531" w:type="dxa"/>
            <w:noWrap w:val="0"/>
            <w:vAlign w:val="center"/>
          </w:tcPr>
          <w:p w14:paraId="468A2347">
            <w:pPr>
              <w:pStyle w:val="99"/>
              <w:spacing w:line="300" w:lineRule="auto"/>
              <w:ind w:left="99" w:lef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编制并执行《月度管网设施巡查养护计划表》，对辖区范围内全覆盖检查井、截污口建立常态化巡查，发现问题要及时上报且处理，形成闭环管理，未编制、执行《月度管网设施巡查养护计划表》扣2分。</w:t>
            </w:r>
          </w:p>
        </w:tc>
      </w:tr>
      <w:tr w14:paraId="485C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restart"/>
            <w:noWrap w:val="0"/>
            <w:vAlign w:val="center"/>
          </w:tcPr>
          <w:p w14:paraId="496A13B5">
            <w:pPr>
              <w:pStyle w:val="99"/>
              <w:spacing w:before="160" w:beforeLines="0" w:line="300" w:lineRule="auto"/>
              <w:ind w:left="182"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15" w:type="dxa"/>
            <w:vMerge w:val="restart"/>
            <w:noWrap w:val="0"/>
            <w:vAlign w:val="center"/>
          </w:tcPr>
          <w:p w14:paraId="237EC507">
            <w:pPr>
              <w:pStyle w:val="99"/>
              <w:spacing w:line="300" w:lineRule="auto"/>
              <w:ind w:left="101" w:leftChars="0" w:right="-19"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日常管理（1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1007" w:type="dxa"/>
            <w:noWrap w:val="0"/>
            <w:vAlign w:val="center"/>
          </w:tcPr>
          <w:p w14:paraId="06062A5F">
            <w:pPr>
              <w:pStyle w:val="99"/>
              <w:spacing w:before="185" w:beforeLines="0" w:line="300" w:lineRule="auto"/>
              <w:ind w:right="15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日常维护制度</w:t>
            </w:r>
          </w:p>
        </w:tc>
        <w:tc>
          <w:tcPr>
            <w:tcW w:w="466" w:type="dxa"/>
            <w:noWrap w:val="0"/>
            <w:vAlign w:val="center"/>
          </w:tcPr>
          <w:p w14:paraId="09FF314F">
            <w:pPr>
              <w:pStyle w:val="99"/>
              <w:spacing w:before="171" w:beforeLines="0" w:line="300" w:lineRule="auto"/>
              <w:ind w:left="1"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5531" w:type="dxa"/>
            <w:noWrap w:val="0"/>
            <w:vAlign w:val="center"/>
          </w:tcPr>
          <w:p w14:paraId="74915F2E">
            <w:pPr>
              <w:pStyle w:val="99"/>
              <w:spacing w:before="115" w:beforeLines="0" w:line="300" w:lineRule="auto"/>
              <w:ind w:left="99"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阀门井、井盖、截流井等不完好，每处扣2分；阀门井、计量井等井内和露地管阀、管件有缺损，每处扣2分；检查井、截污口等存在滞水、溢流现象、痕迹，未及时整改恢复原状，每次扣2分，扣完为止。</w:t>
            </w:r>
          </w:p>
        </w:tc>
      </w:tr>
      <w:tr w14:paraId="46F6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continue"/>
            <w:noWrap w:val="0"/>
            <w:vAlign w:val="center"/>
          </w:tcPr>
          <w:p w14:paraId="4960DBC8">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4BBB785D">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204A8001">
            <w:pPr>
              <w:pStyle w:val="99"/>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维护日志</w:t>
            </w:r>
          </w:p>
        </w:tc>
        <w:tc>
          <w:tcPr>
            <w:tcW w:w="466" w:type="dxa"/>
            <w:noWrap w:val="0"/>
            <w:vAlign w:val="center"/>
          </w:tcPr>
          <w:p w14:paraId="5EC0A2E8">
            <w:pPr>
              <w:pStyle w:val="99"/>
              <w:spacing w:before="173" w:beforeLines="0" w:line="300" w:lineRule="auto"/>
              <w:ind w:left="1"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531" w:type="dxa"/>
            <w:noWrap w:val="0"/>
            <w:vAlign w:val="center"/>
          </w:tcPr>
          <w:p w14:paraId="1EF3FE2B">
            <w:pPr>
              <w:pStyle w:val="99"/>
              <w:spacing w:line="300" w:lineRule="auto"/>
              <w:ind w:left="99" w:left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根据实际情况记录维护日志，发现问题要及时上报、登记。维护记录不齐全，缺一项扣0.5分；记录数据不真实，不得分。</w:t>
            </w:r>
          </w:p>
        </w:tc>
      </w:tr>
      <w:tr w14:paraId="6392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restart"/>
            <w:noWrap w:val="0"/>
            <w:vAlign w:val="center"/>
          </w:tcPr>
          <w:p w14:paraId="5D8E440E">
            <w:pPr>
              <w:pStyle w:val="99"/>
              <w:spacing w:line="300" w:lineRule="auto"/>
              <w:ind w:left="182"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15" w:type="dxa"/>
            <w:vMerge w:val="restart"/>
            <w:noWrap w:val="0"/>
            <w:vAlign w:val="center"/>
          </w:tcPr>
          <w:p w14:paraId="563C7389">
            <w:pPr>
              <w:pStyle w:val="99"/>
              <w:spacing w:line="300" w:lineRule="auto"/>
              <w:ind w:left="101" w:leftChars="0" w:right="-19"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tc>
        <w:tc>
          <w:tcPr>
            <w:tcW w:w="1007" w:type="dxa"/>
            <w:noWrap w:val="0"/>
            <w:vAlign w:val="center"/>
          </w:tcPr>
          <w:p w14:paraId="4494E17B">
            <w:pPr>
              <w:pStyle w:val="99"/>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安全管理制度建设</w:t>
            </w:r>
          </w:p>
        </w:tc>
        <w:tc>
          <w:tcPr>
            <w:tcW w:w="466" w:type="dxa"/>
            <w:noWrap w:val="0"/>
            <w:vAlign w:val="center"/>
          </w:tcPr>
          <w:p w14:paraId="04A6672A">
            <w:pPr>
              <w:pStyle w:val="99"/>
              <w:spacing w:line="300" w:lineRule="auto"/>
              <w:ind w:left="1"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5531" w:type="dxa"/>
            <w:noWrap w:val="0"/>
            <w:vAlign w:val="center"/>
          </w:tcPr>
          <w:p w14:paraId="640E9368">
            <w:pPr>
              <w:pStyle w:val="99"/>
              <w:spacing w:before="31" w:beforeLines="0" w:line="300" w:lineRule="auto"/>
              <w:ind w:left="99" w:leftChars="0" w:right="98" w:rightChars="0"/>
              <w:jc w:val="both"/>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无安全管理制度或不健全，安全管理制度未上墙，扣1分；每季度无逐级签订安全生产责任书，责任未落实，扣1分。</w:t>
            </w:r>
          </w:p>
        </w:tc>
      </w:tr>
      <w:tr w14:paraId="3535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continue"/>
            <w:noWrap w:val="0"/>
            <w:vAlign w:val="center"/>
          </w:tcPr>
          <w:p w14:paraId="58C697C3">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6EE0F67E">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3BA05D55">
            <w:pPr>
              <w:pStyle w:val="99"/>
              <w:spacing w:before="147" w:beforeLines="0" w:line="300" w:lineRule="auto"/>
              <w:ind w:right="15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w:t>
            </w:r>
          </w:p>
        </w:tc>
        <w:tc>
          <w:tcPr>
            <w:tcW w:w="466" w:type="dxa"/>
            <w:noWrap w:val="0"/>
            <w:vAlign w:val="center"/>
          </w:tcPr>
          <w:p w14:paraId="4E3C76A2">
            <w:pPr>
              <w:pStyle w:val="99"/>
              <w:spacing w:line="300" w:lineRule="auto"/>
              <w:ind w:left="1"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531" w:type="dxa"/>
            <w:noWrap w:val="0"/>
            <w:vAlign w:val="center"/>
          </w:tcPr>
          <w:p w14:paraId="3B1E63A5">
            <w:pPr>
              <w:pStyle w:val="99"/>
              <w:spacing w:before="20" w:beforeLines="0" w:line="300" w:lineRule="auto"/>
              <w:ind w:left="99" w:right="98"/>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未建立安全应急预案，扣2分；</w:t>
            </w:r>
          </w:p>
          <w:p w14:paraId="4CCA5AFC">
            <w:pPr>
              <w:pStyle w:val="99"/>
              <w:spacing w:before="20" w:beforeLines="0" w:line="300" w:lineRule="auto"/>
              <w:ind w:left="99" w:leftChars="0" w:right="98" w:rightChars="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每季度无具体的安全培训计划，扣1分；</w:t>
            </w:r>
          </w:p>
        </w:tc>
      </w:tr>
      <w:tr w14:paraId="3F08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continue"/>
            <w:noWrap w:val="0"/>
            <w:vAlign w:val="center"/>
          </w:tcPr>
          <w:p w14:paraId="51527AC9">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069110A8">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27E3FE24">
            <w:pPr>
              <w:pStyle w:val="99"/>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安全事故</w:t>
            </w:r>
          </w:p>
        </w:tc>
        <w:tc>
          <w:tcPr>
            <w:tcW w:w="466" w:type="dxa"/>
            <w:noWrap w:val="0"/>
            <w:vAlign w:val="center"/>
          </w:tcPr>
          <w:p w14:paraId="38BFE8A3">
            <w:pPr>
              <w:pStyle w:val="99"/>
              <w:spacing w:before="172" w:beforeLines="0" w:line="300" w:lineRule="auto"/>
              <w:ind w:left="1"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531" w:type="dxa"/>
            <w:noWrap w:val="0"/>
            <w:vAlign w:val="center"/>
          </w:tcPr>
          <w:p w14:paraId="70F67942">
            <w:pPr>
              <w:pStyle w:val="99"/>
              <w:spacing w:before="116" w:beforeLines="0" w:line="300" w:lineRule="auto"/>
              <w:ind w:left="99" w:leftChars="0"/>
              <w:jc w:val="both"/>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发生重大安全事故，扣11分/次，此项扣分不封顶。</w:t>
            </w:r>
          </w:p>
        </w:tc>
      </w:tr>
      <w:tr w14:paraId="1E9E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restart"/>
            <w:noWrap w:val="0"/>
            <w:vAlign w:val="center"/>
          </w:tcPr>
          <w:p w14:paraId="4BF91A2B">
            <w:pPr>
              <w:pStyle w:val="99"/>
              <w:spacing w:line="300" w:lineRule="auto"/>
              <w:ind w:left="182"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15" w:type="dxa"/>
            <w:vMerge w:val="restart"/>
            <w:noWrap w:val="0"/>
            <w:vAlign w:val="center"/>
          </w:tcPr>
          <w:p w14:paraId="63B3A8E4">
            <w:pPr>
              <w:pStyle w:val="99"/>
              <w:spacing w:line="300" w:lineRule="auto"/>
              <w:ind w:left="101" w:leftChars="0" w:right="9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档案管理（4分）</w:t>
            </w:r>
          </w:p>
        </w:tc>
        <w:tc>
          <w:tcPr>
            <w:tcW w:w="1007" w:type="dxa"/>
            <w:noWrap w:val="0"/>
            <w:vAlign w:val="center"/>
          </w:tcPr>
          <w:p w14:paraId="0830CDB0">
            <w:pPr>
              <w:pStyle w:val="99"/>
              <w:spacing w:before="119" w:beforeLines="0" w:line="300" w:lineRule="auto"/>
              <w:ind w:right="15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档案管理制度建设</w:t>
            </w:r>
          </w:p>
        </w:tc>
        <w:tc>
          <w:tcPr>
            <w:tcW w:w="466" w:type="dxa"/>
            <w:noWrap w:val="0"/>
            <w:vAlign w:val="center"/>
          </w:tcPr>
          <w:p w14:paraId="09DB7047">
            <w:pPr>
              <w:pStyle w:val="99"/>
              <w:spacing w:before="206" w:beforeLines="0" w:line="300" w:lineRule="auto"/>
              <w:ind w:left="1"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5531" w:type="dxa"/>
            <w:noWrap w:val="0"/>
            <w:vAlign w:val="center"/>
          </w:tcPr>
          <w:p w14:paraId="16358C5A">
            <w:pPr>
              <w:pStyle w:val="99"/>
              <w:spacing w:before="1" w:beforeLines="0" w:line="300" w:lineRule="auto"/>
              <w:ind w:left="99" w:leftChars="0" w:right="-20" w:right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档案管理不规范、不完整扣1分；未按要求建立有生产运行、水质、设备、材料管理、 安全、人事等档案，少一项，扣 0.5 分。最高2分。</w:t>
            </w:r>
          </w:p>
        </w:tc>
      </w:tr>
      <w:tr w14:paraId="59C8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continue"/>
            <w:noWrap w:val="0"/>
            <w:vAlign w:val="center"/>
          </w:tcPr>
          <w:p w14:paraId="7602631E">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518BA9B5">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7D90AE82">
            <w:pPr>
              <w:pStyle w:val="99"/>
              <w:spacing w:before="119" w:beforeLines="0" w:line="300" w:lineRule="auto"/>
              <w:ind w:right="15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档案信息化程度</w:t>
            </w:r>
          </w:p>
        </w:tc>
        <w:tc>
          <w:tcPr>
            <w:tcW w:w="466" w:type="dxa"/>
            <w:noWrap w:val="0"/>
            <w:vAlign w:val="center"/>
          </w:tcPr>
          <w:p w14:paraId="7E1A09DD">
            <w:pPr>
              <w:pStyle w:val="99"/>
              <w:spacing w:before="206" w:beforeLines="0" w:line="300" w:lineRule="auto"/>
              <w:ind w:left="1"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5531" w:type="dxa"/>
            <w:noWrap w:val="0"/>
            <w:vAlign w:val="center"/>
          </w:tcPr>
          <w:p w14:paraId="37C093D1">
            <w:pPr>
              <w:pStyle w:val="99"/>
              <w:spacing w:line="300" w:lineRule="auto"/>
              <w:ind w:left="99"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按要求及时归集管网巡检记录台账、维护与运行记录台账，得 0.5 分；记录数据真实可靠，得分 0.5 分。无台账、管理混乱、记录省略最高扣2分。</w:t>
            </w:r>
          </w:p>
        </w:tc>
      </w:tr>
      <w:tr w14:paraId="246B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restart"/>
            <w:noWrap w:val="0"/>
            <w:vAlign w:val="center"/>
          </w:tcPr>
          <w:p w14:paraId="235122BC">
            <w:pPr>
              <w:pStyle w:val="99"/>
              <w:spacing w:line="300" w:lineRule="auto"/>
              <w:ind w:left="182"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15" w:type="dxa"/>
            <w:vMerge w:val="restart"/>
            <w:noWrap w:val="0"/>
            <w:vAlign w:val="center"/>
          </w:tcPr>
          <w:p w14:paraId="3978CD9B">
            <w:pPr>
              <w:pStyle w:val="99"/>
              <w:spacing w:before="193" w:beforeLines="0" w:line="300" w:lineRule="auto"/>
              <w:ind w:left="101" w:leftChars="0" w:right="-19"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维护质量（1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1007" w:type="dxa"/>
            <w:noWrap w:val="0"/>
            <w:vAlign w:val="center"/>
          </w:tcPr>
          <w:p w14:paraId="0E9090F8">
            <w:pPr>
              <w:pStyle w:val="99"/>
              <w:spacing w:before="150" w:beforeLines="0" w:line="300" w:lineRule="auto"/>
              <w:ind w:right="15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维护效率</w:t>
            </w:r>
          </w:p>
        </w:tc>
        <w:tc>
          <w:tcPr>
            <w:tcW w:w="466" w:type="dxa"/>
            <w:noWrap w:val="0"/>
            <w:vAlign w:val="center"/>
          </w:tcPr>
          <w:p w14:paraId="27422D92">
            <w:pPr>
              <w:pStyle w:val="99"/>
              <w:spacing w:line="300" w:lineRule="auto"/>
              <w:ind w:left="1"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5531" w:type="dxa"/>
            <w:noWrap w:val="0"/>
            <w:vAlign w:val="center"/>
          </w:tcPr>
          <w:p w14:paraId="210C76FD">
            <w:pPr>
              <w:pStyle w:val="99"/>
              <w:spacing w:before="31" w:beforeLines="0" w:line="300" w:lineRule="auto"/>
              <w:ind w:left="99" w:leftChars="0" w:right="-2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对各项检查中存在的问题能及时整改，得8分；整改不到位，扣1分/次。</w:t>
            </w:r>
          </w:p>
        </w:tc>
      </w:tr>
      <w:tr w14:paraId="7E48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653" w:type="dxa"/>
            <w:vMerge w:val="continue"/>
            <w:noWrap w:val="0"/>
            <w:vAlign w:val="center"/>
          </w:tcPr>
          <w:p w14:paraId="0247A14E">
            <w:pPr>
              <w:widowControl/>
              <w:spacing w:line="300" w:lineRule="auto"/>
              <w:jc w:val="center"/>
              <w:rPr>
                <w:rFonts w:hint="eastAsia" w:ascii="宋体" w:hAnsi="宋体" w:eastAsia="宋体" w:cs="宋体"/>
                <w:color w:val="auto"/>
                <w:sz w:val="21"/>
                <w:szCs w:val="21"/>
                <w:highlight w:val="none"/>
              </w:rPr>
            </w:pPr>
          </w:p>
        </w:tc>
        <w:tc>
          <w:tcPr>
            <w:tcW w:w="1115" w:type="dxa"/>
            <w:vMerge w:val="continue"/>
            <w:noWrap w:val="0"/>
            <w:vAlign w:val="center"/>
          </w:tcPr>
          <w:p w14:paraId="4F77C6EF">
            <w:pPr>
              <w:widowControl/>
              <w:spacing w:line="300" w:lineRule="auto"/>
              <w:jc w:val="center"/>
              <w:rPr>
                <w:rFonts w:hint="eastAsia" w:ascii="宋体" w:hAnsi="宋体" w:eastAsia="宋体" w:cs="宋体"/>
                <w:color w:val="auto"/>
                <w:sz w:val="21"/>
                <w:szCs w:val="21"/>
                <w:highlight w:val="none"/>
              </w:rPr>
            </w:pPr>
          </w:p>
        </w:tc>
        <w:tc>
          <w:tcPr>
            <w:tcW w:w="1007" w:type="dxa"/>
            <w:noWrap w:val="0"/>
            <w:vAlign w:val="center"/>
          </w:tcPr>
          <w:p w14:paraId="264B3F5C">
            <w:pPr>
              <w:pStyle w:val="99"/>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投诉情况</w:t>
            </w:r>
          </w:p>
        </w:tc>
        <w:tc>
          <w:tcPr>
            <w:tcW w:w="466" w:type="dxa"/>
            <w:noWrap w:val="0"/>
            <w:vAlign w:val="center"/>
          </w:tcPr>
          <w:p w14:paraId="30D598FB">
            <w:pPr>
              <w:pStyle w:val="99"/>
              <w:spacing w:before="173" w:beforeLines="0" w:line="300" w:lineRule="auto"/>
              <w:ind w:left="1"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531" w:type="dxa"/>
            <w:noWrap w:val="0"/>
            <w:vAlign w:val="center"/>
          </w:tcPr>
          <w:p w14:paraId="4A2E3178">
            <w:pPr>
              <w:pStyle w:val="99"/>
              <w:spacing w:line="300" w:lineRule="auto"/>
              <w:ind w:left="99"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如有投诉并经查属实的，扣1分/次。</w:t>
            </w:r>
          </w:p>
        </w:tc>
      </w:tr>
    </w:tbl>
    <w:p w14:paraId="64B65A65">
      <w:pPr>
        <w:bidi w:val="0"/>
        <w:rPr>
          <w:color w:val="auto"/>
          <w:highlight w:val="none"/>
        </w:rPr>
        <w:sectPr>
          <w:footerReference r:id="rId8" w:type="default"/>
          <w:pgSz w:w="11906" w:h="16839"/>
          <w:pgMar w:top="1134" w:right="897" w:bottom="1091" w:left="988" w:header="0" w:footer="931" w:gutter="0"/>
          <w:cols w:space="720" w:num="1"/>
          <w:docGrid w:linePitch="0" w:charSpace="0"/>
        </w:sectPr>
      </w:pPr>
    </w:p>
    <w:p w14:paraId="3B981082">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（二）污水厂区、泵站设施运营维护绩效考核绩效考核计分方法以及考核费用 </w:t>
      </w:r>
    </w:p>
    <w:p w14:paraId="376B176A">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支付方式 </w:t>
      </w:r>
    </w:p>
    <w:p w14:paraId="44103BB8">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1.计分方法。运营期绩效考核办法采用季度考核方式进行，考核方式采用满分100分制，实行扣分制 。每季度运营期绩效考核得分按照如下公式计算：N=Nl×</w:t>
      </w:r>
      <w:r>
        <w:rPr>
          <w:rFonts w:hint="eastAsia" w:ascii="宋体" w:cs="Times New Roman"/>
          <w:color w:val="auto"/>
          <w:sz w:val="28"/>
          <w:szCs w:val="28"/>
          <w:highlight w:val="none"/>
          <w:u w:val="none"/>
          <w:lang w:val="en-US" w:eastAsia="zh-CN"/>
        </w:rPr>
        <w:t>5</w:t>
      </w:r>
      <w:r>
        <w:rPr>
          <w:rFonts w:hint="eastAsia" w:ascii="宋体" w:hAnsi="Times New Roman" w:cs="Times New Roman"/>
          <w:color w:val="auto"/>
          <w:sz w:val="28"/>
          <w:szCs w:val="28"/>
          <w:highlight w:val="none"/>
          <w:u w:val="none"/>
          <w:lang w:val="en-US" w:eastAsia="zh-CN"/>
        </w:rPr>
        <w:t>0%+N2×</w:t>
      </w:r>
      <w:r>
        <w:rPr>
          <w:rFonts w:hint="eastAsia" w:ascii="宋体" w:cs="Times New Roman"/>
          <w:color w:val="auto"/>
          <w:sz w:val="28"/>
          <w:szCs w:val="28"/>
          <w:highlight w:val="none"/>
          <w:u w:val="none"/>
          <w:lang w:val="en-US" w:eastAsia="zh-CN"/>
        </w:rPr>
        <w:t>2</w:t>
      </w:r>
      <w:r>
        <w:rPr>
          <w:rFonts w:hint="eastAsia" w:ascii="宋体" w:hAnsi="Times New Roman" w:cs="Times New Roman"/>
          <w:color w:val="auto"/>
          <w:sz w:val="28"/>
          <w:szCs w:val="28"/>
          <w:highlight w:val="none"/>
          <w:u w:val="none"/>
          <w:lang w:val="en-US" w:eastAsia="zh-CN"/>
        </w:rPr>
        <w:t xml:space="preserve">0%+N3×30%。 </w:t>
      </w:r>
    </w:p>
    <w:p w14:paraId="1C0B347D">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N为运营期当季度绩效考核得分； </w:t>
      </w:r>
    </w:p>
    <w:p w14:paraId="3187B847">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Nl为污水处理厂及其泵站设施运营维护绩效考核当季度得分值，分值按照上述表 1 考核评定； </w:t>
      </w:r>
    </w:p>
    <w:p w14:paraId="2E8D52DC">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N2为污水处理水量绩效考核当季度得分值，分值按照上述表2考核评定； </w:t>
      </w:r>
    </w:p>
    <w:p w14:paraId="49FBB81D">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N3为为污水厂配套管网巡查维护绩效考核当季度得分值，分值按照上述表表3考核评定。 </w:t>
      </w:r>
    </w:p>
    <w:p w14:paraId="063C2367">
      <w:pPr>
        <w:spacing w:beforeAutospacing="0" w:afterAutospacing="0" w:line="540" w:lineRule="exact"/>
        <w:ind w:firstLine="560" w:firstLineChars="200"/>
        <w:rPr>
          <w:rFonts w:hint="eastAsia" w:ascii="宋体" w:hAnsi="Times New Roman" w:eastAsia="宋体" w:cs="Times New Roman"/>
          <w:color w:val="auto"/>
          <w:sz w:val="28"/>
          <w:szCs w:val="28"/>
          <w:highlight w:val="none"/>
          <w:u w:val="none"/>
          <w:lang w:val="en-US" w:eastAsia="zh-CN"/>
        </w:rPr>
      </w:pPr>
      <w:r>
        <w:rPr>
          <w:rFonts w:hint="eastAsia" w:ascii="宋体" w:hAnsi="Times New Roman" w:eastAsia="宋体" w:cs="Times New Roman"/>
          <w:color w:val="auto"/>
          <w:sz w:val="28"/>
          <w:szCs w:val="28"/>
          <w:highlight w:val="none"/>
          <w:u w:val="none"/>
          <w:lang w:val="en-US" w:eastAsia="zh-CN"/>
        </w:rPr>
        <w:t xml:space="preserve">2.季度考核绩效费用 </w:t>
      </w:r>
    </w:p>
    <w:p w14:paraId="0C39AAAC">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 xml:space="preserve">当季度业主支付的绩效考核费用与当期的绩效考核评分挂钩，计算公式为当季度实际支付的绩效考核 费用（F)＝厂区、配套污水管网、泵站当季度考核绩效费用（G）×绩效考核系数（β），其中： </w:t>
      </w:r>
    </w:p>
    <w:p w14:paraId="6F8F3430">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F为当季度实际支付的绩效考核费用；</w:t>
      </w:r>
    </w:p>
    <w:p w14:paraId="6BA9437C">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当季度受考核的绩效费用G= 厂区、配套污水管网、泵站年费用／4季度； β为绩效考核系数，根据表4计算得出；</w:t>
      </w:r>
    </w:p>
    <w:p w14:paraId="2FE7C053">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p>
    <w:p w14:paraId="7FAEF702">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p>
    <w:p w14:paraId="30733DA0">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p>
    <w:p w14:paraId="45CD144D">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p>
    <w:p w14:paraId="6527EBD4">
      <w:pPr>
        <w:pStyle w:val="17"/>
        <w:rPr>
          <w:rFonts w:hint="eastAsia"/>
          <w:color w:val="auto"/>
          <w:highlight w:val="none"/>
          <w:u w:val="none"/>
          <w:lang w:val="en-US" w:eastAsia="zh-CN"/>
        </w:rPr>
      </w:pPr>
    </w:p>
    <w:p w14:paraId="1E639F69">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p>
    <w:p w14:paraId="6C0D5137">
      <w:p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 xml:space="preserve">表 4 考核得分与绩效考核系数表 </w:t>
      </w:r>
    </w:p>
    <w:tbl>
      <w:tblPr>
        <w:tblStyle w:val="44"/>
        <w:tblpPr w:leftFromText="180" w:rightFromText="180" w:vertAnchor="text" w:horzAnchor="page" w:tblpX="1731" w:tblpY="177"/>
        <w:tblOverlap w:val="never"/>
        <w:tblW w:w="86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3"/>
        <w:gridCol w:w="2491"/>
        <w:gridCol w:w="3607"/>
      </w:tblGrid>
      <w:tr w14:paraId="7203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vAlign w:val="center"/>
          </w:tcPr>
          <w:p w14:paraId="6E610178">
            <w:pPr>
              <w:spacing w:beforeAutospacing="0" w:afterAutospacing="0" w:line="400" w:lineRule="exact"/>
              <w:jc w:val="center"/>
              <w:rPr>
                <w:rFonts w:ascii="仿宋_GB2312" w:hAnsi="仿宋_GB2312" w:eastAsia="仿宋_GB2312" w:cs="仿宋_GB2312"/>
                <w:b/>
                <w:bCs/>
                <w:color w:val="auto"/>
                <w:sz w:val="24"/>
                <w:szCs w:val="44"/>
                <w:highlight w:val="none"/>
                <w:u w:val="none"/>
              </w:rPr>
            </w:pPr>
            <w:r>
              <w:rPr>
                <w:rFonts w:hint="eastAsia" w:ascii="仿宋_GB2312" w:hAnsi="仿宋_GB2312" w:eastAsia="仿宋_GB2312" w:cs="仿宋_GB2312"/>
                <w:b/>
                <w:bCs/>
                <w:color w:val="auto"/>
                <w:sz w:val="24"/>
                <w:szCs w:val="44"/>
                <w:highlight w:val="none"/>
                <w:u w:val="none"/>
              </w:rPr>
              <w:t>绩效考核得分（N）</w:t>
            </w:r>
          </w:p>
        </w:tc>
        <w:tc>
          <w:tcPr>
            <w:tcW w:w="2491" w:type="dxa"/>
            <w:tcBorders>
              <w:top w:val="single" w:color="auto" w:sz="4" w:space="0"/>
              <w:left w:val="nil"/>
              <w:bottom w:val="single" w:color="auto" w:sz="4" w:space="0"/>
              <w:right w:val="single" w:color="auto" w:sz="4" w:space="0"/>
            </w:tcBorders>
            <w:vAlign w:val="center"/>
          </w:tcPr>
          <w:p w14:paraId="1393722A">
            <w:pPr>
              <w:spacing w:beforeAutospacing="0" w:afterAutospacing="0" w:line="400" w:lineRule="exact"/>
              <w:jc w:val="center"/>
              <w:rPr>
                <w:rFonts w:ascii="仿宋_GB2312" w:hAnsi="仿宋_GB2312" w:eastAsia="仿宋_GB2312" w:cs="仿宋_GB2312"/>
                <w:b/>
                <w:bCs/>
                <w:color w:val="auto"/>
                <w:sz w:val="24"/>
                <w:szCs w:val="44"/>
                <w:highlight w:val="none"/>
                <w:u w:val="none"/>
              </w:rPr>
            </w:pPr>
            <w:r>
              <w:rPr>
                <w:rFonts w:hint="eastAsia" w:ascii="仿宋_GB2312" w:hAnsi="仿宋_GB2312" w:eastAsia="仿宋_GB2312" w:cs="仿宋_GB2312"/>
                <w:b/>
                <w:bCs/>
                <w:color w:val="auto"/>
                <w:sz w:val="24"/>
                <w:szCs w:val="44"/>
                <w:highlight w:val="none"/>
                <w:u w:val="none"/>
              </w:rPr>
              <w:t>绩效考核系数（β）</w:t>
            </w:r>
          </w:p>
        </w:tc>
        <w:tc>
          <w:tcPr>
            <w:tcW w:w="3607" w:type="dxa"/>
            <w:tcBorders>
              <w:top w:val="single" w:color="auto" w:sz="4" w:space="0"/>
              <w:left w:val="nil"/>
              <w:bottom w:val="single" w:color="auto" w:sz="4" w:space="0"/>
              <w:right w:val="single" w:color="auto" w:sz="4" w:space="0"/>
            </w:tcBorders>
            <w:vAlign w:val="center"/>
          </w:tcPr>
          <w:p w14:paraId="15071963">
            <w:pPr>
              <w:spacing w:beforeAutospacing="0" w:afterAutospacing="0" w:line="400" w:lineRule="exact"/>
              <w:jc w:val="center"/>
              <w:rPr>
                <w:rFonts w:ascii="仿宋_GB2312" w:hAnsi="仿宋_GB2312" w:eastAsia="仿宋_GB2312" w:cs="仿宋_GB2312"/>
                <w:b/>
                <w:bCs/>
                <w:color w:val="auto"/>
                <w:sz w:val="24"/>
                <w:szCs w:val="44"/>
                <w:highlight w:val="none"/>
                <w:u w:val="none"/>
              </w:rPr>
            </w:pPr>
            <w:r>
              <w:rPr>
                <w:rFonts w:hint="eastAsia" w:ascii="仿宋_GB2312" w:hAnsi="仿宋_GB2312" w:eastAsia="仿宋_GB2312" w:cs="仿宋_GB2312"/>
                <w:b/>
                <w:bCs/>
                <w:color w:val="auto"/>
                <w:sz w:val="24"/>
                <w:szCs w:val="44"/>
                <w:highlight w:val="none"/>
                <w:u w:val="none"/>
              </w:rPr>
              <w:t>备注</w:t>
            </w:r>
          </w:p>
        </w:tc>
      </w:tr>
      <w:tr w14:paraId="243E1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vAlign w:val="center"/>
          </w:tcPr>
          <w:p w14:paraId="0C7FA861">
            <w:pPr>
              <w:spacing w:beforeAutospacing="0" w:afterAutospacing="0" w:line="300" w:lineRule="auto"/>
              <w:ind w:firstLine="0"/>
              <w:jc w:val="center"/>
              <w:rPr>
                <w:rFonts w:ascii="仿宋_GB2312" w:hAnsi="仿宋_GB2312" w:eastAsia="仿宋_GB2312" w:cs="仿宋_GB2312"/>
                <w:color w:val="auto"/>
                <w:sz w:val="24"/>
                <w:szCs w:val="44"/>
                <w:highlight w:val="none"/>
                <w:u w:val="none"/>
              </w:rPr>
            </w:pPr>
            <w:r>
              <w:rPr>
                <w:rFonts w:hint="eastAsia" w:ascii="仿宋_GB2312" w:hAnsi="仿宋_GB2312" w:eastAsia="仿宋_GB2312" w:cs="仿宋_GB2312"/>
                <w:color w:val="auto"/>
                <w:sz w:val="24"/>
                <w:szCs w:val="44"/>
                <w:highlight w:val="none"/>
                <w:u w:val="none"/>
              </w:rPr>
              <w:t>9</w:t>
            </w:r>
            <w:r>
              <w:rPr>
                <w:rFonts w:hint="eastAsia" w:ascii="仿宋_GB2312" w:hAnsi="仿宋_GB2312" w:eastAsia="仿宋_GB2312" w:cs="仿宋_GB2312"/>
                <w:color w:val="auto"/>
                <w:sz w:val="24"/>
                <w:szCs w:val="44"/>
                <w:highlight w:val="none"/>
                <w:u w:val="none"/>
                <w:lang w:val="en-US" w:eastAsia="zh-CN"/>
              </w:rPr>
              <w:t>0</w:t>
            </w:r>
            <w:r>
              <w:rPr>
                <w:rFonts w:hint="eastAsia" w:ascii="仿宋_GB2312" w:hAnsi="仿宋_GB2312" w:eastAsia="仿宋_GB2312" w:cs="仿宋_GB2312"/>
                <w:color w:val="auto"/>
                <w:sz w:val="24"/>
                <w:szCs w:val="44"/>
                <w:highlight w:val="none"/>
                <w:u w:val="none"/>
              </w:rPr>
              <w:t>≤N≤100</w:t>
            </w:r>
          </w:p>
        </w:tc>
        <w:tc>
          <w:tcPr>
            <w:tcW w:w="2491" w:type="dxa"/>
            <w:tcBorders>
              <w:top w:val="single" w:color="auto" w:sz="4" w:space="0"/>
              <w:left w:val="nil"/>
              <w:bottom w:val="single" w:color="auto" w:sz="4" w:space="0"/>
              <w:right w:val="single" w:color="auto" w:sz="4" w:space="0"/>
            </w:tcBorders>
            <w:vAlign w:val="center"/>
          </w:tcPr>
          <w:p w14:paraId="6863565D">
            <w:pPr>
              <w:spacing w:beforeAutospacing="0" w:afterAutospacing="0" w:line="300" w:lineRule="auto"/>
              <w:ind w:firstLine="0"/>
              <w:jc w:val="center"/>
              <w:rPr>
                <w:rFonts w:ascii="仿宋_GB2312" w:hAnsi="仿宋_GB2312" w:eastAsia="仿宋_GB2312" w:cs="仿宋_GB2312"/>
                <w:color w:val="auto"/>
                <w:sz w:val="24"/>
                <w:szCs w:val="44"/>
                <w:highlight w:val="none"/>
                <w:u w:val="none"/>
              </w:rPr>
            </w:pPr>
            <w:r>
              <w:rPr>
                <w:rFonts w:hint="eastAsia" w:ascii="仿宋_GB2312" w:hAnsi="仿宋_GB2312" w:eastAsia="仿宋_GB2312" w:cs="仿宋_GB2312"/>
                <w:color w:val="auto"/>
                <w:sz w:val="24"/>
                <w:szCs w:val="44"/>
                <w:highlight w:val="none"/>
                <w:u w:val="none"/>
              </w:rPr>
              <w:t>β=1</w:t>
            </w:r>
          </w:p>
        </w:tc>
        <w:tc>
          <w:tcPr>
            <w:tcW w:w="3607" w:type="dxa"/>
            <w:tcBorders>
              <w:top w:val="single" w:color="auto" w:sz="4" w:space="0"/>
              <w:left w:val="nil"/>
              <w:bottom w:val="single" w:color="auto" w:sz="4" w:space="0"/>
              <w:right w:val="single" w:color="auto" w:sz="4" w:space="0"/>
            </w:tcBorders>
            <w:vAlign w:val="center"/>
          </w:tcPr>
          <w:p w14:paraId="16FC67AD">
            <w:pPr>
              <w:spacing w:beforeAutospacing="0" w:afterAutospacing="0" w:line="300" w:lineRule="auto"/>
              <w:ind w:firstLine="0"/>
              <w:jc w:val="both"/>
              <w:rPr>
                <w:rFonts w:ascii="仿宋_GB2312" w:hAnsi="仿宋_GB2312" w:eastAsia="仿宋_GB2312" w:cs="仿宋_GB2312"/>
                <w:color w:val="auto"/>
                <w:sz w:val="24"/>
                <w:szCs w:val="44"/>
                <w:highlight w:val="none"/>
                <w:u w:val="none"/>
              </w:rPr>
            </w:pPr>
            <w:r>
              <w:rPr>
                <w:rFonts w:hint="eastAsia" w:ascii="仿宋_GB2312" w:hAnsi="仿宋_GB2312" w:eastAsia="仿宋_GB2312" w:cs="仿宋_GB2312"/>
                <w:color w:val="auto"/>
                <w:sz w:val="24"/>
                <w:szCs w:val="44"/>
                <w:highlight w:val="none"/>
                <w:u w:val="none"/>
              </w:rPr>
              <w:t>全额支付</w:t>
            </w:r>
            <w:r>
              <w:rPr>
                <w:rFonts w:hint="eastAsia" w:ascii="仿宋_GB2312" w:hAnsi="仿宋_GB2312" w:eastAsia="仿宋_GB2312" w:cs="仿宋_GB2312"/>
                <w:color w:val="auto"/>
                <w:sz w:val="24"/>
                <w:szCs w:val="44"/>
                <w:highlight w:val="none"/>
                <w:u w:val="none"/>
                <w:lang w:eastAsia="zh-CN"/>
              </w:rPr>
              <w:t>受</w:t>
            </w:r>
            <w:r>
              <w:rPr>
                <w:rFonts w:hint="eastAsia" w:ascii="仿宋_GB2312" w:hAnsi="仿宋_GB2312" w:eastAsia="仿宋_GB2312" w:cs="仿宋_GB2312"/>
                <w:color w:val="auto"/>
                <w:sz w:val="24"/>
                <w:szCs w:val="44"/>
                <w:highlight w:val="none"/>
                <w:u w:val="none"/>
              </w:rPr>
              <w:t>绩效考核费用</w:t>
            </w:r>
          </w:p>
        </w:tc>
      </w:tr>
      <w:tr w14:paraId="2A49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583" w:type="dxa"/>
            <w:tcBorders>
              <w:top w:val="single" w:color="auto" w:sz="4" w:space="0"/>
              <w:left w:val="single" w:color="auto" w:sz="4" w:space="0"/>
              <w:bottom w:val="single" w:color="auto" w:sz="4" w:space="0"/>
              <w:right w:val="single" w:color="auto" w:sz="4" w:space="0"/>
            </w:tcBorders>
            <w:vAlign w:val="center"/>
          </w:tcPr>
          <w:p w14:paraId="57D9532B">
            <w:pPr>
              <w:spacing w:beforeAutospacing="0" w:afterAutospacing="0" w:line="300" w:lineRule="auto"/>
              <w:ind w:firstLine="0"/>
              <w:jc w:val="center"/>
              <w:rPr>
                <w:rFonts w:hint="default" w:ascii="仿宋_GB2312" w:hAnsi="仿宋_GB2312" w:eastAsia="仿宋_GB2312" w:cs="仿宋_GB2312"/>
                <w:color w:val="auto"/>
                <w:sz w:val="24"/>
                <w:szCs w:val="44"/>
                <w:highlight w:val="none"/>
                <w:u w:val="none"/>
                <w:lang w:val="en-US" w:eastAsia="zh-CN"/>
              </w:rPr>
            </w:pPr>
            <w:r>
              <w:rPr>
                <w:rFonts w:hint="eastAsia" w:ascii="仿宋_GB2312" w:hAnsi="仿宋_GB2312" w:eastAsia="仿宋_GB2312" w:cs="仿宋_GB2312"/>
                <w:color w:val="auto"/>
                <w:sz w:val="24"/>
                <w:szCs w:val="44"/>
                <w:highlight w:val="none"/>
                <w:u w:val="none"/>
                <w:lang w:val="en-US" w:eastAsia="zh-CN"/>
              </w:rPr>
              <w:t>6</w:t>
            </w:r>
            <w:r>
              <w:rPr>
                <w:rFonts w:hint="eastAsia" w:ascii="仿宋_GB2312" w:hAnsi="仿宋_GB2312" w:eastAsia="仿宋_GB2312" w:cs="仿宋_GB2312"/>
                <w:color w:val="auto"/>
                <w:sz w:val="24"/>
                <w:szCs w:val="44"/>
                <w:highlight w:val="none"/>
                <w:u w:val="none"/>
              </w:rPr>
              <w:t>0≤N&lt;</w:t>
            </w:r>
            <w:r>
              <w:rPr>
                <w:rFonts w:hint="eastAsia" w:ascii="仿宋_GB2312" w:hAnsi="仿宋_GB2312" w:eastAsia="仿宋_GB2312" w:cs="仿宋_GB2312"/>
                <w:color w:val="auto"/>
                <w:sz w:val="24"/>
                <w:szCs w:val="44"/>
                <w:highlight w:val="none"/>
                <w:u w:val="none"/>
                <w:lang w:val="en-US" w:eastAsia="zh-CN"/>
              </w:rPr>
              <w:t>90</w:t>
            </w:r>
          </w:p>
        </w:tc>
        <w:tc>
          <w:tcPr>
            <w:tcW w:w="2491" w:type="dxa"/>
            <w:tcBorders>
              <w:top w:val="single" w:color="auto" w:sz="4" w:space="0"/>
              <w:left w:val="nil"/>
              <w:bottom w:val="single" w:color="auto" w:sz="4" w:space="0"/>
              <w:right w:val="single" w:color="auto" w:sz="4" w:space="0"/>
            </w:tcBorders>
            <w:vAlign w:val="center"/>
          </w:tcPr>
          <w:p w14:paraId="21B5A297">
            <w:pPr>
              <w:spacing w:beforeAutospacing="0" w:afterAutospacing="0" w:line="300" w:lineRule="auto"/>
              <w:ind w:firstLine="0"/>
              <w:jc w:val="center"/>
              <w:rPr>
                <w:rFonts w:ascii="仿宋_GB2312" w:hAnsi="仿宋_GB2312" w:eastAsia="仿宋_GB2312" w:cs="仿宋_GB2312"/>
                <w:color w:val="auto"/>
                <w:sz w:val="24"/>
                <w:szCs w:val="44"/>
                <w:highlight w:val="none"/>
                <w:u w:val="none"/>
              </w:rPr>
            </w:pPr>
            <w:r>
              <w:rPr>
                <w:rFonts w:hint="eastAsia" w:ascii="仿宋_GB2312" w:hAnsi="仿宋_GB2312" w:eastAsia="仿宋_GB2312" w:cs="仿宋_GB2312"/>
                <w:color w:val="auto"/>
                <w:sz w:val="24"/>
                <w:szCs w:val="44"/>
                <w:highlight w:val="none"/>
                <w:u w:val="none"/>
              </w:rPr>
              <w:t>β=N/100</w:t>
            </w:r>
          </w:p>
        </w:tc>
        <w:tc>
          <w:tcPr>
            <w:tcW w:w="3607" w:type="dxa"/>
            <w:tcBorders>
              <w:top w:val="single" w:color="auto" w:sz="4" w:space="0"/>
              <w:left w:val="nil"/>
              <w:bottom w:val="single" w:color="auto" w:sz="4" w:space="0"/>
              <w:right w:val="single" w:color="auto" w:sz="4" w:space="0"/>
            </w:tcBorders>
            <w:vAlign w:val="center"/>
          </w:tcPr>
          <w:p w14:paraId="5C24C14A">
            <w:pPr>
              <w:spacing w:beforeAutospacing="0" w:afterAutospacing="0" w:line="300" w:lineRule="auto"/>
              <w:ind w:firstLine="0"/>
              <w:jc w:val="both"/>
              <w:rPr>
                <w:rFonts w:ascii="仿宋_GB2312" w:hAnsi="仿宋_GB2312" w:eastAsia="仿宋_GB2312" w:cs="仿宋_GB2312"/>
                <w:color w:val="auto"/>
                <w:sz w:val="24"/>
                <w:szCs w:val="44"/>
                <w:highlight w:val="none"/>
                <w:u w:val="none"/>
              </w:rPr>
            </w:pPr>
            <w:r>
              <w:rPr>
                <w:rFonts w:hint="eastAsia" w:ascii="仿宋_GB2312" w:hAnsi="仿宋_GB2312" w:eastAsia="仿宋_GB2312" w:cs="仿宋_GB2312"/>
                <w:color w:val="auto"/>
                <w:sz w:val="24"/>
                <w:szCs w:val="44"/>
                <w:highlight w:val="none"/>
                <w:u w:val="none"/>
                <w:lang w:eastAsia="zh-CN"/>
              </w:rPr>
              <w:t>按比例</w:t>
            </w:r>
            <w:r>
              <w:rPr>
                <w:rFonts w:hint="eastAsia" w:ascii="仿宋_GB2312" w:hAnsi="仿宋_GB2312" w:eastAsia="仿宋_GB2312" w:cs="仿宋_GB2312"/>
                <w:color w:val="auto"/>
                <w:sz w:val="24"/>
                <w:szCs w:val="44"/>
                <w:highlight w:val="none"/>
                <w:u w:val="none"/>
              </w:rPr>
              <w:t>支付</w:t>
            </w:r>
            <w:r>
              <w:rPr>
                <w:rFonts w:hint="eastAsia" w:ascii="仿宋_GB2312" w:hAnsi="仿宋_GB2312" w:eastAsia="仿宋_GB2312" w:cs="仿宋_GB2312"/>
                <w:color w:val="auto"/>
                <w:sz w:val="24"/>
                <w:szCs w:val="44"/>
                <w:highlight w:val="none"/>
                <w:u w:val="none"/>
                <w:lang w:eastAsia="zh-CN"/>
              </w:rPr>
              <w:t>受</w:t>
            </w:r>
            <w:r>
              <w:rPr>
                <w:rFonts w:hint="eastAsia" w:ascii="仿宋_GB2312" w:hAnsi="仿宋_GB2312" w:eastAsia="仿宋_GB2312" w:cs="仿宋_GB2312"/>
                <w:color w:val="auto"/>
                <w:sz w:val="24"/>
                <w:szCs w:val="44"/>
                <w:highlight w:val="none"/>
                <w:u w:val="none"/>
              </w:rPr>
              <w:t>绩效考核费用</w:t>
            </w:r>
          </w:p>
        </w:tc>
      </w:tr>
      <w:tr w14:paraId="635F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3" w:type="dxa"/>
            <w:tcBorders>
              <w:top w:val="single" w:color="auto" w:sz="4" w:space="0"/>
              <w:left w:val="single" w:color="auto" w:sz="4" w:space="0"/>
              <w:bottom w:val="single" w:color="auto" w:sz="4" w:space="0"/>
              <w:right w:val="single" w:color="auto" w:sz="4" w:space="0"/>
            </w:tcBorders>
            <w:vAlign w:val="center"/>
          </w:tcPr>
          <w:p w14:paraId="268C780C">
            <w:pPr>
              <w:spacing w:beforeAutospacing="0" w:afterAutospacing="0" w:line="300" w:lineRule="auto"/>
              <w:ind w:firstLine="0"/>
              <w:jc w:val="center"/>
              <w:rPr>
                <w:rFonts w:ascii="仿宋_GB2312" w:hAnsi="仿宋_GB2312" w:eastAsia="仿宋_GB2312" w:cs="仿宋_GB2312"/>
                <w:color w:val="auto"/>
                <w:sz w:val="24"/>
                <w:szCs w:val="44"/>
                <w:highlight w:val="none"/>
                <w:u w:val="none"/>
              </w:rPr>
            </w:pPr>
            <w:r>
              <w:rPr>
                <w:rFonts w:hint="eastAsia" w:ascii="仿宋_GB2312" w:hAnsi="仿宋_GB2312" w:eastAsia="仿宋_GB2312" w:cs="仿宋_GB2312"/>
                <w:color w:val="auto"/>
                <w:sz w:val="24"/>
                <w:szCs w:val="44"/>
                <w:highlight w:val="none"/>
                <w:u w:val="none"/>
              </w:rPr>
              <w:t>N&lt;</w:t>
            </w:r>
            <w:r>
              <w:rPr>
                <w:rFonts w:hint="eastAsia" w:ascii="仿宋_GB2312" w:hAnsi="仿宋_GB2312" w:eastAsia="仿宋_GB2312" w:cs="仿宋_GB2312"/>
                <w:color w:val="auto"/>
                <w:sz w:val="24"/>
                <w:szCs w:val="44"/>
                <w:highlight w:val="none"/>
                <w:u w:val="none"/>
                <w:lang w:val="en-US" w:eastAsia="zh-CN"/>
              </w:rPr>
              <w:t>6</w:t>
            </w:r>
            <w:r>
              <w:rPr>
                <w:rFonts w:hint="eastAsia" w:ascii="仿宋_GB2312" w:hAnsi="仿宋_GB2312" w:eastAsia="仿宋_GB2312" w:cs="仿宋_GB2312"/>
                <w:color w:val="auto"/>
                <w:sz w:val="24"/>
                <w:szCs w:val="44"/>
                <w:highlight w:val="none"/>
                <w:u w:val="none"/>
              </w:rPr>
              <w:t>0</w:t>
            </w:r>
          </w:p>
        </w:tc>
        <w:tc>
          <w:tcPr>
            <w:tcW w:w="2491" w:type="dxa"/>
            <w:tcBorders>
              <w:top w:val="single" w:color="auto" w:sz="4" w:space="0"/>
              <w:left w:val="nil"/>
              <w:bottom w:val="single" w:color="auto" w:sz="4" w:space="0"/>
              <w:right w:val="single" w:color="auto" w:sz="4" w:space="0"/>
            </w:tcBorders>
            <w:vAlign w:val="center"/>
          </w:tcPr>
          <w:p w14:paraId="2EAEE7FD">
            <w:pPr>
              <w:spacing w:beforeAutospacing="0" w:afterAutospacing="0" w:line="300" w:lineRule="auto"/>
              <w:ind w:firstLine="0"/>
              <w:jc w:val="center"/>
              <w:rPr>
                <w:rFonts w:ascii="仿宋_GB2312" w:hAnsi="仿宋_GB2312" w:eastAsia="仿宋_GB2312" w:cs="仿宋_GB2312"/>
                <w:color w:val="auto"/>
                <w:sz w:val="24"/>
                <w:szCs w:val="44"/>
                <w:highlight w:val="none"/>
                <w:u w:val="none"/>
              </w:rPr>
            </w:pPr>
            <w:r>
              <w:rPr>
                <w:rFonts w:hint="eastAsia" w:ascii="仿宋_GB2312" w:hAnsi="仿宋_GB2312" w:eastAsia="仿宋_GB2312" w:cs="仿宋_GB2312"/>
                <w:color w:val="auto"/>
                <w:sz w:val="24"/>
                <w:szCs w:val="44"/>
                <w:highlight w:val="none"/>
                <w:u w:val="none"/>
              </w:rPr>
              <w:t>β=0</w:t>
            </w:r>
          </w:p>
        </w:tc>
        <w:tc>
          <w:tcPr>
            <w:tcW w:w="3607" w:type="dxa"/>
            <w:tcBorders>
              <w:top w:val="single" w:color="auto" w:sz="4" w:space="0"/>
              <w:left w:val="nil"/>
              <w:bottom w:val="single" w:color="auto" w:sz="4" w:space="0"/>
              <w:right w:val="single" w:color="auto" w:sz="4" w:space="0"/>
            </w:tcBorders>
            <w:vAlign w:val="center"/>
          </w:tcPr>
          <w:p w14:paraId="160D668E">
            <w:pPr>
              <w:spacing w:beforeAutospacing="0" w:afterAutospacing="0" w:line="300" w:lineRule="auto"/>
              <w:ind w:firstLine="0"/>
              <w:jc w:val="both"/>
              <w:rPr>
                <w:rFonts w:ascii="仿宋_GB2312" w:hAnsi="仿宋_GB2312" w:eastAsia="仿宋_GB2312" w:cs="仿宋_GB2312"/>
                <w:color w:val="auto"/>
                <w:sz w:val="24"/>
                <w:szCs w:val="44"/>
                <w:highlight w:val="none"/>
                <w:u w:val="none"/>
              </w:rPr>
            </w:pPr>
            <w:r>
              <w:rPr>
                <w:rFonts w:hint="eastAsia" w:ascii="仿宋_GB2312" w:hAnsi="仿宋_GB2312" w:eastAsia="仿宋_GB2312" w:cs="仿宋_GB2312"/>
                <w:color w:val="auto"/>
                <w:sz w:val="24"/>
                <w:szCs w:val="44"/>
                <w:highlight w:val="none"/>
                <w:u w:val="none"/>
              </w:rPr>
              <w:t>不支付</w:t>
            </w:r>
            <w:r>
              <w:rPr>
                <w:rFonts w:hint="eastAsia" w:ascii="仿宋_GB2312" w:hAnsi="仿宋_GB2312" w:eastAsia="仿宋_GB2312" w:cs="仿宋_GB2312"/>
                <w:color w:val="auto"/>
                <w:sz w:val="24"/>
                <w:szCs w:val="44"/>
                <w:highlight w:val="none"/>
                <w:u w:val="none"/>
                <w:lang w:eastAsia="zh-CN"/>
              </w:rPr>
              <w:t>受</w:t>
            </w:r>
            <w:r>
              <w:rPr>
                <w:rFonts w:hint="eastAsia" w:ascii="仿宋_GB2312" w:hAnsi="仿宋_GB2312" w:eastAsia="仿宋_GB2312" w:cs="仿宋_GB2312"/>
                <w:color w:val="auto"/>
                <w:sz w:val="24"/>
                <w:szCs w:val="44"/>
                <w:highlight w:val="none"/>
                <w:u w:val="none"/>
              </w:rPr>
              <w:t>绩效考核费用</w:t>
            </w:r>
          </w:p>
        </w:tc>
      </w:tr>
    </w:tbl>
    <w:p w14:paraId="7FF361AB">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运营期考核采用厂区及泵站绩效考核费用与项目运营绩效考核挂钩的方式，绩效考核费用支付有以下三种情形： </w:t>
      </w:r>
    </w:p>
    <w:p w14:paraId="1D93ABF4">
      <w:pPr>
        <w:numPr>
          <w:ilvl w:val="0"/>
          <w:numId w:val="6"/>
        </w:num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9</w:t>
      </w:r>
      <w:r>
        <w:rPr>
          <w:rFonts w:hint="eastAsia" w:ascii="宋体" w:cs="Times New Roman"/>
          <w:color w:val="auto"/>
          <w:sz w:val="28"/>
          <w:szCs w:val="28"/>
          <w:highlight w:val="none"/>
          <w:u w:val="none"/>
          <w:lang w:val="en-US" w:eastAsia="zh-CN"/>
        </w:rPr>
        <w:t>0</w:t>
      </w:r>
      <w:r>
        <w:rPr>
          <w:rFonts w:hint="eastAsia" w:ascii="宋体" w:hAnsi="Times New Roman" w:cs="Times New Roman"/>
          <w:color w:val="auto"/>
          <w:sz w:val="28"/>
          <w:szCs w:val="28"/>
          <w:highlight w:val="none"/>
          <w:u w:val="none"/>
          <w:lang w:val="en-US" w:eastAsia="zh-CN"/>
        </w:rPr>
        <w:t>≤运营期当季度绩效考核得分≤100：</w:t>
      </w:r>
    </w:p>
    <w:p w14:paraId="25AA4694">
      <w:pPr>
        <w:numPr>
          <w:ilvl w:val="-1"/>
          <w:numId w:val="0"/>
        </w:num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全额支付受绩效考核费用；即:当季度实际支付的绩效考核费用（F）=厂区、配套污水管网、泵站 当季度考核绩效费用（G）×1； </w:t>
      </w:r>
    </w:p>
    <w:p w14:paraId="149852B7">
      <w:pPr>
        <w:numPr>
          <w:ilvl w:val="0"/>
          <w:numId w:val="6"/>
        </w:numPr>
        <w:spacing w:beforeAutospacing="0" w:afterAutospacing="0" w:line="540" w:lineRule="exact"/>
        <w:ind w:firstLine="560" w:firstLineChars="200"/>
        <w:rPr>
          <w:rFonts w:hint="eastAsia" w:ascii="宋体" w:hAnsi="Times New Roman"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60≤运营期当季度绩效考核得分&lt;90：</w:t>
      </w:r>
    </w:p>
    <w:p w14:paraId="4AEAAC76">
      <w:pPr>
        <w:numPr>
          <w:ilvl w:val="-1"/>
          <w:numId w:val="0"/>
        </w:numPr>
        <w:spacing w:beforeAutospacing="0" w:afterAutospacing="0" w:line="540" w:lineRule="exact"/>
        <w:ind w:firstLine="560" w:firstLineChars="200"/>
        <w:rPr>
          <w:rFonts w:hint="eastAsia" w:ascii="宋体" w:hAnsi="Times New Roman" w:cs="Times New Roman"/>
          <w:color w:val="auto"/>
          <w:sz w:val="28"/>
          <w:szCs w:val="28"/>
          <w:highlight w:val="none"/>
          <w:u w:val="none"/>
        </w:rPr>
      </w:pPr>
      <w:r>
        <w:rPr>
          <w:rFonts w:hint="eastAsia" w:ascii="宋体" w:hAnsi="Times New Roman" w:cs="Times New Roman"/>
          <w:color w:val="auto"/>
          <w:sz w:val="28"/>
          <w:szCs w:val="28"/>
          <w:highlight w:val="none"/>
          <w:u w:val="none"/>
          <w:lang w:val="en-US" w:eastAsia="zh-CN"/>
        </w:rPr>
        <w:t xml:space="preserve">按比例支付受绩效考核费用；即:当季度实际支付的绩效考核费用（F）=厂区、配套污水管网、泵 站当季度绩效考核费用（G）×（季度考核得分 N/100）； </w:t>
      </w:r>
    </w:p>
    <w:p w14:paraId="5B132E3A">
      <w:pPr>
        <w:pStyle w:val="17"/>
        <w:numPr>
          <w:ilvl w:val="0"/>
          <w:numId w:val="6"/>
        </w:numPr>
        <w:spacing w:line="540" w:lineRule="exact"/>
        <w:ind w:firstLine="560" w:firstLineChars="200"/>
        <w:rPr>
          <w:rFonts w:hint="eastAsia" w:ascii="宋体" w:cs="Times New Roman"/>
          <w:color w:val="auto"/>
          <w:sz w:val="28"/>
          <w:szCs w:val="28"/>
          <w:highlight w:val="none"/>
          <w:u w:val="none"/>
          <w:lang w:val="en-US" w:eastAsia="zh-CN"/>
        </w:rPr>
      </w:pPr>
      <w:r>
        <w:rPr>
          <w:rFonts w:hint="eastAsia" w:ascii="宋体" w:hAnsi="Times New Roman" w:cs="Times New Roman"/>
          <w:color w:val="auto"/>
          <w:sz w:val="28"/>
          <w:szCs w:val="28"/>
          <w:highlight w:val="none"/>
          <w:u w:val="none"/>
          <w:lang w:val="en-US" w:eastAsia="zh-CN"/>
        </w:rPr>
        <w:t>运营期当季度绩效考核得分&lt;60</w:t>
      </w:r>
      <w:r>
        <w:rPr>
          <w:rFonts w:hint="eastAsia" w:ascii="宋体" w:cs="Times New Roman"/>
          <w:color w:val="auto"/>
          <w:sz w:val="28"/>
          <w:szCs w:val="28"/>
          <w:highlight w:val="none"/>
          <w:u w:val="none"/>
          <w:lang w:val="en-US" w:eastAsia="zh-CN"/>
        </w:rPr>
        <w:t>：</w:t>
      </w:r>
    </w:p>
    <w:p w14:paraId="15097DD2">
      <w:pPr>
        <w:pStyle w:val="17"/>
        <w:numPr>
          <w:ilvl w:val="-1"/>
          <w:numId w:val="0"/>
        </w:numPr>
        <w:spacing w:line="540" w:lineRule="exact"/>
        <w:ind w:firstLine="560" w:firstLineChars="200"/>
        <w:rPr>
          <w:rFonts w:hint="default" w:eastAsia="宋体"/>
          <w:color w:val="auto"/>
          <w:highlight w:val="none"/>
          <w:u w:val="none"/>
          <w:lang w:val="en-US" w:eastAsia="zh-CN"/>
        </w:rPr>
      </w:pPr>
      <w:r>
        <w:rPr>
          <w:rFonts w:hint="eastAsia" w:ascii="宋体" w:hAnsi="Times New Roman" w:cs="Times New Roman"/>
          <w:color w:val="auto"/>
          <w:sz w:val="28"/>
          <w:szCs w:val="28"/>
          <w:highlight w:val="none"/>
          <w:u w:val="none"/>
          <w:lang w:val="en-US" w:eastAsia="zh-CN"/>
        </w:rPr>
        <w:t>运营绩效考核不合格，当季度不支付绩效考核费用，责令乙方限期整改合格。对于乙方怠于或延误整改时限的，可根据整改事项作出相应的处罚金额。</w:t>
      </w:r>
      <w:r>
        <w:rPr>
          <w:rFonts w:hint="eastAsia" w:ascii="宋体" w:hAnsi="宋体"/>
          <w:color w:val="auto"/>
          <w:spacing w:val="-10"/>
          <w:sz w:val="28"/>
          <w:szCs w:val="28"/>
          <w:highlight w:val="none"/>
          <w:u w:val="none"/>
          <w:lang w:val="en-US" w:eastAsia="zh-CN"/>
        </w:rPr>
        <w:t>连续两季度绩效考核不合格（＜60分）的，终止合同。</w:t>
      </w:r>
    </w:p>
    <w:p w14:paraId="0B23D48E">
      <w:pPr>
        <w:spacing w:beforeAutospacing="0" w:afterAutospacing="0" w:line="540" w:lineRule="exact"/>
        <w:ind w:firstLine="560" w:firstLineChars="200"/>
        <w:rPr>
          <w:rFonts w:hint="eastAsia" w:ascii="宋体" w:hAnsi="Times New Roman" w:cs="Times New Roman"/>
          <w:color w:val="auto"/>
          <w:sz w:val="28"/>
          <w:szCs w:val="28"/>
          <w:highlight w:val="none"/>
          <w:u w:val="none"/>
        </w:rPr>
      </w:pPr>
    </w:p>
    <w:p w14:paraId="6C4E1F33">
      <w:pPr>
        <w:pStyle w:val="17"/>
        <w:rPr>
          <w:rFonts w:hint="eastAsia"/>
          <w:color w:val="auto"/>
          <w:highlight w:val="none"/>
          <w:u w:val="none"/>
        </w:rPr>
      </w:pPr>
    </w:p>
    <w:p w14:paraId="5DE5226E">
      <w:pPr>
        <w:pStyle w:val="17"/>
        <w:rPr>
          <w:rFonts w:hint="eastAsia"/>
          <w:color w:val="auto"/>
          <w:highlight w:val="none"/>
          <w:u w:val="none"/>
        </w:rPr>
      </w:pPr>
    </w:p>
    <w:p w14:paraId="0676697A">
      <w:pPr>
        <w:rPr>
          <w:color w:val="auto"/>
          <w:highlight w:val="none"/>
          <w:u w:val="none"/>
        </w:rPr>
      </w:pPr>
    </w:p>
    <w:p w14:paraId="790744BA">
      <w:pPr>
        <w:rPr>
          <w:color w:val="auto"/>
          <w:highlight w:val="none"/>
          <w:u w:val="none"/>
        </w:rPr>
      </w:pPr>
    </w:p>
    <w:p w14:paraId="69666795">
      <w:pPr>
        <w:pStyle w:val="17"/>
        <w:jc w:val="center"/>
        <w:rPr>
          <w:rFonts w:ascii="宋体" w:hAnsi="宋体"/>
          <w:b/>
          <w:color w:val="auto"/>
          <w:szCs w:val="21"/>
          <w:highlight w:val="none"/>
        </w:rPr>
      </w:pPr>
    </w:p>
    <w:p w14:paraId="28D89902">
      <w:pPr>
        <w:pStyle w:val="17"/>
        <w:jc w:val="center"/>
        <w:rPr>
          <w:rFonts w:ascii="宋体" w:hAnsi="宋体"/>
          <w:bCs/>
          <w:color w:val="auto"/>
          <w:sz w:val="32"/>
          <w:szCs w:val="32"/>
          <w:highlight w:val="none"/>
        </w:rPr>
      </w:pPr>
      <w:r>
        <w:rPr>
          <w:rFonts w:ascii="宋体" w:hAnsi="宋体"/>
          <w:b/>
          <w:color w:val="auto"/>
          <w:szCs w:val="21"/>
          <w:highlight w:val="none"/>
        </w:rPr>
        <w:br w:type="page"/>
      </w:r>
    </w:p>
    <w:p w14:paraId="18729DE6">
      <w:pPr>
        <w:snapToGrid w:val="0"/>
        <w:spacing w:line="480" w:lineRule="auto"/>
        <w:rPr>
          <w:rFonts w:ascii="宋体" w:hAnsi="宋体"/>
          <w:bCs/>
          <w:color w:val="auto"/>
          <w:sz w:val="32"/>
          <w:szCs w:val="32"/>
          <w:highlight w:val="none"/>
        </w:rPr>
      </w:pPr>
    </w:p>
    <w:p w14:paraId="00202E91">
      <w:pPr>
        <w:snapToGrid w:val="0"/>
        <w:jc w:val="center"/>
        <w:rPr>
          <w:rFonts w:ascii="宋体" w:hAnsi="宋体"/>
          <w:bCs/>
          <w:color w:val="auto"/>
          <w:sz w:val="32"/>
          <w:szCs w:val="32"/>
          <w:highlight w:val="none"/>
        </w:rPr>
      </w:pPr>
    </w:p>
    <w:p w14:paraId="6DA71204">
      <w:pPr>
        <w:snapToGrid w:val="0"/>
        <w:jc w:val="center"/>
        <w:rPr>
          <w:rFonts w:ascii="宋体" w:hAnsi="宋体"/>
          <w:bCs/>
          <w:color w:val="auto"/>
          <w:sz w:val="32"/>
          <w:szCs w:val="32"/>
          <w:highlight w:val="none"/>
        </w:rPr>
      </w:pPr>
    </w:p>
    <w:p w14:paraId="3D6B1D23">
      <w:pPr>
        <w:snapToGrid w:val="0"/>
        <w:jc w:val="center"/>
        <w:rPr>
          <w:rFonts w:ascii="宋体" w:hAnsi="宋体"/>
          <w:bCs/>
          <w:color w:val="auto"/>
          <w:sz w:val="32"/>
          <w:szCs w:val="32"/>
          <w:highlight w:val="none"/>
        </w:rPr>
      </w:pPr>
    </w:p>
    <w:p w14:paraId="5149AF57">
      <w:pPr>
        <w:snapToGrid w:val="0"/>
        <w:jc w:val="center"/>
        <w:rPr>
          <w:rFonts w:ascii="宋体" w:hAnsi="宋体"/>
          <w:bCs/>
          <w:color w:val="auto"/>
          <w:sz w:val="32"/>
          <w:szCs w:val="32"/>
          <w:highlight w:val="none"/>
        </w:rPr>
      </w:pPr>
    </w:p>
    <w:p w14:paraId="12D87E77">
      <w:pPr>
        <w:snapToGrid w:val="0"/>
        <w:jc w:val="center"/>
        <w:rPr>
          <w:rFonts w:ascii="宋体" w:hAnsi="宋体"/>
          <w:bCs/>
          <w:color w:val="auto"/>
          <w:sz w:val="32"/>
          <w:szCs w:val="32"/>
          <w:highlight w:val="none"/>
        </w:rPr>
      </w:pPr>
    </w:p>
    <w:p w14:paraId="16785740">
      <w:pPr>
        <w:snapToGrid w:val="0"/>
        <w:jc w:val="center"/>
        <w:rPr>
          <w:rFonts w:ascii="宋体" w:hAnsi="宋体"/>
          <w:bCs/>
          <w:color w:val="auto"/>
          <w:sz w:val="32"/>
          <w:szCs w:val="32"/>
          <w:highlight w:val="none"/>
        </w:rPr>
      </w:pPr>
    </w:p>
    <w:p w14:paraId="21B7F8AF">
      <w:pPr>
        <w:snapToGrid w:val="0"/>
        <w:jc w:val="center"/>
        <w:rPr>
          <w:rFonts w:ascii="宋体" w:hAnsi="宋体"/>
          <w:bCs/>
          <w:color w:val="auto"/>
          <w:sz w:val="32"/>
          <w:szCs w:val="32"/>
          <w:highlight w:val="none"/>
        </w:rPr>
      </w:pPr>
    </w:p>
    <w:p w14:paraId="29CC2186">
      <w:pPr>
        <w:snapToGrid w:val="0"/>
        <w:jc w:val="center"/>
        <w:rPr>
          <w:rFonts w:ascii="宋体" w:hAnsi="宋体"/>
          <w:bCs/>
          <w:color w:val="auto"/>
          <w:sz w:val="32"/>
          <w:szCs w:val="32"/>
          <w:highlight w:val="none"/>
        </w:rPr>
      </w:pPr>
    </w:p>
    <w:p w14:paraId="172EE441">
      <w:pPr>
        <w:snapToGrid w:val="0"/>
        <w:jc w:val="center"/>
        <w:rPr>
          <w:rFonts w:ascii="宋体" w:hAnsi="宋体"/>
          <w:bCs/>
          <w:color w:val="auto"/>
          <w:sz w:val="32"/>
          <w:szCs w:val="32"/>
          <w:highlight w:val="none"/>
        </w:rPr>
      </w:pPr>
    </w:p>
    <w:p w14:paraId="7CF74B88">
      <w:pPr>
        <w:snapToGrid w:val="0"/>
        <w:jc w:val="center"/>
        <w:rPr>
          <w:rFonts w:ascii="宋体" w:hAnsi="宋体"/>
          <w:bCs/>
          <w:color w:val="auto"/>
          <w:sz w:val="32"/>
          <w:szCs w:val="32"/>
          <w:highlight w:val="none"/>
        </w:rPr>
      </w:pPr>
    </w:p>
    <w:p w14:paraId="361989E8">
      <w:pPr>
        <w:snapToGrid w:val="0"/>
        <w:jc w:val="center"/>
        <w:rPr>
          <w:rFonts w:ascii="宋体" w:hAnsi="宋体"/>
          <w:bCs/>
          <w:color w:val="auto"/>
          <w:sz w:val="32"/>
          <w:szCs w:val="32"/>
          <w:highlight w:val="none"/>
        </w:rPr>
      </w:pPr>
    </w:p>
    <w:p w14:paraId="0CCC5988">
      <w:pPr>
        <w:pStyle w:val="2"/>
        <w:jc w:val="center"/>
        <w:rPr>
          <w:color w:val="auto"/>
          <w:highlight w:val="none"/>
        </w:rPr>
      </w:pPr>
      <w:bookmarkStart w:id="132" w:name="_Toc25289"/>
      <w:r>
        <w:rPr>
          <w:rFonts w:hint="eastAsia"/>
          <w:color w:val="auto"/>
          <w:highlight w:val="none"/>
        </w:rPr>
        <w:t>第六章　投标文件格式</w:t>
      </w:r>
      <w:bookmarkEnd w:id="132"/>
    </w:p>
    <w:p w14:paraId="16937E7D">
      <w:pPr>
        <w:snapToGrid w:val="0"/>
        <w:spacing w:before="50" w:after="50"/>
        <w:outlineLvl w:val="1"/>
        <w:rPr>
          <w:rFonts w:ascii="宋体" w:hAnsi="宋体"/>
          <w:color w:val="auto"/>
          <w:sz w:val="32"/>
          <w:szCs w:val="20"/>
          <w:highlight w:val="none"/>
        </w:rPr>
      </w:pPr>
    </w:p>
    <w:p w14:paraId="33685136">
      <w:pPr>
        <w:snapToGrid w:val="0"/>
        <w:spacing w:before="50" w:after="50"/>
        <w:outlineLvl w:val="1"/>
        <w:rPr>
          <w:rFonts w:ascii="宋体" w:hAnsi="宋体"/>
          <w:color w:val="auto"/>
          <w:sz w:val="32"/>
          <w:szCs w:val="20"/>
          <w:highlight w:val="none"/>
        </w:rPr>
      </w:pPr>
    </w:p>
    <w:p w14:paraId="44004940">
      <w:pPr>
        <w:snapToGrid w:val="0"/>
        <w:spacing w:before="50" w:after="50"/>
        <w:outlineLvl w:val="1"/>
        <w:rPr>
          <w:rFonts w:ascii="宋体" w:hAnsi="宋体"/>
          <w:color w:val="auto"/>
          <w:sz w:val="32"/>
          <w:szCs w:val="20"/>
          <w:highlight w:val="none"/>
        </w:rPr>
      </w:pPr>
    </w:p>
    <w:p w14:paraId="5A0704C6">
      <w:pPr>
        <w:snapToGrid w:val="0"/>
        <w:spacing w:before="50" w:after="50"/>
        <w:outlineLvl w:val="1"/>
        <w:rPr>
          <w:rFonts w:ascii="宋体" w:hAnsi="宋体"/>
          <w:color w:val="auto"/>
          <w:sz w:val="32"/>
          <w:szCs w:val="20"/>
          <w:highlight w:val="none"/>
        </w:rPr>
      </w:pPr>
    </w:p>
    <w:p w14:paraId="5A4F08AE">
      <w:pPr>
        <w:snapToGrid w:val="0"/>
        <w:spacing w:before="50" w:after="50"/>
        <w:outlineLvl w:val="1"/>
        <w:rPr>
          <w:rFonts w:ascii="宋体" w:hAnsi="宋体"/>
          <w:color w:val="auto"/>
          <w:sz w:val="32"/>
          <w:szCs w:val="20"/>
          <w:highlight w:val="none"/>
        </w:rPr>
      </w:pPr>
    </w:p>
    <w:p w14:paraId="250CD281">
      <w:pPr>
        <w:snapToGrid w:val="0"/>
        <w:spacing w:before="50" w:after="50"/>
        <w:outlineLvl w:val="1"/>
        <w:rPr>
          <w:rFonts w:ascii="宋体" w:hAnsi="宋体"/>
          <w:color w:val="auto"/>
          <w:sz w:val="32"/>
          <w:szCs w:val="20"/>
          <w:highlight w:val="none"/>
        </w:rPr>
      </w:pPr>
    </w:p>
    <w:p w14:paraId="77F469CA">
      <w:pPr>
        <w:snapToGrid w:val="0"/>
        <w:spacing w:before="50" w:after="50"/>
        <w:outlineLvl w:val="1"/>
        <w:rPr>
          <w:rFonts w:ascii="宋体" w:hAnsi="宋体"/>
          <w:color w:val="auto"/>
          <w:sz w:val="32"/>
          <w:szCs w:val="20"/>
          <w:highlight w:val="none"/>
        </w:rPr>
      </w:pPr>
    </w:p>
    <w:p w14:paraId="768B5CCC">
      <w:pPr>
        <w:snapToGrid w:val="0"/>
        <w:spacing w:before="50" w:after="50"/>
        <w:outlineLvl w:val="1"/>
        <w:rPr>
          <w:rFonts w:ascii="宋体" w:hAnsi="宋体"/>
          <w:color w:val="auto"/>
          <w:sz w:val="32"/>
          <w:szCs w:val="20"/>
          <w:highlight w:val="none"/>
        </w:rPr>
      </w:pPr>
    </w:p>
    <w:p w14:paraId="5B73E609">
      <w:pPr>
        <w:snapToGrid w:val="0"/>
        <w:spacing w:before="50" w:after="50"/>
        <w:outlineLvl w:val="1"/>
        <w:rPr>
          <w:rFonts w:ascii="宋体" w:hAnsi="宋体"/>
          <w:color w:val="auto"/>
          <w:sz w:val="32"/>
          <w:szCs w:val="20"/>
          <w:highlight w:val="none"/>
        </w:rPr>
      </w:pPr>
    </w:p>
    <w:p w14:paraId="084CBEB7">
      <w:pPr>
        <w:snapToGrid w:val="0"/>
        <w:spacing w:before="50" w:after="50"/>
        <w:outlineLvl w:val="1"/>
        <w:rPr>
          <w:rFonts w:ascii="宋体" w:hAnsi="宋体"/>
          <w:color w:val="auto"/>
          <w:sz w:val="32"/>
          <w:szCs w:val="20"/>
          <w:highlight w:val="none"/>
        </w:rPr>
      </w:pPr>
    </w:p>
    <w:p w14:paraId="033D24FC">
      <w:pPr>
        <w:snapToGrid w:val="0"/>
        <w:spacing w:before="50" w:after="50"/>
        <w:outlineLvl w:val="1"/>
        <w:rPr>
          <w:rFonts w:ascii="宋体" w:hAnsi="宋体"/>
          <w:color w:val="auto"/>
          <w:sz w:val="32"/>
          <w:szCs w:val="20"/>
          <w:highlight w:val="none"/>
        </w:rPr>
      </w:pPr>
    </w:p>
    <w:p w14:paraId="5BC09B5B">
      <w:pPr>
        <w:snapToGrid w:val="0"/>
        <w:spacing w:before="50" w:after="50"/>
        <w:outlineLvl w:val="1"/>
        <w:rPr>
          <w:rFonts w:ascii="宋体" w:hAnsi="宋体"/>
          <w:color w:val="auto"/>
          <w:sz w:val="32"/>
          <w:szCs w:val="20"/>
          <w:highlight w:val="none"/>
        </w:rPr>
      </w:pPr>
    </w:p>
    <w:p w14:paraId="0714DAAA">
      <w:pPr>
        <w:rPr>
          <w:b/>
          <w:color w:val="auto"/>
          <w:sz w:val="28"/>
          <w:szCs w:val="28"/>
          <w:highlight w:val="none"/>
        </w:rPr>
      </w:pPr>
      <w:r>
        <w:rPr>
          <w:color w:val="auto"/>
          <w:sz w:val="32"/>
          <w:szCs w:val="20"/>
          <w:highlight w:val="none"/>
        </w:rPr>
        <w:br w:type="page"/>
      </w:r>
      <w:bookmarkStart w:id="133" w:name="_Toc19686836"/>
      <w:bookmarkStart w:id="134" w:name="_Toc254970557"/>
      <w:bookmarkStart w:id="135" w:name="_Toc254970698"/>
      <w:r>
        <w:rPr>
          <w:rFonts w:hint="eastAsia"/>
          <w:b/>
          <w:color w:val="auto"/>
          <w:sz w:val="28"/>
          <w:szCs w:val="28"/>
          <w:highlight w:val="none"/>
        </w:rPr>
        <w:t>一、报价文件格式</w:t>
      </w:r>
      <w:bookmarkEnd w:id="133"/>
    </w:p>
    <w:p w14:paraId="461565C1">
      <w:pPr>
        <w:snapToGrid w:val="0"/>
        <w:spacing w:before="120"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3DED6738">
      <w:pPr>
        <w:snapToGrid w:val="0"/>
        <w:spacing w:before="120" w:beforeLines="50" w:after="50" w:line="360" w:lineRule="auto"/>
        <w:ind w:left="142"/>
        <w:jc w:val="center"/>
        <w:rPr>
          <w:rFonts w:ascii="宋体" w:hAnsi="宋体" w:eastAsia="微软雅黑"/>
          <w:bCs/>
          <w:color w:val="auto"/>
          <w:sz w:val="48"/>
          <w:szCs w:val="48"/>
          <w:highlight w:val="none"/>
        </w:rPr>
      </w:pPr>
      <w:r>
        <w:rPr>
          <w:rFonts w:hint="eastAsia" w:ascii="宋体" w:hAnsi="宋体" w:eastAsia="微软雅黑"/>
          <w:bCs/>
          <w:color w:val="auto"/>
          <w:sz w:val="48"/>
          <w:szCs w:val="48"/>
          <w:highlight w:val="none"/>
        </w:rPr>
        <w:t>电子投标文件</w:t>
      </w:r>
    </w:p>
    <w:p w14:paraId="579D9B78">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54623969">
      <w:pPr>
        <w:snapToGrid w:val="0"/>
        <w:spacing w:before="120" w:beforeLines="50" w:after="50" w:line="400" w:lineRule="exact"/>
        <w:jc w:val="center"/>
        <w:rPr>
          <w:rFonts w:ascii="宋体" w:hAnsi="宋体"/>
          <w:bCs/>
          <w:color w:val="auto"/>
          <w:sz w:val="24"/>
          <w:szCs w:val="20"/>
          <w:highlight w:val="none"/>
        </w:rPr>
      </w:pPr>
    </w:p>
    <w:p w14:paraId="574163C9">
      <w:pPr>
        <w:snapToGrid w:val="0"/>
        <w:spacing w:before="120"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029DEC6A">
      <w:pPr>
        <w:snapToGrid w:val="0"/>
        <w:spacing w:before="120" w:beforeLines="50" w:after="50" w:line="400" w:lineRule="exact"/>
        <w:rPr>
          <w:rFonts w:ascii="宋体" w:hAnsi="宋体"/>
          <w:bCs/>
          <w:color w:val="auto"/>
          <w:sz w:val="24"/>
          <w:szCs w:val="20"/>
          <w:highlight w:val="none"/>
        </w:rPr>
      </w:pPr>
    </w:p>
    <w:p w14:paraId="7F83628A">
      <w:pPr>
        <w:snapToGrid w:val="0"/>
        <w:spacing w:before="120" w:beforeLines="50" w:after="50" w:line="400" w:lineRule="exact"/>
        <w:rPr>
          <w:rFonts w:ascii="宋体" w:hAnsi="宋体"/>
          <w:bCs/>
          <w:color w:val="auto"/>
          <w:sz w:val="24"/>
          <w:szCs w:val="20"/>
          <w:highlight w:val="none"/>
        </w:rPr>
      </w:pPr>
    </w:p>
    <w:p w14:paraId="6E6845A3">
      <w:pPr>
        <w:snapToGrid w:val="0"/>
        <w:spacing w:before="120" w:beforeLines="50" w:after="50" w:line="400" w:lineRule="exact"/>
        <w:rPr>
          <w:rFonts w:ascii="宋体" w:hAnsi="宋体"/>
          <w:bCs/>
          <w:color w:val="auto"/>
          <w:sz w:val="24"/>
          <w:szCs w:val="20"/>
          <w:highlight w:val="none"/>
        </w:rPr>
      </w:pPr>
    </w:p>
    <w:p w14:paraId="31447893">
      <w:pPr>
        <w:snapToGrid w:val="0"/>
        <w:spacing w:before="120" w:beforeLines="50" w:after="50" w:line="400" w:lineRule="exact"/>
        <w:rPr>
          <w:rFonts w:ascii="宋体" w:hAnsi="宋体"/>
          <w:bCs/>
          <w:color w:val="auto"/>
          <w:sz w:val="24"/>
          <w:szCs w:val="20"/>
          <w:highlight w:val="none"/>
        </w:rPr>
      </w:pPr>
    </w:p>
    <w:p w14:paraId="2AD26AB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5546A48">
      <w:pPr>
        <w:snapToGrid w:val="0"/>
        <w:spacing w:before="120" w:beforeLines="50" w:after="50" w:line="400" w:lineRule="exact"/>
        <w:ind w:firstLine="360" w:firstLineChars="150"/>
        <w:rPr>
          <w:rFonts w:ascii="宋体" w:hAnsi="宋体"/>
          <w:bCs/>
          <w:color w:val="auto"/>
          <w:sz w:val="24"/>
          <w:highlight w:val="none"/>
        </w:rPr>
      </w:pPr>
    </w:p>
    <w:p w14:paraId="727E45C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71474279">
      <w:pPr>
        <w:snapToGrid w:val="0"/>
        <w:spacing w:before="120" w:beforeLines="50" w:after="50" w:line="400" w:lineRule="exact"/>
        <w:ind w:firstLine="360" w:firstLineChars="150"/>
        <w:rPr>
          <w:rFonts w:ascii="宋体" w:hAnsi="宋体"/>
          <w:bCs/>
          <w:color w:val="auto"/>
          <w:sz w:val="24"/>
          <w:highlight w:val="none"/>
        </w:rPr>
      </w:pPr>
    </w:p>
    <w:p w14:paraId="55CE06E1">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BEAC75E">
      <w:pPr>
        <w:snapToGrid w:val="0"/>
        <w:spacing w:before="120" w:beforeLines="50" w:after="50" w:line="400" w:lineRule="exact"/>
        <w:ind w:firstLine="360" w:firstLineChars="150"/>
        <w:rPr>
          <w:rFonts w:ascii="宋体" w:hAnsi="宋体"/>
          <w:bCs/>
          <w:color w:val="auto"/>
          <w:sz w:val="24"/>
          <w:highlight w:val="none"/>
        </w:rPr>
      </w:pPr>
    </w:p>
    <w:p w14:paraId="58EF54F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09C40B4">
      <w:pPr>
        <w:snapToGrid w:val="0"/>
        <w:spacing w:before="120" w:beforeLines="50" w:after="50" w:line="400" w:lineRule="exact"/>
        <w:ind w:firstLine="360" w:firstLineChars="150"/>
        <w:rPr>
          <w:rFonts w:ascii="宋体" w:hAnsi="宋体"/>
          <w:bCs/>
          <w:color w:val="auto"/>
          <w:sz w:val="24"/>
          <w:highlight w:val="none"/>
        </w:rPr>
      </w:pPr>
    </w:p>
    <w:p w14:paraId="356B2E9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6BE6C0E6">
      <w:pPr>
        <w:pStyle w:val="7"/>
        <w:snapToGrid w:val="0"/>
        <w:spacing w:before="50" w:after="50" w:line="400" w:lineRule="exact"/>
        <w:ind w:firstLine="960" w:firstLineChars="400"/>
        <w:rPr>
          <w:rFonts w:ascii="宋体" w:hAnsi="宋体"/>
          <w:bCs/>
          <w:color w:val="auto"/>
          <w:sz w:val="24"/>
          <w:szCs w:val="24"/>
          <w:highlight w:val="none"/>
        </w:rPr>
      </w:pPr>
    </w:p>
    <w:p w14:paraId="0E832F4B">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59BA0DE9">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51B4904A">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17104F43">
      <w:pPr>
        <w:snapToGrid w:val="0"/>
        <w:spacing w:before="120" w:beforeLines="50" w:after="50"/>
        <w:rPr>
          <w:rFonts w:ascii="宋体" w:hAnsi="宋体"/>
          <w:b/>
          <w:color w:val="auto"/>
          <w:sz w:val="24"/>
          <w:highlight w:val="none"/>
        </w:rPr>
      </w:pPr>
    </w:p>
    <w:p w14:paraId="67BD71CA">
      <w:pPr>
        <w:snapToGrid w:val="0"/>
        <w:spacing w:before="120" w:beforeLines="50" w:after="50"/>
        <w:rPr>
          <w:rFonts w:ascii="宋体" w:hAnsi="宋体"/>
          <w:b/>
          <w:color w:val="auto"/>
          <w:sz w:val="24"/>
          <w:highlight w:val="none"/>
        </w:rPr>
      </w:pPr>
    </w:p>
    <w:p w14:paraId="69C331EA">
      <w:pPr>
        <w:snapToGrid w:val="0"/>
        <w:spacing w:before="120" w:beforeLines="50" w:after="50"/>
        <w:rPr>
          <w:rFonts w:ascii="宋体" w:hAnsi="宋体"/>
          <w:b/>
          <w:color w:val="auto"/>
          <w:sz w:val="24"/>
          <w:highlight w:val="none"/>
        </w:rPr>
      </w:pPr>
    </w:p>
    <w:p w14:paraId="005ECE8E">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5026CA51">
      <w:pPr>
        <w:snapToGrid w:val="0"/>
        <w:spacing w:before="120" w:beforeLines="50" w:after="50" w:line="320" w:lineRule="exact"/>
        <w:jc w:val="center"/>
        <w:rPr>
          <w:rFonts w:ascii="宋体" w:hAnsi="宋体"/>
          <w:b/>
          <w:color w:val="auto"/>
          <w:sz w:val="32"/>
          <w:szCs w:val="32"/>
          <w:highlight w:val="none"/>
        </w:rPr>
      </w:pPr>
      <w:r>
        <w:rPr>
          <w:rFonts w:hint="eastAsia" w:ascii="宋体" w:hAnsi="宋体"/>
          <w:b/>
          <w:color w:val="auto"/>
          <w:sz w:val="32"/>
          <w:szCs w:val="32"/>
          <w:highlight w:val="none"/>
        </w:rPr>
        <w:t>投 标 函</w:t>
      </w:r>
    </w:p>
    <w:p w14:paraId="7B2C701F">
      <w:pPr>
        <w:snapToGrid w:val="0"/>
        <w:spacing w:before="120" w:beforeLines="50" w:after="50" w:line="320" w:lineRule="exact"/>
        <w:jc w:val="center"/>
        <w:rPr>
          <w:rFonts w:ascii="宋体" w:hAnsi="宋体"/>
          <w:b/>
          <w:color w:val="auto"/>
          <w:sz w:val="24"/>
          <w:szCs w:val="20"/>
          <w:highlight w:val="none"/>
        </w:rPr>
      </w:pPr>
    </w:p>
    <w:p w14:paraId="72D656A9">
      <w:pPr>
        <w:snapToGrid w:val="0"/>
        <w:spacing w:before="120" w:beforeLines="50" w:after="50" w:line="320" w:lineRule="exact"/>
        <w:jc w:val="center"/>
        <w:rPr>
          <w:rFonts w:ascii="宋体" w:hAnsi="宋体"/>
          <w:b/>
          <w:color w:val="auto"/>
          <w:sz w:val="24"/>
          <w:szCs w:val="20"/>
          <w:highlight w:val="none"/>
        </w:rPr>
      </w:pPr>
    </w:p>
    <w:p w14:paraId="23C785E9">
      <w:pPr>
        <w:snapToGrid w:val="0"/>
        <w:spacing w:before="120" w:beforeLines="50" w:after="50" w:line="320" w:lineRule="exact"/>
        <w:jc w:val="center"/>
        <w:rPr>
          <w:rFonts w:ascii="宋体" w:hAnsi="宋体"/>
          <w:b/>
          <w:color w:val="auto"/>
          <w:sz w:val="24"/>
          <w:szCs w:val="20"/>
          <w:highlight w:val="none"/>
        </w:rPr>
      </w:pPr>
    </w:p>
    <w:p w14:paraId="38690081">
      <w:pPr>
        <w:snapToGrid w:val="0"/>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F452BEE">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0BB325D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据此函，我方宣布同意如下：</w:t>
      </w:r>
    </w:p>
    <w:p w14:paraId="72BFCE3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3582D9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28DABB1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6A4795F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57517C0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6C0EE03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1BCA47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0CFEB7F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22E411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27EC57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469574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0845B608">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7564FAC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DF605D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224A65F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B36874E">
      <w:pPr>
        <w:snapToGrid w:val="0"/>
        <w:spacing w:line="360" w:lineRule="auto"/>
        <w:ind w:firstLine="480" w:firstLineChars="200"/>
        <w:jc w:val="left"/>
        <w:rPr>
          <w:rFonts w:ascii="宋体" w:hAnsi="宋体"/>
          <w:color w:val="auto"/>
          <w:sz w:val="24"/>
          <w:highlight w:val="none"/>
        </w:rPr>
      </w:pPr>
    </w:p>
    <w:p w14:paraId="15F1754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6B2C281C">
      <w:pPr>
        <w:pStyle w:val="23"/>
        <w:snapToGrid w:val="0"/>
        <w:spacing w:before="295" w:after="295" w:line="360" w:lineRule="auto"/>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180BB0C9">
      <w:pPr>
        <w:pStyle w:val="23"/>
        <w:snapToGrid w:val="0"/>
        <w:spacing w:before="295" w:after="295" w:line="360" w:lineRule="auto"/>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1389D72E">
      <w:pPr>
        <w:snapToGrid w:val="0"/>
        <w:spacing w:before="120" w:beforeLines="50" w:after="50"/>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w:t>
      </w:r>
    </w:p>
    <w:p w14:paraId="2A10B01E">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5D412F69">
      <w:pPr>
        <w:snapToGrid w:val="0"/>
        <w:spacing w:before="50" w:after="50"/>
        <w:jc w:val="center"/>
        <w:rPr>
          <w:rFonts w:ascii="宋体" w:hAnsi="宋体"/>
          <w:b/>
          <w:color w:val="auto"/>
          <w:sz w:val="30"/>
          <w:szCs w:val="20"/>
          <w:highlight w:val="none"/>
        </w:rPr>
      </w:pPr>
    </w:p>
    <w:p w14:paraId="28C4B80C">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1DD5633A">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p w14:paraId="1E4C6AC2">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625"/>
        <w:gridCol w:w="1009"/>
        <w:gridCol w:w="1108"/>
        <w:gridCol w:w="1064"/>
        <w:gridCol w:w="1413"/>
        <w:gridCol w:w="725"/>
      </w:tblGrid>
      <w:tr w14:paraId="4933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339" w:type="pct"/>
            <w:tcBorders>
              <w:top w:val="single" w:color="auto" w:sz="4" w:space="0"/>
              <w:left w:val="single" w:color="auto" w:sz="4" w:space="0"/>
              <w:bottom w:val="single" w:color="auto" w:sz="4" w:space="0"/>
              <w:right w:val="single" w:color="auto" w:sz="4" w:space="0"/>
            </w:tcBorders>
            <w:vAlign w:val="center"/>
          </w:tcPr>
          <w:p w14:paraId="74A86146">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1539" w:type="pct"/>
            <w:tcBorders>
              <w:top w:val="single" w:color="auto" w:sz="4" w:space="0"/>
              <w:left w:val="single" w:color="auto" w:sz="4" w:space="0"/>
              <w:bottom w:val="single" w:color="auto" w:sz="4" w:space="0"/>
              <w:right w:val="single" w:color="auto" w:sz="4" w:space="0"/>
            </w:tcBorders>
            <w:vAlign w:val="center"/>
          </w:tcPr>
          <w:p w14:paraId="3717FE7F">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592" w:type="pct"/>
            <w:tcBorders>
              <w:top w:val="single" w:color="auto" w:sz="4" w:space="0"/>
              <w:left w:val="single" w:color="auto" w:sz="4" w:space="0"/>
              <w:bottom w:val="single" w:color="auto" w:sz="4" w:space="0"/>
              <w:right w:val="single" w:color="auto" w:sz="4" w:space="0"/>
            </w:tcBorders>
            <w:vAlign w:val="center"/>
          </w:tcPr>
          <w:p w14:paraId="2E8B27FA">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650" w:type="pct"/>
            <w:tcBorders>
              <w:top w:val="single" w:color="auto" w:sz="4" w:space="0"/>
              <w:left w:val="single" w:color="auto" w:sz="4" w:space="0"/>
              <w:bottom w:val="single" w:color="auto" w:sz="4" w:space="0"/>
              <w:right w:val="single" w:color="auto" w:sz="4" w:space="0"/>
            </w:tcBorders>
            <w:vAlign w:val="center"/>
          </w:tcPr>
          <w:p w14:paraId="2B89737E">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lang w:val="en-US" w:eastAsia="zh-CN"/>
              </w:rPr>
              <w:t>服务</w:t>
            </w:r>
            <w:r>
              <w:rPr>
                <w:rFonts w:hint="eastAsia" w:ascii="宋体" w:hAnsi="宋体" w:cs="仿宋_GB2312"/>
                <w:color w:val="auto"/>
                <w:sz w:val="24"/>
                <w:highlight w:val="none"/>
              </w:rPr>
              <w:t>期（年）</w:t>
            </w:r>
          </w:p>
          <w:p w14:paraId="53208229">
            <w:pPr>
              <w:spacing w:line="360" w:lineRule="auto"/>
              <w:jc w:val="center"/>
              <w:rPr>
                <w:color w:val="auto"/>
                <w:highlight w:val="none"/>
              </w:rPr>
            </w:pPr>
            <w:r>
              <w:rPr>
                <w:rFonts w:hint="eastAsia" w:ascii="宋体" w:hAnsi="宋体" w:cs="仿宋_GB2312"/>
                <w:color w:val="auto"/>
                <w:sz w:val="24"/>
                <w:highlight w:val="none"/>
              </w:rPr>
              <w:t>①</w:t>
            </w:r>
          </w:p>
        </w:tc>
        <w:tc>
          <w:tcPr>
            <w:tcW w:w="624" w:type="pct"/>
            <w:tcBorders>
              <w:top w:val="single" w:color="auto" w:sz="4" w:space="0"/>
              <w:left w:val="single" w:color="auto" w:sz="4" w:space="0"/>
              <w:bottom w:val="single" w:color="auto" w:sz="4" w:space="0"/>
              <w:right w:val="single" w:color="auto" w:sz="4" w:space="0"/>
            </w:tcBorders>
            <w:vAlign w:val="center"/>
          </w:tcPr>
          <w:p w14:paraId="212E537C">
            <w:pPr>
              <w:spacing w:line="360" w:lineRule="auto"/>
              <w:jc w:val="center"/>
              <w:rPr>
                <w:rFonts w:ascii="宋体" w:hAnsi="宋体" w:cs="宋体"/>
                <w:color w:val="auto"/>
                <w:kern w:val="0"/>
                <w:sz w:val="24"/>
                <w:highlight w:val="none"/>
              </w:rPr>
            </w:pPr>
            <w:r>
              <w:rPr>
                <w:rFonts w:hint="eastAsia" w:ascii="宋体" w:hAnsi="宋体" w:cs="仿宋_GB2312"/>
                <w:color w:val="auto"/>
                <w:sz w:val="24"/>
                <w:highlight w:val="none"/>
              </w:rPr>
              <w:t>单价</w:t>
            </w:r>
            <w:r>
              <w:rPr>
                <w:rFonts w:hint="eastAsia" w:ascii="宋体" w:hAnsi="宋体" w:cs="宋体"/>
                <w:color w:val="auto"/>
                <w:kern w:val="0"/>
                <w:sz w:val="24"/>
                <w:highlight w:val="none"/>
              </w:rPr>
              <w:t>（元/年）</w:t>
            </w:r>
          </w:p>
          <w:p w14:paraId="094587CE">
            <w:pPr>
              <w:spacing w:line="360" w:lineRule="auto"/>
              <w:jc w:val="center"/>
              <w:rPr>
                <w:color w:val="auto"/>
                <w:highlight w:val="none"/>
              </w:rPr>
            </w:pPr>
            <w:r>
              <w:rPr>
                <w:rFonts w:hint="eastAsia" w:ascii="宋体" w:hAnsi="宋体" w:cs="仿宋_GB2312"/>
                <w:color w:val="auto"/>
                <w:sz w:val="24"/>
                <w:highlight w:val="none"/>
              </w:rPr>
              <w:t>②</w:t>
            </w:r>
          </w:p>
        </w:tc>
        <w:tc>
          <w:tcPr>
            <w:tcW w:w="829" w:type="pct"/>
            <w:tcBorders>
              <w:top w:val="single" w:color="auto" w:sz="4" w:space="0"/>
              <w:left w:val="single" w:color="auto" w:sz="4" w:space="0"/>
              <w:bottom w:val="single" w:color="auto" w:sz="4" w:space="0"/>
              <w:right w:val="single" w:color="auto" w:sz="4" w:space="0"/>
            </w:tcBorders>
            <w:vAlign w:val="center"/>
          </w:tcPr>
          <w:p w14:paraId="4B778F73">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总价（元）</w:t>
            </w:r>
          </w:p>
          <w:p w14:paraId="44C70FA9">
            <w:pPr>
              <w:spacing w:line="360" w:lineRule="auto"/>
              <w:jc w:val="center"/>
              <w:rPr>
                <w:rFonts w:ascii="宋体" w:hAnsi="宋体" w:cs="仿宋_GB2312"/>
                <w:color w:val="auto"/>
                <w:sz w:val="24"/>
                <w:highlight w:val="none"/>
              </w:rPr>
            </w:pPr>
            <w:r>
              <w:rPr>
                <w:rFonts w:hint="eastAsia" w:ascii="仿宋" w:hAnsi="仿宋" w:eastAsia="仿宋" w:cs="仿宋"/>
                <w:color w:val="auto"/>
                <w:sz w:val="24"/>
                <w:highlight w:val="none"/>
              </w:rPr>
              <w:t>③</w:t>
            </w:r>
            <w:r>
              <w:rPr>
                <w:rFonts w:hint="eastAsia" w:ascii="宋体" w:hAnsi="宋体" w:eastAsia="仿宋" w:cs="仿宋_GB2312"/>
                <w:color w:val="auto"/>
                <w:sz w:val="24"/>
                <w:highlight w:val="none"/>
              </w:rPr>
              <w:t>=</w:t>
            </w:r>
            <w:r>
              <w:rPr>
                <w:rFonts w:hint="eastAsia" w:ascii="宋体" w:hAnsi="宋体" w:cs="仿宋_GB2312"/>
                <w:color w:val="auto"/>
                <w:sz w:val="24"/>
                <w:highlight w:val="none"/>
              </w:rPr>
              <w:t>①×②</w:t>
            </w:r>
          </w:p>
        </w:tc>
        <w:tc>
          <w:tcPr>
            <w:tcW w:w="425" w:type="pct"/>
            <w:tcBorders>
              <w:top w:val="single" w:color="auto" w:sz="4" w:space="0"/>
              <w:left w:val="single" w:color="auto" w:sz="4" w:space="0"/>
              <w:bottom w:val="single" w:color="auto" w:sz="4" w:space="0"/>
              <w:right w:val="single" w:color="auto" w:sz="4" w:space="0"/>
            </w:tcBorders>
            <w:vAlign w:val="center"/>
          </w:tcPr>
          <w:p w14:paraId="23B09AEA">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5090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339" w:type="pct"/>
            <w:tcBorders>
              <w:top w:val="single" w:color="auto" w:sz="4" w:space="0"/>
              <w:left w:val="single" w:color="auto" w:sz="4" w:space="0"/>
              <w:bottom w:val="single" w:color="auto" w:sz="4" w:space="0"/>
              <w:right w:val="single" w:color="auto" w:sz="4" w:space="0"/>
            </w:tcBorders>
            <w:vAlign w:val="center"/>
          </w:tcPr>
          <w:p w14:paraId="650B49B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1539" w:type="pct"/>
            <w:tcBorders>
              <w:top w:val="single" w:color="auto" w:sz="4" w:space="0"/>
              <w:left w:val="single" w:color="auto" w:sz="4" w:space="0"/>
              <w:bottom w:val="single" w:color="auto" w:sz="4" w:space="0"/>
              <w:right w:val="single" w:color="auto" w:sz="4" w:space="0"/>
            </w:tcBorders>
            <w:vAlign w:val="center"/>
          </w:tcPr>
          <w:p w14:paraId="42E3887C">
            <w:pPr>
              <w:widowControl/>
              <w:adjustRightInd w:val="0"/>
              <w:snapToGrid w:val="0"/>
              <w:jc w:val="center"/>
              <w:textAlignment w:val="center"/>
              <w:rPr>
                <w:rFonts w:ascii="宋体" w:hAnsi="宋体" w:cs="仿宋_GB2312"/>
                <w:color w:val="auto"/>
                <w:sz w:val="24"/>
                <w:highlight w:val="none"/>
              </w:rPr>
            </w:pPr>
          </w:p>
        </w:tc>
        <w:tc>
          <w:tcPr>
            <w:tcW w:w="592" w:type="pct"/>
            <w:tcBorders>
              <w:top w:val="single" w:color="auto" w:sz="4" w:space="0"/>
              <w:left w:val="single" w:color="auto" w:sz="4" w:space="0"/>
              <w:bottom w:val="single" w:color="auto" w:sz="4" w:space="0"/>
              <w:right w:val="single" w:color="auto" w:sz="4" w:space="0"/>
            </w:tcBorders>
            <w:vAlign w:val="center"/>
          </w:tcPr>
          <w:p w14:paraId="2DF7CE32">
            <w:pPr>
              <w:spacing w:line="360" w:lineRule="auto"/>
              <w:jc w:val="center"/>
              <w:rPr>
                <w:rFonts w:ascii="宋体" w:hAnsi="宋体" w:cs="仿宋_GB2312"/>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16AE2324">
            <w:pPr>
              <w:spacing w:line="360" w:lineRule="auto"/>
              <w:jc w:val="center"/>
              <w:rPr>
                <w:rFonts w:ascii="宋体" w:hAnsi="宋体" w:cs="仿宋_GB2312"/>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14:paraId="3186E0CA">
            <w:pPr>
              <w:spacing w:line="360" w:lineRule="auto"/>
              <w:jc w:val="center"/>
              <w:rPr>
                <w:rFonts w:ascii="宋体" w:hAnsi="宋体" w:cs="仿宋_GB2312"/>
                <w:color w:val="auto"/>
                <w:sz w:val="24"/>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1E6A6E84">
            <w:pPr>
              <w:spacing w:line="360" w:lineRule="auto"/>
              <w:jc w:val="center"/>
              <w:rPr>
                <w:rFonts w:ascii="宋体" w:hAnsi="宋体" w:cs="仿宋_GB2312"/>
                <w:color w:val="auto"/>
                <w:sz w:val="24"/>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741E7C37">
            <w:pPr>
              <w:spacing w:line="360" w:lineRule="auto"/>
              <w:jc w:val="center"/>
              <w:rPr>
                <w:rFonts w:ascii="宋体" w:hAnsi="宋体" w:cs="仿宋_GB2312"/>
                <w:color w:val="auto"/>
                <w:sz w:val="24"/>
                <w:highlight w:val="none"/>
              </w:rPr>
            </w:pPr>
          </w:p>
        </w:tc>
      </w:tr>
      <w:tr w14:paraId="4397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339" w:type="pct"/>
            <w:tcBorders>
              <w:top w:val="single" w:color="auto" w:sz="4" w:space="0"/>
              <w:left w:val="single" w:color="auto" w:sz="4" w:space="0"/>
              <w:bottom w:val="single" w:color="auto" w:sz="4" w:space="0"/>
              <w:right w:val="single" w:color="auto" w:sz="4" w:space="0"/>
            </w:tcBorders>
            <w:vAlign w:val="center"/>
          </w:tcPr>
          <w:p w14:paraId="2D8ECF5C">
            <w:pPr>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w:t>
            </w:r>
          </w:p>
        </w:tc>
        <w:tc>
          <w:tcPr>
            <w:tcW w:w="1539" w:type="pct"/>
            <w:tcBorders>
              <w:top w:val="single" w:color="auto" w:sz="4" w:space="0"/>
              <w:left w:val="single" w:color="auto" w:sz="4" w:space="0"/>
              <w:bottom w:val="single" w:color="auto" w:sz="4" w:space="0"/>
              <w:right w:val="single" w:color="auto" w:sz="4" w:space="0"/>
            </w:tcBorders>
            <w:vAlign w:val="center"/>
          </w:tcPr>
          <w:p w14:paraId="6FEB195E">
            <w:pPr>
              <w:widowControl/>
              <w:adjustRightInd w:val="0"/>
              <w:snapToGrid w:val="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w:t>
            </w:r>
          </w:p>
        </w:tc>
        <w:tc>
          <w:tcPr>
            <w:tcW w:w="592" w:type="pct"/>
            <w:tcBorders>
              <w:top w:val="single" w:color="auto" w:sz="4" w:space="0"/>
              <w:left w:val="single" w:color="auto" w:sz="4" w:space="0"/>
              <w:bottom w:val="single" w:color="auto" w:sz="4" w:space="0"/>
              <w:right w:val="single" w:color="auto" w:sz="4" w:space="0"/>
            </w:tcBorders>
            <w:vAlign w:val="center"/>
          </w:tcPr>
          <w:p w14:paraId="206A952A">
            <w:pPr>
              <w:spacing w:line="360" w:lineRule="auto"/>
              <w:jc w:val="center"/>
              <w:rPr>
                <w:rFonts w:hint="eastAsia" w:ascii="宋体" w:hAnsi="宋体" w:cs="仿宋_GB2312"/>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43643BA5">
            <w:pPr>
              <w:spacing w:line="360" w:lineRule="auto"/>
              <w:jc w:val="center"/>
              <w:rPr>
                <w:rFonts w:hint="eastAsia" w:ascii="宋体" w:hAnsi="宋体" w:cs="仿宋_GB2312"/>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14:paraId="1DD336BF">
            <w:pPr>
              <w:spacing w:line="360" w:lineRule="auto"/>
              <w:jc w:val="center"/>
              <w:rPr>
                <w:rFonts w:ascii="宋体" w:hAnsi="宋体" w:cs="仿宋_GB2312"/>
                <w:color w:val="auto"/>
                <w:sz w:val="24"/>
                <w:highlight w:val="none"/>
              </w:rPr>
            </w:pPr>
          </w:p>
        </w:tc>
        <w:tc>
          <w:tcPr>
            <w:tcW w:w="829" w:type="pct"/>
            <w:tcBorders>
              <w:top w:val="single" w:color="auto" w:sz="4" w:space="0"/>
              <w:left w:val="single" w:color="auto" w:sz="4" w:space="0"/>
              <w:bottom w:val="single" w:color="auto" w:sz="4" w:space="0"/>
              <w:right w:val="single" w:color="auto" w:sz="4" w:space="0"/>
            </w:tcBorders>
            <w:vAlign w:val="center"/>
          </w:tcPr>
          <w:p w14:paraId="7CA25174">
            <w:pPr>
              <w:spacing w:line="360" w:lineRule="auto"/>
              <w:jc w:val="center"/>
              <w:rPr>
                <w:rFonts w:ascii="宋体" w:hAnsi="宋体" w:cs="仿宋_GB2312"/>
                <w:color w:val="auto"/>
                <w:sz w:val="24"/>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668A3AFE">
            <w:pPr>
              <w:spacing w:line="360" w:lineRule="auto"/>
              <w:jc w:val="center"/>
              <w:rPr>
                <w:rFonts w:ascii="宋体" w:hAnsi="宋体" w:cs="仿宋_GB2312"/>
                <w:color w:val="auto"/>
                <w:sz w:val="24"/>
                <w:highlight w:val="none"/>
              </w:rPr>
            </w:pPr>
          </w:p>
        </w:tc>
      </w:tr>
      <w:tr w14:paraId="01A9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D8D52B0">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6B49EC91">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0E056E1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1EA4BFF2">
      <w:pPr>
        <w:snapToGrid w:val="0"/>
        <w:spacing w:line="360" w:lineRule="auto"/>
        <w:ind w:firstLine="482" w:firstLineChars="200"/>
        <w:rPr>
          <w:rFonts w:ascii="宋体" w:hAnsi="宋体"/>
          <w:b/>
          <w:color w:val="auto"/>
          <w:sz w:val="24"/>
          <w:highlight w:val="none"/>
        </w:rPr>
      </w:pPr>
    </w:p>
    <w:p w14:paraId="31647630">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7616F004">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6902CED3">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    年   月   日</w:t>
      </w:r>
    </w:p>
    <w:p w14:paraId="2BC55AC8">
      <w:pPr>
        <w:snapToGrid w:val="0"/>
        <w:spacing w:before="50" w:after="50" w:line="360" w:lineRule="auto"/>
        <w:ind w:left="-6" w:leftChars="-15" w:right="-817" w:rightChars="-389" w:hanging="25" w:hangingChars="12"/>
        <w:rPr>
          <w:rFonts w:ascii="宋体" w:hAnsi="宋体"/>
          <w:color w:val="auto"/>
          <w:szCs w:val="21"/>
          <w:highlight w:val="none"/>
        </w:rPr>
      </w:pPr>
    </w:p>
    <w:p w14:paraId="4D38743C">
      <w:pPr>
        <w:rPr>
          <w:b/>
          <w:color w:val="auto"/>
          <w:sz w:val="28"/>
          <w:szCs w:val="28"/>
          <w:highlight w:val="none"/>
        </w:rPr>
      </w:pPr>
      <w:r>
        <w:rPr>
          <w:rFonts w:ascii="宋体" w:hAnsi="宋体"/>
          <w:b/>
          <w:bCs/>
          <w:color w:val="auto"/>
          <w:sz w:val="24"/>
          <w:highlight w:val="none"/>
        </w:rPr>
        <w:br w:type="page"/>
      </w:r>
      <w:bookmarkStart w:id="136" w:name="_Toc19686837"/>
      <w:r>
        <w:rPr>
          <w:rFonts w:hint="eastAsia"/>
          <w:b/>
          <w:color w:val="auto"/>
          <w:sz w:val="28"/>
          <w:szCs w:val="28"/>
          <w:highlight w:val="none"/>
        </w:rPr>
        <w:t>二、资格证明文件格式</w:t>
      </w:r>
      <w:bookmarkEnd w:id="134"/>
      <w:bookmarkEnd w:id="135"/>
      <w:bookmarkEnd w:id="136"/>
    </w:p>
    <w:p w14:paraId="09D009E0">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1.资格证明文件封面格式： </w:t>
      </w:r>
    </w:p>
    <w:p w14:paraId="0D179551">
      <w:pPr>
        <w:snapToGrid w:val="0"/>
        <w:spacing w:before="120" w:beforeLines="50" w:after="50"/>
        <w:jc w:val="center"/>
        <w:rPr>
          <w:rFonts w:ascii="宋体" w:hAnsi="宋体" w:eastAsia="微软雅黑"/>
          <w:bCs/>
          <w:color w:val="auto"/>
          <w:sz w:val="48"/>
          <w:szCs w:val="48"/>
          <w:highlight w:val="none"/>
        </w:rPr>
      </w:pPr>
      <w:r>
        <w:rPr>
          <w:rFonts w:hint="eastAsia" w:ascii="宋体" w:hAnsi="宋体" w:eastAsia="微软雅黑"/>
          <w:bCs/>
          <w:color w:val="auto"/>
          <w:sz w:val="48"/>
          <w:szCs w:val="48"/>
          <w:highlight w:val="none"/>
        </w:rPr>
        <w:t>电子投标文件</w:t>
      </w:r>
    </w:p>
    <w:p w14:paraId="5CC80E14">
      <w:pPr>
        <w:snapToGrid w:val="0"/>
        <w:spacing w:before="120" w:beforeLines="50" w:after="50"/>
        <w:rPr>
          <w:rFonts w:ascii="宋体" w:hAnsi="宋体"/>
          <w:color w:val="auto"/>
          <w:sz w:val="24"/>
          <w:szCs w:val="20"/>
          <w:highlight w:val="none"/>
        </w:rPr>
      </w:pPr>
      <w:r>
        <w:rPr>
          <w:rFonts w:hint="eastAsia" w:ascii="宋体" w:hAnsi="宋体"/>
          <w:color w:val="auto"/>
          <w:sz w:val="24"/>
          <w:highlight w:val="none"/>
        </w:rPr>
        <w:t xml:space="preserve">                 </w:t>
      </w:r>
    </w:p>
    <w:p w14:paraId="01D10450">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4A9F2BE2">
      <w:pPr>
        <w:snapToGrid w:val="0"/>
        <w:spacing w:before="120" w:beforeLines="50" w:after="50"/>
        <w:rPr>
          <w:rFonts w:ascii="宋体" w:hAnsi="宋体"/>
          <w:bCs/>
          <w:color w:val="auto"/>
          <w:sz w:val="24"/>
          <w:szCs w:val="20"/>
          <w:highlight w:val="none"/>
        </w:rPr>
      </w:pPr>
    </w:p>
    <w:p w14:paraId="57634722">
      <w:pPr>
        <w:snapToGrid w:val="0"/>
        <w:spacing w:before="120" w:beforeLines="50" w:after="50"/>
        <w:rPr>
          <w:rFonts w:ascii="宋体" w:hAnsi="宋体"/>
          <w:bCs/>
          <w:color w:val="auto"/>
          <w:sz w:val="24"/>
          <w:szCs w:val="20"/>
          <w:highlight w:val="none"/>
        </w:rPr>
      </w:pPr>
    </w:p>
    <w:p w14:paraId="16ACBF84">
      <w:pPr>
        <w:snapToGrid w:val="0"/>
        <w:spacing w:before="120" w:beforeLines="50" w:after="50"/>
        <w:rPr>
          <w:rFonts w:ascii="宋体" w:hAnsi="宋体"/>
          <w:bCs/>
          <w:color w:val="auto"/>
          <w:sz w:val="24"/>
          <w:szCs w:val="20"/>
          <w:highlight w:val="none"/>
        </w:rPr>
      </w:pPr>
    </w:p>
    <w:p w14:paraId="7C3BEE76">
      <w:pPr>
        <w:snapToGrid w:val="0"/>
        <w:spacing w:before="120" w:beforeLines="50" w:after="50"/>
        <w:rPr>
          <w:rFonts w:ascii="宋体" w:hAnsi="宋体"/>
          <w:bCs/>
          <w:color w:val="auto"/>
          <w:sz w:val="24"/>
          <w:szCs w:val="20"/>
          <w:highlight w:val="none"/>
        </w:rPr>
      </w:pPr>
    </w:p>
    <w:p w14:paraId="223817F6">
      <w:pPr>
        <w:snapToGrid w:val="0"/>
        <w:spacing w:before="120" w:beforeLines="50" w:after="50"/>
        <w:rPr>
          <w:rFonts w:ascii="宋体" w:hAnsi="宋体"/>
          <w:bCs/>
          <w:color w:val="auto"/>
          <w:sz w:val="24"/>
          <w:szCs w:val="20"/>
          <w:highlight w:val="none"/>
        </w:rPr>
      </w:pPr>
    </w:p>
    <w:p w14:paraId="5CFBEBD7">
      <w:pPr>
        <w:snapToGrid w:val="0"/>
        <w:spacing w:before="120" w:beforeLines="50" w:after="50"/>
        <w:rPr>
          <w:rFonts w:ascii="宋体" w:hAnsi="宋体"/>
          <w:bCs/>
          <w:color w:val="auto"/>
          <w:sz w:val="24"/>
          <w:szCs w:val="20"/>
          <w:highlight w:val="none"/>
        </w:rPr>
      </w:pPr>
    </w:p>
    <w:p w14:paraId="47938F24">
      <w:pPr>
        <w:snapToGrid w:val="0"/>
        <w:spacing w:before="120" w:beforeLines="50" w:after="50"/>
        <w:rPr>
          <w:rFonts w:ascii="宋体" w:hAnsi="宋体"/>
          <w:bCs/>
          <w:color w:val="auto"/>
          <w:sz w:val="24"/>
          <w:szCs w:val="20"/>
          <w:highlight w:val="none"/>
        </w:rPr>
      </w:pPr>
    </w:p>
    <w:p w14:paraId="02E73179">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7A6196D1">
      <w:pPr>
        <w:snapToGrid w:val="0"/>
        <w:spacing w:before="120" w:beforeLines="50" w:after="50"/>
        <w:ind w:firstLine="540" w:firstLineChars="225"/>
        <w:rPr>
          <w:rFonts w:ascii="宋体" w:hAnsi="宋体"/>
          <w:bCs/>
          <w:color w:val="auto"/>
          <w:sz w:val="24"/>
          <w:szCs w:val="20"/>
          <w:highlight w:val="none"/>
        </w:rPr>
      </w:pPr>
    </w:p>
    <w:p w14:paraId="0CE3C20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189802FB">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1AB708A4">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7AD32A8E">
      <w:pPr>
        <w:pStyle w:val="7"/>
        <w:snapToGrid w:val="0"/>
        <w:spacing w:before="50" w:after="50"/>
        <w:ind w:firstLine="540" w:firstLineChars="225"/>
        <w:rPr>
          <w:rFonts w:ascii="宋体" w:hAnsi="宋体"/>
          <w:bCs/>
          <w:color w:val="auto"/>
          <w:sz w:val="24"/>
          <w:szCs w:val="24"/>
          <w:highlight w:val="none"/>
        </w:rPr>
      </w:pPr>
    </w:p>
    <w:p w14:paraId="12148585">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38530394">
      <w:pPr>
        <w:pStyle w:val="7"/>
        <w:snapToGrid w:val="0"/>
        <w:spacing w:before="50" w:after="50"/>
        <w:ind w:firstLine="540" w:firstLineChars="225"/>
        <w:rPr>
          <w:rFonts w:ascii="宋体" w:hAnsi="宋体"/>
          <w:bCs/>
          <w:color w:val="auto"/>
          <w:sz w:val="24"/>
          <w:szCs w:val="24"/>
          <w:highlight w:val="none"/>
        </w:rPr>
      </w:pPr>
    </w:p>
    <w:p w14:paraId="63BD0A72">
      <w:pPr>
        <w:pStyle w:val="7"/>
        <w:snapToGrid w:val="0"/>
        <w:spacing w:before="50" w:after="50"/>
        <w:ind w:firstLine="960" w:firstLineChars="400"/>
        <w:rPr>
          <w:rFonts w:ascii="宋体" w:hAnsi="宋体"/>
          <w:bCs/>
          <w:color w:val="auto"/>
          <w:sz w:val="24"/>
          <w:szCs w:val="24"/>
          <w:highlight w:val="none"/>
        </w:rPr>
      </w:pPr>
    </w:p>
    <w:p w14:paraId="6646B4C4">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191BEFC">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F58A616">
      <w:pPr>
        <w:snapToGrid w:val="0"/>
        <w:spacing w:before="120" w:beforeLines="50" w:after="50"/>
        <w:rPr>
          <w:rFonts w:ascii="宋体" w:hAnsi="宋体"/>
          <w:color w:val="auto"/>
          <w:sz w:val="24"/>
          <w:szCs w:val="20"/>
          <w:highlight w:val="none"/>
        </w:rPr>
      </w:pPr>
    </w:p>
    <w:p w14:paraId="56E859FB">
      <w:pPr>
        <w:snapToGrid w:val="0"/>
        <w:spacing w:before="120" w:beforeLines="50" w:after="50" w:line="360" w:lineRule="auto"/>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2AD0D0A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7E20BD6">
      <w:pPr>
        <w:snapToGrid w:val="0"/>
        <w:spacing w:before="50" w:after="120" w:afterLines="50"/>
        <w:jc w:val="left"/>
        <w:rPr>
          <w:rFonts w:ascii="宋体" w:hAnsi="宋体"/>
          <w:color w:val="auto"/>
          <w:sz w:val="24"/>
          <w:highlight w:val="none"/>
        </w:rPr>
      </w:pPr>
    </w:p>
    <w:p w14:paraId="25ECD0CF">
      <w:pPr>
        <w:snapToGrid w:val="0"/>
        <w:spacing w:before="50" w:after="120" w:afterLines="50"/>
        <w:jc w:val="left"/>
        <w:rPr>
          <w:rFonts w:ascii="宋体" w:hAnsi="宋体"/>
          <w:color w:val="auto"/>
          <w:sz w:val="24"/>
          <w:highlight w:val="none"/>
        </w:rPr>
      </w:pPr>
    </w:p>
    <w:p w14:paraId="0913544B">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45957279">
      <w:pPr>
        <w:snapToGrid w:val="0"/>
        <w:spacing w:before="50" w:after="120" w:afterLines="50"/>
        <w:jc w:val="center"/>
        <w:rPr>
          <w:rFonts w:ascii="宋体" w:hAnsi="宋体"/>
          <w:b/>
          <w:color w:val="auto"/>
          <w:sz w:val="28"/>
          <w:szCs w:val="28"/>
          <w:highlight w:val="none"/>
        </w:rPr>
      </w:pPr>
    </w:p>
    <w:p w14:paraId="115572C3">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E27FDC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205E6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D2A52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15CBA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33092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F3198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4E5453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3FA70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80C1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F59A8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3575A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F0186A">
            <w:pPr>
              <w:spacing w:line="360" w:lineRule="auto"/>
              <w:jc w:val="center"/>
              <w:rPr>
                <w:rFonts w:ascii="宋体" w:hAnsi="宋体" w:cs="宋体"/>
                <w:color w:val="auto"/>
                <w:kern w:val="0"/>
                <w:sz w:val="24"/>
                <w:highlight w:val="none"/>
              </w:rPr>
            </w:pPr>
          </w:p>
        </w:tc>
      </w:tr>
      <w:tr w14:paraId="190A538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D3D5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476E8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67F9C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E6EF4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75A367">
            <w:pPr>
              <w:spacing w:line="360" w:lineRule="auto"/>
              <w:jc w:val="center"/>
              <w:rPr>
                <w:rFonts w:ascii="宋体" w:hAnsi="宋体" w:cs="宋体"/>
                <w:color w:val="auto"/>
                <w:kern w:val="0"/>
                <w:sz w:val="24"/>
                <w:highlight w:val="none"/>
              </w:rPr>
            </w:pPr>
          </w:p>
        </w:tc>
      </w:tr>
      <w:tr w14:paraId="10C00D8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3322D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CD157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BD7FF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2619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60524">
            <w:pPr>
              <w:spacing w:line="360" w:lineRule="auto"/>
              <w:jc w:val="center"/>
              <w:rPr>
                <w:rFonts w:ascii="宋体" w:hAnsi="宋体" w:cs="宋体"/>
                <w:color w:val="auto"/>
                <w:kern w:val="0"/>
                <w:sz w:val="24"/>
                <w:highlight w:val="none"/>
              </w:rPr>
            </w:pPr>
          </w:p>
        </w:tc>
      </w:tr>
      <w:tr w14:paraId="0205612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D3802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E94EE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841CB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4DEEB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CE8A1">
            <w:pPr>
              <w:spacing w:line="360" w:lineRule="auto"/>
              <w:jc w:val="center"/>
              <w:rPr>
                <w:rFonts w:ascii="宋体" w:hAnsi="宋体" w:cs="宋体"/>
                <w:color w:val="auto"/>
                <w:kern w:val="0"/>
                <w:sz w:val="24"/>
                <w:highlight w:val="none"/>
              </w:rPr>
            </w:pPr>
          </w:p>
        </w:tc>
      </w:tr>
    </w:tbl>
    <w:p w14:paraId="236BCD09">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9A5A5E3">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DA0194">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07B7E61">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CAC337D">
      <w:pPr>
        <w:snapToGrid w:val="0"/>
        <w:spacing w:line="360" w:lineRule="auto"/>
        <w:jc w:val="left"/>
        <w:rPr>
          <w:rFonts w:ascii="宋体" w:hAnsi="宋体"/>
          <w:color w:val="auto"/>
          <w:sz w:val="24"/>
          <w:highlight w:val="none"/>
        </w:rPr>
      </w:pPr>
    </w:p>
    <w:p w14:paraId="754043F5">
      <w:pPr>
        <w:snapToGrid w:val="0"/>
        <w:spacing w:line="360" w:lineRule="auto"/>
        <w:jc w:val="left"/>
        <w:rPr>
          <w:rFonts w:ascii="宋体" w:hAnsi="宋体"/>
          <w:color w:val="auto"/>
          <w:sz w:val="24"/>
          <w:highlight w:val="none"/>
        </w:rPr>
      </w:pPr>
    </w:p>
    <w:p w14:paraId="3D7C1074">
      <w:pPr>
        <w:snapToGrid w:val="0"/>
        <w:spacing w:line="360" w:lineRule="auto"/>
        <w:jc w:val="left"/>
        <w:rPr>
          <w:rFonts w:ascii="宋体" w:hAnsi="宋体"/>
          <w:color w:val="auto"/>
          <w:sz w:val="24"/>
          <w:highlight w:val="none"/>
        </w:rPr>
      </w:pPr>
    </w:p>
    <w:p w14:paraId="5B90151F">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1871E14">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7799BA9B">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5F98C83D">
      <w:pPr>
        <w:snapToGrid w:val="0"/>
        <w:jc w:val="center"/>
        <w:rPr>
          <w:rFonts w:ascii="宋体" w:hAnsi="宋体"/>
          <w:b/>
          <w:color w:val="auto"/>
          <w:sz w:val="28"/>
          <w:szCs w:val="28"/>
          <w:highlight w:val="none"/>
        </w:rPr>
      </w:pPr>
    </w:p>
    <w:p w14:paraId="0346B6CA">
      <w:pPr>
        <w:snapToGrid w:val="0"/>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4ADF02B4">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9458F1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778A6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04BE0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FABFA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972A7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1EC6C3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F607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74796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2BC9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9A1AF">
            <w:pPr>
              <w:spacing w:line="360" w:lineRule="auto"/>
              <w:jc w:val="center"/>
              <w:rPr>
                <w:rFonts w:ascii="宋体" w:hAnsi="宋体" w:cs="宋体"/>
                <w:color w:val="auto"/>
                <w:kern w:val="0"/>
                <w:sz w:val="24"/>
                <w:highlight w:val="none"/>
              </w:rPr>
            </w:pPr>
          </w:p>
        </w:tc>
      </w:tr>
      <w:tr w14:paraId="488A233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00A2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C68E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018BB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5A8416">
            <w:pPr>
              <w:spacing w:line="360" w:lineRule="auto"/>
              <w:jc w:val="center"/>
              <w:rPr>
                <w:rFonts w:ascii="宋体" w:hAnsi="宋体" w:cs="宋体"/>
                <w:color w:val="auto"/>
                <w:kern w:val="0"/>
                <w:sz w:val="24"/>
                <w:highlight w:val="none"/>
              </w:rPr>
            </w:pPr>
          </w:p>
        </w:tc>
      </w:tr>
      <w:tr w14:paraId="4A6FCA4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521E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A1CA7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E04E4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70175">
            <w:pPr>
              <w:spacing w:line="360" w:lineRule="auto"/>
              <w:jc w:val="center"/>
              <w:rPr>
                <w:rFonts w:ascii="宋体" w:hAnsi="宋体" w:cs="宋体"/>
                <w:color w:val="auto"/>
                <w:kern w:val="0"/>
                <w:sz w:val="24"/>
                <w:highlight w:val="none"/>
              </w:rPr>
            </w:pPr>
          </w:p>
        </w:tc>
      </w:tr>
      <w:tr w14:paraId="0776E1D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B011C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A6250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675E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46C169">
            <w:pPr>
              <w:spacing w:line="360" w:lineRule="auto"/>
              <w:jc w:val="center"/>
              <w:rPr>
                <w:rFonts w:ascii="宋体" w:hAnsi="宋体" w:cs="宋体"/>
                <w:color w:val="auto"/>
                <w:kern w:val="0"/>
                <w:sz w:val="24"/>
                <w:highlight w:val="none"/>
              </w:rPr>
            </w:pPr>
          </w:p>
        </w:tc>
      </w:tr>
    </w:tbl>
    <w:p w14:paraId="76C1CE63">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0417A66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A57696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6735FC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332EE49C">
      <w:pPr>
        <w:snapToGrid w:val="0"/>
        <w:spacing w:line="360" w:lineRule="auto"/>
        <w:jc w:val="left"/>
        <w:rPr>
          <w:rFonts w:ascii="宋体" w:hAnsi="宋体"/>
          <w:color w:val="auto"/>
          <w:sz w:val="24"/>
          <w:highlight w:val="none"/>
        </w:rPr>
      </w:pPr>
    </w:p>
    <w:p w14:paraId="290503CC">
      <w:pPr>
        <w:snapToGrid w:val="0"/>
        <w:spacing w:line="360" w:lineRule="auto"/>
        <w:jc w:val="left"/>
        <w:rPr>
          <w:rFonts w:ascii="宋体" w:hAnsi="宋体"/>
          <w:color w:val="auto"/>
          <w:sz w:val="24"/>
          <w:highlight w:val="none"/>
        </w:rPr>
      </w:pPr>
    </w:p>
    <w:p w14:paraId="406F7BC1">
      <w:pPr>
        <w:snapToGrid w:val="0"/>
        <w:spacing w:line="360" w:lineRule="auto"/>
        <w:jc w:val="left"/>
        <w:rPr>
          <w:rFonts w:ascii="宋体" w:hAnsi="宋体"/>
          <w:color w:val="auto"/>
          <w:sz w:val="24"/>
          <w:highlight w:val="none"/>
        </w:rPr>
      </w:pPr>
    </w:p>
    <w:p w14:paraId="0FEB825E">
      <w:pPr>
        <w:snapToGrid w:val="0"/>
        <w:spacing w:line="360" w:lineRule="auto"/>
        <w:jc w:val="left"/>
        <w:rPr>
          <w:color w:val="auto"/>
          <w:sz w:val="24"/>
          <w:highlight w:val="none"/>
        </w:rPr>
      </w:pPr>
    </w:p>
    <w:p w14:paraId="58F50F29">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C538EE1">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3C9D38A9">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6938CF3">
      <w:pPr>
        <w:snapToGrid w:val="0"/>
        <w:spacing w:before="120" w:beforeLines="50" w:after="50"/>
        <w:jc w:val="left"/>
        <w:rPr>
          <w:rFonts w:ascii="宋体" w:hAnsi="宋体"/>
          <w:color w:val="auto"/>
          <w:sz w:val="24"/>
          <w:highlight w:val="none"/>
        </w:rPr>
      </w:pPr>
    </w:p>
    <w:p w14:paraId="15933327">
      <w:pPr>
        <w:snapToGrid w:val="0"/>
        <w:spacing w:before="50" w:after="120" w:afterLines="50"/>
        <w:jc w:val="left"/>
        <w:rPr>
          <w:rFonts w:ascii="宋体" w:hAnsi="宋体"/>
          <w:color w:val="auto"/>
          <w:szCs w:val="21"/>
          <w:highlight w:val="none"/>
        </w:rPr>
      </w:pPr>
    </w:p>
    <w:p w14:paraId="4B1E0FCC">
      <w:pPr>
        <w:snapToGrid w:val="0"/>
        <w:spacing w:before="120" w:beforeLines="50" w:after="50"/>
        <w:jc w:val="left"/>
        <w:rPr>
          <w:rFonts w:ascii="宋体" w:hAnsi="宋体"/>
          <w:b/>
          <w:color w:val="auto"/>
          <w:sz w:val="24"/>
          <w:szCs w:val="20"/>
          <w:highlight w:val="none"/>
        </w:rPr>
      </w:pPr>
    </w:p>
    <w:p w14:paraId="5B50DA87">
      <w:pPr>
        <w:snapToGrid w:val="0"/>
        <w:spacing w:before="120" w:beforeLines="50" w:after="50"/>
        <w:ind w:left="142"/>
        <w:jc w:val="left"/>
        <w:rPr>
          <w:rFonts w:ascii="宋体" w:hAnsi="宋体"/>
          <w:b/>
          <w:color w:val="auto"/>
          <w:sz w:val="24"/>
          <w:highlight w:val="none"/>
        </w:rPr>
      </w:pPr>
    </w:p>
    <w:p w14:paraId="47DC4994">
      <w:pPr>
        <w:snapToGrid w:val="0"/>
        <w:spacing w:before="120" w:beforeLines="50" w:after="50"/>
        <w:ind w:left="142"/>
        <w:jc w:val="left"/>
        <w:rPr>
          <w:rFonts w:ascii="宋体" w:hAnsi="宋体"/>
          <w:b/>
          <w:color w:val="auto"/>
          <w:sz w:val="24"/>
          <w:highlight w:val="none"/>
        </w:rPr>
      </w:pPr>
    </w:p>
    <w:p w14:paraId="68FF991E">
      <w:pPr>
        <w:snapToGrid w:val="0"/>
        <w:spacing w:before="120" w:beforeLines="50" w:after="50"/>
        <w:ind w:left="142"/>
        <w:jc w:val="left"/>
        <w:rPr>
          <w:rFonts w:ascii="宋体" w:hAnsi="宋体"/>
          <w:b/>
          <w:color w:val="auto"/>
          <w:sz w:val="24"/>
          <w:highlight w:val="none"/>
        </w:rPr>
      </w:pPr>
    </w:p>
    <w:p w14:paraId="30A1F262">
      <w:pPr>
        <w:snapToGrid w:val="0"/>
        <w:spacing w:before="120" w:beforeLines="50" w:after="50"/>
        <w:ind w:left="142"/>
        <w:jc w:val="left"/>
        <w:rPr>
          <w:rFonts w:ascii="宋体" w:hAnsi="宋体"/>
          <w:b/>
          <w:color w:val="auto"/>
          <w:sz w:val="24"/>
          <w:highlight w:val="none"/>
        </w:rPr>
      </w:pPr>
    </w:p>
    <w:p w14:paraId="4FDC7550">
      <w:pPr>
        <w:snapToGrid w:val="0"/>
        <w:spacing w:before="120" w:beforeLines="50" w:after="50"/>
        <w:ind w:left="142"/>
        <w:jc w:val="left"/>
        <w:rPr>
          <w:rFonts w:ascii="宋体" w:hAnsi="宋体"/>
          <w:b/>
          <w:color w:val="auto"/>
          <w:sz w:val="24"/>
          <w:szCs w:val="20"/>
          <w:highlight w:val="none"/>
        </w:rPr>
      </w:pPr>
      <w:r>
        <w:rPr>
          <w:rFonts w:hint="eastAsia" w:ascii="宋体" w:hAnsi="宋体"/>
          <w:b/>
          <w:color w:val="auto"/>
          <w:sz w:val="24"/>
          <w:highlight w:val="none"/>
        </w:rPr>
        <w:t>5.投标声明</w:t>
      </w:r>
    </w:p>
    <w:p w14:paraId="578D647D">
      <w:pPr>
        <w:snapToGrid w:val="0"/>
        <w:spacing w:before="50" w:after="120" w:afterLines="50"/>
        <w:jc w:val="left"/>
        <w:rPr>
          <w:rFonts w:ascii="宋体" w:hAnsi="宋体"/>
          <w:color w:val="auto"/>
          <w:highlight w:val="none"/>
        </w:rPr>
      </w:pPr>
    </w:p>
    <w:p w14:paraId="6654F4DC">
      <w:pPr>
        <w:snapToGrid w:val="0"/>
        <w:spacing w:before="50" w:after="120" w:afterLines="50"/>
        <w:jc w:val="center"/>
        <w:rPr>
          <w:rFonts w:ascii="宋体" w:hAnsi="宋体"/>
          <w:b/>
          <w:color w:val="auto"/>
          <w:sz w:val="32"/>
          <w:szCs w:val="32"/>
          <w:highlight w:val="none"/>
        </w:rPr>
      </w:pPr>
      <w:r>
        <w:rPr>
          <w:rFonts w:hint="eastAsia" w:ascii="宋体" w:hAnsi="宋体"/>
          <w:b/>
          <w:color w:val="auto"/>
          <w:sz w:val="32"/>
          <w:szCs w:val="32"/>
          <w:highlight w:val="none"/>
        </w:rPr>
        <w:t>投标声明</w:t>
      </w:r>
    </w:p>
    <w:p w14:paraId="644299E0">
      <w:pPr>
        <w:spacing w:line="400" w:lineRule="exact"/>
        <w:contextualSpacing/>
        <w:jc w:val="left"/>
        <w:rPr>
          <w:color w:val="auto"/>
          <w:sz w:val="24"/>
          <w:highlight w:val="none"/>
        </w:rPr>
      </w:pPr>
      <w:r>
        <w:rPr>
          <w:rFonts w:hint="eastAsia"/>
          <w:color w:val="auto"/>
          <w:sz w:val="24"/>
          <w:highlight w:val="none"/>
        </w:rPr>
        <w:t>（采购人名称）：</w:t>
      </w:r>
    </w:p>
    <w:p w14:paraId="6A160D2D">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6B04594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0E1E22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4AD67E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B77E72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21EC968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0C5738B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0928B55B">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79C21FD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74CC61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47581661">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195F5FA8">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7AE57064">
      <w:pPr>
        <w:snapToGrid w:val="0"/>
        <w:spacing w:before="50" w:after="50"/>
        <w:ind w:firstLine="1063" w:firstLineChars="441"/>
        <w:rPr>
          <w:rFonts w:ascii="宋体" w:hAnsi="宋体"/>
          <w:color w:val="auto"/>
          <w:spacing w:val="20"/>
          <w:sz w:val="24"/>
          <w:highlight w:val="none"/>
          <w:u w:val="single"/>
        </w:rPr>
      </w:pPr>
      <w:r>
        <w:rPr>
          <w:rFonts w:hint="eastAsia" w:ascii="宋体" w:hAnsi="宋体"/>
          <w:b/>
          <w:color w:val="auto"/>
          <w:sz w:val="24"/>
          <w:highlight w:val="none"/>
        </w:rPr>
        <w:t xml:space="preserve"> </w:t>
      </w: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F15ADA7">
      <w:pPr>
        <w:spacing w:line="400" w:lineRule="exact"/>
        <w:contextualSpacing/>
        <w:jc w:val="left"/>
        <w:rPr>
          <w:rFonts w:ascii="宋体" w:hAnsi="宋体"/>
          <w:color w:val="auto"/>
          <w:sz w:val="24"/>
          <w:highlight w:val="none"/>
        </w:rPr>
      </w:pPr>
    </w:p>
    <w:p w14:paraId="0DB3CD4B">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5D75FC2">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687620AB">
      <w:pPr>
        <w:spacing w:line="400" w:lineRule="exact"/>
        <w:contextualSpacing/>
        <w:jc w:val="left"/>
        <w:rPr>
          <w:rFonts w:ascii="宋体" w:hAnsi="宋体"/>
          <w:color w:val="auto"/>
          <w:sz w:val="24"/>
          <w:highlight w:val="none"/>
        </w:rPr>
      </w:pPr>
    </w:p>
    <w:p w14:paraId="16D02940">
      <w:pPr>
        <w:rPr>
          <w:rFonts w:ascii="宋体" w:hAnsi="宋体"/>
          <w:color w:val="auto"/>
          <w:sz w:val="24"/>
          <w:highlight w:val="none"/>
        </w:rPr>
      </w:pPr>
      <w:r>
        <w:rPr>
          <w:rFonts w:ascii="宋体" w:hAnsi="宋体"/>
          <w:color w:val="auto"/>
          <w:sz w:val="24"/>
          <w:highlight w:val="none"/>
        </w:rPr>
        <w:br w:type="page"/>
      </w:r>
    </w:p>
    <w:p w14:paraId="15365C51">
      <w:pPr>
        <w:jc w:val="center"/>
        <w:rPr>
          <w:rFonts w:hint="default"/>
          <w:color w:val="auto"/>
          <w:highlight w:val="none"/>
          <w:lang w:val="en-US"/>
        </w:rPr>
      </w:pPr>
      <w:r>
        <w:rPr>
          <w:rFonts w:hint="eastAsia" w:ascii="楷体" w:hAnsi="楷体" w:eastAsia="楷体" w:cs="楷体"/>
          <w:b/>
          <w:bCs/>
          <w:color w:val="auto"/>
          <w:sz w:val="30"/>
          <w:szCs w:val="30"/>
          <w:highlight w:val="none"/>
          <w:lang w:val="en-US" w:eastAsia="zh-CN"/>
        </w:rPr>
        <w:t>6.无违法违纪记录承诺函</w:t>
      </w:r>
    </w:p>
    <w:p w14:paraId="333C90C4">
      <w:pPr>
        <w:pStyle w:val="17"/>
        <w:widowControl w:val="0"/>
        <w:numPr>
          <w:ilvl w:val="0"/>
          <w:numId w:val="0"/>
        </w:numPr>
        <w:spacing w:after="120"/>
        <w:jc w:val="both"/>
        <w:rPr>
          <w:rFonts w:hint="default"/>
          <w:color w:val="auto"/>
          <w:highlight w:val="none"/>
          <w:lang w:val="en-US" w:eastAsia="zh-CN"/>
        </w:rPr>
      </w:pPr>
    </w:p>
    <w:p w14:paraId="01C79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CBC1A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致：__________（采购人 / 采购代理机构）</w:t>
      </w:r>
    </w:p>
    <w:p w14:paraId="25AD0F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p>
    <w:p w14:paraId="751E85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我方在此郑重声明：我方参加本项目采购活动前 （2015年至今），在经营活动中未被列入失信被执行人名单、重大税收违法失信主体名单、政府采购严重违法失信行为记录名单。本函所称重大违法记录，是指供应商因违法经营受到刑事处罚，或者责令停产停业、吊销许可证或者执照、较大数额罚款等行政处罚。</w:t>
      </w:r>
    </w:p>
    <w:p w14:paraId="619255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我方自2016年至今，未被中央、省（自治区）环保督察及省、市、县生态环境主管部门点名批评或行政处罚。</w:t>
      </w:r>
    </w:p>
    <w:p w14:paraId="6B410F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我方完全符合《中华人民共和国政府采购法》第二十二条规定的供应商资格条件，上述声明真实有效，如有虚假，我方自愿承担全部法律责任及投标无效后果。</w:t>
      </w:r>
    </w:p>
    <w:p w14:paraId="59AD90A8">
      <w:pPr>
        <w:pStyle w:val="17"/>
        <w:rPr>
          <w:rFonts w:hint="eastAsia" w:ascii="宋体" w:hAnsi="宋体" w:eastAsia="宋体" w:cs="宋体"/>
          <w:color w:val="auto"/>
          <w:sz w:val="24"/>
          <w:szCs w:val="24"/>
          <w:highlight w:val="none"/>
        </w:rPr>
      </w:pPr>
    </w:p>
    <w:p w14:paraId="1383A7BE">
      <w:pPr>
        <w:rPr>
          <w:rFonts w:hint="eastAsia" w:ascii="宋体" w:hAnsi="宋体" w:eastAsia="宋体" w:cs="宋体"/>
          <w:color w:val="auto"/>
          <w:sz w:val="24"/>
          <w:szCs w:val="24"/>
          <w:highlight w:val="none"/>
        </w:rPr>
      </w:pPr>
    </w:p>
    <w:p w14:paraId="2374B623">
      <w:pPr>
        <w:pStyle w:val="17"/>
        <w:rPr>
          <w:rFonts w:hint="eastAsia" w:ascii="宋体" w:hAnsi="宋体" w:eastAsia="宋体" w:cs="宋体"/>
          <w:color w:val="auto"/>
          <w:sz w:val="24"/>
          <w:szCs w:val="24"/>
          <w:highlight w:val="none"/>
        </w:rPr>
      </w:pPr>
    </w:p>
    <w:p w14:paraId="68B40C2C">
      <w:pPr>
        <w:keepNext w:val="0"/>
        <w:keepLines w:val="0"/>
        <w:pageBreakBefore w:val="0"/>
        <w:widowControl w:val="0"/>
        <w:kinsoku/>
        <w:wordWrap/>
        <w:overflowPunct/>
        <w:topLinePunct w:val="0"/>
        <w:autoSpaceDE/>
        <w:autoSpaceDN/>
        <w:bidi w:val="0"/>
        <w:adjustRightInd/>
        <w:snapToGrid/>
        <w:spacing w:line="360" w:lineRule="auto"/>
        <w:ind w:left="0" w:leftChars="0" w:firstLine="5258" w:firstLineChars="2191"/>
        <w:textAlignment w:val="auto"/>
        <w:rPr>
          <w:rFonts w:hint="eastAsia" w:ascii="宋体" w:hAnsi="宋体" w:eastAsia="宋体" w:cs="宋体"/>
          <w:color w:val="auto"/>
          <w:sz w:val="24"/>
          <w:szCs w:val="24"/>
          <w:highlight w:val="none"/>
          <w:u w:val="single"/>
        </w:rPr>
      </w:pPr>
      <w:r>
        <w:rPr>
          <w:rFonts w:hint="eastAsia" w:ascii="宋体" w:hAnsi="宋体"/>
          <w:color w:val="auto"/>
          <w:sz w:val="24"/>
          <w:highlight w:val="none"/>
        </w:rPr>
        <w:t>投标人名称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w:t>
      </w:r>
      <w:r>
        <w:rPr>
          <w:rFonts w:hint="eastAsia" w:ascii="宋体" w:hAnsi="宋体"/>
          <w:color w:val="auto"/>
          <w:sz w:val="24"/>
          <w:highlight w:val="none"/>
        </w:rPr>
        <w:t>电子签章</w:t>
      </w:r>
      <w:r>
        <w:rPr>
          <w:rFonts w:hint="eastAsia" w:ascii="宋体" w:hAnsi="宋体" w:eastAsia="宋体" w:cs="宋体"/>
          <w:color w:val="auto"/>
          <w:sz w:val="24"/>
          <w:szCs w:val="24"/>
          <w:highlight w:val="none"/>
          <w:u w:val="none"/>
        </w:rPr>
        <w:t>）</w:t>
      </w:r>
    </w:p>
    <w:p w14:paraId="4FA0BF7B">
      <w:pPr>
        <w:keepNext w:val="0"/>
        <w:keepLines w:val="0"/>
        <w:pageBreakBefore w:val="0"/>
        <w:widowControl w:val="0"/>
        <w:kinsoku/>
        <w:wordWrap/>
        <w:overflowPunct/>
        <w:topLinePunct w:val="0"/>
        <w:autoSpaceDE/>
        <w:autoSpaceDN/>
        <w:bidi w:val="0"/>
        <w:adjustRightInd/>
        <w:snapToGrid/>
        <w:spacing w:line="360" w:lineRule="auto"/>
        <w:ind w:left="0" w:leftChars="0" w:firstLine="5258" w:firstLineChars="2191"/>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年</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月</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日</w:t>
      </w:r>
    </w:p>
    <w:p w14:paraId="37974A34">
      <w:pPr>
        <w:spacing w:line="400" w:lineRule="exact"/>
        <w:contextualSpacing/>
        <w:jc w:val="left"/>
        <w:rPr>
          <w:rFonts w:ascii="宋体" w:hAnsi="宋体"/>
          <w:color w:val="auto"/>
          <w:sz w:val="24"/>
          <w:highlight w:val="none"/>
        </w:rPr>
      </w:pPr>
    </w:p>
    <w:p w14:paraId="4ACB29A8">
      <w:pPr>
        <w:spacing w:line="400" w:lineRule="exact"/>
        <w:contextualSpacing/>
        <w:jc w:val="left"/>
        <w:rPr>
          <w:rFonts w:ascii="宋体" w:hAnsi="宋体"/>
          <w:color w:val="auto"/>
          <w:sz w:val="24"/>
          <w:highlight w:val="none"/>
        </w:rPr>
      </w:pPr>
    </w:p>
    <w:p w14:paraId="0186F51C">
      <w:pPr>
        <w:rPr>
          <w:rFonts w:hint="eastAsia"/>
          <w:b/>
          <w:color w:val="auto"/>
          <w:sz w:val="28"/>
          <w:szCs w:val="28"/>
          <w:highlight w:val="none"/>
        </w:rPr>
      </w:pPr>
      <w:bookmarkStart w:id="137" w:name="_Toc19686838"/>
      <w:r>
        <w:rPr>
          <w:rFonts w:hint="eastAsia"/>
          <w:b/>
          <w:color w:val="auto"/>
          <w:sz w:val="28"/>
          <w:szCs w:val="28"/>
          <w:highlight w:val="none"/>
        </w:rPr>
        <w:br w:type="page"/>
      </w:r>
    </w:p>
    <w:p w14:paraId="6F09EEB7">
      <w:pPr>
        <w:rPr>
          <w:b/>
          <w:color w:val="auto"/>
          <w:sz w:val="28"/>
          <w:szCs w:val="28"/>
          <w:highlight w:val="none"/>
        </w:rPr>
      </w:pPr>
      <w:r>
        <w:rPr>
          <w:rFonts w:hint="eastAsia"/>
          <w:b/>
          <w:color w:val="auto"/>
          <w:sz w:val="28"/>
          <w:szCs w:val="28"/>
          <w:highlight w:val="none"/>
        </w:rPr>
        <w:t>三、商务及技术文件格式</w:t>
      </w:r>
      <w:bookmarkEnd w:id="137"/>
    </w:p>
    <w:p w14:paraId="6B17D6C4">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0C9719D0">
      <w:pPr>
        <w:snapToGrid w:val="0"/>
        <w:spacing w:before="120" w:beforeLines="50" w:after="50"/>
        <w:jc w:val="center"/>
        <w:rPr>
          <w:rFonts w:ascii="宋体" w:hAnsi="宋体"/>
          <w:color w:val="auto"/>
          <w:sz w:val="24"/>
          <w:highlight w:val="none"/>
        </w:rPr>
      </w:pPr>
      <w:r>
        <w:rPr>
          <w:rFonts w:hint="eastAsia" w:ascii="宋体" w:hAnsi="宋体" w:eastAsia="微软雅黑"/>
          <w:bCs/>
          <w:color w:val="auto"/>
          <w:sz w:val="48"/>
          <w:szCs w:val="48"/>
          <w:highlight w:val="none"/>
        </w:rPr>
        <w:t>电子投标文件</w:t>
      </w:r>
    </w:p>
    <w:p w14:paraId="1BC5F6BD">
      <w:pPr>
        <w:snapToGrid w:val="0"/>
        <w:spacing w:before="120" w:beforeLines="50" w:after="50"/>
        <w:rPr>
          <w:rFonts w:ascii="宋体" w:hAnsi="宋体"/>
          <w:color w:val="auto"/>
          <w:sz w:val="24"/>
          <w:szCs w:val="20"/>
          <w:highlight w:val="none"/>
        </w:rPr>
      </w:pPr>
      <w:r>
        <w:rPr>
          <w:rFonts w:hint="eastAsia" w:ascii="宋体" w:hAnsi="宋体"/>
          <w:color w:val="auto"/>
          <w:sz w:val="24"/>
          <w:highlight w:val="none"/>
        </w:rPr>
        <w:t xml:space="preserve">                </w:t>
      </w:r>
    </w:p>
    <w:p w14:paraId="149770A7">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商务及技术文件</w:t>
      </w:r>
    </w:p>
    <w:p w14:paraId="10C96ECB">
      <w:pPr>
        <w:snapToGrid w:val="0"/>
        <w:spacing w:before="120" w:beforeLines="50" w:after="50"/>
        <w:rPr>
          <w:rFonts w:ascii="宋体" w:hAnsi="宋体"/>
          <w:bCs/>
          <w:color w:val="auto"/>
          <w:sz w:val="24"/>
          <w:szCs w:val="20"/>
          <w:highlight w:val="none"/>
        </w:rPr>
      </w:pPr>
    </w:p>
    <w:p w14:paraId="1AAC1719">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56FEDA25">
      <w:pPr>
        <w:snapToGrid w:val="0"/>
        <w:spacing w:before="120" w:beforeLines="50" w:after="50"/>
        <w:ind w:firstLine="540" w:firstLineChars="225"/>
        <w:rPr>
          <w:rFonts w:ascii="宋体" w:hAnsi="宋体"/>
          <w:bCs/>
          <w:color w:val="auto"/>
          <w:sz w:val="24"/>
          <w:szCs w:val="20"/>
          <w:highlight w:val="none"/>
        </w:rPr>
      </w:pPr>
    </w:p>
    <w:p w14:paraId="0A03A2E6">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488D02C8">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64B09975">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65FBFF6F">
      <w:pPr>
        <w:snapToGrid w:val="0"/>
        <w:spacing w:before="120" w:beforeLines="50" w:after="50"/>
        <w:ind w:firstLine="540" w:firstLineChars="225"/>
        <w:rPr>
          <w:rFonts w:ascii="宋体" w:hAnsi="宋体"/>
          <w:bCs/>
          <w:color w:val="auto"/>
          <w:sz w:val="24"/>
          <w:szCs w:val="20"/>
          <w:highlight w:val="none"/>
        </w:rPr>
      </w:pPr>
    </w:p>
    <w:p w14:paraId="0F832EAD">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36A26529">
      <w:pPr>
        <w:pStyle w:val="7"/>
        <w:snapToGrid w:val="0"/>
        <w:spacing w:before="50" w:after="50"/>
        <w:ind w:firstLine="540" w:firstLineChars="225"/>
        <w:rPr>
          <w:rFonts w:ascii="宋体" w:hAnsi="宋体"/>
          <w:bCs/>
          <w:color w:val="auto"/>
          <w:sz w:val="24"/>
          <w:szCs w:val="24"/>
          <w:highlight w:val="none"/>
        </w:rPr>
      </w:pPr>
    </w:p>
    <w:p w14:paraId="0F0FA639">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66688164">
      <w:pPr>
        <w:pStyle w:val="7"/>
        <w:snapToGrid w:val="0"/>
        <w:spacing w:before="50" w:after="50"/>
        <w:ind w:firstLine="960" w:firstLineChars="400"/>
        <w:rPr>
          <w:rFonts w:ascii="宋体" w:hAnsi="宋体"/>
          <w:bCs/>
          <w:color w:val="auto"/>
          <w:sz w:val="24"/>
          <w:szCs w:val="24"/>
          <w:highlight w:val="none"/>
        </w:rPr>
      </w:pPr>
    </w:p>
    <w:p w14:paraId="5238CB5E">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7DEC085">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678C9351">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16FC84F0">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70849DFC">
      <w:pPr>
        <w:snapToGrid w:val="0"/>
        <w:spacing w:before="50" w:after="120" w:afterLines="50"/>
        <w:jc w:val="left"/>
        <w:rPr>
          <w:rFonts w:ascii="宋体" w:hAnsi="宋体"/>
          <w:color w:val="auto"/>
          <w:highlight w:val="none"/>
        </w:rPr>
      </w:pPr>
    </w:p>
    <w:p w14:paraId="2AADD298">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6974E968">
      <w:pPr>
        <w:snapToGrid w:val="0"/>
        <w:spacing w:before="120" w:beforeLines="50" w:after="50"/>
        <w:jc w:val="left"/>
        <w:rPr>
          <w:rFonts w:ascii="宋体" w:hAnsi="宋体"/>
          <w:b/>
          <w:color w:val="auto"/>
          <w:sz w:val="24"/>
          <w:highlight w:val="none"/>
        </w:rPr>
      </w:pPr>
    </w:p>
    <w:p w14:paraId="452B32F7">
      <w:pPr>
        <w:snapToGrid w:val="0"/>
        <w:spacing w:before="120" w:beforeLines="50" w:after="50"/>
        <w:ind w:left="420"/>
        <w:jc w:val="center"/>
        <w:rPr>
          <w:rFonts w:ascii="宋体" w:hAnsi="宋体"/>
          <w:b/>
          <w:color w:val="auto"/>
          <w:spacing w:val="-17"/>
          <w:sz w:val="32"/>
          <w:szCs w:val="32"/>
          <w:highlight w:val="none"/>
        </w:rPr>
      </w:pPr>
      <w:r>
        <w:rPr>
          <w:rFonts w:hint="eastAsia" w:ascii="微软雅黑" w:hAnsi="微软雅黑" w:eastAsia="微软雅黑" w:cs="微软雅黑"/>
          <w:bCs/>
          <w:color w:val="auto"/>
          <w:spacing w:val="-17"/>
          <w:sz w:val="44"/>
          <w:szCs w:val="44"/>
          <w:highlight w:val="none"/>
        </w:rPr>
        <w:t>投标人参加本项目无围标串标行为的承诺函</w:t>
      </w:r>
    </w:p>
    <w:p w14:paraId="254F150F">
      <w:pPr>
        <w:snapToGrid w:val="0"/>
        <w:spacing w:before="120" w:beforeLines="50" w:after="50"/>
        <w:rPr>
          <w:rFonts w:ascii="宋体" w:hAnsi="宋体"/>
          <w:b/>
          <w:color w:val="auto"/>
          <w:sz w:val="24"/>
          <w:highlight w:val="none"/>
        </w:rPr>
      </w:pPr>
    </w:p>
    <w:p w14:paraId="65E7A66E">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02E8BCD4">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1.不同投标人的投标文件由同一单位或者个人编制；或不同投标人报名的IP地址一致的；</w:t>
      </w:r>
    </w:p>
    <w:p w14:paraId="35A0D5F3">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63CA950">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0385156">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5B94F9AD">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7D3B4CD8">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66FFE2FE">
      <w:pPr>
        <w:spacing w:line="40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01B4131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44D8457">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CDAEAC7">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56DB7B9">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6D2E0F78">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B145194">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58A4C4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559DB58F">
      <w:pPr>
        <w:spacing w:line="40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1E4B0066">
      <w:pPr>
        <w:spacing w:line="400" w:lineRule="exact"/>
        <w:ind w:firstLine="472" w:firstLineChars="196"/>
        <w:contextualSpacing/>
        <w:jc w:val="left"/>
        <w:rPr>
          <w:rFonts w:ascii="宋体" w:hAnsi="宋体"/>
          <w:b/>
          <w:color w:val="auto"/>
          <w:sz w:val="24"/>
          <w:highlight w:val="none"/>
        </w:rPr>
      </w:pPr>
    </w:p>
    <w:p w14:paraId="3E5B0D8A">
      <w:pPr>
        <w:pStyle w:val="23"/>
        <w:spacing w:line="440" w:lineRule="exact"/>
        <w:ind w:firstLine="960" w:firstLineChars="400"/>
        <w:rPr>
          <w:rFonts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462341B9">
      <w:pPr>
        <w:pStyle w:val="23"/>
        <w:spacing w:line="400" w:lineRule="exact"/>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519D20D6">
      <w:pPr>
        <w:pStyle w:val="23"/>
        <w:spacing w:line="40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401884A">
      <w:pPr>
        <w:snapToGrid w:val="0"/>
        <w:spacing w:before="120" w:beforeLines="50" w:after="50"/>
        <w:ind w:firstLine="472" w:firstLineChars="196"/>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19D62A7E">
      <w:pPr>
        <w:spacing w:before="240" w:beforeLines="100" w:after="120" w:afterLines="50"/>
        <w:ind w:left="540"/>
        <w:jc w:val="center"/>
        <w:rPr>
          <w:rFonts w:ascii="宋体" w:hAnsi="Courier New"/>
          <w:b/>
          <w:color w:val="auto"/>
          <w:sz w:val="32"/>
          <w:szCs w:val="32"/>
          <w:highlight w:val="none"/>
        </w:rPr>
      </w:pPr>
    </w:p>
    <w:p w14:paraId="4828F2AC">
      <w:pPr>
        <w:spacing w:before="240" w:beforeLines="100" w:after="120" w:afterLines="50"/>
        <w:ind w:left="540"/>
        <w:jc w:val="center"/>
        <w:rPr>
          <w:rFonts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法定代表人身份证明</w:t>
      </w:r>
    </w:p>
    <w:p w14:paraId="65F29496">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63B321C">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47FE1A10">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A3AB2FF">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8F1E303">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329EC607">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101FCF84">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2F68ADAE">
      <w:pPr>
        <w:spacing w:line="500" w:lineRule="exact"/>
        <w:ind w:left="540"/>
        <w:rPr>
          <w:rFonts w:ascii="宋体" w:hAnsi="宋体"/>
          <w:color w:val="auto"/>
          <w:sz w:val="24"/>
          <w:highlight w:val="none"/>
        </w:rPr>
      </w:pPr>
    </w:p>
    <w:p w14:paraId="5DDBC4ED">
      <w:pPr>
        <w:spacing w:line="500" w:lineRule="exact"/>
        <w:ind w:left="540"/>
        <w:rPr>
          <w:rFonts w:ascii="宋体" w:hAnsi="宋体"/>
          <w:color w:val="auto"/>
          <w:sz w:val="24"/>
          <w:highlight w:val="none"/>
        </w:rPr>
      </w:pPr>
    </w:p>
    <w:p w14:paraId="531E9455">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572D71B8">
      <w:pPr>
        <w:spacing w:line="500" w:lineRule="exact"/>
        <w:ind w:left="540"/>
        <w:rPr>
          <w:rFonts w:ascii="宋体" w:hAnsi="宋体"/>
          <w:color w:val="auto"/>
          <w:sz w:val="24"/>
          <w:highlight w:val="none"/>
        </w:rPr>
      </w:pPr>
    </w:p>
    <w:p w14:paraId="05708ED1">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投标人名称（电子签章）</w:t>
      </w:r>
    </w:p>
    <w:p w14:paraId="4A239BC7">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1BEF71">
      <w:pPr>
        <w:snapToGrid w:val="0"/>
        <w:spacing w:before="120" w:beforeLines="50" w:after="50"/>
        <w:jc w:val="center"/>
        <w:rPr>
          <w:rFonts w:ascii="宋体" w:hAnsi="宋体"/>
          <w:b/>
          <w:color w:val="auto"/>
          <w:sz w:val="24"/>
          <w:highlight w:val="none"/>
        </w:rPr>
      </w:pPr>
    </w:p>
    <w:p w14:paraId="71BDAD32">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14AA4DA1">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6470D3B5">
      <w:pPr>
        <w:snapToGrid w:val="0"/>
        <w:spacing w:before="120" w:beforeLines="50" w:after="50"/>
        <w:jc w:val="center"/>
        <w:rPr>
          <w:rFonts w:ascii="宋体" w:hAnsi="宋体"/>
          <w:b/>
          <w:color w:val="auto"/>
          <w:sz w:val="44"/>
          <w:szCs w:val="44"/>
          <w:highlight w:val="none"/>
        </w:rPr>
      </w:pPr>
    </w:p>
    <w:p w14:paraId="5776A5C3">
      <w:pPr>
        <w:snapToGrid w:val="0"/>
        <w:spacing w:before="120" w:beforeLines="50" w:after="50"/>
        <w:jc w:val="center"/>
        <w:rPr>
          <w:rFonts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授权委托书</w:t>
      </w:r>
    </w:p>
    <w:p w14:paraId="18EB66AD">
      <w:pPr>
        <w:snapToGrid w:val="0"/>
        <w:spacing w:before="120" w:beforeLines="50" w:after="50"/>
        <w:jc w:val="center"/>
        <w:rPr>
          <w:rFonts w:ascii="宋体" w:hAnsi="宋体"/>
          <w:b/>
          <w:color w:val="auto"/>
          <w:sz w:val="24"/>
          <w:highlight w:val="none"/>
        </w:rPr>
      </w:pPr>
      <w:r>
        <w:rPr>
          <w:rFonts w:hint="eastAsia" w:ascii="宋体" w:hAnsi="宋体"/>
          <w:b/>
          <w:color w:val="auto"/>
          <w:sz w:val="32"/>
          <w:szCs w:val="32"/>
          <w:highlight w:val="none"/>
        </w:rPr>
        <w:t>（如有委托时）</w:t>
      </w:r>
    </w:p>
    <w:p w14:paraId="19CEBCB6">
      <w:pPr>
        <w:snapToGrid w:val="0"/>
        <w:spacing w:before="120" w:beforeLines="50" w:after="50"/>
        <w:jc w:val="center"/>
        <w:rPr>
          <w:rFonts w:ascii="宋体" w:hAnsi="宋体"/>
          <w:b/>
          <w:color w:val="auto"/>
          <w:sz w:val="24"/>
          <w:highlight w:val="none"/>
        </w:rPr>
      </w:pPr>
    </w:p>
    <w:p w14:paraId="2B2A5EFF">
      <w:pPr>
        <w:spacing w:line="360" w:lineRule="auto"/>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38B1E0D">
      <w:pP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B0CA227">
      <w:pPr>
        <w:spacing w:line="360" w:lineRule="auto"/>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0EB58C4F">
      <w:pPr>
        <w:spacing w:line="360" w:lineRule="auto"/>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5D479E1">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23549C02">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7FF1C872">
      <w:pPr>
        <w:spacing w:line="360" w:lineRule="auto"/>
        <w:contextualSpacing/>
        <w:rPr>
          <w:rFonts w:ascii="宋体" w:hAnsi="宋体"/>
          <w:color w:val="auto"/>
          <w:sz w:val="24"/>
          <w:highlight w:val="none"/>
        </w:rPr>
      </w:pPr>
    </w:p>
    <w:p w14:paraId="79A3C7CE">
      <w:pP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B35168F">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5EAF3501">
      <w:pP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02914507">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w:t>
      </w:r>
    </w:p>
    <w:p w14:paraId="1A11D2F8">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投标人名称（电子签章）：</w:t>
      </w:r>
    </w:p>
    <w:p w14:paraId="38D73B21">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340432F6">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38" w:name="_Hlk65851555"/>
      <w:bookmarkStart w:id="139"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38"/>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39"/>
    </w:p>
    <w:p w14:paraId="2023D645">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81E973D">
      <w:pPr>
        <w:rPr>
          <w:rFonts w:ascii="宋体" w:hAnsi="宋体"/>
          <w:color w:val="auto"/>
          <w:sz w:val="24"/>
          <w:highlight w:val="none"/>
        </w:rPr>
      </w:pPr>
      <w:r>
        <w:rPr>
          <w:rFonts w:ascii="宋体" w:hAnsi="宋体"/>
          <w:color w:val="auto"/>
          <w:sz w:val="24"/>
          <w:highlight w:val="none"/>
        </w:rPr>
        <w:br w:type="page"/>
      </w:r>
    </w:p>
    <w:p w14:paraId="789CE955">
      <w:pPr>
        <w:rPr>
          <w:rFonts w:ascii="宋体" w:hAnsi="宋体"/>
          <w:b/>
          <w:color w:val="auto"/>
          <w:sz w:val="24"/>
          <w:szCs w:val="20"/>
          <w:highlight w:val="none"/>
        </w:rPr>
      </w:pPr>
      <w:r>
        <w:rPr>
          <w:rFonts w:hint="eastAsia" w:ascii="宋体" w:hAnsi="宋体"/>
          <w:b/>
          <w:color w:val="auto"/>
          <w:sz w:val="24"/>
          <w:highlight w:val="none"/>
        </w:rPr>
        <w:t>6.商务要求偏离表格式</w:t>
      </w:r>
    </w:p>
    <w:p w14:paraId="36B04A7B">
      <w:pPr>
        <w:snapToGrid w:val="0"/>
        <w:spacing w:before="50"/>
        <w:jc w:val="left"/>
        <w:rPr>
          <w:rFonts w:ascii="宋体" w:hAnsi="宋体"/>
          <w:color w:val="auto"/>
          <w:sz w:val="24"/>
          <w:highlight w:val="none"/>
        </w:rPr>
      </w:pPr>
    </w:p>
    <w:p w14:paraId="24261A0A">
      <w:pPr>
        <w:pStyle w:val="23"/>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64C1C4CD">
      <w:pPr>
        <w:snapToGrid w:val="0"/>
        <w:spacing w:before="50"/>
        <w:jc w:val="left"/>
        <w:rPr>
          <w:rFonts w:ascii="宋体" w:hAnsi="宋体"/>
          <w:color w:val="auto"/>
          <w:sz w:val="24"/>
          <w:highlight w:val="none"/>
          <w:u w:val="single"/>
        </w:rPr>
      </w:pPr>
    </w:p>
    <w:tbl>
      <w:tblPr>
        <w:tblStyle w:val="44"/>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FE2E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8A7DE2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5B01D39B">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01FDAEA">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111E3BA5">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630E2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4FBE290E">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4D39EAF5">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1F78FEC">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1591F2F">
            <w:pPr>
              <w:snapToGrid w:val="0"/>
              <w:spacing w:before="120" w:beforeLines="50"/>
              <w:jc w:val="center"/>
              <w:rPr>
                <w:rFonts w:ascii="宋体" w:hAnsi="宋体"/>
                <w:color w:val="auto"/>
                <w:sz w:val="24"/>
                <w:highlight w:val="none"/>
              </w:rPr>
            </w:pPr>
          </w:p>
        </w:tc>
      </w:tr>
      <w:tr w14:paraId="3E2C8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223A1EA">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1C0749A7">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EA1559F">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E5E9950">
            <w:pPr>
              <w:snapToGrid w:val="0"/>
              <w:spacing w:before="120" w:beforeLines="50"/>
              <w:ind w:left="43"/>
              <w:jc w:val="center"/>
              <w:rPr>
                <w:rFonts w:ascii="宋体" w:hAnsi="宋体"/>
                <w:color w:val="auto"/>
                <w:sz w:val="24"/>
                <w:highlight w:val="none"/>
              </w:rPr>
            </w:pPr>
          </w:p>
        </w:tc>
      </w:tr>
      <w:tr w14:paraId="5C292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4D955C3A">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76000179">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9456814">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6B6C178">
            <w:pPr>
              <w:snapToGrid w:val="0"/>
              <w:spacing w:before="120" w:beforeLines="50"/>
              <w:jc w:val="center"/>
              <w:rPr>
                <w:rFonts w:ascii="宋体" w:hAnsi="宋体"/>
                <w:color w:val="auto"/>
                <w:sz w:val="24"/>
                <w:highlight w:val="none"/>
              </w:rPr>
            </w:pPr>
          </w:p>
        </w:tc>
      </w:tr>
    </w:tbl>
    <w:p w14:paraId="31248AC9">
      <w:pPr>
        <w:pStyle w:val="16"/>
        <w:rPr>
          <w:rFonts w:ascii="宋体" w:hAnsi="宋体"/>
          <w:color w:val="auto"/>
          <w:highlight w:val="none"/>
        </w:rPr>
      </w:pPr>
      <w:r>
        <w:rPr>
          <w:rFonts w:hint="eastAsia" w:ascii="宋体" w:hAnsi="宋体"/>
          <w:color w:val="auto"/>
          <w:highlight w:val="none"/>
        </w:rPr>
        <w:t>注：</w:t>
      </w:r>
    </w:p>
    <w:p w14:paraId="61ED1A7B">
      <w:pPr>
        <w:pStyle w:val="18"/>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601DDC3D">
      <w:pPr>
        <w:pStyle w:val="16"/>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496FE27">
      <w:pPr>
        <w:snapToGrid w:val="0"/>
        <w:spacing w:before="50" w:after="50"/>
        <w:rPr>
          <w:rFonts w:ascii="宋体" w:hAnsi="宋体"/>
          <w:color w:val="auto"/>
          <w:sz w:val="24"/>
          <w:highlight w:val="none"/>
        </w:rPr>
      </w:pPr>
    </w:p>
    <w:p w14:paraId="5FA110E2">
      <w:pPr>
        <w:snapToGrid w:val="0"/>
        <w:spacing w:before="50" w:after="50"/>
        <w:rPr>
          <w:rFonts w:ascii="宋体" w:hAnsi="宋体"/>
          <w:color w:val="auto"/>
          <w:sz w:val="24"/>
          <w:highlight w:val="none"/>
        </w:rPr>
      </w:pPr>
    </w:p>
    <w:p w14:paraId="41118B8A">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922F404">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CF810DA">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3AB350A">
      <w:pPr>
        <w:snapToGrid w:val="0"/>
        <w:spacing w:before="120" w:beforeLines="50"/>
        <w:rPr>
          <w:rFonts w:ascii="宋体" w:hAnsi="宋体"/>
          <w:color w:val="auto"/>
          <w:sz w:val="24"/>
          <w:szCs w:val="20"/>
          <w:highlight w:val="none"/>
        </w:rPr>
      </w:pPr>
    </w:p>
    <w:p w14:paraId="1A1EA32B">
      <w:pPr>
        <w:snapToGrid w:val="0"/>
        <w:spacing w:before="120" w:beforeLines="50" w:after="50"/>
        <w:jc w:val="left"/>
        <w:rPr>
          <w:rFonts w:ascii="宋体" w:hAnsi="宋体"/>
          <w:color w:val="auto"/>
          <w:sz w:val="24"/>
          <w:szCs w:val="20"/>
          <w:highlight w:val="none"/>
        </w:rPr>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pPr>
    </w:p>
    <w:p w14:paraId="246656A1">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7.投标人业绩证明材料</w:t>
      </w:r>
    </w:p>
    <w:p w14:paraId="05162633">
      <w:pPr>
        <w:pStyle w:val="33"/>
        <w:snapToGrid w:val="0"/>
        <w:ind w:left="480" w:hanging="480"/>
        <w:rPr>
          <w:rFonts w:ascii="宋体" w:hAnsi="宋体"/>
          <w:color w:val="auto"/>
          <w:sz w:val="24"/>
          <w:highlight w:val="none"/>
        </w:rPr>
      </w:pPr>
    </w:p>
    <w:p w14:paraId="3DC41F7C">
      <w:pPr>
        <w:pStyle w:val="33"/>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19EDD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7F8B14A">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AB6242D">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8967FFC">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10B88B6A">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12C92313">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495340E8">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6B716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543E6AA4">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98DFDCD">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74E94B6">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CABF20A">
            <w:pPr>
              <w:jc w:val="left"/>
              <w:rPr>
                <w:rFonts w:ascii="宋体" w:hAnsi="宋体"/>
                <w:color w:val="auto"/>
                <w:sz w:val="24"/>
                <w:highlight w:val="none"/>
              </w:rPr>
            </w:pPr>
          </w:p>
        </w:tc>
      </w:tr>
      <w:tr w14:paraId="0E2DE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8972CD4">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A9FBD52">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D2ED9D1">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966F766">
            <w:pPr>
              <w:snapToGrid w:val="0"/>
              <w:spacing w:line="240" w:lineRule="exact"/>
              <w:jc w:val="left"/>
              <w:rPr>
                <w:rFonts w:ascii="宋体" w:hAnsi="宋体"/>
                <w:color w:val="auto"/>
                <w:sz w:val="24"/>
                <w:highlight w:val="none"/>
              </w:rPr>
            </w:pPr>
          </w:p>
        </w:tc>
      </w:tr>
      <w:tr w14:paraId="04394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11F266F">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3123614">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CB1A197">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590EF4D">
            <w:pPr>
              <w:snapToGrid w:val="0"/>
              <w:spacing w:before="50" w:after="120" w:afterLines="50" w:line="400" w:lineRule="exact"/>
              <w:jc w:val="left"/>
              <w:rPr>
                <w:rFonts w:ascii="宋体" w:hAnsi="宋体"/>
                <w:color w:val="auto"/>
                <w:sz w:val="24"/>
                <w:highlight w:val="none"/>
              </w:rPr>
            </w:pPr>
          </w:p>
        </w:tc>
      </w:tr>
      <w:tr w14:paraId="0EA1C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24851DE1">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D80B5E">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838EBB0">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AB6B746">
            <w:pPr>
              <w:snapToGrid w:val="0"/>
              <w:spacing w:before="50" w:after="120" w:afterLines="50" w:line="400" w:lineRule="exact"/>
              <w:jc w:val="left"/>
              <w:rPr>
                <w:rFonts w:ascii="宋体" w:hAnsi="宋体"/>
                <w:color w:val="auto"/>
                <w:sz w:val="24"/>
                <w:highlight w:val="none"/>
              </w:rPr>
            </w:pPr>
          </w:p>
        </w:tc>
      </w:tr>
      <w:tr w14:paraId="643FF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F6E855C">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DFF05CA">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8E21D3">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6B476D7">
            <w:pPr>
              <w:snapToGrid w:val="0"/>
              <w:spacing w:before="50" w:after="120" w:afterLines="50" w:line="400" w:lineRule="exact"/>
              <w:jc w:val="left"/>
              <w:rPr>
                <w:rFonts w:ascii="宋体" w:hAnsi="宋体"/>
                <w:color w:val="auto"/>
                <w:sz w:val="24"/>
                <w:highlight w:val="none"/>
              </w:rPr>
            </w:pPr>
          </w:p>
        </w:tc>
      </w:tr>
      <w:tr w14:paraId="5CD74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43844D7">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DB59AB5">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AFD1135">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989F70C">
            <w:pPr>
              <w:snapToGrid w:val="0"/>
              <w:spacing w:before="50" w:after="120" w:afterLines="50" w:line="400" w:lineRule="exact"/>
              <w:jc w:val="left"/>
              <w:rPr>
                <w:rFonts w:ascii="宋体" w:hAnsi="宋体"/>
                <w:color w:val="auto"/>
                <w:sz w:val="24"/>
                <w:highlight w:val="none"/>
              </w:rPr>
            </w:pPr>
          </w:p>
        </w:tc>
      </w:tr>
    </w:tbl>
    <w:p w14:paraId="4960453F">
      <w:pPr>
        <w:pStyle w:val="14"/>
        <w:spacing w:before="0" w:after="0" w:line="360" w:lineRule="auto"/>
        <w:contextualSpacing/>
        <w:rPr>
          <w:rFonts w:ascii="宋体" w:hAnsi="宋体" w:eastAsia="宋体"/>
          <w:color w:val="auto"/>
          <w:sz w:val="24"/>
          <w:szCs w:val="24"/>
          <w:highlight w:val="none"/>
        </w:rPr>
      </w:pPr>
    </w:p>
    <w:p w14:paraId="0D4D713C">
      <w:pPr>
        <w:pStyle w:val="14"/>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6EFDBB20">
      <w:pPr>
        <w:pStyle w:val="14"/>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17009A89">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0D35406E">
      <w:pPr>
        <w:snapToGrid w:val="0"/>
        <w:spacing w:before="120" w:beforeLines="50" w:after="50"/>
        <w:jc w:val="left"/>
        <w:rPr>
          <w:rFonts w:ascii="微软雅黑" w:hAnsi="微软雅黑" w:eastAsia="微软雅黑" w:cs="微软雅黑"/>
          <w:bCs/>
          <w:color w:val="auto"/>
          <w:szCs w:val="21"/>
          <w:highlight w:val="none"/>
        </w:rPr>
      </w:pPr>
      <w:r>
        <w:rPr>
          <w:rFonts w:ascii="宋体" w:hAnsi="宋体"/>
          <w:color w:val="auto"/>
          <w:sz w:val="24"/>
          <w:highlight w:val="none"/>
        </w:rPr>
        <w:br w:type="page"/>
      </w:r>
      <w:r>
        <w:rPr>
          <w:rFonts w:hint="eastAsia" w:ascii="宋体" w:hAnsi="宋体"/>
          <w:color w:val="auto"/>
          <w:sz w:val="24"/>
          <w:highlight w:val="none"/>
        </w:rPr>
        <w:t>8.</w:t>
      </w:r>
      <w:r>
        <w:rPr>
          <w:rFonts w:hint="eastAsia" w:ascii="微软雅黑" w:hAnsi="微软雅黑" w:eastAsia="微软雅黑" w:cs="微软雅黑"/>
          <w:bCs/>
          <w:color w:val="auto"/>
          <w:szCs w:val="21"/>
          <w:highlight w:val="none"/>
        </w:rPr>
        <w:t xml:space="preserve"> 代理服务费承诺书</w:t>
      </w:r>
    </w:p>
    <w:p w14:paraId="4EF57A73">
      <w:pPr>
        <w:snapToGrid w:val="0"/>
        <w:spacing w:before="120" w:beforeLines="50" w:after="50"/>
        <w:jc w:val="left"/>
        <w:rPr>
          <w:rFonts w:ascii="微软雅黑" w:hAnsi="微软雅黑" w:eastAsia="微软雅黑" w:cs="微软雅黑"/>
          <w:bCs/>
          <w:color w:val="auto"/>
          <w:szCs w:val="21"/>
          <w:highlight w:val="none"/>
        </w:rPr>
      </w:pPr>
    </w:p>
    <w:p w14:paraId="3A677A59">
      <w:pPr>
        <w:snapToGrid w:val="0"/>
        <w:spacing w:before="120" w:beforeLines="50" w:after="50"/>
        <w:jc w:val="center"/>
        <w:rPr>
          <w:rFonts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代理服务费承诺书</w:t>
      </w:r>
    </w:p>
    <w:p w14:paraId="2ECD89BD">
      <w:pPr>
        <w:snapToGrid w:val="0"/>
        <w:spacing w:before="120" w:beforeLines="50" w:after="50"/>
        <w:jc w:val="center"/>
        <w:rPr>
          <w:rFonts w:ascii="宋体" w:hAnsi="宋体"/>
          <w:b/>
          <w:color w:val="auto"/>
          <w:sz w:val="24"/>
          <w:highlight w:val="none"/>
        </w:rPr>
      </w:pPr>
    </w:p>
    <w:p w14:paraId="1E29F699">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代理机构名称</w:t>
      </w:r>
      <w:r>
        <w:rPr>
          <w:rFonts w:hint="eastAsia" w:ascii="宋体" w:hAnsi="宋体"/>
          <w:color w:val="auto"/>
          <w:sz w:val="24"/>
          <w:highlight w:val="none"/>
        </w:rPr>
        <w:t>：</w:t>
      </w:r>
    </w:p>
    <w:p w14:paraId="4AE6046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7542CAF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在领取中标通知书后，由于被质疑、投诉或者其他原因而导致中标结果改变，我方将放弃对已缴纳的代理服务费追还的一切权利。</w:t>
      </w:r>
    </w:p>
    <w:p w14:paraId="1E7040E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3762D4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77B44E2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B26A83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116BC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385F900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525FA6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D03CCF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DAABC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0FD6DF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6FEFF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256F8FA">
      <w:pPr>
        <w:spacing w:line="440" w:lineRule="exact"/>
        <w:rPr>
          <w:rFonts w:ascii="宋体" w:hAnsi="宋体"/>
          <w:color w:val="auto"/>
          <w:sz w:val="24"/>
          <w:highlight w:val="none"/>
        </w:rPr>
      </w:pPr>
    </w:p>
    <w:p w14:paraId="3D9A8C07">
      <w:pPr>
        <w:spacing w:line="440" w:lineRule="exact"/>
        <w:rPr>
          <w:rFonts w:ascii="宋体" w:hAnsi="宋体"/>
          <w:color w:val="auto"/>
          <w:sz w:val="24"/>
          <w:highlight w:val="none"/>
        </w:rPr>
      </w:pPr>
    </w:p>
    <w:p w14:paraId="6CFAB006">
      <w:pPr>
        <w:spacing w:line="440" w:lineRule="exact"/>
        <w:rPr>
          <w:rFonts w:ascii="宋体" w:hAnsi="宋体"/>
          <w:color w:val="auto"/>
          <w:sz w:val="24"/>
          <w:highlight w:val="none"/>
        </w:rPr>
      </w:pPr>
    </w:p>
    <w:p w14:paraId="683FBAF5">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6FF42EAE">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05AFB5B6">
      <w:pPr>
        <w:snapToGrid w:val="0"/>
        <w:spacing w:line="360" w:lineRule="auto"/>
        <w:ind w:right="480" w:firstLine="240" w:firstLineChars="100"/>
        <w:jc w:val="left"/>
        <w:rPr>
          <w:rFonts w:ascii="宋体" w:hAnsi="宋体"/>
          <w:color w:val="auto"/>
          <w:szCs w:val="21"/>
          <w:highlight w:val="none"/>
        </w:rPr>
        <w:sectPr>
          <w:pgSz w:w="11906" w:h="16838"/>
          <w:pgMar w:top="1440" w:right="1797" w:bottom="1440" w:left="1797" w:header="851" w:footer="992" w:gutter="0"/>
          <w:cols w:space="720" w:num="1"/>
        </w:sectPr>
      </w:pPr>
      <w:r>
        <w:rPr>
          <w:rFonts w:hint="eastAsia" w:ascii="宋体" w:hAnsi="宋体"/>
          <w:color w:val="auto"/>
          <w:sz w:val="24"/>
          <w:highlight w:val="none"/>
        </w:rPr>
        <w:t xml:space="preserve">                                    日期：    年   月   日</w:t>
      </w:r>
    </w:p>
    <w:p w14:paraId="40DABB31">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9.技术要求偏离表格式</w:t>
      </w:r>
    </w:p>
    <w:p w14:paraId="224C29DC">
      <w:pPr>
        <w:snapToGrid w:val="0"/>
        <w:spacing w:before="120" w:beforeLines="50" w:after="50"/>
        <w:ind w:left="142"/>
        <w:jc w:val="left"/>
        <w:rPr>
          <w:rFonts w:ascii="宋体" w:hAnsi="宋体"/>
          <w:b/>
          <w:color w:val="auto"/>
          <w:sz w:val="24"/>
          <w:highlight w:val="none"/>
        </w:rPr>
      </w:pPr>
    </w:p>
    <w:p w14:paraId="5EEE9557">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01E42232">
      <w:pPr>
        <w:pStyle w:val="23"/>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19A0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80087BF">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37646AFA">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2268D955">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2B66438F">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0D3A88D6">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395B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4352983">
            <w:pPr>
              <w:pStyle w:val="23"/>
              <w:spacing w:line="600" w:lineRule="exact"/>
              <w:jc w:val="center"/>
              <w:rPr>
                <w:rFonts w:hAnsi="宋体" w:cs="Courier New"/>
                <w:color w:val="auto"/>
                <w:kern w:val="2"/>
                <w:sz w:val="24"/>
                <w:szCs w:val="24"/>
                <w:highlight w:val="none"/>
              </w:rPr>
            </w:pPr>
          </w:p>
        </w:tc>
        <w:tc>
          <w:tcPr>
            <w:tcW w:w="2143" w:type="dxa"/>
            <w:vAlign w:val="center"/>
          </w:tcPr>
          <w:p w14:paraId="76865A22">
            <w:pPr>
              <w:pStyle w:val="23"/>
              <w:spacing w:line="600" w:lineRule="exact"/>
              <w:jc w:val="center"/>
              <w:rPr>
                <w:rFonts w:hAnsi="宋体" w:cs="Courier New"/>
                <w:color w:val="auto"/>
                <w:kern w:val="2"/>
                <w:sz w:val="24"/>
                <w:szCs w:val="24"/>
                <w:highlight w:val="none"/>
              </w:rPr>
            </w:pPr>
          </w:p>
        </w:tc>
        <w:tc>
          <w:tcPr>
            <w:tcW w:w="1834" w:type="dxa"/>
            <w:vAlign w:val="center"/>
          </w:tcPr>
          <w:p w14:paraId="1B3CB880">
            <w:pPr>
              <w:pStyle w:val="23"/>
              <w:spacing w:line="600" w:lineRule="exact"/>
              <w:jc w:val="center"/>
              <w:rPr>
                <w:rFonts w:hAnsi="宋体" w:cs="Courier New"/>
                <w:color w:val="auto"/>
                <w:kern w:val="2"/>
                <w:sz w:val="24"/>
                <w:szCs w:val="24"/>
                <w:highlight w:val="none"/>
              </w:rPr>
            </w:pPr>
          </w:p>
        </w:tc>
        <w:tc>
          <w:tcPr>
            <w:tcW w:w="2181" w:type="dxa"/>
            <w:vAlign w:val="center"/>
          </w:tcPr>
          <w:p w14:paraId="037EBA94">
            <w:pPr>
              <w:pStyle w:val="23"/>
              <w:spacing w:line="600" w:lineRule="exact"/>
              <w:jc w:val="center"/>
              <w:rPr>
                <w:rFonts w:hAnsi="宋体" w:cs="Courier New"/>
                <w:color w:val="auto"/>
                <w:kern w:val="2"/>
                <w:sz w:val="24"/>
                <w:szCs w:val="24"/>
                <w:highlight w:val="none"/>
              </w:rPr>
            </w:pPr>
          </w:p>
        </w:tc>
        <w:tc>
          <w:tcPr>
            <w:tcW w:w="1934" w:type="dxa"/>
            <w:vAlign w:val="center"/>
          </w:tcPr>
          <w:p w14:paraId="2FC87C75">
            <w:pPr>
              <w:pStyle w:val="23"/>
              <w:spacing w:line="600" w:lineRule="exact"/>
              <w:jc w:val="center"/>
              <w:rPr>
                <w:rFonts w:hAnsi="宋体" w:cs="Courier New"/>
                <w:color w:val="auto"/>
                <w:kern w:val="2"/>
                <w:sz w:val="24"/>
                <w:szCs w:val="24"/>
                <w:highlight w:val="none"/>
              </w:rPr>
            </w:pPr>
          </w:p>
        </w:tc>
      </w:tr>
      <w:tr w14:paraId="3E79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462AF1C">
            <w:pPr>
              <w:pStyle w:val="23"/>
              <w:spacing w:line="600" w:lineRule="exact"/>
              <w:rPr>
                <w:rFonts w:hAnsi="宋体" w:cs="Courier New"/>
                <w:color w:val="auto"/>
                <w:kern w:val="2"/>
                <w:sz w:val="24"/>
                <w:szCs w:val="24"/>
                <w:highlight w:val="none"/>
              </w:rPr>
            </w:pPr>
          </w:p>
        </w:tc>
        <w:tc>
          <w:tcPr>
            <w:tcW w:w="2143" w:type="dxa"/>
          </w:tcPr>
          <w:p w14:paraId="58E474C0">
            <w:pPr>
              <w:pStyle w:val="23"/>
              <w:spacing w:line="600" w:lineRule="exact"/>
              <w:rPr>
                <w:rFonts w:hAnsi="宋体" w:cs="Courier New"/>
                <w:color w:val="auto"/>
                <w:kern w:val="2"/>
                <w:sz w:val="24"/>
                <w:szCs w:val="24"/>
                <w:highlight w:val="none"/>
              </w:rPr>
            </w:pPr>
          </w:p>
        </w:tc>
        <w:tc>
          <w:tcPr>
            <w:tcW w:w="1834" w:type="dxa"/>
          </w:tcPr>
          <w:p w14:paraId="4F5FD0B3">
            <w:pPr>
              <w:pStyle w:val="23"/>
              <w:spacing w:line="600" w:lineRule="exact"/>
              <w:rPr>
                <w:rFonts w:hAnsi="宋体" w:cs="Courier New"/>
                <w:color w:val="auto"/>
                <w:kern w:val="2"/>
                <w:sz w:val="24"/>
                <w:szCs w:val="24"/>
                <w:highlight w:val="none"/>
              </w:rPr>
            </w:pPr>
          </w:p>
        </w:tc>
        <w:tc>
          <w:tcPr>
            <w:tcW w:w="2181" w:type="dxa"/>
          </w:tcPr>
          <w:p w14:paraId="29D652E6">
            <w:pPr>
              <w:pStyle w:val="23"/>
              <w:spacing w:line="600" w:lineRule="exact"/>
              <w:rPr>
                <w:rFonts w:hAnsi="宋体" w:cs="Courier New"/>
                <w:color w:val="auto"/>
                <w:kern w:val="2"/>
                <w:sz w:val="24"/>
                <w:szCs w:val="24"/>
                <w:highlight w:val="none"/>
              </w:rPr>
            </w:pPr>
          </w:p>
        </w:tc>
        <w:tc>
          <w:tcPr>
            <w:tcW w:w="1934" w:type="dxa"/>
          </w:tcPr>
          <w:p w14:paraId="1E36FC4D">
            <w:pPr>
              <w:pStyle w:val="23"/>
              <w:spacing w:line="600" w:lineRule="exact"/>
              <w:rPr>
                <w:rFonts w:hAnsi="宋体" w:cs="Courier New"/>
                <w:color w:val="auto"/>
                <w:kern w:val="2"/>
                <w:sz w:val="24"/>
                <w:szCs w:val="24"/>
                <w:highlight w:val="none"/>
              </w:rPr>
            </w:pPr>
          </w:p>
        </w:tc>
      </w:tr>
      <w:tr w14:paraId="0700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387F78C">
            <w:pPr>
              <w:pStyle w:val="23"/>
              <w:spacing w:line="600" w:lineRule="exact"/>
              <w:rPr>
                <w:rFonts w:hAnsi="宋体" w:cs="Courier New"/>
                <w:color w:val="auto"/>
                <w:kern w:val="2"/>
                <w:sz w:val="24"/>
                <w:szCs w:val="24"/>
                <w:highlight w:val="none"/>
              </w:rPr>
            </w:pPr>
          </w:p>
        </w:tc>
        <w:tc>
          <w:tcPr>
            <w:tcW w:w="2143" w:type="dxa"/>
          </w:tcPr>
          <w:p w14:paraId="7230A86C">
            <w:pPr>
              <w:pStyle w:val="23"/>
              <w:spacing w:line="600" w:lineRule="exact"/>
              <w:rPr>
                <w:rFonts w:hAnsi="宋体" w:cs="Courier New"/>
                <w:color w:val="auto"/>
                <w:kern w:val="2"/>
                <w:sz w:val="24"/>
                <w:szCs w:val="24"/>
                <w:highlight w:val="none"/>
              </w:rPr>
            </w:pPr>
          </w:p>
        </w:tc>
        <w:tc>
          <w:tcPr>
            <w:tcW w:w="1834" w:type="dxa"/>
          </w:tcPr>
          <w:p w14:paraId="4FBA2D05">
            <w:pPr>
              <w:pStyle w:val="23"/>
              <w:spacing w:line="600" w:lineRule="exact"/>
              <w:rPr>
                <w:rFonts w:hAnsi="宋体" w:cs="Courier New"/>
                <w:color w:val="auto"/>
                <w:kern w:val="2"/>
                <w:sz w:val="24"/>
                <w:szCs w:val="24"/>
                <w:highlight w:val="none"/>
              </w:rPr>
            </w:pPr>
          </w:p>
        </w:tc>
        <w:tc>
          <w:tcPr>
            <w:tcW w:w="2181" w:type="dxa"/>
          </w:tcPr>
          <w:p w14:paraId="345E0756">
            <w:pPr>
              <w:pStyle w:val="23"/>
              <w:spacing w:line="600" w:lineRule="exact"/>
              <w:rPr>
                <w:rFonts w:hAnsi="宋体" w:cs="Courier New"/>
                <w:color w:val="auto"/>
                <w:kern w:val="2"/>
                <w:sz w:val="24"/>
                <w:szCs w:val="24"/>
                <w:highlight w:val="none"/>
              </w:rPr>
            </w:pPr>
          </w:p>
        </w:tc>
        <w:tc>
          <w:tcPr>
            <w:tcW w:w="1934" w:type="dxa"/>
          </w:tcPr>
          <w:p w14:paraId="164C4503">
            <w:pPr>
              <w:pStyle w:val="23"/>
              <w:spacing w:line="600" w:lineRule="exact"/>
              <w:rPr>
                <w:rFonts w:hAnsi="宋体" w:cs="Courier New"/>
                <w:color w:val="auto"/>
                <w:kern w:val="2"/>
                <w:sz w:val="24"/>
                <w:szCs w:val="24"/>
                <w:highlight w:val="none"/>
              </w:rPr>
            </w:pPr>
          </w:p>
        </w:tc>
      </w:tr>
      <w:tr w14:paraId="1A70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54B0D9">
            <w:pPr>
              <w:pStyle w:val="23"/>
              <w:spacing w:line="600" w:lineRule="exact"/>
              <w:rPr>
                <w:rFonts w:hAnsi="宋体" w:cs="Courier New"/>
                <w:color w:val="auto"/>
                <w:kern w:val="2"/>
                <w:sz w:val="24"/>
                <w:szCs w:val="24"/>
                <w:highlight w:val="none"/>
              </w:rPr>
            </w:pPr>
          </w:p>
        </w:tc>
        <w:tc>
          <w:tcPr>
            <w:tcW w:w="2143" w:type="dxa"/>
          </w:tcPr>
          <w:p w14:paraId="3C1133B3">
            <w:pPr>
              <w:pStyle w:val="23"/>
              <w:spacing w:line="600" w:lineRule="exact"/>
              <w:rPr>
                <w:rFonts w:hAnsi="宋体" w:cs="Courier New"/>
                <w:color w:val="auto"/>
                <w:kern w:val="2"/>
                <w:sz w:val="24"/>
                <w:szCs w:val="24"/>
                <w:highlight w:val="none"/>
              </w:rPr>
            </w:pPr>
          </w:p>
        </w:tc>
        <w:tc>
          <w:tcPr>
            <w:tcW w:w="1834" w:type="dxa"/>
          </w:tcPr>
          <w:p w14:paraId="7AF91CB6">
            <w:pPr>
              <w:pStyle w:val="23"/>
              <w:spacing w:line="600" w:lineRule="exact"/>
              <w:rPr>
                <w:rFonts w:hAnsi="宋体" w:cs="Courier New"/>
                <w:color w:val="auto"/>
                <w:kern w:val="2"/>
                <w:sz w:val="24"/>
                <w:szCs w:val="24"/>
                <w:highlight w:val="none"/>
              </w:rPr>
            </w:pPr>
          </w:p>
        </w:tc>
        <w:tc>
          <w:tcPr>
            <w:tcW w:w="2181" w:type="dxa"/>
          </w:tcPr>
          <w:p w14:paraId="41CF6548">
            <w:pPr>
              <w:pStyle w:val="23"/>
              <w:spacing w:line="600" w:lineRule="exact"/>
              <w:rPr>
                <w:rFonts w:hAnsi="宋体" w:cs="Courier New"/>
                <w:color w:val="auto"/>
                <w:kern w:val="2"/>
                <w:sz w:val="24"/>
                <w:szCs w:val="24"/>
                <w:highlight w:val="none"/>
              </w:rPr>
            </w:pPr>
          </w:p>
        </w:tc>
        <w:tc>
          <w:tcPr>
            <w:tcW w:w="1934" w:type="dxa"/>
          </w:tcPr>
          <w:p w14:paraId="4C6D5C0A">
            <w:pPr>
              <w:pStyle w:val="23"/>
              <w:spacing w:line="600" w:lineRule="exact"/>
              <w:rPr>
                <w:rFonts w:hAnsi="宋体" w:cs="Courier New"/>
                <w:color w:val="auto"/>
                <w:kern w:val="2"/>
                <w:sz w:val="24"/>
                <w:szCs w:val="24"/>
                <w:highlight w:val="none"/>
              </w:rPr>
            </w:pPr>
          </w:p>
        </w:tc>
      </w:tr>
      <w:tr w14:paraId="3746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2886DCF">
            <w:pPr>
              <w:pStyle w:val="23"/>
              <w:spacing w:line="600" w:lineRule="exact"/>
              <w:rPr>
                <w:rFonts w:hAnsi="宋体" w:cs="Courier New"/>
                <w:color w:val="auto"/>
                <w:kern w:val="2"/>
                <w:sz w:val="24"/>
                <w:szCs w:val="24"/>
                <w:highlight w:val="none"/>
              </w:rPr>
            </w:pPr>
          </w:p>
        </w:tc>
        <w:tc>
          <w:tcPr>
            <w:tcW w:w="2143" w:type="dxa"/>
          </w:tcPr>
          <w:p w14:paraId="76E98FA3">
            <w:pPr>
              <w:pStyle w:val="23"/>
              <w:spacing w:line="600" w:lineRule="exact"/>
              <w:rPr>
                <w:rFonts w:hAnsi="宋体" w:cs="Courier New"/>
                <w:color w:val="auto"/>
                <w:kern w:val="2"/>
                <w:sz w:val="24"/>
                <w:szCs w:val="24"/>
                <w:highlight w:val="none"/>
              </w:rPr>
            </w:pPr>
          </w:p>
        </w:tc>
        <w:tc>
          <w:tcPr>
            <w:tcW w:w="1834" w:type="dxa"/>
          </w:tcPr>
          <w:p w14:paraId="793860B7">
            <w:pPr>
              <w:pStyle w:val="23"/>
              <w:spacing w:line="600" w:lineRule="exact"/>
              <w:rPr>
                <w:rFonts w:hAnsi="宋体" w:cs="Courier New"/>
                <w:color w:val="auto"/>
                <w:kern w:val="2"/>
                <w:sz w:val="24"/>
                <w:szCs w:val="24"/>
                <w:highlight w:val="none"/>
              </w:rPr>
            </w:pPr>
          </w:p>
        </w:tc>
        <w:tc>
          <w:tcPr>
            <w:tcW w:w="2181" w:type="dxa"/>
          </w:tcPr>
          <w:p w14:paraId="02E33A1B">
            <w:pPr>
              <w:pStyle w:val="23"/>
              <w:spacing w:line="600" w:lineRule="exact"/>
              <w:rPr>
                <w:rFonts w:hAnsi="宋体" w:cs="Courier New"/>
                <w:color w:val="auto"/>
                <w:kern w:val="2"/>
                <w:sz w:val="24"/>
                <w:szCs w:val="24"/>
                <w:highlight w:val="none"/>
              </w:rPr>
            </w:pPr>
          </w:p>
        </w:tc>
        <w:tc>
          <w:tcPr>
            <w:tcW w:w="1934" w:type="dxa"/>
          </w:tcPr>
          <w:p w14:paraId="6238C764">
            <w:pPr>
              <w:pStyle w:val="23"/>
              <w:spacing w:line="600" w:lineRule="exact"/>
              <w:rPr>
                <w:rFonts w:hAnsi="宋体" w:cs="Courier New"/>
                <w:color w:val="auto"/>
                <w:kern w:val="2"/>
                <w:sz w:val="24"/>
                <w:szCs w:val="24"/>
                <w:highlight w:val="none"/>
              </w:rPr>
            </w:pPr>
          </w:p>
        </w:tc>
      </w:tr>
      <w:tr w14:paraId="653B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D1C41A1">
            <w:pPr>
              <w:pStyle w:val="23"/>
              <w:spacing w:line="600" w:lineRule="exact"/>
              <w:rPr>
                <w:rFonts w:hAnsi="宋体" w:cs="Courier New"/>
                <w:color w:val="auto"/>
                <w:kern w:val="2"/>
                <w:sz w:val="24"/>
                <w:szCs w:val="24"/>
                <w:highlight w:val="none"/>
              </w:rPr>
            </w:pPr>
          </w:p>
        </w:tc>
        <w:tc>
          <w:tcPr>
            <w:tcW w:w="2143" w:type="dxa"/>
          </w:tcPr>
          <w:p w14:paraId="600E778E">
            <w:pPr>
              <w:pStyle w:val="23"/>
              <w:spacing w:line="600" w:lineRule="exact"/>
              <w:rPr>
                <w:rFonts w:hAnsi="宋体" w:cs="Courier New"/>
                <w:color w:val="auto"/>
                <w:kern w:val="2"/>
                <w:sz w:val="24"/>
                <w:szCs w:val="24"/>
                <w:highlight w:val="none"/>
              </w:rPr>
            </w:pPr>
          </w:p>
        </w:tc>
        <w:tc>
          <w:tcPr>
            <w:tcW w:w="1834" w:type="dxa"/>
          </w:tcPr>
          <w:p w14:paraId="260D7A06">
            <w:pPr>
              <w:pStyle w:val="23"/>
              <w:spacing w:line="600" w:lineRule="exact"/>
              <w:rPr>
                <w:rFonts w:hAnsi="宋体" w:cs="Courier New"/>
                <w:color w:val="auto"/>
                <w:kern w:val="2"/>
                <w:sz w:val="24"/>
                <w:szCs w:val="24"/>
                <w:highlight w:val="none"/>
              </w:rPr>
            </w:pPr>
          </w:p>
        </w:tc>
        <w:tc>
          <w:tcPr>
            <w:tcW w:w="2181" w:type="dxa"/>
          </w:tcPr>
          <w:p w14:paraId="6E0F002F">
            <w:pPr>
              <w:pStyle w:val="23"/>
              <w:spacing w:line="600" w:lineRule="exact"/>
              <w:rPr>
                <w:rFonts w:hAnsi="宋体" w:cs="Courier New"/>
                <w:color w:val="auto"/>
                <w:kern w:val="2"/>
                <w:sz w:val="24"/>
                <w:szCs w:val="24"/>
                <w:highlight w:val="none"/>
              </w:rPr>
            </w:pPr>
          </w:p>
        </w:tc>
        <w:tc>
          <w:tcPr>
            <w:tcW w:w="1934" w:type="dxa"/>
          </w:tcPr>
          <w:p w14:paraId="5086FA44">
            <w:pPr>
              <w:pStyle w:val="23"/>
              <w:spacing w:line="600" w:lineRule="exact"/>
              <w:rPr>
                <w:rFonts w:hAnsi="宋体" w:cs="Courier New"/>
                <w:color w:val="auto"/>
                <w:kern w:val="2"/>
                <w:sz w:val="24"/>
                <w:szCs w:val="24"/>
                <w:highlight w:val="none"/>
              </w:rPr>
            </w:pPr>
          </w:p>
        </w:tc>
      </w:tr>
      <w:tr w14:paraId="1518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B8ED70">
            <w:pPr>
              <w:pStyle w:val="23"/>
              <w:spacing w:line="600" w:lineRule="exact"/>
              <w:rPr>
                <w:rFonts w:hAnsi="宋体" w:cs="Courier New"/>
                <w:color w:val="auto"/>
                <w:kern w:val="2"/>
                <w:sz w:val="24"/>
                <w:szCs w:val="24"/>
                <w:highlight w:val="none"/>
              </w:rPr>
            </w:pPr>
          </w:p>
        </w:tc>
        <w:tc>
          <w:tcPr>
            <w:tcW w:w="2143" w:type="dxa"/>
          </w:tcPr>
          <w:p w14:paraId="1C79CDF6">
            <w:pPr>
              <w:pStyle w:val="23"/>
              <w:spacing w:line="600" w:lineRule="exact"/>
              <w:rPr>
                <w:rFonts w:hAnsi="宋体" w:cs="Courier New"/>
                <w:color w:val="auto"/>
                <w:kern w:val="2"/>
                <w:sz w:val="24"/>
                <w:szCs w:val="24"/>
                <w:highlight w:val="none"/>
              </w:rPr>
            </w:pPr>
          </w:p>
        </w:tc>
        <w:tc>
          <w:tcPr>
            <w:tcW w:w="1834" w:type="dxa"/>
          </w:tcPr>
          <w:p w14:paraId="07DF1BE8">
            <w:pPr>
              <w:pStyle w:val="23"/>
              <w:spacing w:line="600" w:lineRule="exact"/>
              <w:rPr>
                <w:rFonts w:hAnsi="宋体" w:cs="Courier New"/>
                <w:color w:val="auto"/>
                <w:kern w:val="2"/>
                <w:sz w:val="24"/>
                <w:szCs w:val="24"/>
                <w:highlight w:val="none"/>
              </w:rPr>
            </w:pPr>
          </w:p>
        </w:tc>
        <w:tc>
          <w:tcPr>
            <w:tcW w:w="2181" w:type="dxa"/>
          </w:tcPr>
          <w:p w14:paraId="153E35FA">
            <w:pPr>
              <w:pStyle w:val="23"/>
              <w:spacing w:line="600" w:lineRule="exact"/>
              <w:rPr>
                <w:rFonts w:hAnsi="宋体" w:cs="Courier New"/>
                <w:color w:val="auto"/>
                <w:kern w:val="2"/>
                <w:sz w:val="24"/>
                <w:szCs w:val="24"/>
                <w:highlight w:val="none"/>
              </w:rPr>
            </w:pPr>
          </w:p>
        </w:tc>
        <w:tc>
          <w:tcPr>
            <w:tcW w:w="1934" w:type="dxa"/>
          </w:tcPr>
          <w:p w14:paraId="0EA96F1F">
            <w:pPr>
              <w:pStyle w:val="23"/>
              <w:spacing w:line="600" w:lineRule="exact"/>
              <w:rPr>
                <w:rFonts w:hAnsi="宋体" w:cs="Courier New"/>
                <w:color w:val="auto"/>
                <w:kern w:val="2"/>
                <w:sz w:val="24"/>
                <w:szCs w:val="24"/>
                <w:highlight w:val="none"/>
              </w:rPr>
            </w:pPr>
          </w:p>
        </w:tc>
      </w:tr>
    </w:tbl>
    <w:p w14:paraId="6ECBFFF8">
      <w:pPr>
        <w:pStyle w:val="16"/>
        <w:spacing w:line="360" w:lineRule="auto"/>
        <w:contextualSpacing/>
        <w:rPr>
          <w:rFonts w:ascii="宋体" w:hAnsi="宋体"/>
          <w:color w:val="auto"/>
          <w:highlight w:val="none"/>
        </w:rPr>
      </w:pPr>
      <w:r>
        <w:rPr>
          <w:rFonts w:hint="eastAsia" w:ascii="宋体" w:hAnsi="宋体"/>
          <w:color w:val="auto"/>
          <w:highlight w:val="none"/>
        </w:rPr>
        <w:t>注：</w:t>
      </w:r>
    </w:p>
    <w:p w14:paraId="2327AE6D">
      <w:pPr>
        <w:pStyle w:val="18"/>
        <w:spacing w:line="360" w:lineRule="auto"/>
        <w:ind w:firstLine="0" w:firstLineChars="0"/>
        <w:contextualSpacing/>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445B63A3">
      <w:pPr>
        <w:pStyle w:val="16"/>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10A4E78">
      <w:pPr>
        <w:pStyle w:val="16"/>
        <w:spacing w:line="360" w:lineRule="auto"/>
        <w:contextualSpacing/>
        <w:rPr>
          <w:rFonts w:ascii="宋体" w:hAnsi="宋体"/>
          <w:color w:val="auto"/>
          <w:spacing w:val="20"/>
          <w:highlight w:val="none"/>
        </w:rPr>
      </w:pPr>
    </w:p>
    <w:p w14:paraId="0370F470">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F5E31ED">
      <w:pP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BAE09C6">
      <w:pP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EB9E614">
      <w:pPr>
        <w:spacing w:line="360" w:lineRule="auto"/>
        <w:contextualSpacing/>
        <w:rPr>
          <w:rFonts w:ascii="宋体" w:hAnsi="宋体"/>
          <w:color w:val="auto"/>
          <w:spacing w:val="20"/>
          <w:sz w:val="24"/>
          <w:highlight w:val="none"/>
          <w:u w:val="single"/>
        </w:rPr>
      </w:pPr>
    </w:p>
    <w:p w14:paraId="1CBC7A24">
      <w:pPr>
        <w:spacing w:line="360" w:lineRule="auto"/>
        <w:contextualSpacing/>
        <w:rPr>
          <w:rFonts w:ascii="宋体" w:hAnsi="宋体"/>
          <w:color w:val="auto"/>
          <w:sz w:val="24"/>
          <w:szCs w:val="20"/>
          <w:highlight w:val="none"/>
        </w:rPr>
      </w:pPr>
    </w:p>
    <w:p w14:paraId="05A667A3">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10.项目实施人员一览表格式</w:t>
      </w:r>
    </w:p>
    <w:p w14:paraId="5BE2804D">
      <w:pPr>
        <w:snapToGrid w:val="0"/>
        <w:spacing w:before="120" w:beforeLines="50" w:after="50"/>
        <w:ind w:left="142"/>
        <w:jc w:val="left"/>
        <w:rPr>
          <w:rFonts w:ascii="宋体" w:hAnsi="宋体"/>
          <w:b/>
          <w:color w:val="auto"/>
          <w:sz w:val="24"/>
          <w:highlight w:val="none"/>
        </w:rPr>
      </w:pPr>
    </w:p>
    <w:p w14:paraId="1B60EAA2">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70160877">
      <w:pPr>
        <w:pStyle w:val="23"/>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8C5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4F9F3D">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419CB11D">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33438A17">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4115650E">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6CD2959C">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65C28578">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728739E9">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7F91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A638BF">
            <w:pPr>
              <w:snapToGrid w:val="0"/>
              <w:spacing w:before="50" w:after="120" w:afterLines="50"/>
              <w:jc w:val="center"/>
              <w:rPr>
                <w:rFonts w:ascii="宋体" w:hAnsi="宋体"/>
                <w:color w:val="auto"/>
                <w:sz w:val="24"/>
                <w:szCs w:val="20"/>
                <w:highlight w:val="none"/>
              </w:rPr>
            </w:pPr>
          </w:p>
        </w:tc>
        <w:tc>
          <w:tcPr>
            <w:tcW w:w="709" w:type="dxa"/>
            <w:vAlign w:val="center"/>
          </w:tcPr>
          <w:p w14:paraId="63DBE83A">
            <w:pPr>
              <w:snapToGrid w:val="0"/>
              <w:spacing w:before="50" w:after="120" w:afterLines="50"/>
              <w:jc w:val="center"/>
              <w:rPr>
                <w:rFonts w:ascii="宋体" w:hAnsi="宋体"/>
                <w:color w:val="auto"/>
                <w:sz w:val="24"/>
                <w:szCs w:val="20"/>
                <w:highlight w:val="none"/>
              </w:rPr>
            </w:pPr>
          </w:p>
        </w:tc>
        <w:tc>
          <w:tcPr>
            <w:tcW w:w="1701" w:type="dxa"/>
            <w:vAlign w:val="center"/>
          </w:tcPr>
          <w:p w14:paraId="0668E80B">
            <w:pPr>
              <w:snapToGrid w:val="0"/>
              <w:spacing w:before="50" w:after="120" w:afterLines="50"/>
              <w:jc w:val="center"/>
              <w:rPr>
                <w:rFonts w:ascii="宋体" w:hAnsi="宋体"/>
                <w:color w:val="auto"/>
                <w:sz w:val="24"/>
                <w:szCs w:val="20"/>
                <w:highlight w:val="none"/>
              </w:rPr>
            </w:pPr>
          </w:p>
        </w:tc>
        <w:tc>
          <w:tcPr>
            <w:tcW w:w="1420" w:type="dxa"/>
            <w:vAlign w:val="center"/>
          </w:tcPr>
          <w:p w14:paraId="019AA1DA">
            <w:pPr>
              <w:snapToGrid w:val="0"/>
              <w:spacing w:before="50" w:after="120" w:afterLines="50"/>
              <w:jc w:val="center"/>
              <w:rPr>
                <w:rFonts w:ascii="宋体" w:hAnsi="宋体"/>
                <w:color w:val="auto"/>
                <w:sz w:val="24"/>
                <w:szCs w:val="20"/>
                <w:highlight w:val="none"/>
              </w:rPr>
            </w:pPr>
          </w:p>
        </w:tc>
        <w:tc>
          <w:tcPr>
            <w:tcW w:w="1698" w:type="dxa"/>
            <w:vAlign w:val="center"/>
          </w:tcPr>
          <w:p w14:paraId="243FCFFC">
            <w:pPr>
              <w:snapToGrid w:val="0"/>
              <w:spacing w:before="50" w:after="120" w:afterLines="50"/>
              <w:jc w:val="center"/>
              <w:rPr>
                <w:rFonts w:ascii="宋体" w:hAnsi="宋体"/>
                <w:color w:val="auto"/>
                <w:sz w:val="24"/>
                <w:szCs w:val="20"/>
                <w:highlight w:val="none"/>
              </w:rPr>
            </w:pPr>
          </w:p>
        </w:tc>
        <w:tc>
          <w:tcPr>
            <w:tcW w:w="1843" w:type="dxa"/>
            <w:vAlign w:val="center"/>
          </w:tcPr>
          <w:p w14:paraId="3F1ABB55">
            <w:pPr>
              <w:snapToGrid w:val="0"/>
              <w:spacing w:before="50" w:after="120" w:afterLines="50"/>
              <w:jc w:val="center"/>
              <w:rPr>
                <w:rFonts w:ascii="宋体" w:hAnsi="宋体"/>
                <w:color w:val="auto"/>
                <w:sz w:val="24"/>
                <w:szCs w:val="20"/>
                <w:highlight w:val="none"/>
              </w:rPr>
            </w:pPr>
          </w:p>
        </w:tc>
      </w:tr>
      <w:tr w14:paraId="6E9E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074284">
            <w:pPr>
              <w:snapToGrid w:val="0"/>
              <w:spacing w:before="50" w:after="120" w:afterLines="50"/>
              <w:jc w:val="center"/>
              <w:rPr>
                <w:rFonts w:ascii="宋体" w:hAnsi="宋体"/>
                <w:color w:val="auto"/>
                <w:sz w:val="24"/>
                <w:szCs w:val="20"/>
                <w:highlight w:val="none"/>
              </w:rPr>
            </w:pPr>
          </w:p>
        </w:tc>
        <w:tc>
          <w:tcPr>
            <w:tcW w:w="709" w:type="dxa"/>
            <w:vAlign w:val="center"/>
          </w:tcPr>
          <w:p w14:paraId="6A8F8AB5">
            <w:pPr>
              <w:snapToGrid w:val="0"/>
              <w:spacing w:before="50" w:after="120" w:afterLines="50"/>
              <w:jc w:val="center"/>
              <w:rPr>
                <w:rFonts w:ascii="宋体" w:hAnsi="宋体"/>
                <w:color w:val="auto"/>
                <w:sz w:val="24"/>
                <w:szCs w:val="20"/>
                <w:highlight w:val="none"/>
              </w:rPr>
            </w:pPr>
          </w:p>
        </w:tc>
        <w:tc>
          <w:tcPr>
            <w:tcW w:w="1701" w:type="dxa"/>
            <w:vAlign w:val="center"/>
          </w:tcPr>
          <w:p w14:paraId="1FC929E8">
            <w:pPr>
              <w:snapToGrid w:val="0"/>
              <w:spacing w:before="50" w:after="120" w:afterLines="50"/>
              <w:jc w:val="center"/>
              <w:rPr>
                <w:rFonts w:ascii="宋体" w:hAnsi="宋体"/>
                <w:color w:val="auto"/>
                <w:sz w:val="24"/>
                <w:szCs w:val="20"/>
                <w:highlight w:val="none"/>
              </w:rPr>
            </w:pPr>
          </w:p>
        </w:tc>
        <w:tc>
          <w:tcPr>
            <w:tcW w:w="1420" w:type="dxa"/>
            <w:vAlign w:val="center"/>
          </w:tcPr>
          <w:p w14:paraId="03596F32">
            <w:pPr>
              <w:snapToGrid w:val="0"/>
              <w:spacing w:before="50" w:after="120" w:afterLines="50"/>
              <w:jc w:val="center"/>
              <w:rPr>
                <w:rFonts w:ascii="宋体" w:hAnsi="宋体"/>
                <w:color w:val="auto"/>
                <w:sz w:val="24"/>
                <w:szCs w:val="20"/>
                <w:highlight w:val="none"/>
              </w:rPr>
            </w:pPr>
          </w:p>
        </w:tc>
        <w:tc>
          <w:tcPr>
            <w:tcW w:w="1698" w:type="dxa"/>
            <w:vAlign w:val="center"/>
          </w:tcPr>
          <w:p w14:paraId="190B7056">
            <w:pPr>
              <w:snapToGrid w:val="0"/>
              <w:spacing w:before="50" w:after="120" w:afterLines="50"/>
              <w:jc w:val="center"/>
              <w:rPr>
                <w:rFonts w:ascii="宋体" w:hAnsi="宋体"/>
                <w:color w:val="auto"/>
                <w:sz w:val="24"/>
                <w:szCs w:val="20"/>
                <w:highlight w:val="none"/>
              </w:rPr>
            </w:pPr>
          </w:p>
        </w:tc>
        <w:tc>
          <w:tcPr>
            <w:tcW w:w="1843" w:type="dxa"/>
            <w:vAlign w:val="center"/>
          </w:tcPr>
          <w:p w14:paraId="66E15C4C">
            <w:pPr>
              <w:snapToGrid w:val="0"/>
              <w:spacing w:before="50" w:after="120" w:afterLines="50"/>
              <w:jc w:val="center"/>
              <w:rPr>
                <w:rFonts w:ascii="宋体" w:hAnsi="宋体"/>
                <w:color w:val="auto"/>
                <w:sz w:val="24"/>
                <w:szCs w:val="20"/>
                <w:highlight w:val="none"/>
              </w:rPr>
            </w:pPr>
          </w:p>
        </w:tc>
      </w:tr>
      <w:tr w14:paraId="4444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6A0BDA">
            <w:pPr>
              <w:snapToGrid w:val="0"/>
              <w:spacing w:before="50" w:after="120" w:afterLines="50"/>
              <w:jc w:val="center"/>
              <w:rPr>
                <w:rFonts w:ascii="宋体" w:hAnsi="宋体"/>
                <w:color w:val="auto"/>
                <w:sz w:val="24"/>
                <w:szCs w:val="20"/>
                <w:highlight w:val="none"/>
              </w:rPr>
            </w:pPr>
          </w:p>
        </w:tc>
        <w:tc>
          <w:tcPr>
            <w:tcW w:w="709" w:type="dxa"/>
            <w:vAlign w:val="center"/>
          </w:tcPr>
          <w:p w14:paraId="775597AA">
            <w:pPr>
              <w:snapToGrid w:val="0"/>
              <w:spacing w:before="50" w:after="120" w:afterLines="50"/>
              <w:jc w:val="center"/>
              <w:rPr>
                <w:rFonts w:ascii="宋体" w:hAnsi="宋体"/>
                <w:color w:val="auto"/>
                <w:sz w:val="24"/>
                <w:szCs w:val="20"/>
                <w:highlight w:val="none"/>
              </w:rPr>
            </w:pPr>
          </w:p>
        </w:tc>
        <w:tc>
          <w:tcPr>
            <w:tcW w:w="1701" w:type="dxa"/>
            <w:vAlign w:val="center"/>
          </w:tcPr>
          <w:p w14:paraId="29A83D0F">
            <w:pPr>
              <w:snapToGrid w:val="0"/>
              <w:spacing w:before="50" w:after="120" w:afterLines="50"/>
              <w:jc w:val="center"/>
              <w:rPr>
                <w:rFonts w:ascii="宋体" w:hAnsi="宋体"/>
                <w:color w:val="auto"/>
                <w:sz w:val="24"/>
                <w:szCs w:val="20"/>
                <w:highlight w:val="none"/>
              </w:rPr>
            </w:pPr>
          </w:p>
        </w:tc>
        <w:tc>
          <w:tcPr>
            <w:tcW w:w="1420" w:type="dxa"/>
            <w:vAlign w:val="center"/>
          </w:tcPr>
          <w:p w14:paraId="363B3C4B">
            <w:pPr>
              <w:snapToGrid w:val="0"/>
              <w:spacing w:before="50" w:after="120" w:afterLines="50"/>
              <w:jc w:val="center"/>
              <w:rPr>
                <w:rFonts w:ascii="宋体" w:hAnsi="宋体"/>
                <w:color w:val="auto"/>
                <w:sz w:val="24"/>
                <w:szCs w:val="20"/>
                <w:highlight w:val="none"/>
              </w:rPr>
            </w:pPr>
          </w:p>
        </w:tc>
        <w:tc>
          <w:tcPr>
            <w:tcW w:w="1698" w:type="dxa"/>
            <w:vAlign w:val="center"/>
          </w:tcPr>
          <w:p w14:paraId="1984ECE7">
            <w:pPr>
              <w:snapToGrid w:val="0"/>
              <w:spacing w:before="50" w:after="120" w:afterLines="50"/>
              <w:jc w:val="center"/>
              <w:rPr>
                <w:rFonts w:ascii="宋体" w:hAnsi="宋体"/>
                <w:color w:val="auto"/>
                <w:sz w:val="24"/>
                <w:szCs w:val="20"/>
                <w:highlight w:val="none"/>
              </w:rPr>
            </w:pPr>
          </w:p>
        </w:tc>
        <w:tc>
          <w:tcPr>
            <w:tcW w:w="1843" w:type="dxa"/>
            <w:vAlign w:val="center"/>
          </w:tcPr>
          <w:p w14:paraId="1B8123BA">
            <w:pPr>
              <w:snapToGrid w:val="0"/>
              <w:spacing w:before="50" w:after="120" w:afterLines="50"/>
              <w:jc w:val="center"/>
              <w:rPr>
                <w:rFonts w:ascii="宋体" w:hAnsi="宋体"/>
                <w:color w:val="auto"/>
                <w:sz w:val="24"/>
                <w:szCs w:val="20"/>
                <w:highlight w:val="none"/>
              </w:rPr>
            </w:pPr>
          </w:p>
        </w:tc>
      </w:tr>
    </w:tbl>
    <w:p w14:paraId="0A5DE599">
      <w:pPr>
        <w:snapToGrid w:val="0"/>
        <w:spacing w:before="50" w:after="120" w:afterLines="50"/>
        <w:jc w:val="left"/>
        <w:rPr>
          <w:rFonts w:ascii="宋体" w:hAnsi="宋体"/>
          <w:color w:val="auto"/>
          <w:sz w:val="24"/>
          <w:szCs w:val="20"/>
          <w:highlight w:val="none"/>
        </w:rPr>
      </w:pPr>
    </w:p>
    <w:p w14:paraId="4F3DC2FF">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F6E951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205B69A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2.投标人应当附本表所列证书的复印件并加盖投标人电子签章。</w:t>
      </w:r>
    </w:p>
    <w:p w14:paraId="6DF01522">
      <w:pPr>
        <w:spacing w:line="360" w:lineRule="auto"/>
        <w:contextualSpacing/>
        <w:jc w:val="left"/>
        <w:rPr>
          <w:rFonts w:ascii="宋体" w:hAnsi="宋体"/>
          <w:color w:val="auto"/>
          <w:sz w:val="24"/>
          <w:szCs w:val="20"/>
          <w:highlight w:val="none"/>
        </w:rPr>
      </w:pPr>
    </w:p>
    <w:p w14:paraId="2E67BCC7">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CC1E8D8">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60E9C69">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99317E0">
      <w:pPr>
        <w:spacing w:line="360" w:lineRule="auto"/>
        <w:contextualSpacing/>
        <w:jc w:val="left"/>
        <w:rPr>
          <w:rFonts w:ascii="宋体" w:hAnsi="宋体"/>
          <w:color w:val="auto"/>
          <w:sz w:val="24"/>
          <w:szCs w:val="20"/>
          <w:highlight w:val="none"/>
        </w:rPr>
      </w:pPr>
    </w:p>
    <w:p w14:paraId="2B07BAE7">
      <w:pPr>
        <w:snapToGrid w:val="0"/>
        <w:spacing w:before="50" w:after="120" w:afterLines="50"/>
        <w:jc w:val="left"/>
        <w:rPr>
          <w:rFonts w:ascii="宋体" w:hAnsi="宋体"/>
          <w:color w:val="auto"/>
          <w:sz w:val="24"/>
          <w:szCs w:val="20"/>
          <w:highlight w:val="none"/>
        </w:rPr>
      </w:pPr>
    </w:p>
    <w:p w14:paraId="6299F12E">
      <w:pPr>
        <w:snapToGrid w:val="0"/>
        <w:spacing w:before="120" w:beforeLines="50" w:after="50"/>
        <w:jc w:val="left"/>
        <w:rPr>
          <w:rFonts w:ascii="宋体" w:hAnsi="宋体"/>
          <w:color w:val="auto"/>
          <w:sz w:val="24"/>
          <w:szCs w:val="20"/>
          <w:highlight w:val="none"/>
        </w:rPr>
      </w:pPr>
    </w:p>
    <w:p w14:paraId="46C65391">
      <w:pPr>
        <w:snapToGrid w:val="0"/>
        <w:spacing w:before="50" w:after="120" w:afterLines="50"/>
        <w:jc w:val="left"/>
        <w:rPr>
          <w:rFonts w:ascii="宋体" w:hAnsi="宋体"/>
          <w:color w:val="auto"/>
          <w:sz w:val="24"/>
          <w:szCs w:val="20"/>
          <w:highlight w:val="none"/>
        </w:rPr>
      </w:pPr>
    </w:p>
    <w:p w14:paraId="4180C40F">
      <w:pPr>
        <w:rPr>
          <w:b/>
          <w:color w:val="auto"/>
          <w:sz w:val="28"/>
          <w:szCs w:val="28"/>
          <w:highlight w:val="none"/>
        </w:rPr>
      </w:pPr>
      <w:r>
        <w:rPr>
          <w:rFonts w:ascii="宋体" w:hAnsi="宋体"/>
          <w:b/>
          <w:bCs/>
          <w:color w:val="auto"/>
          <w:sz w:val="24"/>
          <w:highlight w:val="none"/>
        </w:rPr>
        <w:br w:type="page"/>
      </w:r>
      <w:bookmarkStart w:id="140" w:name="_Toc19686840"/>
      <w:r>
        <w:rPr>
          <w:rFonts w:hint="eastAsia"/>
          <w:b/>
          <w:color w:val="auto"/>
          <w:sz w:val="28"/>
          <w:szCs w:val="28"/>
          <w:highlight w:val="none"/>
        </w:rPr>
        <w:t>四、其他文书、文件格式</w:t>
      </w:r>
      <w:bookmarkEnd w:id="140"/>
    </w:p>
    <w:p w14:paraId="77805F3B">
      <w:pPr>
        <w:snapToGrid w:val="0"/>
        <w:spacing w:before="120" w:beforeLines="50" w:after="50"/>
        <w:jc w:val="left"/>
        <w:rPr>
          <w:color w:val="auto"/>
          <w:highlight w:val="none"/>
        </w:rPr>
      </w:pP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1</w:t>
      </w:r>
      <w:r>
        <w:rPr>
          <w:rFonts w:hint="eastAsia" w:ascii="宋体" w:hAnsi="宋体"/>
          <w:b/>
          <w:color w:val="auto"/>
          <w:sz w:val="24"/>
          <w:highlight w:val="none"/>
        </w:rPr>
        <w:t>.中小企业声明函格式</w:t>
      </w:r>
    </w:p>
    <w:p w14:paraId="12D2553F">
      <w:pPr>
        <w:rPr>
          <w:color w:val="auto"/>
          <w:highlight w:val="none"/>
        </w:rPr>
      </w:pPr>
    </w:p>
    <w:p w14:paraId="2A1CFA46">
      <w:pPr>
        <w:jc w:val="center"/>
        <w:rPr>
          <w:rFonts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中小企业声明函（服务）</w:t>
      </w:r>
    </w:p>
    <w:p w14:paraId="34BA2599">
      <w:pPr>
        <w:spacing w:before="2" w:line="500" w:lineRule="exact"/>
        <w:rPr>
          <w:rFonts w:ascii="宋体" w:hAnsi="宋体" w:cs="宋体"/>
          <w:b/>
          <w:bCs/>
          <w:color w:val="auto"/>
          <w:sz w:val="24"/>
          <w:highlight w:val="none"/>
        </w:rPr>
      </w:pPr>
    </w:p>
    <w:p w14:paraId="64413413">
      <w:pPr>
        <w:pStyle w:val="17"/>
        <w:spacing w:line="500" w:lineRule="exact"/>
        <w:ind w:right="142" w:firstLine="48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3477A068">
      <w:pPr>
        <w:tabs>
          <w:tab w:val="left" w:pos="1384"/>
          <w:tab w:val="left" w:pos="4562"/>
          <w:tab w:val="left" w:pos="6803"/>
        </w:tabs>
        <w:spacing w:before="13" w:line="500" w:lineRule="exact"/>
        <w:ind w:right="142" w:firstLine="686" w:firstLineChars="2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C519803">
      <w:pPr>
        <w:tabs>
          <w:tab w:val="left" w:pos="1065"/>
          <w:tab w:val="left" w:pos="4262"/>
          <w:tab w:val="left" w:pos="6477"/>
        </w:tabs>
        <w:spacing w:before="20" w:line="500" w:lineRule="exact"/>
        <w:ind w:right="84" w:firstLine="686" w:firstLineChars="2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14189F4">
      <w:pPr>
        <w:pStyle w:val="17"/>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1A56079F">
      <w:pPr>
        <w:pStyle w:val="17"/>
        <w:spacing w:before="34" w:line="500" w:lineRule="exact"/>
        <w:ind w:right="142" w:firstLine="480" w:firstLineChars="200"/>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716F1827">
      <w:pPr>
        <w:pStyle w:val="17"/>
        <w:spacing w:before="34" w:line="500" w:lineRule="exact"/>
        <w:ind w:right="142" w:firstLine="48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4DFE959D">
      <w:pPr>
        <w:pStyle w:val="17"/>
        <w:spacing w:before="56" w:line="500" w:lineRule="exact"/>
        <w:ind w:left="3960" w:right="1808"/>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r>
        <w:rPr>
          <w:rFonts w:ascii="宋体" w:hAnsi="宋体"/>
          <w:color w:val="auto"/>
          <w:highlight w:val="none"/>
        </w:rPr>
        <w:t xml:space="preserve"> </w:t>
      </w:r>
    </w:p>
    <w:p w14:paraId="3ABE9535">
      <w:pPr>
        <w:pStyle w:val="17"/>
        <w:spacing w:before="56" w:line="500" w:lineRule="exact"/>
        <w:ind w:left="3960" w:right="1808"/>
        <w:rPr>
          <w:rFonts w:ascii="宋体" w:hAnsi="宋体"/>
          <w:color w:val="auto"/>
          <w:highlight w:val="none"/>
        </w:rPr>
      </w:pPr>
      <w:r>
        <w:rPr>
          <w:rFonts w:ascii="宋体" w:hAnsi="宋体"/>
          <w:color w:val="auto"/>
          <w:highlight w:val="none"/>
        </w:rPr>
        <w:t>日 期：</w:t>
      </w:r>
    </w:p>
    <w:p w14:paraId="3C6EDEAE">
      <w:pPr>
        <w:rPr>
          <w:rFonts w:ascii="宋体" w:hAnsi="宋体"/>
          <w:color w:val="auto"/>
          <w:sz w:val="24"/>
          <w:highlight w:val="none"/>
        </w:rPr>
      </w:pPr>
      <w:r>
        <w:rPr>
          <w:rFonts w:hint="eastAsia" w:ascii="宋体" w:hAnsi="宋体"/>
          <w:color w:val="auto"/>
          <w:spacing w:val="6"/>
          <w:sz w:val="24"/>
          <w:highlight w:val="none"/>
        </w:rPr>
        <w:t xml:space="preserve"> </w:t>
      </w:r>
    </w:p>
    <w:p w14:paraId="04619D8B">
      <w:pPr>
        <w:ind w:firstLine="480" w:firstLineChars="200"/>
        <w:rPr>
          <w:rFonts w:ascii="宋体" w:hAnsi="宋体"/>
          <w:b/>
          <w:color w:val="auto"/>
          <w:sz w:val="24"/>
          <w:highlight w:val="none"/>
        </w:rPr>
      </w:pPr>
      <w:r>
        <w:rPr>
          <w:rFonts w:hint="eastAsia" w:ascii="宋体" w:hAnsi="宋体"/>
          <w:color w:val="auto"/>
          <w:kern w:val="0"/>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r>
      <w:r>
        <w:rPr>
          <w:rFonts w:hint="eastAsia" w:ascii="宋体" w:hAnsi="宋体"/>
          <w:b/>
          <w:color w:val="auto"/>
          <w:sz w:val="24"/>
          <w:highlight w:val="none"/>
          <w:lang w:val="en-US" w:eastAsia="zh-CN"/>
        </w:rPr>
        <w:t>2</w:t>
      </w:r>
      <w:r>
        <w:rPr>
          <w:rFonts w:hint="eastAsia" w:ascii="宋体" w:hAnsi="宋体"/>
          <w:b/>
          <w:color w:val="auto"/>
          <w:sz w:val="24"/>
          <w:highlight w:val="none"/>
        </w:rPr>
        <w:t>.残疾人福利性单位声明函格式</w:t>
      </w:r>
    </w:p>
    <w:p w14:paraId="2FE5994A">
      <w:pPr>
        <w:spacing w:line="588" w:lineRule="exact"/>
        <w:jc w:val="center"/>
        <w:rPr>
          <w:rFonts w:ascii="仿宋_GB2312" w:eastAsia="仿宋_GB2312"/>
          <w:b/>
          <w:color w:val="auto"/>
          <w:spacing w:val="6"/>
          <w:sz w:val="32"/>
          <w:szCs w:val="32"/>
          <w:highlight w:val="none"/>
        </w:rPr>
      </w:pPr>
      <w:bookmarkStart w:id="141" w:name="OLE_LINK13"/>
      <w:bookmarkStart w:id="142" w:name="OLE_LINK14"/>
    </w:p>
    <w:p w14:paraId="163683C7">
      <w:pPr>
        <w:spacing w:line="588" w:lineRule="exact"/>
        <w:jc w:val="center"/>
        <w:rPr>
          <w:rFonts w:ascii="微软雅黑" w:hAnsi="微软雅黑" w:eastAsia="微软雅黑" w:cs="微软雅黑"/>
          <w:bCs/>
          <w:color w:val="auto"/>
          <w:spacing w:val="6"/>
          <w:sz w:val="44"/>
          <w:szCs w:val="44"/>
          <w:highlight w:val="none"/>
        </w:rPr>
      </w:pPr>
      <w:r>
        <w:rPr>
          <w:rFonts w:hint="eastAsia" w:ascii="微软雅黑" w:hAnsi="微软雅黑" w:eastAsia="微软雅黑" w:cs="微软雅黑"/>
          <w:bCs/>
          <w:color w:val="auto"/>
          <w:spacing w:val="6"/>
          <w:sz w:val="44"/>
          <w:szCs w:val="44"/>
          <w:highlight w:val="none"/>
        </w:rPr>
        <w:t>残疾人福利性单位声明函</w:t>
      </w:r>
    </w:p>
    <w:bookmarkEnd w:id="141"/>
    <w:bookmarkEnd w:id="142"/>
    <w:p w14:paraId="446A1F3E">
      <w:pPr>
        <w:spacing w:line="588" w:lineRule="exact"/>
        <w:rPr>
          <w:rFonts w:ascii="仿宋_GB2312" w:eastAsia="仿宋_GB2312"/>
          <w:b/>
          <w:color w:val="auto"/>
          <w:spacing w:val="6"/>
          <w:sz w:val="30"/>
          <w:szCs w:val="30"/>
          <w:highlight w:val="none"/>
        </w:rPr>
      </w:pPr>
    </w:p>
    <w:p w14:paraId="363D5EF9">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6B713AF0">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71EF0A23">
      <w:pPr>
        <w:spacing w:line="360" w:lineRule="auto"/>
        <w:ind w:firstLine="504" w:firstLineChars="200"/>
        <w:contextualSpacing/>
        <w:rPr>
          <w:rFonts w:ascii="宋体" w:hAnsi="宋体"/>
          <w:color w:val="auto"/>
          <w:spacing w:val="6"/>
          <w:sz w:val="24"/>
          <w:highlight w:val="none"/>
        </w:rPr>
      </w:pPr>
    </w:p>
    <w:p w14:paraId="7A64D1C7">
      <w:pPr>
        <w:spacing w:line="360" w:lineRule="auto"/>
        <w:ind w:firstLine="504" w:firstLineChars="200"/>
        <w:contextualSpacing/>
        <w:rPr>
          <w:rFonts w:ascii="宋体" w:hAnsi="宋体"/>
          <w:color w:val="auto"/>
          <w:spacing w:val="6"/>
          <w:sz w:val="24"/>
          <w:highlight w:val="none"/>
        </w:rPr>
      </w:pPr>
    </w:p>
    <w:p w14:paraId="08D0C33F">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4BDEF66B">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43A038FE">
      <w:pPr>
        <w:spacing w:line="360" w:lineRule="auto"/>
        <w:contextualSpacing/>
        <w:rPr>
          <w:rFonts w:ascii="宋体" w:hAnsi="宋体"/>
          <w:color w:val="auto"/>
          <w:sz w:val="24"/>
          <w:highlight w:val="none"/>
        </w:rPr>
      </w:pPr>
    </w:p>
    <w:p w14:paraId="74B7451B">
      <w:pPr>
        <w:spacing w:line="360" w:lineRule="auto"/>
        <w:contextualSpacing/>
        <w:rPr>
          <w:rFonts w:ascii="宋体" w:hAnsi="宋体"/>
          <w:color w:val="auto"/>
          <w:sz w:val="24"/>
          <w:highlight w:val="none"/>
        </w:rPr>
      </w:pPr>
    </w:p>
    <w:p w14:paraId="35E31F09">
      <w:pPr>
        <w:spacing w:line="360" w:lineRule="auto"/>
        <w:contextualSpacing/>
        <w:rPr>
          <w:rFonts w:ascii="宋体" w:hAnsi="宋体"/>
          <w:color w:val="auto"/>
          <w:sz w:val="24"/>
          <w:highlight w:val="none"/>
        </w:rPr>
      </w:pPr>
    </w:p>
    <w:p w14:paraId="652A6A6B">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7417605">
      <w:pPr>
        <w:pStyle w:val="17"/>
        <w:rPr>
          <w:rFonts w:ascii="宋体" w:hAnsi="宋体"/>
          <w:b/>
          <w:color w:val="auto"/>
          <w:highlight w:val="none"/>
        </w:rPr>
      </w:pPr>
      <w:r>
        <w:rPr>
          <w:rFonts w:ascii="宋体" w:hAnsi="宋体"/>
          <w:color w:val="auto"/>
          <w:highlight w:val="none"/>
        </w:rPr>
        <w:br w:type="page"/>
      </w: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15596DEB">
      <w:pPr>
        <w:pStyle w:val="17"/>
        <w:rPr>
          <w:color w:val="auto"/>
          <w:highlight w:val="none"/>
        </w:rPr>
      </w:pPr>
    </w:p>
    <w:p w14:paraId="22DA8A84">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3500C1FF">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791F1785">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38D638E3">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0D5121C7">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7C898371">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42847013">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6DCC63A3">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55176324">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7D4350E3">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1A831B7D">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32C24A2D">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62A469ED">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5880912C">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574E2A49">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6CB92289">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156ED0D1">
      <w:pPr>
        <w:spacing w:line="360" w:lineRule="auto"/>
        <w:contextualSpacing/>
        <w:rPr>
          <w:rFonts w:ascii="宋体" w:hAnsi="宋体"/>
          <w:color w:val="auto"/>
          <w:sz w:val="24"/>
          <w:highlight w:val="none"/>
        </w:rPr>
      </w:pPr>
    </w:p>
    <w:p w14:paraId="574D9CE5">
      <w:pPr>
        <w:spacing w:line="360" w:lineRule="auto"/>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5788D528">
      <w:pPr>
        <w:spacing w:line="360" w:lineRule="auto"/>
        <w:jc w:val="center"/>
        <w:rPr>
          <w:rFonts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质疑函（格式）</w:t>
      </w:r>
    </w:p>
    <w:p w14:paraId="376642D0">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691DF2E3">
      <w:pPr>
        <w:pStyle w:val="2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CFBD9B0">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4DB0C02">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2685EC1">
      <w:pPr>
        <w:pStyle w:val="23"/>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907C42A">
      <w:pPr>
        <w:pStyle w:val="23"/>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9FD65FD">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93E6683">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79EF93FE">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70D6065">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737FCE6">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9EDE749">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56CEAC4B">
      <w:pPr>
        <w:pStyle w:val="23"/>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51B48BBE">
      <w:pPr>
        <w:pStyle w:val="23"/>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□招标过程   </w:t>
      </w:r>
    </w:p>
    <w:p w14:paraId="1661D157">
      <w:pPr>
        <w:pStyle w:val="23"/>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□招标结果   </w:t>
      </w:r>
    </w:p>
    <w:p w14:paraId="41A8BDDD">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0188972A">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01BCB7F">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55AAB8A">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273C1CC">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1DDE81E8">
      <w:pPr>
        <w:pStyle w:val="23"/>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7C2A701A">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031B98F3">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4C74D5C">
      <w:pPr>
        <w:pStyle w:val="23"/>
        <w:spacing w:line="360" w:lineRule="auto"/>
        <w:ind w:left="25" w:leftChars="12" w:firstLine="352" w:firstLineChars="147"/>
        <w:rPr>
          <w:rFonts w:hAnsi="宋体"/>
          <w:color w:val="auto"/>
          <w:sz w:val="24"/>
          <w:szCs w:val="24"/>
          <w:highlight w:val="none"/>
        </w:rPr>
      </w:pPr>
    </w:p>
    <w:p w14:paraId="7CEFAD45">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1D721A9">
      <w:pPr>
        <w:pStyle w:val="23"/>
        <w:spacing w:line="360" w:lineRule="auto"/>
        <w:ind w:left="25" w:leftChars="12" w:firstLine="352" w:firstLineChars="147"/>
        <w:rPr>
          <w:rFonts w:hAnsi="宋体"/>
          <w:color w:val="auto"/>
          <w:sz w:val="24"/>
          <w:szCs w:val="24"/>
          <w:highlight w:val="none"/>
        </w:rPr>
      </w:pPr>
    </w:p>
    <w:p w14:paraId="053311F6">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344BB60">
      <w:pPr>
        <w:pStyle w:val="23"/>
        <w:snapToGrid w:val="0"/>
        <w:spacing w:line="360" w:lineRule="auto"/>
        <w:rPr>
          <w:rFonts w:hAnsi="宋体"/>
          <w:b/>
          <w:color w:val="auto"/>
          <w:sz w:val="24"/>
          <w:szCs w:val="24"/>
          <w:highlight w:val="none"/>
        </w:rPr>
      </w:pPr>
    </w:p>
    <w:p w14:paraId="4ED4FD68">
      <w:pPr>
        <w:pStyle w:val="23"/>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5C0A6D13">
      <w:pPr>
        <w:pStyle w:val="2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7075A21">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1970DE">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B0BB610">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4B544D3E">
      <w:pPr>
        <w:pStyle w:val="23"/>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C241DA9">
      <w:pPr>
        <w:spacing w:line="460" w:lineRule="exact"/>
        <w:rPr>
          <w:rFonts w:eastAsia="隶书"/>
          <w:color w:val="auto"/>
          <w:sz w:val="44"/>
          <w:highlight w:val="none"/>
        </w:rPr>
      </w:pPr>
    </w:p>
    <w:p w14:paraId="1092C9F1">
      <w:pPr>
        <w:spacing w:line="360" w:lineRule="auto"/>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5</w:t>
      </w:r>
      <w:r>
        <w:rPr>
          <w:rFonts w:hint="eastAsia" w:ascii="宋体" w:hAnsi="宋体"/>
          <w:b/>
          <w:color w:val="auto"/>
          <w:sz w:val="24"/>
          <w:highlight w:val="none"/>
        </w:rPr>
        <w:t>.投诉书（格式）</w:t>
      </w:r>
    </w:p>
    <w:p w14:paraId="6A59EB9B">
      <w:pPr>
        <w:spacing w:line="360" w:lineRule="auto"/>
        <w:jc w:val="center"/>
        <w:rPr>
          <w:rFonts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投诉书（格式）</w:t>
      </w:r>
    </w:p>
    <w:p w14:paraId="16B076F9">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AD0E3E2">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AC31C23">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A1B25AE">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7E818289">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979CB90">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0832EA6">
      <w:pPr>
        <w:pStyle w:val="23"/>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A18041">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5C21150">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011ED96C">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787AFEC">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B74A03D">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4342FA5">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7114A940">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40ADF410">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C78CE5F">
      <w:pPr>
        <w:pStyle w:val="23"/>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191F411">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74D1D33">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465EC18">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451F21E5">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56642B7A">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BE4C6A1">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72A4EA1F">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BB6AD16">
      <w:pPr>
        <w:pStyle w:val="23"/>
        <w:spacing w:line="360" w:lineRule="auto"/>
        <w:ind w:left="25" w:leftChars="12" w:firstLine="472" w:firstLineChars="197"/>
        <w:rPr>
          <w:rFonts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6A1AE85A">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2550A9DA">
      <w:pPr>
        <w:pStyle w:val="23"/>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290CBEA">
      <w:pPr>
        <w:pStyle w:val="23"/>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7EBA0EF">
      <w:pPr>
        <w:pStyle w:val="23"/>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589AAE6">
      <w:pPr>
        <w:pStyle w:val="23"/>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D6DE443">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5BDACCB5">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3EC2AF2">
      <w:pPr>
        <w:pStyle w:val="23"/>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6387508">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7EEE9C21">
      <w:pPr>
        <w:pStyle w:val="23"/>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2E8913B">
      <w:pPr>
        <w:pStyle w:val="23"/>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F1845FF">
      <w:pPr>
        <w:pStyle w:val="23"/>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1421F00">
      <w:pPr>
        <w:pStyle w:val="23"/>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10AC3B43">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3A6A4159">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959BC2A">
      <w:pPr>
        <w:pStyle w:val="23"/>
        <w:spacing w:line="360" w:lineRule="auto"/>
        <w:ind w:left="25" w:leftChars="12" w:firstLine="352" w:firstLineChars="147"/>
        <w:rPr>
          <w:rFonts w:hAnsi="宋体"/>
          <w:color w:val="auto"/>
          <w:sz w:val="24"/>
          <w:szCs w:val="24"/>
          <w:highlight w:val="none"/>
        </w:rPr>
      </w:pPr>
    </w:p>
    <w:p w14:paraId="22946004">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1343B3E">
      <w:pPr>
        <w:pStyle w:val="23"/>
        <w:spacing w:line="360" w:lineRule="auto"/>
        <w:ind w:left="25" w:leftChars="12" w:firstLine="352" w:firstLineChars="147"/>
        <w:rPr>
          <w:rFonts w:hAnsi="宋体"/>
          <w:color w:val="auto"/>
          <w:sz w:val="24"/>
          <w:szCs w:val="24"/>
          <w:highlight w:val="none"/>
        </w:rPr>
      </w:pPr>
    </w:p>
    <w:p w14:paraId="3BD17F6F">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F128ADB">
      <w:pPr>
        <w:pStyle w:val="23"/>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3565E2FA">
      <w:pPr>
        <w:pStyle w:val="2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0C16E8F">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7BB2058">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0D492E2">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613A373">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0A7220DD">
      <w:pPr>
        <w:pStyle w:val="23"/>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6" w:type="first"/>
      <w:headerReference r:id="rId13" w:type="default"/>
      <w:footerReference r:id="rId14" w:type="default"/>
      <w:footerReference r:id="rId15"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4EC352-568D-4607-82DF-DEAD64B5EE26}"/>
  </w:font>
  <w:font w:name="黑体">
    <w:panose1 w:val="02010609060101010101"/>
    <w:charset w:val="86"/>
    <w:family w:val="auto"/>
    <w:pitch w:val="default"/>
    <w:sig w:usb0="800002BF" w:usb1="38CF7CFA" w:usb2="00000016" w:usb3="00000000" w:csb0="00040001" w:csb1="00000000"/>
    <w:embedRegular r:id="rId2" w:fontKey="{042C8E97-E5B7-431C-9F18-D1984A864364}"/>
  </w:font>
  <w:font w:name="Courier New">
    <w:panose1 w:val="02070309020205020404"/>
    <w:charset w:val="01"/>
    <w:family w:val="modern"/>
    <w:pitch w:val="default"/>
    <w:sig w:usb0="E0002EFF" w:usb1="C0007843" w:usb2="00000009" w:usb3="00000000" w:csb0="400001FF" w:csb1="FFFF0000"/>
    <w:embedRegular r:id="rId3" w:fontKey="{F7C56FA1-4F6B-4A40-B66E-B83A1CD1CF8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333382F3-9200-4272-BBBB-04417920E5DF}"/>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embedRegular r:id="rId5" w:fontKey="{7DD0B150-8F4F-4E71-9EC3-B1BD131B548B}"/>
  </w:font>
  <w:font w:name="华文新魏">
    <w:altName w:val="宋体"/>
    <w:panose1 w:val="02010800040101010101"/>
    <w:charset w:val="86"/>
    <w:family w:val="auto"/>
    <w:pitch w:val="default"/>
    <w:sig w:usb0="00000000" w:usb1="00000000" w:usb2="00000000" w:usb3="00000000" w:csb0="00040000" w:csb1="00000000"/>
    <w:embedRegular r:id="rId6" w:fontKey="{3B413EBB-C07D-4BFA-B48C-DCB6C612119B}"/>
  </w:font>
  <w:font w:name="华文仿宋">
    <w:altName w:val="仿宋"/>
    <w:panose1 w:val="02010600040101010101"/>
    <w:charset w:val="86"/>
    <w:family w:val="auto"/>
    <w:pitch w:val="default"/>
    <w:sig w:usb0="00000000" w:usb1="00000000" w:usb2="00000000" w:usb3="00000000" w:csb0="0004009F" w:csb1="DFD70000"/>
    <w:embedRegular r:id="rId7" w:fontKey="{B07326C7-42A4-4555-8B6D-57CB2E2747C9}"/>
  </w:font>
  <w:font w:name="仿宋">
    <w:panose1 w:val="02010609060101010101"/>
    <w:charset w:val="86"/>
    <w:family w:val="modern"/>
    <w:pitch w:val="default"/>
    <w:sig w:usb0="800002BF" w:usb1="38CF7CFA" w:usb2="00000016" w:usb3="00000000" w:csb0="00040001" w:csb1="00000000"/>
    <w:embedRegular r:id="rId8" w:fontKey="{53E1515C-F31E-40C6-B819-87E13962666C}"/>
  </w:font>
  <w:font w:name="楷体">
    <w:panose1 w:val="02010609060101010101"/>
    <w:charset w:val="86"/>
    <w:family w:val="auto"/>
    <w:pitch w:val="default"/>
    <w:sig w:usb0="800002BF" w:usb1="38CF7CFA" w:usb2="00000016" w:usb3="00000000" w:csb0="00040001" w:csb1="00000000"/>
    <w:embedRegular r:id="rId9" w:fontKey="{D23B0604-D99A-4591-A73C-343AF0B5F493}"/>
  </w:font>
  <w:font w:name="隶书">
    <w:altName w:val="微软雅黑"/>
    <w:panose1 w:val="02010509060101010101"/>
    <w:charset w:val="86"/>
    <w:family w:val="modern"/>
    <w:pitch w:val="default"/>
    <w:sig w:usb0="00000000" w:usb1="00000000" w:usb2="00000010" w:usb3="00000000" w:csb0="00040000" w:csb1="00000000"/>
    <w:embedRegular r:id="rId10" w:fontKey="{D00DDCDC-D491-4234-BE16-38F1B5C0B3B4}"/>
  </w:font>
  <w:font w:name="WPSEMBED1">
    <w:panose1 w:val="02010609030101010101"/>
    <w:charset w:val="86"/>
    <w:family w:val="auto"/>
    <w:pitch w:val="default"/>
    <w:sig w:usb0="00000001" w:usb1="080E0000" w:usb2="00000000" w:usb3="00000000" w:csb0="00040000"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7E21">
    <w:pPr>
      <w:pStyle w:val="29"/>
      <w:jc w:val="center"/>
    </w:pPr>
  </w:p>
  <w:p w14:paraId="0691883E">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23CB">
    <w:pPr>
      <w:pStyle w:val="29"/>
      <w:framePr w:wrap="around" w:vAnchor="text" w:hAnchor="margin" w:xAlign="center" w:y="1"/>
      <w:rPr>
        <w:rStyle w:val="49"/>
      </w:rPr>
    </w:pPr>
    <w:r>
      <w:fldChar w:fldCharType="begin"/>
    </w:r>
    <w:r>
      <w:rPr>
        <w:rStyle w:val="49"/>
      </w:rPr>
      <w:instrText xml:space="preserve">PAGE  </w:instrText>
    </w:r>
    <w:r>
      <w:fldChar w:fldCharType="end"/>
    </w:r>
  </w:p>
  <w:p w14:paraId="77EAE0EF">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D399">
    <w:pPr>
      <w:pStyle w:val="29"/>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97FE87">
                          <w:pPr>
                            <w:pStyle w:val="29"/>
                          </w:pPr>
                          <w:r>
                            <w:fldChar w:fldCharType="begin"/>
                          </w:r>
                          <w:r>
                            <w:instrText xml:space="preserve"> PAGE  \* MERGEFORMAT </w:instrText>
                          </w:r>
                          <w:r>
                            <w:fldChar w:fldCharType="separate"/>
                          </w:r>
                          <w:r>
                            <w:t>81</w:t>
                          </w:r>
                          <w:r>
                            <w:fldChar w:fldCharType="end"/>
                          </w:r>
                        </w:p>
                      </w:txbxContent>
                    </wps:txbx>
                    <wps:bodyPr wrap="none" lIns="0" tIns="0" rIns="0" bIns="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5d9MMBAACQ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4tgdtzjwy/dvlx+/Lj+/kmX1&#10;8nVWqA9QY+JdwNQ0vPUD7s3sB3Rm4oOKNn+REsE46nu+6iuHRER+tF6t1xWGBMbmC+Kzh+chQnon&#10;vSXZaGjEARZd+ekDpDF1TsnVnL/VxpQhGveXAzGzh+Xexx6zlYb9MBHa+/aMfHqcfUMdrjol5r1D&#10;afOazEacjf1k5BoQ3hwTFi79ZNQRaiqGgyqMpqXKm/DnvWQ9/E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kzl30wwEAAJADAAAOAAAAAAAAAAEAIAAAAB4BAABkcnMvZTJvRG9jLnhtbFBL&#10;BQYAAAAABgAGAFkBAABTBQAAAAA=&#10;">
              <v:fill on="f" focussize="0,0"/>
              <v:stroke on="f"/>
              <v:imagedata o:title=""/>
              <o:lock v:ext="edit" aspectratio="f"/>
              <v:textbox inset="0mm,0mm,0mm,0mm" style="mso-fit-shape-to-text:t;">
                <w:txbxContent>
                  <w:p w14:paraId="4D97FE87">
                    <w:pPr>
                      <w:pStyle w:val="2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CF98B">
    <w:pPr>
      <w:pStyle w:val="29"/>
      <w:jc w:val="center"/>
    </w:pPr>
  </w:p>
  <w:p w14:paraId="182E3240">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19A4">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C5649">
                          <w:pPr>
                            <w:pStyle w:val="2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Yq8QBAACQ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wnI9eAcHtMWLj0k1FHqKkYDqowmpYqb8Kf95L1+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I/Yq8QBAACQAwAADgAAAAAAAAABACAAAAAeAQAAZHJzL2Uyb0RvYy54bWxQ&#10;SwUGAAAAAAYABgBZAQAAVAUAAAAA&#10;">
              <v:fill on="f" focussize="0,0"/>
              <v:stroke on="f"/>
              <v:imagedata o:title=""/>
              <o:lock v:ext="edit" aspectratio="f"/>
              <v:textbox inset="0mm,0mm,0mm,0mm" style="mso-fit-shape-to-text:t;">
                <w:txbxContent>
                  <w:p w14:paraId="349C5649">
                    <w:pPr>
                      <w:pStyle w:val="29"/>
                    </w:pPr>
                    <w:r>
                      <w:fldChar w:fldCharType="begin"/>
                    </w:r>
                    <w:r>
                      <w:instrText xml:space="preserve"> PAGE  \* MERGEFORMAT </w:instrText>
                    </w:r>
                    <w:r>
                      <w:fldChar w:fldCharType="separate"/>
                    </w:r>
                    <w:r>
                      <w:t>14</w:t>
                    </w:r>
                    <w:r>
                      <w:fldChar w:fldCharType="end"/>
                    </w:r>
                  </w:p>
                </w:txbxContent>
              </v:textbox>
            </v:shape>
          </w:pict>
        </mc:Fallback>
      </mc:AlternateContent>
    </w:r>
  </w:p>
  <w:p w14:paraId="12E374A2">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D601">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9FD47">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YkJ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l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GYkJMQBAACQAwAADgAAAAAAAAABACAAAAAeAQAAZHJzL2Uyb0RvYy54bWxQ&#10;SwUGAAAAAAYABgBZAQAAVAUAAAAA&#10;">
              <v:fill on="f" focussize="0,0"/>
              <v:stroke on="f"/>
              <v:imagedata o:title=""/>
              <o:lock v:ext="edit" aspectratio="f"/>
              <v:textbox inset="0mm,0mm,0mm,0mm" style="mso-fit-shape-to-text:t;">
                <w:txbxContent>
                  <w:p w14:paraId="6A19FD47">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5D9BA62">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B006">
    <w:pPr>
      <w:spacing w:beforeAutospacing="0" w:afterAutospacing="0" w:line="196" w:lineRule="auto"/>
      <w:ind w:left="4905"/>
      <w:rPr>
        <w:rFonts w:ascii="Times New Roman" w:hAnsi="Times New Roman" w:eastAsia="Times New Roman" w:cs="Times New Roman"/>
        <w:sz w:val="17"/>
        <w:szCs w:val="17"/>
      </w:rPr>
    </w:pPr>
    <w:r>
      <w:rPr>
        <w:rFonts w:ascii="Times New Roman" w:hAnsi="Times New Roman" w:eastAsia="宋体" w:cs="Times New Roman"/>
        <w:kern w:val="2"/>
        <w:sz w:val="17"/>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矩形 9"/>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14:paraId="5B0ADDE8">
                          <w:pPr>
                            <w:pStyle w:val="29"/>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fBJYn0QAAAAUBAAAPAAAAAAAAAAEAIAAAACIAAABk&#10;cnMvZG93bnJldi54bWxQSwECFAAUAAAACACHTuJAiV25ItQBAACsAwAADgAAAAAAAAABACAAAAAg&#10;AQAAZHJzL2Uyb0RvYy54bWxQSwUGAAAAAAYABgBZAQAAZgUAAAAA&#10;">
              <v:fill on="f" focussize="0,0"/>
              <v:stroke on="f" weight="1pt"/>
              <v:imagedata o:title=""/>
              <o:lock v:ext="edit" aspectratio="f"/>
              <v:textbox inset="0mm,0mm,0mm,0mm" style="mso-fit-shape-to-text:t;">
                <w:txbxContent>
                  <w:p w14:paraId="5B0ADDE8">
                    <w:pPr>
                      <w:pStyle w:val="29"/>
                    </w:pPr>
                    <w:r>
                      <w:fldChar w:fldCharType="begin"/>
                    </w:r>
                    <w:r>
                      <w:instrText xml:space="preserve"> PAGE  \* MERGEFORMAT </w:instrText>
                    </w:r>
                    <w:r>
                      <w:fldChar w:fldCharType="separate"/>
                    </w:r>
                    <w:r>
                      <w:t>13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C1DF">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BD14C">
                          <w:pPr>
                            <w:pStyle w:val="29"/>
                          </w:pPr>
                          <w:r>
                            <w:fldChar w:fldCharType="begin"/>
                          </w:r>
                          <w:r>
                            <w:instrText xml:space="preserve"> PAGE  \* MERGEFORMAT </w:instrText>
                          </w:r>
                          <w:r>
                            <w:fldChar w:fldCharType="separate"/>
                          </w:r>
                          <w:r>
                            <w:t>80</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f87MQBAACQ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6mf87MQBAACQAwAADgAAAAAAAAABACAAAAAeAQAAZHJzL2Uyb0RvYy54bWxQ&#10;SwUGAAAAAAYABgBZAQAAVAUAAAAA&#10;">
              <v:fill on="f" focussize="0,0"/>
              <v:stroke on="f"/>
              <v:imagedata o:title=""/>
              <o:lock v:ext="edit" aspectratio="f"/>
              <v:textbox inset="0mm,0mm,0mm,0mm" style="mso-fit-shape-to-text:t;">
                <w:txbxContent>
                  <w:p w14:paraId="032BD14C">
                    <w:pPr>
                      <w:pStyle w:val="29"/>
                    </w:pPr>
                    <w:r>
                      <w:fldChar w:fldCharType="begin"/>
                    </w:r>
                    <w:r>
                      <w:instrText xml:space="preserve"> PAGE  \* MERGEFORMAT </w:instrText>
                    </w:r>
                    <w:r>
                      <w:fldChar w:fldCharType="separate"/>
                    </w:r>
                    <w:r>
                      <w:t>80</w:t>
                    </w:r>
                    <w:r>
                      <w:fldChar w:fldCharType="end"/>
                    </w:r>
                  </w:p>
                </w:txbxContent>
              </v:textbox>
            </v:shape>
          </w:pict>
        </mc:Fallback>
      </mc:AlternateContent>
    </w:r>
  </w:p>
  <w:p w14:paraId="1BF54E26">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B6EC">
    <w:pPr>
      <w:pStyle w:val="29"/>
      <w:framePr w:wrap="around" w:vAnchor="text" w:hAnchor="margin" w:xAlign="center" w:y="1"/>
      <w:rPr>
        <w:rStyle w:val="49"/>
      </w:rPr>
    </w:pPr>
    <w:r>
      <w:fldChar w:fldCharType="begin"/>
    </w:r>
    <w:r>
      <w:rPr>
        <w:rStyle w:val="49"/>
      </w:rPr>
      <w:instrText xml:space="preserve">PAGE  </w:instrText>
    </w:r>
    <w:r>
      <w:fldChar w:fldCharType="end"/>
    </w:r>
  </w:p>
  <w:p w14:paraId="230572A6">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89CB">
    <w:pPr>
      <w:pStyle w:val="29"/>
      <w:framePr w:wrap="around" w:vAnchor="text" w:hAnchor="margin" w:xAlign="right" w:y="1"/>
      <w:rPr>
        <w:rStyle w:val="49"/>
      </w:rPr>
    </w:pPr>
    <w:r>
      <w:fldChar w:fldCharType="begin"/>
    </w:r>
    <w:r>
      <w:rPr>
        <w:rStyle w:val="49"/>
      </w:rPr>
      <w:instrText xml:space="preserve">PAGE  </w:instrText>
    </w:r>
    <w:r>
      <w:fldChar w:fldCharType="separate"/>
    </w:r>
    <w:r>
      <w:rPr>
        <w:rStyle w:val="49"/>
      </w:rPr>
      <w:t>122</w:t>
    </w:r>
    <w:r>
      <w:fldChar w:fldCharType="end"/>
    </w:r>
  </w:p>
  <w:p w14:paraId="11B20F89">
    <w:pPr>
      <w:pStyle w:val="29"/>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AFB11">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3E5657">
                          <w:pPr>
                            <w:pStyle w:val="29"/>
                          </w:pPr>
                          <w:r>
                            <w:fldChar w:fldCharType="begin"/>
                          </w:r>
                          <w:r>
                            <w:instrText xml:space="preserve"> PAGE  \* MERGEFORMAT </w:instrText>
                          </w:r>
                          <w:r>
                            <w:fldChar w:fldCharType="separate"/>
                          </w:r>
                          <w:r>
                            <w:t>90</w:t>
                          </w:r>
                          <w:r>
                            <w:fldChar w:fldCharType="end"/>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4AY8QBAACQAwAADgAAAGRycy9lMm9Eb2MueG1srVPNjtMwEL4j8Q6W&#10;79Rpk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o4AY8QBAACQAwAADgAAAAAAAAABACAAAAAeAQAAZHJzL2Uyb0RvYy54bWxQ&#10;SwUGAAAAAAYABgBZAQAAVAUAAAAA&#10;">
              <v:fill on="f" focussize="0,0"/>
              <v:stroke on="f"/>
              <v:imagedata o:title=""/>
              <o:lock v:ext="edit" aspectratio="f"/>
              <v:textbox inset="0mm,0mm,0mm,0mm" style="mso-fit-shape-to-text:t;">
                <w:txbxContent>
                  <w:p w14:paraId="023E5657">
                    <w:pPr>
                      <w:pStyle w:val="29"/>
                    </w:pPr>
                    <w:r>
                      <w:fldChar w:fldCharType="begin"/>
                    </w:r>
                    <w:r>
                      <w:instrText xml:space="preserve"> PAGE  \* MERGEFORMAT </w:instrText>
                    </w:r>
                    <w:r>
                      <w:fldChar w:fldCharType="separate"/>
                    </w:r>
                    <w:r>
                      <w:t>90</w:t>
                    </w:r>
                    <w:r>
                      <w:fldChar w:fldCharType="end"/>
                    </w:r>
                  </w:p>
                </w:txbxContent>
              </v:textbox>
            </v:shape>
          </w:pict>
        </mc:Fallback>
      </mc:AlternateContent>
    </w:r>
  </w:p>
  <w:p w14:paraId="39BE9F9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9E52">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FD76">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C74D">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8B6C8"/>
    <w:multiLevelType w:val="singleLevel"/>
    <w:tmpl w:val="D218B6C8"/>
    <w:lvl w:ilvl="0" w:tentative="0">
      <w:start w:val="1"/>
      <w:numFmt w:val="decimalEnclosedCircleChinese"/>
      <w:suff w:val="space"/>
      <w:lvlText w:val="%1"/>
      <w:lvlJc w:val="left"/>
      <w:rPr>
        <w:rFonts w:hint="eastAsia"/>
      </w:rPr>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35605859"/>
    <w:multiLevelType w:val="singleLevel"/>
    <w:tmpl w:val="35605859"/>
    <w:lvl w:ilvl="0" w:tentative="0">
      <w:start w:val="1"/>
      <w:numFmt w:val="chineseCounting"/>
      <w:suff w:val="space"/>
      <w:lvlText w:val="第%1条"/>
      <w:lvlJc w:val="left"/>
      <w:pPr>
        <w:ind w:left="600" w:leftChars="0" w:firstLine="0" w:firstLineChars="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revisionView w:markup="0"/>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0F8"/>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62E"/>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3E3"/>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17E"/>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8F8"/>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5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A06"/>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07F6C"/>
    <w:rsid w:val="00211470"/>
    <w:rsid w:val="00211922"/>
    <w:rsid w:val="0021213A"/>
    <w:rsid w:val="0021265F"/>
    <w:rsid w:val="00213817"/>
    <w:rsid w:val="00214428"/>
    <w:rsid w:val="002145EB"/>
    <w:rsid w:val="00214681"/>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955"/>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2AE8"/>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70A"/>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005"/>
    <w:rsid w:val="002C0714"/>
    <w:rsid w:val="002C0A96"/>
    <w:rsid w:val="002C0DBA"/>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019"/>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8B2"/>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702"/>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48C8"/>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1C6"/>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EBC"/>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D22"/>
    <w:rsid w:val="00463216"/>
    <w:rsid w:val="0046334D"/>
    <w:rsid w:val="00463848"/>
    <w:rsid w:val="00463BBF"/>
    <w:rsid w:val="00463C95"/>
    <w:rsid w:val="00463E1C"/>
    <w:rsid w:val="00464052"/>
    <w:rsid w:val="00464299"/>
    <w:rsid w:val="00464C9C"/>
    <w:rsid w:val="00465153"/>
    <w:rsid w:val="00465602"/>
    <w:rsid w:val="00466254"/>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85B"/>
    <w:rsid w:val="00482F20"/>
    <w:rsid w:val="00483196"/>
    <w:rsid w:val="00483370"/>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7E3"/>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D27"/>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3E7D"/>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828"/>
    <w:rsid w:val="00555DE6"/>
    <w:rsid w:val="00555EB3"/>
    <w:rsid w:val="005567F6"/>
    <w:rsid w:val="00556C5F"/>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1C1"/>
    <w:rsid w:val="00570505"/>
    <w:rsid w:val="005712E6"/>
    <w:rsid w:val="00572942"/>
    <w:rsid w:val="005730DB"/>
    <w:rsid w:val="00573251"/>
    <w:rsid w:val="005733A8"/>
    <w:rsid w:val="00573B5B"/>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3B2"/>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2B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308"/>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9AE"/>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714"/>
    <w:rsid w:val="006A18BF"/>
    <w:rsid w:val="006A1F58"/>
    <w:rsid w:val="006A242E"/>
    <w:rsid w:val="006A26AB"/>
    <w:rsid w:val="006A298D"/>
    <w:rsid w:val="006A2F80"/>
    <w:rsid w:val="006A3FD6"/>
    <w:rsid w:val="006A4076"/>
    <w:rsid w:val="006A436F"/>
    <w:rsid w:val="006A4C94"/>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C14"/>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9F6"/>
    <w:rsid w:val="00751D06"/>
    <w:rsid w:val="00751D74"/>
    <w:rsid w:val="007521A5"/>
    <w:rsid w:val="00752243"/>
    <w:rsid w:val="007531BA"/>
    <w:rsid w:val="00753959"/>
    <w:rsid w:val="00753DD6"/>
    <w:rsid w:val="00754A4A"/>
    <w:rsid w:val="007567A8"/>
    <w:rsid w:val="00757873"/>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63AE"/>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6C5"/>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39F"/>
    <w:rsid w:val="007944D2"/>
    <w:rsid w:val="00794B19"/>
    <w:rsid w:val="00795B8D"/>
    <w:rsid w:val="00795EB9"/>
    <w:rsid w:val="00795F0E"/>
    <w:rsid w:val="007960A9"/>
    <w:rsid w:val="00797D8F"/>
    <w:rsid w:val="007A0C00"/>
    <w:rsid w:val="007A0E15"/>
    <w:rsid w:val="007A1564"/>
    <w:rsid w:val="007A176E"/>
    <w:rsid w:val="007A19BF"/>
    <w:rsid w:val="007A2A69"/>
    <w:rsid w:val="007A2CF1"/>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1CB2"/>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C9"/>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1F35"/>
    <w:rsid w:val="008324F3"/>
    <w:rsid w:val="00832691"/>
    <w:rsid w:val="0083296B"/>
    <w:rsid w:val="00833547"/>
    <w:rsid w:val="00833852"/>
    <w:rsid w:val="00833AB9"/>
    <w:rsid w:val="008344EC"/>
    <w:rsid w:val="00834820"/>
    <w:rsid w:val="00834C82"/>
    <w:rsid w:val="00834DB6"/>
    <w:rsid w:val="00834F93"/>
    <w:rsid w:val="008354DB"/>
    <w:rsid w:val="008355DD"/>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0A1"/>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A01"/>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5E6A"/>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6D16"/>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0E1"/>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3F4F"/>
    <w:rsid w:val="00934510"/>
    <w:rsid w:val="0093476C"/>
    <w:rsid w:val="00935A1E"/>
    <w:rsid w:val="00935B7C"/>
    <w:rsid w:val="00935BD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5808"/>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0C0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4C9"/>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5BE2"/>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635"/>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3F16"/>
    <w:rsid w:val="00A144B7"/>
    <w:rsid w:val="00A149B4"/>
    <w:rsid w:val="00A15F4F"/>
    <w:rsid w:val="00A160AB"/>
    <w:rsid w:val="00A160F0"/>
    <w:rsid w:val="00A16745"/>
    <w:rsid w:val="00A16747"/>
    <w:rsid w:val="00A17C1D"/>
    <w:rsid w:val="00A20013"/>
    <w:rsid w:val="00A20582"/>
    <w:rsid w:val="00A20C65"/>
    <w:rsid w:val="00A214B2"/>
    <w:rsid w:val="00A21767"/>
    <w:rsid w:val="00A21E7C"/>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54"/>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04"/>
    <w:rsid w:val="00A825C8"/>
    <w:rsid w:val="00A82742"/>
    <w:rsid w:val="00A83984"/>
    <w:rsid w:val="00A83A1E"/>
    <w:rsid w:val="00A84198"/>
    <w:rsid w:val="00A841AB"/>
    <w:rsid w:val="00A844BF"/>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3DF2"/>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083"/>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47E53"/>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2B2"/>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B23"/>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706"/>
    <w:rsid w:val="00BB3B0D"/>
    <w:rsid w:val="00BB524C"/>
    <w:rsid w:val="00BB5917"/>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4CE"/>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23F"/>
    <w:rsid w:val="00BE660B"/>
    <w:rsid w:val="00BE6AFE"/>
    <w:rsid w:val="00BE6BBE"/>
    <w:rsid w:val="00BE6FDA"/>
    <w:rsid w:val="00BE7021"/>
    <w:rsid w:val="00BE7300"/>
    <w:rsid w:val="00BE784F"/>
    <w:rsid w:val="00BE78CE"/>
    <w:rsid w:val="00BE7B7D"/>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1C"/>
    <w:rsid w:val="00C32AD2"/>
    <w:rsid w:val="00C34193"/>
    <w:rsid w:val="00C347FD"/>
    <w:rsid w:val="00C34CA8"/>
    <w:rsid w:val="00C34DAE"/>
    <w:rsid w:val="00C34E1E"/>
    <w:rsid w:val="00C34E5A"/>
    <w:rsid w:val="00C35A84"/>
    <w:rsid w:val="00C36219"/>
    <w:rsid w:val="00C3698E"/>
    <w:rsid w:val="00C36CCA"/>
    <w:rsid w:val="00C36CEC"/>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9CA"/>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0E5E"/>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0CA9"/>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66A"/>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CD6"/>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745"/>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F09"/>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6F7"/>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762"/>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5DD"/>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1A5F"/>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031"/>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47EC6"/>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BDA"/>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AC1"/>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2D9"/>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0DA"/>
    <w:rsid w:val="00E85296"/>
    <w:rsid w:val="00E8533B"/>
    <w:rsid w:val="00E8575B"/>
    <w:rsid w:val="00E85931"/>
    <w:rsid w:val="00E85E4E"/>
    <w:rsid w:val="00E85E59"/>
    <w:rsid w:val="00E862BB"/>
    <w:rsid w:val="00E86327"/>
    <w:rsid w:val="00E868C7"/>
    <w:rsid w:val="00E86DF0"/>
    <w:rsid w:val="00E877D7"/>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4E40"/>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28B"/>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4777C"/>
    <w:rsid w:val="00F50511"/>
    <w:rsid w:val="00F50781"/>
    <w:rsid w:val="00F50CA3"/>
    <w:rsid w:val="00F517ED"/>
    <w:rsid w:val="00F51F3F"/>
    <w:rsid w:val="00F528B5"/>
    <w:rsid w:val="00F528E7"/>
    <w:rsid w:val="00F52A0D"/>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4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29C"/>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1FCE"/>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1078C7"/>
    <w:rsid w:val="01420B2A"/>
    <w:rsid w:val="015324F8"/>
    <w:rsid w:val="01AA2C10"/>
    <w:rsid w:val="01B97F5E"/>
    <w:rsid w:val="01D13FBB"/>
    <w:rsid w:val="028C4370"/>
    <w:rsid w:val="028C4AAF"/>
    <w:rsid w:val="02CB76A6"/>
    <w:rsid w:val="02D7201B"/>
    <w:rsid w:val="02FA5E97"/>
    <w:rsid w:val="037738D8"/>
    <w:rsid w:val="037A3FE6"/>
    <w:rsid w:val="03EE579D"/>
    <w:rsid w:val="04966335"/>
    <w:rsid w:val="053357F0"/>
    <w:rsid w:val="05A96137"/>
    <w:rsid w:val="05B53FF0"/>
    <w:rsid w:val="05C06E69"/>
    <w:rsid w:val="05C56ED2"/>
    <w:rsid w:val="06D522B7"/>
    <w:rsid w:val="075F0692"/>
    <w:rsid w:val="085237C8"/>
    <w:rsid w:val="088A74F8"/>
    <w:rsid w:val="08F53B23"/>
    <w:rsid w:val="09250EB1"/>
    <w:rsid w:val="095C61DF"/>
    <w:rsid w:val="09B47989"/>
    <w:rsid w:val="09CB082F"/>
    <w:rsid w:val="09D71E4B"/>
    <w:rsid w:val="0A070656"/>
    <w:rsid w:val="0A2F7B90"/>
    <w:rsid w:val="0A410AF1"/>
    <w:rsid w:val="0A5D45AC"/>
    <w:rsid w:val="0A834DBD"/>
    <w:rsid w:val="0A913ED8"/>
    <w:rsid w:val="0AC94558"/>
    <w:rsid w:val="0B114967"/>
    <w:rsid w:val="0B24171E"/>
    <w:rsid w:val="0B276013"/>
    <w:rsid w:val="0BB33687"/>
    <w:rsid w:val="0BC26333"/>
    <w:rsid w:val="0C074490"/>
    <w:rsid w:val="0CC873E6"/>
    <w:rsid w:val="0D081F34"/>
    <w:rsid w:val="0D13062C"/>
    <w:rsid w:val="0D2C0E09"/>
    <w:rsid w:val="0D4413BD"/>
    <w:rsid w:val="0D584403"/>
    <w:rsid w:val="0DB02493"/>
    <w:rsid w:val="0DDA523F"/>
    <w:rsid w:val="0E5C239D"/>
    <w:rsid w:val="0E7E40C2"/>
    <w:rsid w:val="0F2E7896"/>
    <w:rsid w:val="0F333B7C"/>
    <w:rsid w:val="0F356C77"/>
    <w:rsid w:val="101C0A97"/>
    <w:rsid w:val="10842C1F"/>
    <w:rsid w:val="10F67974"/>
    <w:rsid w:val="11036B00"/>
    <w:rsid w:val="116353E3"/>
    <w:rsid w:val="117C7228"/>
    <w:rsid w:val="11EC6D9F"/>
    <w:rsid w:val="125E2D2E"/>
    <w:rsid w:val="127B7B7B"/>
    <w:rsid w:val="12B13A26"/>
    <w:rsid w:val="12BC5452"/>
    <w:rsid w:val="12D6790A"/>
    <w:rsid w:val="12F438A7"/>
    <w:rsid w:val="1334693B"/>
    <w:rsid w:val="13977E74"/>
    <w:rsid w:val="141B7F51"/>
    <w:rsid w:val="146F2C7A"/>
    <w:rsid w:val="149E4992"/>
    <w:rsid w:val="15885E50"/>
    <w:rsid w:val="158B6F91"/>
    <w:rsid w:val="15A217AD"/>
    <w:rsid w:val="15C026F1"/>
    <w:rsid w:val="15C6744A"/>
    <w:rsid w:val="16D10B3D"/>
    <w:rsid w:val="17064457"/>
    <w:rsid w:val="178A20FC"/>
    <w:rsid w:val="18046E38"/>
    <w:rsid w:val="189439F5"/>
    <w:rsid w:val="18C643E3"/>
    <w:rsid w:val="191F1517"/>
    <w:rsid w:val="19267830"/>
    <w:rsid w:val="19A277FE"/>
    <w:rsid w:val="1A1E189B"/>
    <w:rsid w:val="1A2665DC"/>
    <w:rsid w:val="1A442DE9"/>
    <w:rsid w:val="1AE04A49"/>
    <w:rsid w:val="1B2D30F7"/>
    <w:rsid w:val="1B9969DF"/>
    <w:rsid w:val="1CCD2810"/>
    <w:rsid w:val="1D321E13"/>
    <w:rsid w:val="1D7019C1"/>
    <w:rsid w:val="1DCF493A"/>
    <w:rsid w:val="1E08360E"/>
    <w:rsid w:val="1E75738B"/>
    <w:rsid w:val="1E8474D2"/>
    <w:rsid w:val="1EBD0C36"/>
    <w:rsid w:val="1F38650F"/>
    <w:rsid w:val="1F462152"/>
    <w:rsid w:val="1F5C568D"/>
    <w:rsid w:val="1F5D7D23"/>
    <w:rsid w:val="1F6B6784"/>
    <w:rsid w:val="1F7F52D7"/>
    <w:rsid w:val="1FF74882"/>
    <w:rsid w:val="206D26B0"/>
    <w:rsid w:val="20780ECB"/>
    <w:rsid w:val="213F35DA"/>
    <w:rsid w:val="21455F84"/>
    <w:rsid w:val="21692768"/>
    <w:rsid w:val="224176AA"/>
    <w:rsid w:val="228C1199"/>
    <w:rsid w:val="22922025"/>
    <w:rsid w:val="235634BB"/>
    <w:rsid w:val="242D24F6"/>
    <w:rsid w:val="24801EBF"/>
    <w:rsid w:val="24977600"/>
    <w:rsid w:val="24C61870"/>
    <w:rsid w:val="25A16BBC"/>
    <w:rsid w:val="260F0F9A"/>
    <w:rsid w:val="26AA0F6E"/>
    <w:rsid w:val="26B53A61"/>
    <w:rsid w:val="27124214"/>
    <w:rsid w:val="272F1A96"/>
    <w:rsid w:val="27AC0841"/>
    <w:rsid w:val="28175089"/>
    <w:rsid w:val="2848646B"/>
    <w:rsid w:val="295145A3"/>
    <w:rsid w:val="297B0CF7"/>
    <w:rsid w:val="29944B13"/>
    <w:rsid w:val="29A50C45"/>
    <w:rsid w:val="2A2C6C70"/>
    <w:rsid w:val="2A51423E"/>
    <w:rsid w:val="2AC83B8D"/>
    <w:rsid w:val="2B1E0D76"/>
    <w:rsid w:val="2B473D61"/>
    <w:rsid w:val="2B911481"/>
    <w:rsid w:val="2D524C40"/>
    <w:rsid w:val="2D615CE9"/>
    <w:rsid w:val="2DDE2AC5"/>
    <w:rsid w:val="2EDD2DD9"/>
    <w:rsid w:val="2EFA61AC"/>
    <w:rsid w:val="2F723467"/>
    <w:rsid w:val="30803872"/>
    <w:rsid w:val="32A02B99"/>
    <w:rsid w:val="33681541"/>
    <w:rsid w:val="33D414D0"/>
    <w:rsid w:val="344C3BD9"/>
    <w:rsid w:val="34792FA7"/>
    <w:rsid w:val="34F62354"/>
    <w:rsid w:val="35580061"/>
    <w:rsid w:val="356D6ABA"/>
    <w:rsid w:val="3575203E"/>
    <w:rsid w:val="35CD358A"/>
    <w:rsid w:val="362A09EF"/>
    <w:rsid w:val="369C1105"/>
    <w:rsid w:val="37467D39"/>
    <w:rsid w:val="37E2350E"/>
    <w:rsid w:val="385F359C"/>
    <w:rsid w:val="3872080B"/>
    <w:rsid w:val="38A11D1B"/>
    <w:rsid w:val="38BF4777"/>
    <w:rsid w:val="38F77C64"/>
    <w:rsid w:val="3918124F"/>
    <w:rsid w:val="397C38EB"/>
    <w:rsid w:val="3988053A"/>
    <w:rsid w:val="3AF11C2B"/>
    <w:rsid w:val="3B4C379E"/>
    <w:rsid w:val="3B81792F"/>
    <w:rsid w:val="3BA80B19"/>
    <w:rsid w:val="3BD01B51"/>
    <w:rsid w:val="3C4240EC"/>
    <w:rsid w:val="3C5A20FB"/>
    <w:rsid w:val="3CAB1C76"/>
    <w:rsid w:val="3DD74340"/>
    <w:rsid w:val="3E020B6B"/>
    <w:rsid w:val="3E75163D"/>
    <w:rsid w:val="3E8B534B"/>
    <w:rsid w:val="3E997760"/>
    <w:rsid w:val="3ECB6600"/>
    <w:rsid w:val="3F3A1FEB"/>
    <w:rsid w:val="3F827606"/>
    <w:rsid w:val="40137766"/>
    <w:rsid w:val="405F6B9A"/>
    <w:rsid w:val="40885740"/>
    <w:rsid w:val="4159270A"/>
    <w:rsid w:val="41610D1E"/>
    <w:rsid w:val="41A93823"/>
    <w:rsid w:val="41CB5019"/>
    <w:rsid w:val="41CE42DF"/>
    <w:rsid w:val="42044303"/>
    <w:rsid w:val="42253D73"/>
    <w:rsid w:val="422B7AE1"/>
    <w:rsid w:val="425F7233"/>
    <w:rsid w:val="42CD172C"/>
    <w:rsid w:val="42DC0426"/>
    <w:rsid w:val="43BF32E9"/>
    <w:rsid w:val="43C76649"/>
    <w:rsid w:val="43F101DB"/>
    <w:rsid w:val="447C5845"/>
    <w:rsid w:val="44B91A5D"/>
    <w:rsid w:val="44BD794F"/>
    <w:rsid w:val="452F03D4"/>
    <w:rsid w:val="455B7E64"/>
    <w:rsid w:val="459A3BBF"/>
    <w:rsid w:val="46145F39"/>
    <w:rsid w:val="46422170"/>
    <w:rsid w:val="46D00C57"/>
    <w:rsid w:val="472E59C5"/>
    <w:rsid w:val="47843179"/>
    <w:rsid w:val="48074335"/>
    <w:rsid w:val="48103003"/>
    <w:rsid w:val="481C50E8"/>
    <w:rsid w:val="485D29BF"/>
    <w:rsid w:val="49065FEA"/>
    <w:rsid w:val="4928477D"/>
    <w:rsid w:val="496E6505"/>
    <w:rsid w:val="4AB2490D"/>
    <w:rsid w:val="4AF875FC"/>
    <w:rsid w:val="4B18194E"/>
    <w:rsid w:val="4BEA27BB"/>
    <w:rsid w:val="4C263D95"/>
    <w:rsid w:val="4D50664E"/>
    <w:rsid w:val="4DD2333E"/>
    <w:rsid w:val="4E4F4B57"/>
    <w:rsid w:val="4E6268C7"/>
    <w:rsid w:val="4E85527A"/>
    <w:rsid w:val="4EAC5711"/>
    <w:rsid w:val="4ECF67E1"/>
    <w:rsid w:val="4EDA0D8F"/>
    <w:rsid w:val="4EF162D8"/>
    <w:rsid w:val="50485D02"/>
    <w:rsid w:val="50584128"/>
    <w:rsid w:val="505C7478"/>
    <w:rsid w:val="50B0103A"/>
    <w:rsid w:val="51B2004B"/>
    <w:rsid w:val="52666914"/>
    <w:rsid w:val="527C2D46"/>
    <w:rsid w:val="52E744EF"/>
    <w:rsid w:val="52E91DE4"/>
    <w:rsid w:val="53195734"/>
    <w:rsid w:val="539C1427"/>
    <w:rsid w:val="53A63BA4"/>
    <w:rsid w:val="555C4B46"/>
    <w:rsid w:val="55622629"/>
    <w:rsid w:val="557701D2"/>
    <w:rsid w:val="56DC31DE"/>
    <w:rsid w:val="570D1A54"/>
    <w:rsid w:val="576C64D8"/>
    <w:rsid w:val="57981946"/>
    <w:rsid w:val="581E2406"/>
    <w:rsid w:val="59575208"/>
    <w:rsid w:val="59670506"/>
    <w:rsid w:val="59AC7302"/>
    <w:rsid w:val="59C33A3E"/>
    <w:rsid w:val="5A226C29"/>
    <w:rsid w:val="5A3A2DDD"/>
    <w:rsid w:val="5A955E00"/>
    <w:rsid w:val="5AE4552C"/>
    <w:rsid w:val="5B210AFC"/>
    <w:rsid w:val="5B6E00E1"/>
    <w:rsid w:val="5B7E4CCE"/>
    <w:rsid w:val="5BA87017"/>
    <w:rsid w:val="5BC3335D"/>
    <w:rsid w:val="5C1F02A5"/>
    <w:rsid w:val="5C1F432D"/>
    <w:rsid w:val="5D170F36"/>
    <w:rsid w:val="5D201747"/>
    <w:rsid w:val="5D457F78"/>
    <w:rsid w:val="5DA31D4F"/>
    <w:rsid w:val="5DF76D59"/>
    <w:rsid w:val="5E903F42"/>
    <w:rsid w:val="5E932486"/>
    <w:rsid w:val="5ED60B35"/>
    <w:rsid w:val="5F950487"/>
    <w:rsid w:val="5FA12D39"/>
    <w:rsid w:val="60430294"/>
    <w:rsid w:val="60447752"/>
    <w:rsid w:val="607448F1"/>
    <w:rsid w:val="60C34F31"/>
    <w:rsid w:val="61501C31"/>
    <w:rsid w:val="61A05A3B"/>
    <w:rsid w:val="625673B5"/>
    <w:rsid w:val="62B1716A"/>
    <w:rsid w:val="638F455E"/>
    <w:rsid w:val="63A14D89"/>
    <w:rsid w:val="643F2103"/>
    <w:rsid w:val="64441196"/>
    <w:rsid w:val="646978EA"/>
    <w:rsid w:val="648F1CFA"/>
    <w:rsid w:val="65AF47D1"/>
    <w:rsid w:val="65DE4CE7"/>
    <w:rsid w:val="66DD4F9F"/>
    <w:rsid w:val="670F0F22"/>
    <w:rsid w:val="67EB36EB"/>
    <w:rsid w:val="682D2EE8"/>
    <w:rsid w:val="68435565"/>
    <w:rsid w:val="686A1C23"/>
    <w:rsid w:val="68C254D1"/>
    <w:rsid w:val="68C70FC8"/>
    <w:rsid w:val="69FF347E"/>
    <w:rsid w:val="6A9562C0"/>
    <w:rsid w:val="6A9A6895"/>
    <w:rsid w:val="6AA14BA3"/>
    <w:rsid w:val="6B241A17"/>
    <w:rsid w:val="6B28556D"/>
    <w:rsid w:val="6B7A2359"/>
    <w:rsid w:val="6BE12F6D"/>
    <w:rsid w:val="6C1E223D"/>
    <w:rsid w:val="6C474C68"/>
    <w:rsid w:val="6C7E39A8"/>
    <w:rsid w:val="6C940947"/>
    <w:rsid w:val="6CB340FA"/>
    <w:rsid w:val="6CD06372"/>
    <w:rsid w:val="6CD24F8A"/>
    <w:rsid w:val="6D1C4347"/>
    <w:rsid w:val="6DC00482"/>
    <w:rsid w:val="6DE54739"/>
    <w:rsid w:val="6DFE2388"/>
    <w:rsid w:val="6E090D07"/>
    <w:rsid w:val="6E9C0F6F"/>
    <w:rsid w:val="6EC97ED5"/>
    <w:rsid w:val="6ECF7183"/>
    <w:rsid w:val="6F983C7A"/>
    <w:rsid w:val="6FC13B19"/>
    <w:rsid w:val="70BE3020"/>
    <w:rsid w:val="7103031A"/>
    <w:rsid w:val="71121F70"/>
    <w:rsid w:val="7166398A"/>
    <w:rsid w:val="719C06EE"/>
    <w:rsid w:val="71A87F57"/>
    <w:rsid w:val="71AD7318"/>
    <w:rsid w:val="71F71069"/>
    <w:rsid w:val="71FB7940"/>
    <w:rsid w:val="726D70E7"/>
    <w:rsid w:val="732E26DE"/>
    <w:rsid w:val="744D5EC9"/>
    <w:rsid w:val="74512B28"/>
    <w:rsid w:val="746A452D"/>
    <w:rsid w:val="74E514C2"/>
    <w:rsid w:val="750A2CD7"/>
    <w:rsid w:val="75956A44"/>
    <w:rsid w:val="75A42485"/>
    <w:rsid w:val="760E6D35"/>
    <w:rsid w:val="76275962"/>
    <w:rsid w:val="763F3A89"/>
    <w:rsid w:val="76EC6B38"/>
    <w:rsid w:val="77161A57"/>
    <w:rsid w:val="779416A9"/>
    <w:rsid w:val="77BC650A"/>
    <w:rsid w:val="77CC74DE"/>
    <w:rsid w:val="781F01BA"/>
    <w:rsid w:val="78AB024B"/>
    <w:rsid w:val="78F04CFD"/>
    <w:rsid w:val="792B0FB3"/>
    <w:rsid w:val="79456B36"/>
    <w:rsid w:val="79523EBC"/>
    <w:rsid w:val="79E65A52"/>
    <w:rsid w:val="7A3538A9"/>
    <w:rsid w:val="7A7C4102"/>
    <w:rsid w:val="7B1403CC"/>
    <w:rsid w:val="7B460269"/>
    <w:rsid w:val="7BD61679"/>
    <w:rsid w:val="7C6A13A2"/>
    <w:rsid w:val="7C744EE5"/>
    <w:rsid w:val="7C9C4E59"/>
    <w:rsid w:val="7CBD0E57"/>
    <w:rsid w:val="7CD135E4"/>
    <w:rsid w:val="7D117C09"/>
    <w:rsid w:val="7E1700E3"/>
    <w:rsid w:val="7E3A63DB"/>
    <w:rsid w:val="7E477448"/>
    <w:rsid w:val="7E723DC7"/>
    <w:rsid w:val="7ED2669B"/>
    <w:rsid w:val="7EF7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7"/>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widowControl/>
      <w:autoSpaceDE/>
      <w:autoSpaceDN/>
      <w:spacing w:before="120" w:after="120" w:line="360" w:lineRule="auto"/>
      <w:ind w:left="0" w:firstLine="0"/>
      <w:jc w:val="center"/>
      <w:outlineLvl w:val="3"/>
    </w:pPr>
    <w:rPr>
      <w:rFonts w:ascii="Arial" w:eastAsia="黑体"/>
      <w:sz w:val="28"/>
    </w:rPr>
  </w:style>
  <w:style w:type="paragraph" w:styleId="6">
    <w:name w:val="heading 5"/>
    <w:basedOn w:val="1"/>
    <w:next w:val="7"/>
    <w:link w:val="58"/>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59"/>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0"/>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2"/>
    <w:qFormat/>
    <w:uiPriority w:val="0"/>
    <w:pPr>
      <w:keepNext/>
      <w:keepLines/>
      <w:numPr>
        <w:ilvl w:val="8"/>
        <w:numId w:val="1"/>
      </w:numPr>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3"/>
    <w:unhideWhenUsed/>
    <w:qFormat/>
    <w:uiPriority w:val="0"/>
    <w:pPr>
      <w:jc w:val="left"/>
    </w:pPr>
  </w:style>
  <w:style w:type="paragraph" w:styleId="16">
    <w:name w:val="Body Text 3"/>
    <w:basedOn w:val="1"/>
    <w:link w:val="64"/>
    <w:qFormat/>
    <w:uiPriority w:val="0"/>
    <w:pPr>
      <w:spacing w:line="500" w:lineRule="exact"/>
    </w:pPr>
    <w:rPr>
      <w:b/>
      <w:bCs/>
      <w:kern w:val="0"/>
      <w:sz w:val="24"/>
    </w:rPr>
  </w:style>
  <w:style w:type="paragraph" w:styleId="17">
    <w:name w:val="Body Text"/>
    <w:basedOn w:val="1"/>
    <w:link w:val="65"/>
    <w:qFormat/>
    <w:uiPriority w:val="99"/>
    <w:pPr>
      <w:spacing w:line="380" w:lineRule="exact"/>
    </w:pPr>
    <w:rPr>
      <w:kern w:val="0"/>
      <w:sz w:val="24"/>
    </w:rPr>
  </w:style>
  <w:style w:type="paragraph" w:styleId="18">
    <w:name w:val="Body Text Indent"/>
    <w:basedOn w:val="1"/>
    <w:link w:val="66"/>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link w:val="67"/>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8"/>
    <w:qFormat/>
    <w:uiPriority w:val="0"/>
    <w:pPr>
      <w:ind w:left="100" w:leftChars="2500"/>
    </w:pPr>
    <w:rPr>
      <w:rFonts w:ascii="宋体" w:hAnsi="Courier New"/>
      <w:kern w:val="0"/>
      <w:sz w:val="20"/>
      <w:szCs w:val="21"/>
    </w:rPr>
  </w:style>
  <w:style w:type="paragraph" w:styleId="26">
    <w:name w:val="Body Text Indent 2"/>
    <w:basedOn w:val="1"/>
    <w:link w:val="69"/>
    <w:qFormat/>
    <w:uiPriority w:val="0"/>
    <w:pPr>
      <w:ind w:firstLine="630"/>
    </w:pPr>
    <w:rPr>
      <w:kern w:val="0"/>
      <w:sz w:val="32"/>
      <w:szCs w:val="20"/>
    </w:rPr>
  </w:style>
  <w:style w:type="paragraph" w:styleId="27">
    <w:name w:val="endnote text"/>
    <w:basedOn w:val="1"/>
    <w:link w:val="70"/>
    <w:unhideWhenUsed/>
    <w:qFormat/>
    <w:uiPriority w:val="99"/>
    <w:pPr>
      <w:snapToGrid w:val="0"/>
      <w:jc w:val="left"/>
    </w:pPr>
  </w:style>
  <w:style w:type="paragraph" w:styleId="28">
    <w:name w:val="Balloon Text"/>
    <w:basedOn w:val="1"/>
    <w:link w:val="71"/>
    <w:semiHidden/>
    <w:qFormat/>
    <w:uiPriority w:val="0"/>
    <w:rPr>
      <w:kern w:val="0"/>
      <w:sz w:val="18"/>
      <w:szCs w:val="18"/>
    </w:rPr>
  </w:style>
  <w:style w:type="paragraph" w:styleId="29">
    <w:name w:val="footer"/>
    <w:basedOn w:val="1"/>
    <w:link w:val="72"/>
    <w:unhideWhenUsed/>
    <w:qFormat/>
    <w:uiPriority w:val="99"/>
    <w:pPr>
      <w:tabs>
        <w:tab w:val="center" w:pos="4153"/>
        <w:tab w:val="right" w:pos="8306"/>
      </w:tabs>
      <w:snapToGrid w:val="0"/>
      <w:jc w:val="left"/>
    </w:pPr>
    <w:rPr>
      <w:kern w:val="0"/>
      <w:sz w:val="18"/>
      <w:szCs w:val="18"/>
    </w:rPr>
  </w:style>
  <w:style w:type="paragraph" w:styleId="30">
    <w:name w:val="header"/>
    <w:basedOn w:val="1"/>
    <w:link w:val="73"/>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4"/>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75"/>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link w:val="76"/>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7"/>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78"/>
    <w:unhideWhenUsed/>
    <w:qFormat/>
    <w:uiPriority w:val="99"/>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rPr>
  </w:style>
  <w:style w:type="character" w:styleId="48">
    <w:name w:val="endnote reference"/>
    <w:unhideWhenUsed/>
    <w:qFormat/>
    <w:uiPriority w:val="99"/>
    <w:rPr>
      <w:vertAlign w:val="superscript"/>
    </w:rPr>
  </w:style>
  <w:style w:type="character" w:styleId="49">
    <w:name w:val="page number"/>
    <w:basedOn w:val="46"/>
    <w:qFormat/>
    <w:uiPriority w:val="0"/>
  </w:style>
  <w:style w:type="character" w:styleId="50">
    <w:name w:val="FollowedHyperlink"/>
    <w:qFormat/>
    <w:uiPriority w:val="0"/>
    <w:rPr>
      <w:color w:val="800080"/>
      <w:u w:val="single"/>
    </w:rPr>
  </w:style>
  <w:style w:type="character" w:styleId="51">
    <w:name w:val="Emphasis"/>
    <w:qFormat/>
    <w:uiPriority w:val="20"/>
    <w:rPr>
      <w:i/>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styleId="54">
    <w:name w:val="footnote reference"/>
    <w:unhideWhenUsed/>
    <w:qFormat/>
    <w:uiPriority w:val="99"/>
    <w:rPr>
      <w:vertAlign w:val="superscript"/>
    </w:rPr>
  </w:style>
  <w:style w:type="character" w:customStyle="1" w:styleId="55">
    <w:name w:val="标题 1 字符1"/>
    <w:link w:val="2"/>
    <w:qFormat/>
    <w:uiPriority w:val="0"/>
    <w:rPr>
      <w:rFonts w:ascii="Times New Roman" w:hAnsi="Times New Roman" w:eastAsia="宋体" w:cs="Times New Roman"/>
      <w:b/>
      <w:bCs/>
      <w:kern w:val="44"/>
      <w:sz w:val="44"/>
      <w:szCs w:val="44"/>
    </w:rPr>
  </w:style>
  <w:style w:type="character" w:customStyle="1" w:styleId="56">
    <w:name w:val="标题 2 字符"/>
    <w:link w:val="3"/>
    <w:qFormat/>
    <w:uiPriority w:val="0"/>
    <w:rPr>
      <w:rFonts w:ascii="Arial" w:hAnsi="Arial" w:eastAsia="黑体" w:cs="Times New Roman"/>
      <w:b/>
      <w:bCs/>
      <w:sz w:val="32"/>
      <w:szCs w:val="32"/>
    </w:rPr>
  </w:style>
  <w:style w:type="character" w:customStyle="1" w:styleId="57">
    <w:name w:val="标题 3 字符"/>
    <w:link w:val="4"/>
    <w:qFormat/>
    <w:uiPriority w:val="0"/>
    <w:rPr>
      <w:rFonts w:ascii="Times New Roman" w:hAnsi="Times New Roman" w:eastAsia="宋体" w:cs="Times New Roman"/>
      <w:b/>
      <w:bCs/>
      <w:sz w:val="32"/>
      <w:szCs w:val="32"/>
    </w:rPr>
  </w:style>
  <w:style w:type="character" w:customStyle="1" w:styleId="58">
    <w:name w:val="标题 5 字符"/>
    <w:link w:val="6"/>
    <w:qFormat/>
    <w:uiPriority w:val="0"/>
    <w:rPr>
      <w:b/>
      <w:kern w:val="2"/>
      <w:sz w:val="28"/>
      <w:szCs w:val="24"/>
    </w:rPr>
  </w:style>
  <w:style w:type="character" w:customStyle="1" w:styleId="59">
    <w:name w:val="标题 6 字符"/>
    <w:link w:val="8"/>
    <w:qFormat/>
    <w:uiPriority w:val="0"/>
    <w:rPr>
      <w:rFonts w:ascii="Arial" w:hAnsi="Arial" w:eastAsia="黑体"/>
      <w:b/>
      <w:kern w:val="2"/>
      <w:sz w:val="24"/>
      <w:szCs w:val="24"/>
    </w:rPr>
  </w:style>
  <w:style w:type="character" w:customStyle="1" w:styleId="60">
    <w:name w:val="标题 7 字符"/>
    <w:link w:val="9"/>
    <w:qFormat/>
    <w:uiPriority w:val="0"/>
    <w:rPr>
      <w:rFonts w:ascii="Times New Roman" w:hAnsi="Times New Roman"/>
      <w:b/>
      <w:kern w:val="2"/>
      <w:sz w:val="24"/>
      <w:szCs w:val="24"/>
    </w:rPr>
  </w:style>
  <w:style w:type="character" w:customStyle="1" w:styleId="61">
    <w:name w:val="标题 8 字符"/>
    <w:link w:val="10"/>
    <w:qFormat/>
    <w:uiPriority w:val="0"/>
    <w:rPr>
      <w:rFonts w:ascii="Arial" w:hAnsi="Arial" w:eastAsia="黑体"/>
      <w:kern w:val="2"/>
      <w:sz w:val="24"/>
      <w:szCs w:val="24"/>
    </w:rPr>
  </w:style>
  <w:style w:type="character" w:customStyle="1" w:styleId="62">
    <w:name w:val="标题 9 字符"/>
    <w:link w:val="11"/>
    <w:qFormat/>
    <w:uiPriority w:val="0"/>
    <w:rPr>
      <w:rFonts w:ascii="Arial" w:hAnsi="Arial" w:eastAsia="黑体"/>
      <w:kern w:val="2"/>
      <w:sz w:val="21"/>
      <w:szCs w:val="24"/>
    </w:rPr>
  </w:style>
  <w:style w:type="character" w:customStyle="1" w:styleId="63">
    <w:name w:val="批注文字 字符1"/>
    <w:link w:val="15"/>
    <w:qFormat/>
    <w:uiPriority w:val="0"/>
    <w:rPr>
      <w:rFonts w:ascii="Times New Roman" w:hAnsi="Times New Roman"/>
      <w:kern w:val="2"/>
      <w:sz w:val="21"/>
      <w:szCs w:val="24"/>
    </w:rPr>
  </w:style>
  <w:style w:type="character" w:customStyle="1" w:styleId="64">
    <w:name w:val="正文文本 3 字符"/>
    <w:link w:val="16"/>
    <w:qFormat/>
    <w:uiPriority w:val="0"/>
    <w:rPr>
      <w:rFonts w:ascii="Times New Roman" w:hAnsi="Times New Roman" w:eastAsia="宋体" w:cs="Times New Roman"/>
      <w:b/>
      <w:bCs/>
      <w:sz w:val="24"/>
      <w:szCs w:val="24"/>
    </w:rPr>
  </w:style>
  <w:style w:type="character" w:customStyle="1" w:styleId="65">
    <w:name w:val="正文文本 字符"/>
    <w:link w:val="17"/>
    <w:qFormat/>
    <w:uiPriority w:val="99"/>
    <w:rPr>
      <w:rFonts w:ascii="Times New Roman" w:hAnsi="Times New Roman" w:eastAsia="宋体" w:cs="Times New Roman"/>
      <w:sz w:val="24"/>
      <w:szCs w:val="24"/>
    </w:rPr>
  </w:style>
  <w:style w:type="character" w:customStyle="1" w:styleId="66">
    <w:name w:val="正文文本缩进 字符1"/>
    <w:link w:val="18"/>
    <w:qFormat/>
    <w:uiPriority w:val="0"/>
    <w:rPr>
      <w:rFonts w:ascii="仿宋_GB2312" w:hAnsi="Times New Roman" w:eastAsia="仿宋_GB2312" w:cs="Times New Roman"/>
      <w:sz w:val="32"/>
      <w:szCs w:val="20"/>
    </w:rPr>
  </w:style>
  <w:style w:type="character" w:customStyle="1" w:styleId="67">
    <w:name w:val="纯文本 字符2"/>
    <w:link w:val="23"/>
    <w:qFormat/>
    <w:uiPriority w:val="0"/>
    <w:rPr>
      <w:rFonts w:ascii="宋体" w:hAnsi="Courier New" w:eastAsia="宋体" w:cs="Courier New"/>
      <w:szCs w:val="21"/>
    </w:rPr>
  </w:style>
  <w:style w:type="character" w:customStyle="1" w:styleId="68">
    <w:name w:val="日期 字符"/>
    <w:link w:val="25"/>
    <w:qFormat/>
    <w:uiPriority w:val="0"/>
    <w:rPr>
      <w:rFonts w:ascii="宋体" w:hAnsi="Courier New" w:eastAsia="宋体" w:cs="Courier New"/>
      <w:szCs w:val="21"/>
    </w:rPr>
  </w:style>
  <w:style w:type="character" w:customStyle="1" w:styleId="69">
    <w:name w:val="正文文本缩进 2 字符"/>
    <w:link w:val="26"/>
    <w:qFormat/>
    <w:uiPriority w:val="0"/>
    <w:rPr>
      <w:rFonts w:ascii="Times New Roman" w:hAnsi="Times New Roman" w:eastAsia="宋体" w:cs="Times New Roman"/>
      <w:sz w:val="32"/>
      <w:szCs w:val="20"/>
    </w:rPr>
  </w:style>
  <w:style w:type="character" w:customStyle="1" w:styleId="70">
    <w:name w:val="尾注文本 字符"/>
    <w:link w:val="27"/>
    <w:semiHidden/>
    <w:qFormat/>
    <w:uiPriority w:val="99"/>
    <w:rPr>
      <w:rFonts w:ascii="Times New Roman" w:hAnsi="Times New Roman"/>
      <w:kern w:val="2"/>
      <w:sz w:val="21"/>
      <w:szCs w:val="24"/>
    </w:rPr>
  </w:style>
  <w:style w:type="character" w:customStyle="1" w:styleId="71">
    <w:name w:val="批注框文本 字符"/>
    <w:link w:val="28"/>
    <w:semiHidden/>
    <w:qFormat/>
    <w:uiPriority w:val="0"/>
    <w:rPr>
      <w:rFonts w:ascii="Times New Roman" w:hAnsi="Times New Roman" w:eastAsia="宋体" w:cs="Times New Roman"/>
      <w:sz w:val="18"/>
      <w:szCs w:val="18"/>
    </w:rPr>
  </w:style>
  <w:style w:type="character" w:customStyle="1" w:styleId="72">
    <w:name w:val="页脚 字符"/>
    <w:link w:val="29"/>
    <w:qFormat/>
    <w:uiPriority w:val="99"/>
    <w:rPr>
      <w:sz w:val="18"/>
      <w:szCs w:val="18"/>
    </w:rPr>
  </w:style>
  <w:style w:type="character" w:customStyle="1" w:styleId="73">
    <w:name w:val="页眉 字符"/>
    <w:link w:val="30"/>
    <w:qFormat/>
    <w:uiPriority w:val="99"/>
    <w:rPr>
      <w:rFonts w:ascii="Times New Roman" w:hAnsi="Times New Roman"/>
      <w:kern w:val="2"/>
      <w:sz w:val="18"/>
      <w:szCs w:val="18"/>
    </w:rPr>
  </w:style>
  <w:style w:type="character" w:customStyle="1" w:styleId="74">
    <w:name w:val="脚注文本 字符"/>
    <w:link w:val="34"/>
    <w:semiHidden/>
    <w:qFormat/>
    <w:uiPriority w:val="99"/>
    <w:rPr>
      <w:rFonts w:ascii="Times New Roman" w:hAnsi="Times New Roman"/>
      <w:kern w:val="2"/>
      <w:sz w:val="18"/>
      <w:szCs w:val="18"/>
    </w:rPr>
  </w:style>
  <w:style w:type="character" w:customStyle="1" w:styleId="75">
    <w:name w:val="正文文本缩进 3 字符"/>
    <w:link w:val="36"/>
    <w:qFormat/>
    <w:uiPriority w:val="0"/>
    <w:rPr>
      <w:rFonts w:ascii="Times New Roman" w:hAnsi="Times New Roman" w:eastAsia="宋体" w:cs="Times New Roman"/>
      <w:sz w:val="16"/>
      <w:szCs w:val="16"/>
    </w:rPr>
  </w:style>
  <w:style w:type="character" w:customStyle="1" w:styleId="76">
    <w:name w:val="正文文本 2 字符"/>
    <w:link w:val="39"/>
    <w:qFormat/>
    <w:uiPriority w:val="0"/>
    <w:rPr>
      <w:rFonts w:ascii="Times New Roman" w:hAnsi="Times New Roman" w:eastAsia="宋体" w:cs="Times New Roman"/>
      <w:szCs w:val="24"/>
    </w:rPr>
  </w:style>
  <w:style w:type="character" w:customStyle="1" w:styleId="77">
    <w:name w:val="标题 字符"/>
    <w:link w:val="42"/>
    <w:qFormat/>
    <w:uiPriority w:val="10"/>
    <w:rPr>
      <w:rFonts w:ascii="Cambria" w:hAnsi="Cambria" w:cs="Times New Roman"/>
      <w:b/>
      <w:bCs/>
      <w:kern w:val="2"/>
      <w:sz w:val="32"/>
      <w:szCs w:val="32"/>
    </w:rPr>
  </w:style>
  <w:style w:type="character" w:customStyle="1" w:styleId="78">
    <w:name w:val="批注主题 字符"/>
    <w:link w:val="43"/>
    <w:semiHidden/>
    <w:qFormat/>
    <w:uiPriority w:val="99"/>
    <w:rPr>
      <w:rFonts w:ascii="Times New Roman" w:hAnsi="Times New Roman"/>
      <w:b/>
      <w:bCs/>
      <w:kern w:val="2"/>
      <w:sz w:val="21"/>
      <w:szCs w:val="24"/>
    </w:rPr>
  </w:style>
  <w:style w:type="character" w:customStyle="1" w:styleId="79">
    <w:name w:val="纯文本 字符1"/>
    <w:qFormat/>
    <w:uiPriority w:val="0"/>
    <w:rPr>
      <w:rFonts w:ascii="宋体" w:hAnsi="Courier New"/>
    </w:rPr>
  </w:style>
  <w:style w:type="character" w:customStyle="1" w:styleId="80">
    <w:name w:val="批注文字 Char1"/>
    <w:semiHidden/>
    <w:qFormat/>
    <w:locked/>
    <w:uiPriority w:val="0"/>
    <w:rPr>
      <w:rFonts w:ascii="Times New Roman" w:hAnsi="Times New Roman"/>
      <w:kern w:val="2"/>
      <w:sz w:val="21"/>
      <w:szCs w:val="24"/>
    </w:rPr>
  </w:style>
  <w:style w:type="character" w:customStyle="1" w:styleId="81">
    <w:name w:val="headline-content4"/>
    <w:qFormat/>
    <w:uiPriority w:val="0"/>
  </w:style>
  <w:style w:type="character" w:customStyle="1" w:styleId="82">
    <w:name w:val="批注文字 字符"/>
    <w:qFormat/>
    <w:uiPriority w:val="0"/>
    <w:rPr>
      <w:rFonts w:ascii="Times New Roman" w:hAnsi="Times New Roman"/>
      <w:kern w:val="2"/>
      <w:sz w:val="21"/>
      <w:szCs w:val="24"/>
    </w:rPr>
  </w:style>
  <w:style w:type="character" w:customStyle="1" w:styleId="83">
    <w:name w:val="标题 5 Char"/>
    <w:qFormat/>
    <w:uiPriority w:val="0"/>
    <w:rPr>
      <w:b/>
      <w:kern w:val="2"/>
      <w:sz w:val="28"/>
      <w:szCs w:val="24"/>
    </w:rPr>
  </w:style>
  <w:style w:type="character" w:customStyle="1" w:styleId="8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5">
    <w:name w:val="批注文字 Char"/>
    <w:qFormat/>
    <w:uiPriority w:val="0"/>
    <w:rPr>
      <w:rFonts w:ascii="Times New Roman" w:hAnsi="Times New Roman"/>
      <w:kern w:val="2"/>
      <w:sz w:val="21"/>
      <w:szCs w:val="24"/>
    </w:rPr>
  </w:style>
  <w:style w:type="character" w:customStyle="1" w:styleId="86">
    <w:name w:val="标题 1 字符"/>
    <w:qFormat/>
    <w:uiPriority w:val="9"/>
    <w:rPr>
      <w:rFonts w:ascii="Times New Roman" w:hAnsi="Times New Roman" w:eastAsia="宋体" w:cs="Times New Roman"/>
      <w:b/>
      <w:bCs/>
      <w:kern w:val="44"/>
      <w:sz w:val="44"/>
      <w:szCs w:val="44"/>
    </w:rPr>
  </w:style>
  <w:style w:type="character" w:customStyle="1" w:styleId="87">
    <w:name w:val="apple-style-span"/>
    <w:qFormat/>
    <w:uiPriority w:val="0"/>
  </w:style>
  <w:style w:type="character" w:customStyle="1" w:styleId="88">
    <w:name w:val="正文文本缩进 字符"/>
    <w:qFormat/>
    <w:uiPriority w:val="0"/>
    <w:rPr>
      <w:rFonts w:ascii="仿宋_GB2312" w:hAnsi="Times New Roman" w:eastAsia="仿宋_GB2312" w:cs="Times New Roman"/>
      <w:sz w:val="32"/>
      <w:szCs w:val="20"/>
    </w:rPr>
  </w:style>
  <w:style w:type="character" w:customStyle="1" w:styleId="89">
    <w:name w:val="case31"/>
    <w:qFormat/>
    <w:uiPriority w:val="0"/>
    <w:rPr>
      <w:rFonts w:hint="default" w:ascii="_x000B__x000C_" w:hAnsi="_x000B__x000C_"/>
      <w:sz w:val="21"/>
      <w:szCs w:val="21"/>
    </w:rPr>
  </w:style>
  <w:style w:type="character" w:customStyle="1" w:styleId="90">
    <w:name w:val="纯文本 字符"/>
    <w:qFormat/>
    <w:uiPriority w:val="0"/>
    <w:rPr>
      <w:rFonts w:ascii="宋体" w:hAnsi="Courier New" w:eastAsia="宋体" w:cs="Courier New"/>
      <w:szCs w:val="21"/>
    </w:rPr>
  </w:style>
  <w:style w:type="character" w:customStyle="1" w:styleId="91">
    <w:name w:val="textcontents"/>
    <w:qFormat/>
    <w:uiPriority w:val="0"/>
  </w:style>
  <w:style w:type="character" w:customStyle="1" w:styleId="92">
    <w:name w:val="普通文字 Char Char2"/>
    <w:qFormat/>
    <w:uiPriority w:val="0"/>
    <w:rPr>
      <w:rFonts w:ascii="宋体" w:hAnsi="Courier New" w:eastAsia="宋体"/>
      <w:kern w:val="2"/>
      <w:sz w:val="21"/>
      <w:lang w:val="en-US" w:eastAsia="zh-CN" w:bidi="ar-SA"/>
    </w:rPr>
  </w:style>
  <w:style w:type="paragraph" w:customStyle="1" w:styleId="93">
    <w:name w:val="正文段"/>
    <w:basedOn w:val="1"/>
    <w:qFormat/>
    <w:uiPriority w:val="0"/>
    <w:pPr>
      <w:widowControl/>
      <w:snapToGrid w:val="0"/>
      <w:spacing w:after="50" w:afterLines="50"/>
      <w:ind w:firstLine="200" w:firstLineChars="200"/>
    </w:pPr>
    <w:rPr>
      <w:kern w:val="0"/>
      <w:sz w:val="24"/>
      <w:szCs w:val="20"/>
    </w:rPr>
  </w:style>
  <w:style w:type="paragraph" w:customStyle="1" w:styleId="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5">
    <w:name w:val="默认段落字体 Para Char Char Char Char Char Char Char Char Char1 Char Char Char Char"/>
    <w:basedOn w:val="1"/>
    <w:qFormat/>
    <w:uiPriority w:val="0"/>
    <w:rPr>
      <w:rFonts w:ascii="Tahoma" w:hAnsi="Tahoma"/>
      <w:sz w:val="24"/>
      <w:szCs w:val="20"/>
    </w:rPr>
  </w:style>
  <w:style w:type="paragraph" w:customStyle="1" w:styleId="9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7">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9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9">
    <w:name w:val="Table Paragraph"/>
    <w:basedOn w:val="1"/>
    <w:qFormat/>
    <w:uiPriority w:val="1"/>
    <w:pPr>
      <w:jc w:val="left"/>
    </w:pPr>
    <w:rPr>
      <w:rFonts w:ascii="Calibri" w:hAnsi="Calibri"/>
      <w:kern w:val="0"/>
      <w:sz w:val="22"/>
      <w:szCs w:val="22"/>
      <w:lang w:eastAsia="en-US"/>
    </w:rPr>
  </w:style>
  <w:style w:type="paragraph" w:customStyle="1" w:styleId="100">
    <w:name w:val="Char1"/>
    <w:basedOn w:val="1"/>
    <w:qFormat/>
    <w:uiPriority w:val="0"/>
    <w:rPr>
      <w:szCs w:val="21"/>
    </w:rPr>
  </w:style>
  <w:style w:type="paragraph" w:customStyle="1" w:styleId="101">
    <w:name w:val="正文首行缩进两字符"/>
    <w:basedOn w:val="1"/>
    <w:qFormat/>
    <w:uiPriority w:val="0"/>
    <w:pPr>
      <w:spacing w:line="360" w:lineRule="auto"/>
      <w:ind w:firstLine="200" w:firstLineChars="200"/>
    </w:pPr>
  </w:style>
  <w:style w:type="paragraph" w:customStyle="1" w:styleId="102">
    <w:name w:val="表格"/>
    <w:basedOn w:val="1"/>
    <w:qFormat/>
    <w:uiPriority w:val="0"/>
    <w:pPr>
      <w:spacing w:line="400" w:lineRule="exact"/>
    </w:pPr>
    <w:rPr>
      <w:sz w:val="24"/>
    </w:rPr>
  </w:style>
  <w:style w:type="paragraph" w:customStyle="1" w:styleId="103">
    <w:name w:val="样式 首行缩进:  2 字符"/>
    <w:basedOn w:val="1"/>
    <w:qFormat/>
    <w:uiPriority w:val="0"/>
    <w:pPr>
      <w:spacing w:line="400" w:lineRule="exact"/>
      <w:ind w:firstLine="200" w:firstLineChars="200"/>
    </w:pPr>
    <w:rPr>
      <w:rFonts w:cs="宋体"/>
      <w:sz w:val="24"/>
    </w:rPr>
  </w:style>
  <w:style w:type="paragraph" w:customStyle="1" w:styleId="104">
    <w:name w:val="纯文本1"/>
    <w:basedOn w:val="1"/>
    <w:qFormat/>
    <w:uiPriority w:val="0"/>
    <w:rPr>
      <w:rFonts w:ascii="宋体" w:hAnsi="Courier New" w:cs="Century"/>
      <w:szCs w:val="21"/>
    </w:rPr>
  </w:style>
  <w:style w:type="paragraph" w:customStyle="1" w:styleId="10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6">
    <w:name w:val="List Paragraph"/>
    <w:basedOn w:val="1"/>
    <w:qFormat/>
    <w:uiPriority w:val="34"/>
    <w:pPr>
      <w:ind w:firstLine="420" w:firstLineChars="200"/>
    </w:pPr>
  </w:style>
  <w:style w:type="table" w:customStyle="1" w:styleId="107">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08">
    <w:name w:val="纯文本 Char1"/>
    <w:qFormat/>
    <w:uiPriority w:val="0"/>
    <w:rPr>
      <w:rFonts w:ascii="宋体" w:hAnsi="Courier New" w:eastAsia="宋体" w:cs="Courier New"/>
      <w:szCs w:val="21"/>
    </w:rPr>
  </w:style>
  <w:style w:type="character" w:customStyle="1" w:styleId="109">
    <w:name w:val="标题 5 Char1"/>
    <w:qFormat/>
    <w:uiPriority w:val="0"/>
    <w:rPr>
      <w:b/>
      <w:kern w:val="2"/>
      <w:sz w:val="28"/>
      <w:szCs w:val="24"/>
    </w:rPr>
  </w:style>
  <w:style w:type="character" w:customStyle="1" w:styleId="110">
    <w:name w:val="批注文字 字符2"/>
    <w:qFormat/>
    <w:uiPriority w:val="0"/>
    <w:rPr>
      <w:rFonts w:ascii="Times New Roman" w:hAnsi="Times New Roman"/>
      <w:kern w:val="2"/>
      <w:sz w:val="21"/>
      <w:szCs w:val="24"/>
    </w:rPr>
  </w:style>
  <w:style w:type="character" w:customStyle="1" w:styleId="111">
    <w:name w:val="纯文本 Char"/>
    <w:qFormat/>
    <w:uiPriority w:val="0"/>
    <w:rPr>
      <w:rFonts w:ascii="宋体" w:hAnsi="Courier New" w:eastAsia="宋体" w:cs="Courier New"/>
      <w:szCs w:val="21"/>
    </w:rPr>
  </w:style>
  <w:style w:type="paragraph" w:customStyle="1" w:styleId="112">
    <w:name w:val="正文2"/>
    <w:basedOn w:val="1"/>
    <w:qFormat/>
    <w:uiPriority w:val="0"/>
    <w:pPr>
      <w:adjustRightInd w:val="0"/>
      <w:spacing w:before="156" w:line="360" w:lineRule="auto"/>
      <w:ind w:firstLine="510" w:firstLineChars="200"/>
    </w:pPr>
    <w:rPr>
      <w:sz w:val="24"/>
      <w:szCs w:val="20"/>
    </w:rPr>
  </w:style>
  <w:style w:type="paragraph" w:customStyle="1" w:styleId="1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4">
    <w:name w:val="列出段落1"/>
    <w:basedOn w:val="1"/>
    <w:qFormat/>
    <w:uiPriority w:val="0"/>
    <w:pPr>
      <w:ind w:firstLine="420" w:firstLineChars="200"/>
    </w:pPr>
    <w:rPr>
      <w:szCs w:val="21"/>
    </w:rPr>
  </w:style>
  <w:style w:type="character" w:customStyle="1" w:styleId="115">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https://www.gov.cn/zhengce/content/202509/W020250930645245947614.png" TargetMode="Externa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792d2b07-81eb-4ce4-b954-d0bd50b63a67</errorID>
      <errorWord>/）</errorWord>
      <group>L1_Punc</group>
      <groupName>标点问题</groupName>
      <ability>L2_Punc</ability>
      <abilityName>标点符号检查</abilityName>
      <candidateList>
        <item>）</item>
      </candidateList>
      <explain/>
      <paraID>704F55D9</paraID>
      <start>63</start>
      <end>65</end>
      <status>unmodified</status>
      <modifiedWord/>
      <trackRevisions>false</trackRevisions>
    </reviewItem>
    <reviewItem>
      <errorID>f5844369-424f-4b35-aff7-e9d9ec874417</errorID>
      <errorWord>：）</errorWord>
      <group>L1_Punc</group>
      <groupName>标点问题</groupName>
      <ability>L2_Punc</ability>
      <abilityName>标点符号检查</abilityName>
      <candidateList>
        <item>）</item>
      </candidateList>
      <explain/>
      <paraID>156D1F1B</paraID>
      <start>33</start>
      <end>35</end>
      <status>unmodified</status>
      <modifiedWord/>
      <trackRevisions>false</trackRevisions>
    </reviewItem>
    <reviewItem>
      <errorID>4fb64403-6e00-4f89-98bd-4e24c0d6adae</errorID>
      <errorWord>......</errorWord>
      <group>L1_Punc</group>
      <groupName>标点问题</groupName>
      <ability>L2_Punc</ability>
      <abilityName>标点符号检查</abilityName>
      <candidateList>
        <item>……</item>
      </candidateList>
      <explain/>
      <paraID>369AB5D5</paraID>
      <start>0</start>
      <end>6</end>
      <status>unmodified</status>
      <modifiedWord/>
      <trackRevisions>false</trackRevisions>
    </reviewItem>
    <reviewItem>
      <errorID>41dde14a-0fa3-49d9-8a1a-41ece6f0e308</errorID>
      <errorWord>上午00:00</errorWord>
      <group>L1_Knowledge</group>
      <groupName>知识性问题</groupName>
      <ability>L2_Time</ability>
      <abilityName>日期时间</abilityName>
      <candidateList/>
      <explain>时间与前缀不匹配，可能的时间前缀有“下午、晚上、凌晨、午夜”。</explain>
      <paraID>1525C8B7</paraID>
      <start>29</start>
      <end>36</end>
      <status>unmodified</status>
      <modifiedWord/>
      <trackRevisions>false</trackRevisions>
    </reviewItem>
    <reviewItem>
      <errorID>fe680d2a-37dc-4818-a0d1-a7a7135ea3d3</errorID>
      <errorWord>/）</errorWord>
      <group>L1_Punc</group>
      <groupName>标点问题</groupName>
      <ability>L2_Punc</ability>
      <abilityName>标点符号检查</abilityName>
      <candidateList>
        <item>）</item>
      </candidateList>
      <explain/>
      <paraID>1DF36FAF</paraID>
      <start>45</start>
      <end>47</end>
      <status>unmodified</status>
      <modifiedWord/>
      <trackRevisions>false</trackRevisions>
    </reviewItem>
    <reviewItem>
      <errorID>3059fb1a-d454-4891-a33f-b10b15ada8de</errorID>
      <errorWord>/）</errorWord>
      <group>L1_Punc</group>
      <groupName>标点问题</groupName>
      <ability>L2_Punc</ability>
      <abilityName>标点符号检查</abilityName>
      <candidateList>
        <item>）</item>
      </candidateList>
      <explain/>
      <paraID>5FE668D8</paraID>
      <start>68</start>
      <end>70</end>
      <status>unmodified</status>
      <modifiedWord/>
      <trackRevisions>false</trackRevisions>
    </reviewItem>
    <reviewItem>
      <errorID>d0a0a077-cc1f-4daa-8c2a-b2f24e68bb2a</errorID>
      <errorWord>-</errorWord>
      <group>L1_Format</group>
      <groupName>格式问题</groupName>
      <ability>L2_HalfPunc</ability>
      <abilityName>全半角检查</abilityName>
      <candidateList>
        <item>－</item>
      </candidateList>
      <explain>文本全半角错误。</explain>
      <paraID>5FE668D8</paraID>
      <start>70</start>
      <end>71</end>
      <status>unmodified</status>
      <modifiedWord/>
      <trackRevisions>false</trackRevisions>
    </reviewItem>
    <reviewItem>
      <errorID>bbd9193e-041f-4906-8d0a-422432d66a2c</errorID>
      <errorWord>/）</errorWord>
      <group>L1_Punc</group>
      <groupName>标点问题</groupName>
      <ability>L2_Punc</ability>
      <abilityName>标点符号检查</abilityName>
      <candidateList>
        <item>）</item>
      </candidateList>
      <explain/>
      <paraID>6E73B302</paraID>
      <start>47</start>
      <end>49</end>
      <status>unmodified</status>
      <modifiedWord/>
      <trackRevisions>false</trackRevisions>
    </reviewItem>
    <reviewItem>
      <errorID>f969d545-de7e-48bd-b4e5-47284400be05</errorID>
      <errorWord>/）</errorWord>
      <group>L1_Punc</group>
      <groupName>标点问题</groupName>
      <ability>L2_Punc</ability>
      <abilityName>标点符号检查</abilityName>
      <candidateList>
        <item>）</item>
      </candidateList>
      <explain/>
      <paraID>2B300A37</paraID>
      <start>62</start>
      <end>64</end>
      <status>unmodified</status>
      <modifiedWord/>
      <trackRevisions>false</trackRevisions>
    </reviewItem>
    <reviewItem>
      <errorID>b543d4d7-6e31-4702-b8a5-57e28b949e26</errorID>
      <errorWord>-</errorWord>
      <group>L1_Format</group>
      <groupName>格式问题</groupName>
      <ability>L2_HalfPunc</ability>
      <abilityName>全半角检查</abilityName>
      <candidateList>
        <item>－</item>
      </candidateList>
      <explain>文本全半角错误。</explain>
      <paraID>2B300A37</paraID>
      <start>222</start>
      <end>223</end>
      <status>unmodified</status>
      <modifiedWord/>
      <trackRevisions>false</trackRevisions>
    </reviewItem>
    <reviewItem>
      <errorID>7e2a248d-8902-401c-95f1-58598a041243</errorID>
      <errorWord>-</errorWord>
      <group>L1_Format</group>
      <groupName>格式问题</groupName>
      <ability>L2_HalfPunc</ability>
      <abilityName>全半角检查</abilityName>
      <candidateList>
        <item>－</item>
      </candidateList>
      <explain>文本全半角错误。</explain>
      <paraID>2B300A37</paraID>
      <start>227</start>
      <end>228</end>
      <status>unmodified</status>
      <modifiedWord/>
      <trackRevisions>false</trackRevisions>
    </reviewItem>
    <reviewItem>
      <errorID>9fe7aedd-050f-470c-a3ec-cb171058221a</errorID>
      <errorWord>-</errorWord>
      <group>L1_Format</group>
      <groupName>格式问题</groupName>
      <ability>L2_HalfPunc</ability>
      <abilityName>全半角检查</abilityName>
      <candidateList>
        <item>－</item>
      </candidateList>
      <explain>文本全半角错误。</explain>
      <paraID>2B300A37</paraID>
      <start>232</start>
      <end>233</end>
      <status>unmodified</status>
      <modifiedWord/>
      <trackRevisions>false</trackRevisions>
    </reviewItem>
    <reviewItem>
      <errorID>deda9be2-a2bc-446e-a24e-dc74105ad583</errorID>
      <errorWord>-</errorWord>
      <group>L1_Format</group>
      <groupName>格式问题</groupName>
      <ability>L2_HalfPunc</ability>
      <abilityName>全半角检查</abilityName>
      <candidateList>
        <item>－</item>
      </candidateList>
      <explain>文本全半角错误。</explain>
      <paraID>2B300A37</paraID>
      <start>238</start>
      <end>239</end>
      <status>unmodified</status>
      <modifiedWord/>
      <trackRevisions>false</trackRevisions>
    </reviewItem>
    <reviewItem>
      <errorID>d74653fe-114e-4ee2-b0e2-05e08c481ba5</errorID>
      <errorWord>-</errorWord>
      <group>L1_Format</group>
      <groupName>格式问题</groupName>
      <ability>L2_HalfPunc</ability>
      <abilityName>全半角检查</abilityName>
      <candidateList>
        <item>－</item>
      </candidateList>
      <explain>文本全半角错误。</explain>
      <paraID>2B300A37</paraID>
      <start>255</start>
      <end>256</end>
      <status>unmodified</status>
      <modifiedWord/>
      <trackRevisions>false</trackRevisions>
    </reviewItem>
    <reviewItem>
      <errorID>9c1a8fae-3ae4-4e76-b4e0-c4f6242354c9</errorID>
      <errorWord>-</errorWord>
      <group>L1_Format</group>
      <groupName>格式问题</groupName>
      <ability>L2_HalfPunc</ability>
      <abilityName>全半角检查</abilityName>
      <candidateList>
        <item>－</item>
      </candidateList>
      <explain>文本全半角错误。</explain>
      <paraID>30DE535E</paraID>
      <start>108</start>
      <end>109</end>
      <status>unmodified</status>
      <modifiedWord/>
      <trackRevisions>false</trackRevisions>
    </reviewItem>
    <reviewItem>
      <errorID>4f14849c-2380-47a2-8267-42ff73f22a42</errorID>
      <errorWord>-</errorWord>
      <group>L1_Format</group>
      <groupName>格式问题</groupName>
      <ability>L2_HalfPunc</ability>
      <abilityName>全半角检查</abilityName>
      <candidateList>
        <item>－</item>
      </candidateList>
      <explain>文本全半角错误。</explain>
      <paraID>30DE535E</paraID>
      <start>137</start>
      <end>138</end>
      <status>unmodified</status>
      <modifiedWord/>
      <trackRevisions>false</trackRevisions>
    </reviewItem>
    <reviewItem>
      <errorID>501f2a5b-cc84-4381-a4a3-a4d3087abc29</errorID>
      <errorWord>操作合</errorWord>
      <group>L1_Word</group>
      <groupName>字词问题</groupName>
      <ability>L2_Typo</ability>
      <abilityName>字词错误</abilityName>
      <candidateList>
        <item>操作台</item>
      </candidateList>
      <explain/>
      <paraID>76BD66AA</paraID>
      <start>9</start>
      <end>12</end>
      <status>unmodified</status>
      <modifiedWord/>
      <trackRevisions>false</trackRevisions>
    </reviewItem>
    <reviewItem>
      <errorID>df5c7dfb-dd61-4626-94f2-463df6e91586</errorID>
      <errorWord>作</errorWord>
      <group>L1_Word</group>
      <groupName>字词问题</groupName>
      <ability>L2_Typo</ability>
      <abilityName>字词错误</abilityName>
      <candidateList>
        <item>做</item>
      </candidateList>
      <explain>存在发音相同字词的误用。</explain>
      <paraID>7D85C1D9</paraID>
      <start>56</start>
      <end>57</end>
      <status>unmodified</status>
      <modifiedWord/>
      <trackRevisions>false</trackRevisions>
    </reviewItem>
    <reviewItem>
      <errorID>06ce030b-ecdd-45c0-bacc-974647769bd2</errorID>
      <errorWord>(</errorWord>
      <group>L1_Format</group>
      <groupName>格式问题</groupName>
      <ability>L2_HalfPunc</ability>
      <abilityName>全半角检查</abilityName>
      <candidateList>
        <item>（</item>
      </candidateList>
      <explain>文本全半角错误。</explain>
      <paraID>488C1E8E</paraID>
      <start>14</start>
      <end>15</end>
      <status>unmodified</status>
      <modifiedWord/>
      <trackRevisions>false</trackRevisions>
    </reviewItem>
    <reviewItem>
      <errorID>5509b2b6-8e3a-4d85-9397-5def1f1d26e0</errorID>
      <errorWord>)</errorWord>
      <group>L1_Format</group>
      <groupName>格式问题</groupName>
      <ability>L2_HalfPunc</ability>
      <abilityName>全半角检查</abilityName>
      <candidateList>
        <item>）</item>
      </candidateList>
      <explain>文本全半角错误。</explain>
      <paraID>488C1E8E</paraID>
      <start>103</start>
      <end>104</end>
      <status>unmodified</status>
      <modifiedWord/>
      <trackRevisions>false</trackRevisions>
    </reviewItem>
    <reviewItem>
      <errorID>887fd0bc-26eb-4ae9-8b4c-2d4c39090dc8</errorID>
      <errorWord>)</errorWord>
      <group>L1_Format</group>
      <groupName>格式问题</groupName>
      <ability>L2_HalfPunc</ability>
      <abilityName>全半角检查</abilityName>
      <candidateList>
        <item>）</item>
      </candidateList>
      <explain>文本全半角错误。</explain>
      <paraID>5A944188</paraID>
      <start>65</start>
      <end>66</end>
      <status>unmodified</status>
      <modifiedWord/>
      <trackRevisions>false</trackRevisions>
    </reviewItem>
    <reviewItem>
      <errorID>d65fa59d-fa5b-405e-b613-142229537d3e</errorID>
      <errorWord>)</errorWord>
      <group>L1_Format</group>
      <groupName>格式问题</groupName>
      <ability>L2_HalfPunc</ability>
      <abilityName>全半角检查</abilityName>
      <candidateList>
        <item>）</item>
      </candidateList>
      <explain>文本全半角错误。</explain>
      <paraID>413C22A3</paraID>
      <start>64</start>
      <end>65</end>
      <status>unmodified</status>
      <modifiedWord/>
      <trackRevisions>false</trackRevisions>
    </reviewItem>
    <reviewItem>
      <errorID>4872c3a8-747a-4818-8465-97b11d441ab0</errorID>
      <errorWord>(</errorWord>
      <group>L1_Format</group>
      <groupName>格式问题</groupName>
      <ability>L2_HalfPunc</ability>
      <abilityName>全半角检查</abilityName>
      <candidateList>
        <item>（</item>
      </candidateList>
      <explain>文本全半角错误。</explain>
      <paraID> BCB8626</paraID>
      <start>14</start>
      <end>15</end>
      <status>unmodified</status>
      <modifiedWord/>
      <trackRevisions>false</trackRevisions>
    </reviewItem>
    <reviewItem>
      <errorID>c51c6488-6c1e-4490-b318-b6db3e4b2f30</errorID>
      <errorWord>)</errorWord>
      <group>L1_Format</group>
      <groupName>格式问题</groupName>
      <ability>L2_HalfPunc</ability>
      <abilityName>全半角检查</abilityName>
      <candidateList>
        <item>）</item>
      </candidateList>
      <explain>文本全半角错误。</explain>
      <paraID> BCB8626</paraID>
      <start>70</start>
      <end>71</end>
      <status>unmodified</status>
      <modifiedWord/>
      <trackRevisions>false</trackRevisions>
    </reviewItem>
    <reviewItem>
      <errorID>25bba0a7-7ffb-4481-a792-a0f86353bcb8</errorID>
      <errorWord>家</errorWord>
      <group>L1_Word</group>
      <groupName>字词问题</groupName>
      <ability>L2_Typo</ability>
      <abilityName>字词错误</abilityName>
      <candidateList>
        <item>家签</item>
      </candidateList>
      <explain/>
      <paraID>76A712E5</paraID>
      <start>42</start>
      <end>43</end>
      <status>unmodified</status>
      <modifiedWord/>
      <trackRevisions>false</trackRevisions>
    </reviewItem>
    <reviewItem>
      <errorID>b0f77959-151e-4e65-a93f-44d5bd031653</errorID>
      <errorWord>作出</errorWord>
      <group>L1_Word</group>
      <groupName>字词问题</groupName>
      <ability>L2_Typo</ability>
      <abilityName>字词错误</abilityName>
      <candidateList>
        <item>做出</item>
      </candidateList>
      <explain/>
      <paraID> 4B6B7F7</paraID>
      <start>119</start>
      <end>121</end>
      <status>unmodified</status>
      <modifiedWord/>
      <trackRevisions>false</trackRevisions>
    </reviewItem>
    <reviewItem>
      <errorID>f4fea15c-98cf-4ad5-9e7b-cc895b159d6a</errorID>
      <errorWord>(</errorWord>
      <group>L1_Format</group>
      <groupName>格式问题</groupName>
      <ability>L2_HalfPunc</ability>
      <abilityName>全半角检查</abilityName>
      <candidateList>
        <item>（</item>
      </candidateList>
      <explain>文本全半角错误。</explain>
      <paraID>31E6CA19</paraID>
      <start>46</start>
      <end>47</end>
      <status>unmodified</status>
      <modifiedWord/>
      <trackRevisions>false</trackRevisions>
    </reviewItem>
    <reviewItem>
      <errorID>c604f8c4-0802-4357-bc04-65aff8d656d2</errorID>
      <errorWord>)</errorWord>
      <group>L1_Format</group>
      <groupName>格式问题</groupName>
      <ability>L2_HalfPunc</ability>
      <abilityName>全半角检查</abilityName>
      <candidateList>
        <item>）</item>
      </candidateList>
      <explain>文本全半角错误。</explain>
      <paraID>31E6CA19</paraID>
      <start>58</start>
      <end>59</end>
      <status>unmodified</status>
      <modifiedWord/>
      <trackRevisions>false</trackRevisions>
    </reviewItem>
    <reviewItem>
      <errorID>3906683a-f577-48b4-87da-9a3966f3537c</errorID>
      <errorWord>(</errorWord>
      <group>L1_Format</group>
      <groupName>格式问题</groupName>
      <ability>L2_HalfPunc</ability>
      <abilityName>全半角检查</abilityName>
      <candidateList>
        <item>（</item>
      </candidateList>
      <explain>文本全半角错误。</explain>
      <paraID>2986A19C</paraID>
      <start>18</start>
      <end>19</end>
      <status>unmodified</status>
      <modifiedWord/>
      <trackRevisions>false</trackRevisions>
    </reviewItem>
    <reviewItem>
      <errorID>203f5c62-d77e-450d-b770-bcfe3aa0f39c</errorID>
      <errorWord>)</errorWord>
      <group>L1_Format</group>
      <groupName>格式问题</groupName>
      <ability>L2_HalfPunc</ability>
      <abilityName>全半角检查</abilityName>
      <candidateList>
        <item>）</item>
      </candidateList>
      <explain>文本全半角错误。</explain>
      <paraID>2986A19C</paraID>
      <start>28</start>
      <end>29</end>
      <status>unmodified</status>
      <modifiedWord/>
      <trackRevisions>false</trackRevisions>
    </reviewItem>
    <reviewItem>
      <errorID>b454cd8e-5b67-49de-bc98-94c6c98fec73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5061CB08</paraID>
      <start>11</start>
      <end>12</end>
      <status>unmodified</status>
      <modifiedWord/>
      <trackRevisions>false</trackRevisions>
    </reviewItem>
    <reviewItem>
      <errorID>bc3706d7-fcd7-4a48-8679-fdb61c3d5ffd</errorID>
      <errorWord>，</errorWord>
      <group>L1_Word</group>
      <groupName>字词问题</groupName>
      <ability>L2_Typo</ability>
      <abilityName>字词错误</abilityName>
      <candidateList>
        <item>，在</item>
      </candidateList>
      <explain/>
      <paraID>4F7C1977</paraID>
      <start>47</start>
      <end>48</end>
      <status>unmodified</status>
      <modifiedWord/>
      <trackRevisions>false</trackRevisions>
    </reviewItem>
    <reviewItem>
      <errorID>47a12e34-bb29-4f5a-bf8d-28e485a00c7c</errorID>
      <errorWord>（</errorWord>
      <group>L1_Format</group>
      <groupName>格式问题</groupName>
      <ability>L2_HalfPunc</ability>
      <abilityName>全半角检查</abilityName>
      <candidateList>
        <item>(</item>
      </candidateList>
      <explain>文本全半角错误。</explain>
      <paraID>7960D22C</paraID>
      <start>4</start>
      <end>5</end>
      <status>unmodified</status>
      <modifiedWord/>
      <trackRevisions>false</trackRevisions>
    </reviewItem>
    <reviewItem>
      <errorID>72e0e802-b206-404b-8986-b6efa66946da</errorID>
      <errorWord>）</errorWord>
      <group>L1_Format</group>
      <groupName>格式问题</groupName>
      <ability>L2_HalfPunc</ability>
      <abilityName>全半角检查</abilityName>
      <candidateList>
        <item>)</item>
      </candidateList>
      <explain>文本全半角错误。</explain>
      <paraID>7960D22C</paraID>
      <start>6</start>
      <end>7</end>
      <status>unmodified</status>
      <modifiedWord/>
      <trackRevisions>false</trackRevisions>
    </reviewItem>
    <reviewItem>
      <errorID>430b3fc5-7351-4466-a985-c10e6fb340c3</errorID>
      <errorWord>（</errorWord>
      <group>L1_Format</group>
      <groupName>格式问题</groupName>
      <ability>L2_HalfPunc</ability>
      <abilityName>全半角检查</abilityName>
      <candidateList>
        <item>(</item>
      </candidateList>
      <explain>文本全半角错误。</explain>
      <paraID>74937017</paraID>
      <start>4</start>
      <end>5</end>
      <status>unmodified</status>
      <modifiedWord/>
      <trackRevisions>false</trackRevisions>
    </reviewItem>
    <reviewItem>
      <errorID>a636feda-4a57-41e0-b4d5-5747e1c6da59</errorID>
      <errorWord>）</errorWord>
      <group>L1_Format</group>
      <groupName>格式问题</groupName>
      <ability>L2_HalfPunc</ability>
      <abilityName>全半角检查</abilityName>
      <candidateList>
        <item>)</item>
      </candidateList>
      <explain>文本全半角错误。</explain>
      <paraID>74937017</paraID>
      <start>6</start>
      <end>7</end>
      <status>unmodified</status>
      <modifiedWord/>
      <trackRevisions>false</trackRevisions>
    </reviewItem>
    <reviewItem>
      <errorID>b4e24674-d0e2-4564-9372-1f1a30e0d603</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527C5314</paraID>
      <start>29</start>
      <end>32</end>
      <status>unmodified</status>
      <modifiedWord/>
      <trackRevisions>false</trackRevisions>
    </reviewItem>
    <reviewItem>
      <errorID>5e2c8e87-9a47-4de1-b4b7-9dad0910b0b7</errorID>
      <errorWord>/）</errorWord>
      <group>L1_Punc</group>
      <groupName>标点问题</groupName>
      <ability>L2_Punc</ability>
      <abilityName>标点符号检查</abilityName>
      <candidateList>
        <item>）</item>
      </candidateList>
      <explain/>
      <paraID>527C5314</paraID>
      <start>74</start>
      <end>76</end>
      <status>unmodified</status>
      <modifiedWord/>
      <trackRevisions>false</trackRevisions>
    </reviewItem>
    <reviewItem>
      <errorID>b18ec4e0-da32-4d72-b9f1-6bd6448f59c1</errorID>
      <errorWord>，</errorWord>
      <group>L1_Word</group>
      <groupName>字词问题</groupName>
      <ability>L2_Typo</ability>
      <abilityName>字词错误</abilityName>
      <candidateList>
        <item>，使</item>
      </candidateList>
      <explain/>
      <paraID>  42A7EA</paraID>
      <start>32</start>
      <end>33</end>
      <status>unmodified</status>
      <modifiedWord/>
      <trackRevisions>false</trackRevisions>
    </reviewItem>
    <reviewItem>
      <errorID>6ae4d7e0-19eb-4384-98f6-0b047d6d29f1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6C53280B</paraID>
      <start>203</start>
      <end>208</end>
      <status>unmodified</status>
      <modifiedWord/>
      <trackRevisions>false</trackRevisions>
    </reviewItem>
    <reviewItem>
      <errorID>a4f59437-658b-47f0-9cbe-4e8ef92adc1a</errorID>
      <errorWord>操作合</errorWord>
      <group>L1_Word</group>
      <groupName>字词问题</groupName>
      <ability>L2_Typo</ability>
      <abilityName>字词错误</abilityName>
      <candidateList>
        <item>操作台</item>
      </candidateList>
      <explain/>
      <paraID>1829360C</paraID>
      <start>10</start>
      <end>13</end>
      <status>unmodified</status>
      <modifiedWord/>
      <trackRevisions>false</trackRevisions>
    </reviewItem>
    <reviewItem>
      <errorID>94d02320-49d7-4cd5-bb9c-03f3d65365b0</errorID>
      <errorWord>间</errorWord>
      <group>L1_Word</group>
      <groupName>字词问题</groupName>
      <ability>L2_Typo</ability>
      <abilityName>字词错误</abilityName>
      <candidateList>
        <item>间之</item>
      </candidateList>
      <explain/>
      <paraID>6A850077</paraID>
      <start>39</start>
      <end>40</end>
      <status>unmodified</status>
      <modifiedWord/>
      <trackRevisions>false</trackRevisions>
    </reviewItem>
    <reviewItem>
      <errorID>8972059d-4084-423a-9bda-460620e89b33</errorID>
      <errorWord>疑义</errorWord>
      <group>L1_Word</group>
      <groupName>字词问题</groupName>
      <ability>L2_Typo</ability>
      <abilityName>字词错误</abilityName>
      <candidateList>
        <item>异义</item>
      </candidateList>
      <explain/>
      <paraID> 20CC9EF</paraID>
      <start>19</start>
      <end>21</end>
      <status>unmodified</status>
      <modifiedWord/>
      <trackRevisions>false</trackRevisions>
    </reviewItem>
    <reviewItem>
      <errorID>82bda714-6585-4d7f-9220-791b8b383627</errorID>
      <errorWord>会</errorWord>
      <group>L1_Word</group>
      <groupName>字词问题</groupName>
      <ability>L2_Typo</ability>
      <abilityName>字词错误</abilityName>
      <candidateList>
        <item>会在</item>
      </candidateList>
      <explain/>
      <paraID>7E20D9D8</paraID>
      <start>13</start>
      <end>14</end>
      <status>unmodified</status>
      <modifiedWord/>
      <trackRevisions>false</trackRevisions>
    </reviewItem>
    <reviewItem>
      <errorID>005196aa-3781-4d3a-baa9-352945deb06f</errorID>
      <errorWord>-</errorWord>
      <group>L1_Format</group>
      <groupName>格式问题</groupName>
      <ability>L2_HalfPunc</ability>
      <abilityName>全半角检查</abilityName>
      <candidateList>
        <item>－</item>
      </candidateList>
      <explain>文本全半角错误。</explain>
      <paraID>6492EFDB</paraID>
      <start>20</start>
      <end>21</end>
      <status>unmodified</status>
      <modifiedWord/>
      <trackRevisions>false</trackRevisions>
    </reviewItem>
    <reviewItem>
      <errorID>c51d9103-e482-44e3-b7d0-fb29304f1acc</errorID>
      <errorWord>做出</errorWord>
      <group>L1_Word</group>
      <groupName>字词问题</groupName>
      <ability>L2_Typo</ability>
      <abilityName>字词错误</abilityName>
      <candidateList>
        <item>作出</item>
      </candidateList>
      <explain/>
      <paraID>2E035FD2</paraID>
      <start>116</start>
      <end>118</end>
      <status>unmodified</status>
      <modifiedWord/>
      <trackRevisions>false</trackRevisions>
    </reviewItem>
    <reviewItem>
      <errorID>49bc678e-0e3d-4bfd-a939-41766d187207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2267844A</paraID>
      <start>32</start>
      <end>34</end>
      <status>unmodified</status>
      <modifiedWord/>
      <trackRevisions>false</trackRevisions>
    </reviewItem>
    <reviewItem>
      <errorID>9e487d64-3898-4feb-af50-a53544d589a4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1BD5CAD4</paraID>
      <start>24</start>
      <end>27</end>
      <status>unmodified</status>
      <modifiedWord/>
      <trackRevisions>false</trackRevisions>
    </reviewItem>
    <reviewItem>
      <errorID>00e16769-56ca-4034-be63-ae115b71c2c4</errorID>
      <errorWord>诺</errorWord>
      <group>L1_Word</group>
      <groupName>字词问题</groupName>
      <ability>L2_Typo</ability>
      <abilityName>字词错误</abilityName>
      <candidateList>
        <item>诺和</item>
      </candidateList>
      <explain/>
      <paraID>1EBA448C</paraID>
      <start>159</start>
      <end>160</end>
      <status>unmodified</status>
      <modifiedWord/>
      <trackRevisions>false</trackRevisions>
    </reviewItem>
    <reviewItem>
      <errorID>e253de77-0f23-46f0-b23d-fe4fe1d6be64</errorID>
      <errorWord>》</errorWord>
      <group>L1_Word</group>
      <groupName>字词问题</groupName>
      <ability>L2_Typo</ability>
      <abilityName>字词错误</abilityName>
      <candidateList>
        <item>》和</item>
      </candidateList>
      <explain/>
      <paraID>441A82F5</paraID>
      <start>15</start>
      <end>16</end>
      <status>unmodified</status>
      <modifiedWord/>
      <trackRevisions>false</trackRevisions>
    </reviewItem>
    <reviewItem>
      <errorID>29b44fdf-0a04-40f9-a774-6573fb5e9a95</errorID>
      <errorWord>点</errorWord>
      <group>L1_Word</group>
      <groupName>字词问题</groupName>
      <ability>L2_Typo</ability>
      <abilityName>字词错误</abilityName>
      <candidateList>
        <item>点由</item>
      </candidateList>
      <explain/>
      <paraID>44B45BA0</paraID>
      <start>35</start>
      <end>36</end>
      <status>unmodified</status>
      <modifiedWord/>
      <trackRevisions>false</trackRevisions>
    </reviewItem>
    <reviewItem>
      <errorID>117b80ce-7768-4be5-ac73-c955802c39a9</errorID>
      <errorWord>配备</errorWord>
      <group>L1_Grammar</group>
      <groupName>语法问题</groupName>
      <ability>L2_Grammar</ability>
      <abilityName>语法错误</abilityName>
      <candidateList>
        <item>搭载</item>
      </candidateList>
      <explain>“配备～项目”搭配不当，建议修改为“搭载～项目”。</explain>
      <paraID>110B205F</paraID>
      <start>49</start>
      <end>51</end>
      <status>unmodified</status>
      <modifiedWord/>
      <trackRevisions>false</trackRevisions>
    </reviewItem>
    <reviewItem>
      <errorID>30f97de9-ad63-471f-b699-f110372223e6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7F4AE393</paraID>
      <start>10</start>
      <end>13</end>
      <status>unmodified</status>
      <modifiedWord/>
      <trackRevisions>false</trackRevisions>
    </reviewItem>
    <reviewItem>
      <errorID>dd518048-7988-45eb-bf8b-c571f73aa3d9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6696B0FF</paraID>
      <start>0</start>
      <end>3</end>
      <status>unmodified</status>
      <modifiedWord/>
      <trackRevisions>false</trackRevisions>
    </reviewItem>
    <reviewItem>
      <errorID>4762a78f-eee4-43b3-9674-22694e8b0625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2DBD65FA</paraID>
      <start>0</start>
      <end>3</end>
      <status>unmodified</status>
      <modifiedWord/>
      <trackRevisions>false</trackRevisions>
    </reviewItem>
    <reviewItem>
      <errorID>11e3d5fc-a3e5-4f07-bd0f-1838bbf93643</errorID>
      <errorWord>须</errorWord>
      <group>L1_Word</group>
      <groupName>字词问题</groupName>
      <ability>L2_Typo</ability>
      <abilityName>字词错误</abilityName>
      <candidateList>
        <item>需</item>
      </candidateList>
      <explain>❶〈动〉需要：～求｜按～分配｜完成任务还～五天时间。❷需用的东西：军～。</explain>
      <paraID> 9935658</paraID>
      <start>32</start>
      <end>33</end>
      <status>unmodified</status>
      <modifiedWord/>
      <trackRevisions>false</trackRevisions>
    </reviewItem>
    <reviewItem>
      <errorID>2985d511-d442-4a4c-bede-d263e0074e09</errorID>
      <errorWord>（</errorWord>
      <group>L1_Punc</group>
      <groupName>标点问题</groupName>
      <ability>L2_Punc</ability>
      <abilityName>标点符号检查</abilityName>
      <candidateList/>
      <explain>同一形式括号套用。</explain>
      <paraID>3C7D6395</paraID>
      <start>61</start>
      <end>62</end>
      <status>unmodified</status>
      <modifiedWord/>
      <trackRevisions>false</trackRevisions>
    </reviewItem>
    <reviewItem>
      <errorID>5f5468f0-fe73-47f2-b97b-b9e2d3a4137a</errorID>
      <errorWord>）</errorWord>
      <group>L1_Punc</group>
      <groupName>标点问题</groupName>
      <ability>L2_Punc</ability>
      <abilityName>标点符号检查</abilityName>
      <candidateList/>
      <explain>同一形式括号套用。</explain>
      <paraID>3C7D6395</paraID>
      <start>77</start>
      <end>78</end>
      <status>unmodified</status>
      <modifiedWord/>
      <trackRevisions>false</trackRevisions>
    </reviewItem>
    <reviewItem>
      <errorID>b8ca1163-f5c4-439e-afc5-3c153c6a12d7</errorID>
      <errorWord>签</errorWord>
      <group>L1_Word</group>
      <groupName>字词问题</groupName>
      <ability>L2_Typo</ability>
      <abilityName>字词错误</abilityName>
      <candidateList>
        <item>签订</item>
      </candidateList>
      <explain>〈动〉订立条约或合同并签字：两国～了贸易议定书和支付协定。</explain>
      <paraID>65AF213D</paraID>
      <start>27</start>
      <end>28</end>
      <status>unmodified</status>
      <modifiedWord/>
      <trackRevisions>false</trackRevisions>
    </reviewItem>
    <reviewItem>
      <errorID>9b936708-72aa-478e-af66-1ccd8bf241bc</errorID>
      <errorWord>(</errorWord>
      <group>L1_Format</group>
      <groupName>格式问题</groupName>
      <ability>L2_HalfPunc</ability>
      <abilityName>全半角检查</abilityName>
      <candidateList>
        <item>（</item>
      </candidateList>
      <explain>文本全半角错误。</explain>
      <paraID>6FBE70D3</paraID>
      <start>4</start>
      <end>5</end>
      <status>unmodified</status>
      <modifiedWord/>
      <trackRevisions>false</trackRevisions>
    </reviewItem>
    <reviewItem>
      <errorID>f96989d3-7cdc-4c50-a24e-a0415219a64c</errorID>
      <errorWord>)</errorWord>
      <group>L1_Format</group>
      <groupName>格式问题</groupName>
      <ability>L2_HalfPunc</ability>
      <abilityName>全半角检查</abilityName>
      <candidateList>
        <item>）</item>
      </candidateList>
      <explain>文本全半角错误。</explain>
      <paraID>6FBE70D3</paraID>
      <start>6</start>
      <end>7</end>
      <status>unmodified</status>
      <modifiedWord/>
      <trackRevisions>false</trackRevisions>
    </reviewItem>
    <reviewItem>
      <errorID>9b37a697-a4f7-4c66-9605-06900b479711</errorID>
      <errorWord>股东大会</errorWord>
      <group>L1_Word</group>
      <groupName>字词问题</groupName>
      <ability>L2_Typo</ability>
      <abilityName>字词错误</abilityName>
      <candidateList>
        <item>股东会</item>
      </candidateList>
      <explain/>
      <paraID>4632A0F3</paraID>
      <start>113</start>
      <end>117</end>
      <status>unmodified</status>
      <modifiedWord/>
      <trackRevisions>false</trackRevisions>
    </reviewItem>
    <reviewItem>
      <errorID>4a9cee57-ddc5-4c24-80d2-7086a0874533</errorID>
      <errorWord>者</errorWord>
      <group>L1_Word</group>
      <groupName>字词问题</groupName>
      <ability>L2_Typo</ability>
      <abilityName>字词错误</abilityName>
      <candidateList>
        <item>者加</item>
      </candidateList>
      <explain/>
      <paraID>20A8148E</paraID>
      <start>37</start>
      <end>38</end>
      <status>unmodified</status>
      <modifiedWord/>
      <trackRevisions>false</trackRevisions>
    </reviewItem>
    <reviewItem>
      <errorID>83a9e119-42a8-44c3-8782-992b13e14837</errorID>
      <errorWord>提出质疑</errorWord>
      <group>L1_Grammar</group>
      <groupName>语法问题</groupName>
      <ability>L2_Grammar</ability>
      <abilityName>语法错误</abilityName>
      <candidateList>
        <item>质疑</item>
      </candidateList>
      <explain>〈动〉提出疑问：～问难。</explain>
      <paraID>23E26D7D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6A9BC-F3BF-4FF8-BF45-74F4DFBEB927}">
  <ds:schemaRefs/>
</ds:datastoreItem>
</file>

<file path=docProps/app.xml><?xml version="1.0" encoding="utf-8"?>
<Properties xmlns="http://schemas.openxmlformats.org/officeDocument/2006/extended-properties" xmlns:vt="http://schemas.openxmlformats.org/officeDocument/2006/docPropsVTypes">
  <Template>Normal</Template>
  <Pages>103</Pages>
  <Words>26758</Words>
  <Characters>28453</Characters>
  <Lines>430</Lines>
  <Paragraphs>121</Paragraphs>
  <TotalTime>10</TotalTime>
  <ScaleCrop>false</ScaleCrop>
  <LinksUpToDate>false</LinksUpToDate>
  <CharactersWithSpaces>29002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2020-10-14T10:17:00Z</dcterms:created>
  <dc:creator>番茄花园</dc:creator>
  <cp:lastModifiedBy>杉</cp:lastModifiedBy>
  <cp:lastPrinted>2019-09-27T01:36:00Z</cp:lastPrinted>
  <dcterms:modified xsi:type="dcterms:W3CDTF">2026-06-12T14:08:06Z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F091131D5154408DADD55D772820F47D_13</vt:lpwstr>
  </property>
  <property fmtid="{D5CDD505-2E9C-101B-9397-08002B2CF9AE}" pid="4" name="KSOTemplateDocerSaveRecord">
    <vt:lpwstr>eyJoZGlkIjoiZTE3OGMxZGM0MGI4ZjAyYjhiODQ1MTk1YTQzY2JlZjMiLCJ1c2VySWQiOiI4ODcyODM4OTIifQ==</vt:lpwstr>
  </property>
</Properties>
</file>