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3E0E0">
      <w:pPr>
        <w:keepNext w:val="0"/>
        <w:keepLines w:val="0"/>
        <w:widowControl/>
        <w:suppressLineNumbers w:val="0"/>
        <w:jc w:val="center"/>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体检系统维保采购内容与技术要求</w:t>
      </w:r>
    </w:p>
    <w:p w14:paraId="00EFF18C">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项目概况：</w:t>
      </w:r>
    </w:p>
    <w:p w14:paraId="6502D84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20" w:firstLineChars="0"/>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为我院的体检管理信息系统</w:t>
      </w:r>
      <w:r>
        <w:rPr>
          <w:rFonts w:hint="eastAsia" w:ascii="仿宋_GB2312" w:hAnsi="仿宋_GB2312" w:eastAsia="仿宋_GB2312" w:cs="仿宋_GB2312"/>
          <w:color w:val="000000"/>
          <w:kern w:val="0"/>
          <w:sz w:val="24"/>
          <w:szCs w:val="24"/>
          <w:vertAlign w:val="baseline"/>
          <w:lang w:val="en-US" w:eastAsia="zh-CN" w:bidi="ar"/>
        </w:rPr>
        <w:t>、</w:t>
      </w:r>
      <w:r>
        <w:rPr>
          <w:rFonts w:hint="eastAsia" w:ascii="仿宋_GB2312" w:hAnsi="仿宋_GB2312" w:eastAsia="仿宋_GB2312" w:cs="仿宋_GB2312"/>
          <w:color w:val="000000"/>
          <w:kern w:val="0"/>
          <w:sz w:val="24"/>
          <w:szCs w:val="24"/>
          <w:lang w:val="en-US" w:eastAsia="zh-CN" w:bidi="ar"/>
        </w:rPr>
        <w:t>上述接口与集成平台等系统（详见表1）和数据中心相关分析报表系统以及涉及上述系统的接口提供至少1年7×24售后运维保障服务、需求处理服务、问题处理服务、系统优化服务、漏洞修复服务、安全巡检服务、系统操作培训服务、应急响应服务、技术支持服务等。保障我院以上信息系统1年 7×24安全稳定运行。</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7"/>
        <w:gridCol w:w="4254"/>
        <w:gridCol w:w="1428"/>
      </w:tblGrid>
      <w:tr w14:paraId="32236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5" w:type="pct"/>
            <w:shd w:val="clear" w:color="auto" w:fill="auto"/>
            <w:vAlign w:val="center"/>
          </w:tcPr>
          <w:p w14:paraId="01504050">
            <w:pPr>
              <w:jc w:val="center"/>
              <w:rPr>
                <w:rFonts w:hint="eastAsia" w:ascii="仿宋_GB2312" w:hAnsi="仿宋_GB2312" w:eastAsia="仿宋_GB2312" w:cs="仿宋_GB2312"/>
                <w:b/>
                <w:bCs/>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系统类别</w:t>
            </w:r>
          </w:p>
        </w:tc>
        <w:tc>
          <w:tcPr>
            <w:tcW w:w="2496" w:type="pct"/>
            <w:shd w:val="clear" w:color="auto" w:fill="auto"/>
            <w:vAlign w:val="center"/>
          </w:tcPr>
          <w:p w14:paraId="7EA1E3FB">
            <w:pPr>
              <w:jc w:val="center"/>
              <w:rPr>
                <w:rFonts w:hint="eastAsia" w:ascii="仿宋_GB2312" w:hAnsi="仿宋_GB2312" w:eastAsia="仿宋_GB2312" w:cs="仿宋_GB2312"/>
                <w:b/>
                <w:bCs/>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功能模块</w:t>
            </w:r>
          </w:p>
        </w:tc>
        <w:tc>
          <w:tcPr>
            <w:tcW w:w="838" w:type="pct"/>
            <w:shd w:val="clear" w:color="auto" w:fill="auto"/>
            <w:vAlign w:val="center"/>
          </w:tcPr>
          <w:p w14:paraId="6C2588D1">
            <w:pPr>
              <w:jc w:val="center"/>
              <w:rPr>
                <w:rFonts w:hint="eastAsia" w:ascii="仿宋_GB2312" w:hAnsi="仿宋_GB2312" w:eastAsia="仿宋_GB2312" w:cs="仿宋_GB2312"/>
                <w:b/>
                <w:bCs/>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数量</w:t>
            </w:r>
          </w:p>
        </w:tc>
      </w:tr>
      <w:tr w14:paraId="5A7D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pct"/>
          </w:tcPr>
          <w:p w14:paraId="5CD4141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kern w:val="0"/>
                <w:sz w:val="24"/>
                <w:szCs w:val="24"/>
                <w:vertAlign w:val="baseline"/>
                <w:lang w:val="en-US" w:eastAsia="zh-CN" w:bidi="ar"/>
              </w:rPr>
            </w:pPr>
            <w:r>
              <w:rPr>
                <w:rFonts w:hint="eastAsia" w:ascii="仿宋_GB2312" w:hAnsi="仿宋_GB2312" w:eastAsia="仿宋_GB2312" w:cs="仿宋_GB2312"/>
                <w:color w:val="000000"/>
                <w:kern w:val="0"/>
                <w:sz w:val="24"/>
                <w:szCs w:val="24"/>
                <w:lang w:val="en-US" w:eastAsia="zh-CN" w:bidi="ar"/>
              </w:rPr>
              <w:t>体检管理信息系统</w:t>
            </w:r>
          </w:p>
        </w:tc>
        <w:tc>
          <w:tcPr>
            <w:tcW w:w="2496" w:type="pct"/>
          </w:tcPr>
          <w:p w14:paraId="3CB1CF8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kern w:val="0"/>
                <w:sz w:val="24"/>
                <w:szCs w:val="24"/>
                <w:vertAlign w:val="baseline"/>
                <w:lang w:val="en-US" w:eastAsia="zh-CN" w:bidi="ar"/>
              </w:rPr>
            </w:pPr>
            <w:r>
              <w:rPr>
                <w:rFonts w:hint="eastAsia" w:ascii="仿宋_GB2312" w:hAnsi="仿宋_GB2312" w:eastAsia="仿宋_GB2312" w:cs="仿宋_GB2312"/>
                <w:color w:val="000000"/>
                <w:kern w:val="0"/>
                <w:sz w:val="24"/>
                <w:szCs w:val="24"/>
                <w:lang w:val="en-US" w:eastAsia="zh-CN" w:bidi="ar"/>
              </w:rPr>
              <w:t>体检管理信息系统</w:t>
            </w:r>
            <w:r>
              <w:rPr>
                <w:rFonts w:hint="eastAsia" w:ascii="仿宋_GB2312" w:hAnsi="仿宋_GB2312" w:eastAsia="仿宋_GB2312" w:cs="仿宋_GB2312"/>
                <w:color w:val="000000"/>
                <w:kern w:val="0"/>
                <w:sz w:val="24"/>
                <w:szCs w:val="24"/>
                <w:vertAlign w:val="baseline"/>
                <w:lang w:val="en-US" w:eastAsia="zh-CN" w:bidi="ar"/>
              </w:rPr>
              <w:t>所有模块</w:t>
            </w:r>
          </w:p>
        </w:tc>
        <w:tc>
          <w:tcPr>
            <w:tcW w:w="838" w:type="pct"/>
          </w:tcPr>
          <w:p w14:paraId="7CA8410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kern w:val="0"/>
                <w:sz w:val="24"/>
                <w:szCs w:val="24"/>
                <w:vertAlign w:val="baseline"/>
                <w:lang w:val="en-US" w:eastAsia="zh-CN" w:bidi="ar"/>
              </w:rPr>
            </w:pPr>
            <w:r>
              <w:rPr>
                <w:rFonts w:hint="eastAsia" w:ascii="仿宋_GB2312" w:hAnsi="仿宋_GB2312" w:eastAsia="仿宋_GB2312" w:cs="仿宋_GB2312"/>
                <w:color w:val="000000"/>
                <w:kern w:val="0"/>
                <w:sz w:val="24"/>
                <w:szCs w:val="24"/>
                <w:vertAlign w:val="baseline"/>
                <w:lang w:val="en-US" w:eastAsia="zh-CN" w:bidi="ar"/>
              </w:rPr>
              <w:t>1年</w:t>
            </w:r>
          </w:p>
        </w:tc>
      </w:tr>
      <w:tr w14:paraId="64C3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pct"/>
          </w:tcPr>
          <w:p w14:paraId="036C3F8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kern w:val="0"/>
                <w:sz w:val="24"/>
                <w:szCs w:val="24"/>
                <w:vertAlign w:val="baseline"/>
                <w:lang w:val="en-US" w:eastAsia="zh-CN" w:bidi="ar"/>
              </w:rPr>
            </w:pPr>
            <w:r>
              <w:rPr>
                <w:rFonts w:hint="eastAsia" w:ascii="仿宋_GB2312" w:hAnsi="仿宋_GB2312" w:eastAsia="仿宋_GB2312" w:cs="仿宋_GB2312"/>
                <w:color w:val="000000"/>
                <w:kern w:val="0"/>
                <w:sz w:val="24"/>
                <w:szCs w:val="24"/>
                <w:vertAlign w:val="baseline"/>
                <w:lang w:val="en-US" w:eastAsia="zh-CN" w:bidi="ar"/>
              </w:rPr>
              <w:t>接口</w:t>
            </w:r>
          </w:p>
        </w:tc>
        <w:tc>
          <w:tcPr>
            <w:tcW w:w="2496" w:type="pct"/>
          </w:tcPr>
          <w:p w14:paraId="11F16A2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kern w:val="0"/>
                <w:sz w:val="24"/>
                <w:szCs w:val="24"/>
                <w:vertAlign w:val="baseline"/>
                <w:lang w:val="en-US" w:eastAsia="zh-CN" w:bidi="ar"/>
              </w:rPr>
            </w:pPr>
            <w:r>
              <w:rPr>
                <w:rFonts w:hint="eastAsia" w:ascii="仿宋_GB2312" w:hAnsi="仿宋_GB2312" w:eastAsia="仿宋_GB2312" w:cs="仿宋_GB2312"/>
                <w:color w:val="000000"/>
                <w:kern w:val="0"/>
                <w:sz w:val="24"/>
                <w:szCs w:val="24"/>
                <w:vertAlign w:val="baseline"/>
                <w:lang w:val="en-US" w:eastAsia="zh-CN" w:bidi="ar"/>
              </w:rPr>
              <w:t>上述系统与集成平台接口</w:t>
            </w:r>
          </w:p>
        </w:tc>
        <w:tc>
          <w:tcPr>
            <w:tcW w:w="838" w:type="pct"/>
          </w:tcPr>
          <w:p w14:paraId="201110A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24"/>
                <w:szCs w:val="24"/>
                <w:vertAlign w:val="baseline"/>
                <w:lang w:val="en-US" w:eastAsia="zh-CN" w:bidi="ar"/>
              </w:rPr>
            </w:pPr>
            <w:r>
              <w:rPr>
                <w:rFonts w:hint="eastAsia" w:ascii="仿宋_GB2312" w:hAnsi="仿宋_GB2312" w:eastAsia="仿宋_GB2312" w:cs="仿宋_GB2312"/>
                <w:color w:val="000000"/>
                <w:kern w:val="0"/>
                <w:sz w:val="24"/>
                <w:szCs w:val="24"/>
                <w:vertAlign w:val="baseline"/>
                <w:lang w:val="en-US" w:eastAsia="zh-CN" w:bidi="ar"/>
              </w:rPr>
              <w:t>1年</w:t>
            </w:r>
          </w:p>
        </w:tc>
      </w:tr>
    </w:tbl>
    <w:p w14:paraId="24A018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20" w:firstLineChars="0"/>
        <w:jc w:val="left"/>
        <w:textAlignment w:val="auto"/>
        <w:rPr>
          <w:rFonts w:hint="eastAsia" w:ascii="仿宋_GB2312" w:hAnsi="仿宋_GB2312" w:eastAsia="仿宋_GB2312" w:cs="仿宋_GB2312"/>
          <w:color w:val="000000"/>
          <w:kern w:val="0"/>
          <w:sz w:val="24"/>
          <w:szCs w:val="24"/>
          <w:lang w:val="en-US" w:eastAsia="zh-CN" w:bidi="ar"/>
        </w:rPr>
      </w:pPr>
    </w:p>
    <w:p w14:paraId="042D7D22">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表1</w:t>
      </w:r>
    </w:p>
    <w:p w14:paraId="62FC6CAA">
      <w:pPr>
        <w:numPr>
          <w:ilvl w:val="0"/>
          <w:numId w:val="2"/>
        </w:num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主要技术参数</w:t>
      </w:r>
    </w:p>
    <w:p w14:paraId="6A318D0A">
      <w:pPr>
        <w:pStyle w:val="28"/>
        <w:numPr>
          <w:ilvl w:val="0"/>
          <w:numId w:val="3"/>
        </w:num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主要商务要求</w:t>
      </w:r>
    </w:p>
    <w:tbl>
      <w:tblPr>
        <w:tblStyle w:val="10"/>
        <w:tblpPr w:leftFromText="180" w:rightFromText="180" w:vertAnchor="text" w:horzAnchor="page" w:tblpX="1784" w:tblpY="307"/>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2371"/>
        <w:gridCol w:w="5101"/>
      </w:tblGrid>
      <w:tr w14:paraId="7141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tcPr>
          <w:p w14:paraId="19B6EBE1">
            <w:pPr>
              <w:keepNext w:val="0"/>
              <w:keepLines w:val="0"/>
              <w:widowControl/>
              <w:suppressLineNumbers w:val="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序号</w:t>
            </w:r>
          </w:p>
        </w:tc>
        <w:tc>
          <w:tcPr>
            <w:tcW w:w="1391" w:type="pct"/>
          </w:tcPr>
          <w:p w14:paraId="2AEB476C">
            <w:pP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类型</w:t>
            </w:r>
          </w:p>
        </w:tc>
        <w:tc>
          <w:tcPr>
            <w:tcW w:w="2993" w:type="pct"/>
          </w:tcPr>
          <w:p w14:paraId="523F6D7D">
            <w:pP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要求</w:t>
            </w:r>
          </w:p>
        </w:tc>
      </w:tr>
      <w:tr w14:paraId="7432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tcPr>
          <w:p w14:paraId="4263D3E2">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1391" w:type="pct"/>
          </w:tcPr>
          <w:p w14:paraId="080E0CC9">
            <w:pPr>
              <w:keepNext w:val="0"/>
              <w:keepLines w:val="0"/>
              <w:widowControl/>
              <w:suppressLineNumbers w:val="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标的提供时间</w:t>
            </w:r>
          </w:p>
        </w:tc>
        <w:tc>
          <w:tcPr>
            <w:tcW w:w="2993" w:type="pct"/>
          </w:tcPr>
          <w:p w14:paraId="545AA81A">
            <w:pPr>
              <w:keepNext w:val="0"/>
              <w:keepLines w:val="0"/>
              <w:widowControl/>
              <w:suppressLineNumbers w:val="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合同签订之日起实施。</w:t>
            </w:r>
          </w:p>
        </w:tc>
      </w:tr>
      <w:tr w14:paraId="009C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tcPr>
          <w:p w14:paraId="099B85BB">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1391" w:type="pct"/>
          </w:tcPr>
          <w:p w14:paraId="187D0E45">
            <w:pPr>
              <w:keepNext w:val="0"/>
              <w:keepLines w:val="0"/>
              <w:widowControl/>
              <w:suppressLineNumbers w:val="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标的提供地点</w:t>
            </w:r>
          </w:p>
        </w:tc>
        <w:tc>
          <w:tcPr>
            <w:tcW w:w="2993" w:type="pct"/>
          </w:tcPr>
          <w:p w14:paraId="2CE90AC4">
            <w:pP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玉林市红十字会医院</w:t>
            </w:r>
          </w:p>
        </w:tc>
      </w:tr>
      <w:tr w14:paraId="4EABD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tcPr>
          <w:p w14:paraId="61935AB6">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1391" w:type="pct"/>
          </w:tcPr>
          <w:p w14:paraId="5F439B97">
            <w:pPr>
              <w:keepNext w:val="0"/>
              <w:keepLines w:val="0"/>
              <w:widowControl/>
              <w:suppressLineNumbers w:val="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合同履约期限</w:t>
            </w:r>
          </w:p>
        </w:tc>
        <w:tc>
          <w:tcPr>
            <w:tcW w:w="2993" w:type="pct"/>
          </w:tcPr>
          <w:p w14:paraId="510537EC">
            <w:pPr>
              <w:keepNext w:val="0"/>
              <w:keepLines w:val="0"/>
              <w:widowControl/>
              <w:suppressLineNumbers w:val="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合同签订之日起1年</w:t>
            </w:r>
          </w:p>
        </w:tc>
      </w:tr>
      <w:tr w14:paraId="55BF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tcPr>
          <w:p w14:paraId="532FE6AD">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1391" w:type="pct"/>
          </w:tcPr>
          <w:p w14:paraId="4E695C79">
            <w:pPr>
              <w:keepNext w:val="0"/>
              <w:keepLines w:val="0"/>
              <w:widowControl/>
              <w:suppressLineNumbers w:val="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合同履约地点</w:t>
            </w:r>
          </w:p>
        </w:tc>
        <w:tc>
          <w:tcPr>
            <w:tcW w:w="2993" w:type="pct"/>
          </w:tcPr>
          <w:p w14:paraId="2D3CE896">
            <w:pPr>
              <w:keepNext w:val="0"/>
              <w:keepLines w:val="0"/>
              <w:widowControl/>
              <w:suppressLineNumbers w:val="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玉林市红十字会医院</w:t>
            </w:r>
          </w:p>
        </w:tc>
      </w:tr>
      <w:tr w14:paraId="6DCE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tcPr>
          <w:p w14:paraId="672EA0A3">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c>
          <w:tcPr>
            <w:tcW w:w="1391" w:type="pct"/>
          </w:tcPr>
          <w:p w14:paraId="6FE76E42">
            <w:pPr>
              <w:keepNext w:val="0"/>
              <w:keepLines w:val="0"/>
              <w:widowControl/>
              <w:suppressLineNumbers w:val="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合同履约地点</w:t>
            </w:r>
          </w:p>
        </w:tc>
        <w:tc>
          <w:tcPr>
            <w:tcW w:w="2993" w:type="pct"/>
          </w:tcPr>
          <w:p w14:paraId="1D27C843">
            <w:pPr>
              <w:keepNext w:val="0"/>
              <w:keepLines w:val="0"/>
              <w:widowControl/>
              <w:suppressLineNumbers w:val="0"/>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严格按照采购合同开展履约验收</w:t>
            </w:r>
          </w:p>
        </w:tc>
      </w:tr>
    </w:tbl>
    <w:p w14:paraId="0EFCD7DA">
      <w:pPr>
        <w:pStyle w:val="28"/>
        <w:numPr>
          <w:ilvl w:val="0"/>
          <w:numId w:val="0"/>
        </w:num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2.运维对象服务方式</w:t>
      </w:r>
    </w:p>
    <w:tbl>
      <w:tblPr>
        <w:tblStyle w:val="9"/>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51"/>
        <w:gridCol w:w="1904"/>
        <w:gridCol w:w="6061"/>
      </w:tblGrid>
      <w:tr w14:paraId="453517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5BBEDFD">
            <w:pPr>
              <w:pStyle w:val="29"/>
              <w:jc w:val="center"/>
              <w:rPr>
                <w:sz w:val="24"/>
                <w:szCs w:val="24"/>
              </w:rPr>
            </w:pPr>
            <w:r>
              <w:rPr>
                <w:rFonts w:ascii="仿宋_GB2312" w:hAnsi="仿宋_GB2312" w:eastAsia="仿宋_GB2312" w:cs="仿宋_GB2312"/>
                <w:b/>
                <w:sz w:val="24"/>
                <w:szCs w:val="24"/>
              </w:rPr>
              <w:t>序号</w:t>
            </w:r>
          </w:p>
        </w:tc>
        <w:tc>
          <w:tcPr>
            <w:tcW w:w="190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510F64F">
            <w:pPr>
              <w:pStyle w:val="29"/>
              <w:jc w:val="center"/>
              <w:rPr>
                <w:sz w:val="24"/>
                <w:szCs w:val="24"/>
              </w:rPr>
            </w:pPr>
            <w:r>
              <w:rPr>
                <w:rFonts w:ascii="仿宋_GB2312" w:hAnsi="仿宋_GB2312" w:eastAsia="仿宋_GB2312" w:cs="仿宋_GB2312"/>
                <w:b/>
                <w:sz w:val="24"/>
                <w:szCs w:val="24"/>
              </w:rPr>
              <w:t>服务方式</w:t>
            </w:r>
          </w:p>
        </w:tc>
        <w:tc>
          <w:tcPr>
            <w:tcW w:w="606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9F28803">
            <w:pPr>
              <w:pStyle w:val="29"/>
              <w:jc w:val="center"/>
              <w:rPr>
                <w:sz w:val="24"/>
                <w:szCs w:val="24"/>
              </w:rPr>
            </w:pPr>
            <w:r>
              <w:rPr>
                <w:rFonts w:ascii="仿宋_GB2312" w:hAnsi="仿宋_GB2312" w:eastAsia="仿宋_GB2312" w:cs="仿宋_GB2312"/>
                <w:b/>
                <w:sz w:val="24"/>
                <w:szCs w:val="24"/>
              </w:rPr>
              <w:t>服务内容</w:t>
            </w:r>
          </w:p>
        </w:tc>
      </w:tr>
      <w:tr w14:paraId="36EF14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0B03927">
            <w:pPr>
              <w:pStyle w:val="29"/>
              <w:jc w:val="center"/>
              <w:rPr>
                <w:sz w:val="24"/>
                <w:szCs w:val="24"/>
              </w:rPr>
            </w:pPr>
            <w:r>
              <w:rPr>
                <w:rFonts w:ascii="仿宋_GB2312" w:hAnsi="仿宋_GB2312" w:eastAsia="仿宋_GB2312" w:cs="仿宋_GB2312"/>
                <w:sz w:val="24"/>
                <w:szCs w:val="24"/>
              </w:rPr>
              <w:t>1</w:t>
            </w:r>
          </w:p>
        </w:tc>
        <w:tc>
          <w:tcPr>
            <w:tcW w:w="19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72862E8">
            <w:pPr>
              <w:pStyle w:val="29"/>
              <w:jc w:val="both"/>
              <w:rPr>
                <w:sz w:val="24"/>
                <w:szCs w:val="24"/>
              </w:rPr>
            </w:pPr>
            <w:r>
              <w:rPr>
                <w:rFonts w:ascii="仿宋_GB2312" w:hAnsi="仿宋_GB2312" w:eastAsia="仿宋_GB2312" w:cs="仿宋_GB2312"/>
                <w:sz w:val="24"/>
                <w:szCs w:val="24"/>
              </w:rPr>
              <w:t>远程处理</w:t>
            </w:r>
          </w:p>
        </w:tc>
        <w:tc>
          <w:tcPr>
            <w:tcW w:w="60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E6F826">
            <w:pPr>
              <w:pStyle w:val="29"/>
              <w:jc w:val="left"/>
              <w:rPr>
                <w:rFonts w:hint="default" w:eastAsia="仿宋_GB2312"/>
                <w:sz w:val="24"/>
                <w:szCs w:val="24"/>
                <w:lang w:val="en-US" w:eastAsia="zh-CN"/>
              </w:rPr>
            </w:pPr>
            <w:r>
              <w:rPr>
                <w:rFonts w:ascii="仿宋_GB2312" w:hAnsi="仿宋_GB2312" w:eastAsia="仿宋_GB2312" w:cs="仿宋_GB2312"/>
                <w:sz w:val="24"/>
                <w:szCs w:val="24"/>
              </w:rPr>
              <w:t>电话、网络等形式提供的处理</w:t>
            </w:r>
            <w:r>
              <w:rPr>
                <w:rFonts w:hint="eastAsia" w:ascii="仿宋_GB2312" w:hAnsi="仿宋_GB2312" w:eastAsia="仿宋_GB2312" w:cs="仿宋_GB2312"/>
                <w:sz w:val="24"/>
                <w:szCs w:val="24"/>
                <w:lang w:eastAsia="zh-CN"/>
              </w:rPr>
              <w:t>。</w:t>
            </w:r>
          </w:p>
        </w:tc>
      </w:tr>
      <w:tr w14:paraId="4872FB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74BDBC">
            <w:pPr>
              <w:pStyle w:val="29"/>
              <w:jc w:val="center"/>
              <w:rPr>
                <w:sz w:val="24"/>
                <w:szCs w:val="24"/>
              </w:rPr>
            </w:pPr>
            <w:r>
              <w:rPr>
                <w:rFonts w:ascii="仿宋_GB2312" w:hAnsi="仿宋_GB2312" w:eastAsia="仿宋_GB2312" w:cs="仿宋_GB2312"/>
                <w:sz w:val="24"/>
                <w:szCs w:val="24"/>
              </w:rPr>
              <w:t>2</w:t>
            </w:r>
          </w:p>
        </w:tc>
        <w:tc>
          <w:tcPr>
            <w:tcW w:w="19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A48A56">
            <w:pPr>
              <w:pStyle w:val="29"/>
              <w:jc w:val="both"/>
              <w:rPr>
                <w:sz w:val="24"/>
                <w:szCs w:val="24"/>
              </w:rPr>
            </w:pPr>
            <w:r>
              <w:rPr>
                <w:rFonts w:ascii="仿宋_GB2312" w:hAnsi="仿宋_GB2312" w:eastAsia="仿宋_GB2312" w:cs="仿宋_GB2312"/>
                <w:sz w:val="24"/>
                <w:szCs w:val="24"/>
              </w:rPr>
              <w:t>临时紧急问题上门服务</w:t>
            </w:r>
          </w:p>
        </w:tc>
        <w:tc>
          <w:tcPr>
            <w:tcW w:w="60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78F7F0">
            <w:pPr>
              <w:pStyle w:val="29"/>
              <w:jc w:val="left"/>
              <w:rPr>
                <w:sz w:val="24"/>
                <w:szCs w:val="24"/>
              </w:rPr>
            </w:pPr>
            <w:r>
              <w:rPr>
                <w:rFonts w:ascii="仿宋_GB2312" w:hAnsi="仿宋_GB2312" w:eastAsia="仿宋_GB2312" w:cs="仿宋_GB2312"/>
                <w:sz w:val="24"/>
                <w:szCs w:val="24"/>
              </w:rPr>
              <w:t>乙方提供甲方的系统遭遇系统瘫痪、系统崩溃或遇经远程处理仍无法解决的问题，乙方即派技术人员现场解决</w:t>
            </w:r>
          </w:p>
        </w:tc>
      </w:tr>
      <w:tr w14:paraId="040C3C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D82F5B9">
            <w:pPr>
              <w:pStyle w:val="29"/>
              <w:jc w:val="center"/>
              <w:rPr>
                <w:sz w:val="24"/>
                <w:szCs w:val="24"/>
              </w:rPr>
            </w:pPr>
            <w:r>
              <w:rPr>
                <w:rFonts w:ascii="仿宋_GB2312" w:hAnsi="仿宋_GB2312" w:eastAsia="仿宋_GB2312" w:cs="仿宋_GB2312"/>
                <w:sz w:val="24"/>
                <w:szCs w:val="24"/>
              </w:rPr>
              <w:t>3</w:t>
            </w:r>
          </w:p>
        </w:tc>
        <w:tc>
          <w:tcPr>
            <w:tcW w:w="19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7ADADB">
            <w:pPr>
              <w:pStyle w:val="29"/>
              <w:jc w:val="both"/>
              <w:rPr>
                <w:sz w:val="24"/>
                <w:szCs w:val="24"/>
              </w:rPr>
            </w:pPr>
            <w:r>
              <w:rPr>
                <w:rFonts w:ascii="仿宋_GB2312" w:hAnsi="仿宋_GB2312" w:eastAsia="仿宋_GB2312" w:cs="仿宋_GB2312"/>
                <w:sz w:val="24"/>
                <w:szCs w:val="24"/>
              </w:rPr>
              <w:t>其他</w:t>
            </w:r>
          </w:p>
        </w:tc>
        <w:tc>
          <w:tcPr>
            <w:tcW w:w="606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351965">
            <w:pPr>
              <w:pStyle w:val="29"/>
              <w:jc w:val="left"/>
              <w:rPr>
                <w:sz w:val="24"/>
                <w:szCs w:val="24"/>
              </w:rPr>
            </w:pPr>
            <w:r>
              <w:rPr>
                <w:rFonts w:ascii="仿宋_GB2312" w:hAnsi="仿宋_GB2312" w:eastAsia="仿宋_GB2312" w:cs="仿宋_GB2312"/>
                <w:sz w:val="24"/>
                <w:szCs w:val="24"/>
              </w:rPr>
              <w:t>根据甲方的服务要求和内容，乙方有权选择服务方式。甲方应在中心机房配置网络以便能直接反馈信息，远程解决突发情况和处理紧急事件</w:t>
            </w:r>
          </w:p>
        </w:tc>
      </w:tr>
    </w:tbl>
    <w:p w14:paraId="4677E649">
      <w:pPr>
        <w:pStyle w:val="28"/>
        <w:numPr>
          <w:ilvl w:val="0"/>
          <w:numId w:val="0"/>
        </w:numP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3.应急响应维护</w:t>
      </w:r>
    </w:p>
    <w:tbl>
      <w:tblPr>
        <w:tblStyle w:val="9"/>
        <w:tblW w:w="5000"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402"/>
        <w:gridCol w:w="6114"/>
      </w:tblGrid>
      <w:tr w14:paraId="22B867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10"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6DF8F3A">
            <w:pPr>
              <w:pStyle w:val="29"/>
              <w:jc w:val="center"/>
              <w:rPr>
                <w:sz w:val="24"/>
                <w:szCs w:val="24"/>
              </w:rPr>
            </w:pPr>
            <w:r>
              <w:rPr>
                <w:rFonts w:ascii="仿宋_GB2312" w:hAnsi="仿宋_GB2312" w:eastAsia="仿宋_GB2312" w:cs="仿宋_GB2312"/>
                <w:b/>
                <w:sz w:val="24"/>
                <w:szCs w:val="24"/>
              </w:rPr>
              <w:t>故障等级</w:t>
            </w:r>
          </w:p>
        </w:tc>
        <w:tc>
          <w:tcPr>
            <w:tcW w:w="3589" w:type="pct"/>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C129CA7">
            <w:pPr>
              <w:pStyle w:val="29"/>
              <w:jc w:val="center"/>
              <w:rPr>
                <w:sz w:val="24"/>
                <w:szCs w:val="24"/>
              </w:rPr>
            </w:pPr>
            <w:r>
              <w:rPr>
                <w:rFonts w:ascii="仿宋_GB2312" w:hAnsi="仿宋_GB2312" w:eastAsia="仿宋_GB2312" w:cs="仿宋_GB2312"/>
                <w:b/>
                <w:sz w:val="24"/>
                <w:szCs w:val="24"/>
              </w:rPr>
              <w:t>故障情况分类</w:t>
            </w:r>
          </w:p>
        </w:tc>
      </w:tr>
      <w:tr w14:paraId="1FC588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D136B38">
            <w:pPr>
              <w:pStyle w:val="29"/>
              <w:jc w:val="center"/>
              <w:rPr>
                <w:sz w:val="24"/>
                <w:szCs w:val="24"/>
              </w:rPr>
            </w:pPr>
            <w:r>
              <w:rPr>
                <w:rFonts w:hint="eastAsia" w:ascii="仿宋_GB2312" w:hAnsi="仿宋_GB2312" w:eastAsia="仿宋_GB2312" w:cs="仿宋_GB2312"/>
                <w:color w:val="000000"/>
                <w:kern w:val="0"/>
                <w:sz w:val="24"/>
                <w:szCs w:val="24"/>
                <w:lang w:val="en-US" w:eastAsia="zh-CN" w:bidi="ar"/>
              </w:rPr>
              <w:t>紧急</w:t>
            </w:r>
          </w:p>
        </w:tc>
        <w:tc>
          <w:tcPr>
            <w:tcW w:w="3589" w:type="pct"/>
            <w:tcBorders>
              <w:top w:val="nil"/>
              <w:left w:val="nil"/>
              <w:bottom w:val="single" w:color="000000" w:sz="4" w:space="0"/>
              <w:right w:val="single" w:color="000000" w:sz="4" w:space="0"/>
            </w:tcBorders>
            <w:tcMar>
              <w:top w:w="0" w:type="dxa"/>
              <w:left w:w="105" w:type="dxa"/>
              <w:bottom w:w="0" w:type="dxa"/>
              <w:right w:w="105" w:type="dxa"/>
            </w:tcMar>
            <w:vAlign w:val="top"/>
          </w:tcPr>
          <w:p w14:paraId="47411045">
            <w:pPr>
              <w:pStyle w:val="29"/>
              <w:jc w:val="both"/>
              <w:rPr>
                <w:sz w:val="24"/>
                <w:szCs w:val="24"/>
              </w:rPr>
            </w:pPr>
            <w:r>
              <w:rPr>
                <w:rFonts w:ascii="仿宋_GB2312" w:hAnsi="仿宋_GB2312" w:eastAsia="仿宋_GB2312" w:cs="仿宋_GB2312"/>
                <w:sz w:val="24"/>
                <w:szCs w:val="24"/>
              </w:rPr>
              <w:t>系统崩溃瘫痪---用户已无法正常开展业务</w:t>
            </w:r>
          </w:p>
        </w:tc>
      </w:tr>
      <w:tr w14:paraId="0DEF7D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0454B3">
            <w:pPr>
              <w:pStyle w:val="29"/>
              <w:jc w:val="center"/>
              <w:rPr>
                <w:sz w:val="24"/>
                <w:szCs w:val="24"/>
              </w:rPr>
            </w:pPr>
            <w:r>
              <w:rPr>
                <w:rFonts w:hint="eastAsia" w:ascii="仿宋_GB2312" w:hAnsi="仿宋_GB2312" w:eastAsia="仿宋_GB2312" w:cs="仿宋_GB2312"/>
                <w:color w:val="000000"/>
                <w:kern w:val="0"/>
                <w:sz w:val="24"/>
                <w:szCs w:val="24"/>
                <w:lang w:val="en-US" w:eastAsia="zh-CN" w:bidi="ar"/>
              </w:rPr>
              <w:t>较紧急</w:t>
            </w:r>
          </w:p>
        </w:tc>
        <w:tc>
          <w:tcPr>
            <w:tcW w:w="3589" w:type="pct"/>
            <w:tcBorders>
              <w:top w:val="nil"/>
              <w:left w:val="nil"/>
              <w:bottom w:val="single" w:color="000000" w:sz="4" w:space="0"/>
              <w:right w:val="single" w:color="000000" w:sz="4" w:space="0"/>
            </w:tcBorders>
            <w:tcMar>
              <w:top w:w="0" w:type="dxa"/>
              <w:left w:w="105" w:type="dxa"/>
              <w:bottom w:w="0" w:type="dxa"/>
              <w:right w:w="105" w:type="dxa"/>
            </w:tcMar>
            <w:vAlign w:val="top"/>
          </w:tcPr>
          <w:p w14:paraId="5D90340D">
            <w:pPr>
              <w:pStyle w:val="29"/>
              <w:jc w:val="both"/>
              <w:rPr>
                <w:sz w:val="24"/>
                <w:szCs w:val="24"/>
              </w:rPr>
            </w:pPr>
            <w:r>
              <w:rPr>
                <w:rFonts w:ascii="仿宋_GB2312" w:hAnsi="仿宋_GB2312" w:eastAsia="仿宋_GB2312" w:cs="仿宋_GB2312"/>
                <w:sz w:val="24"/>
                <w:szCs w:val="24"/>
              </w:rPr>
              <w:t>系统性能严重退化---系统运行迟缓，程序（业务报表查询操作除外）响应时间超过30秒，对用户正常业务操作产生严重影响</w:t>
            </w:r>
          </w:p>
        </w:tc>
      </w:tr>
      <w:tr w14:paraId="1DDF6F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E3E0596">
            <w:pPr>
              <w:pStyle w:val="29"/>
              <w:jc w:val="center"/>
              <w:rPr>
                <w:sz w:val="24"/>
                <w:szCs w:val="24"/>
              </w:rPr>
            </w:pPr>
            <w:r>
              <w:rPr>
                <w:rFonts w:hint="eastAsia" w:ascii="仿宋_GB2312" w:hAnsi="仿宋_GB2312" w:eastAsia="仿宋_GB2312" w:cs="仿宋_GB2312"/>
                <w:color w:val="000000"/>
                <w:kern w:val="0"/>
                <w:sz w:val="24"/>
                <w:szCs w:val="24"/>
                <w:lang w:val="en-US" w:eastAsia="zh-CN" w:bidi="ar"/>
              </w:rPr>
              <w:t>中等</w:t>
            </w:r>
          </w:p>
        </w:tc>
        <w:tc>
          <w:tcPr>
            <w:tcW w:w="3589" w:type="pct"/>
            <w:tcBorders>
              <w:top w:val="nil"/>
              <w:left w:val="nil"/>
              <w:bottom w:val="single" w:color="000000" w:sz="4" w:space="0"/>
              <w:right w:val="single" w:color="000000" w:sz="4" w:space="0"/>
            </w:tcBorders>
            <w:tcMar>
              <w:top w:w="0" w:type="dxa"/>
              <w:left w:w="105" w:type="dxa"/>
              <w:bottom w:w="0" w:type="dxa"/>
              <w:right w:w="105" w:type="dxa"/>
            </w:tcMar>
            <w:vAlign w:val="top"/>
          </w:tcPr>
          <w:p w14:paraId="6072FA63">
            <w:pPr>
              <w:pStyle w:val="29"/>
              <w:jc w:val="both"/>
              <w:rPr>
                <w:sz w:val="24"/>
                <w:szCs w:val="24"/>
              </w:rPr>
            </w:pPr>
            <w:r>
              <w:rPr>
                <w:rFonts w:ascii="仿宋_GB2312" w:hAnsi="仿宋_GB2312" w:eastAsia="仿宋_GB2312" w:cs="仿宋_GB2312"/>
                <w:sz w:val="24"/>
                <w:szCs w:val="24"/>
              </w:rPr>
              <w:t>系统数据检错或用户操作问题---系统应用过程中发生的业务数据问题或操作使用问题，不影响用户正常业务操作执行</w:t>
            </w:r>
          </w:p>
        </w:tc>
      </w:tr>
      <w:tr w14:paraId="025790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1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96F8C16">
            <w:pPr>
              <w:pStyle w:val="29"/>
              <w:jc w:val="center"/>
              <w:rPr>
                <w:sz w:val="24"/>
                <w:szCs w:val="24"/>
              </w:rPr>
            </w:pPr>
            <w:r>
              <w:rPr>
                <w:rFonts w:hint="eastAsia" w:ascii="仿宋_GB2312" w:hAnsi="仿宋_GB2312" w:eastAsia="仿宋_GB2312" w:cs="仿宋_GB2312"/>
                <w:color w:val="000000"/>
                <w:kern w:val="0"/>
                <w:sz w:val="24"/>
                <w:szCs w:val="24"/>
                <w:lang w:val="en-US" w:eastAsia="zh-CN" w:bidi="ar"/>
              </w:rPr>
              <w:t>一般</w:t>
            </w:r>
          </w:p>
        </w:tc>
        <w:tc>
          <w:tcPr>
            <w:tcW w:w="3589" w:type="pct"/>
            <w:tcBorders>
              <w:top w:val="nil"/>
              <w:left w:val="nil"/>
              <w:bottom w:val="single" w:color="000000" w:sz="4" w:space="0"/>
              <w:right w:val="single" w:color="000000" w:sz="4" w:space="0"/>
            </w:tcBorders>
            <w:tcMar>
              <w:top w:w="0" w:type="dxa"/>
              <w:left w:w="105" w:type="dxa"/>
              <w:bottom w:w="0" w:type="dxa"/>
              <w:right w:w="105" w:type="dxa"/>
            </w:tcMar>
            <w:vAlign w:val="top"/>
          </w:tcPr>
          <w:p w14:paraId="401F1B6B">
            <w:pPr>
              <w:pStyle w:val="29"/>
              <w:jc w:val="both"/>
              <w:rPr>
                <w:sz w:val="24"/>
                <w:szCs w:val="24"/>
              </w:rPr>
            </w:pPr>
            <w:r>
              <w:rPr>
                <w:rFonts w:ascii="仿宋_GB2312" w:hAnsi="仿宋_GB2312" w:eastAsia="仿宋_GB2312" w:cs="仿宋_GB2312"/>
                <w:sz w:val="24"/>
                <w:szCs w:val="24"/>
              </w:rPr>
              <w:t>产品信息支持或援助---用户需要关于产品功能解释说明、配置方面的信息或援助</w:t>
            </w:r>
          </w:p>
        </w:tc>
      </w:tr>
    </w:tbl>
    <w:p w14:paraId="27046C4B">
      <w:pPr>
        <w:widowControl w:val="0"/>
        <w:numPr>
          <w:ilvl w:val="0"/>
          <w:numId w:val="0"/>
        </w:numPr>
        <w:jc w:val="both"/>
        <w:rPr>
          <w:rFonts w:hint="default"/>
          <w:lang w:val="en-US" w:eastAsia="zh-CN"/>
        </w:rPr>
      </w:pPr>
    </w:p>
    <w:p w14:paraId="0947FA4C">
      <w:pPr>
        <w:pStyle w:val="28"/>
        <w:rPr>
          <w:rFonts w:hint="default"/>
          <w:lang w:val="en-US" w:eastAsia="zh-CN"/>
        </w:rPr>
      </w:pPr>
      <w:r>
        <w:rPr>
          <w:rFonts w:hint="eastAsia"/>
          <w:lang w:val="en-US" w:eastAsia="zh-CN"/>
        </w:rPr>
        <w:t>4.主要技术要求</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1606"/>
        <w:gridCol w:w="6064"/>
      </w:tblGrid>
      <w:tr w14:paraId="19D1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52" w:type="dxa"/>
          </w:tcPr>
          <w:p w14:paraId="629F5439">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序号</w:t>
            </w:r>
          </w:p>
        </w:tc>
        <w:tc>
          <w:tcPr>
            <w:tcW w:w="1606" w:type="dxa"/>
          </w:tcPr>
          <w:p w14:paraId="5740B58F">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参数类别</w:t>
            </w:r>
          </w:p>
        </w:tc>
        <w:tc>
          <w:tcPr>
            <w:tcW w:w="6064" w:type="dxa"/>
          </w:tcPr>
          <w:p w14:paraId="1C71F2F9">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技术参数与性能指标</w:t>
            </w:r>
          </w:p>
          <w:p w14:paraId="62956922">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p>
        </w:tc>
      </w:tr>
      <w:tr w14:paraId="08AF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60F54F61">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1606" w:type="dxa"/>
          </w:tcPr>
          <w:p w14:paraId="52685286">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总体要求</w:t>
            </w:r>
          </w:p>
          <w:p w14:paraId="437CB9A0">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p>
        </w:tc>
        <w:tc>
          <w:tcPr>
            <w:tcW w:w="6064" w:type="dxa"/>
          </w:tcPr>
          <w:p w14:paraId="69D6D1E3">
            <w:pPr>
              <w:keepNext w:val="0"/>
              <w:keepLines w:val="0"/>
              <w:pageBreakBefore w:val="0"/>
              <w:widowControl/>
              <w:numPr>
                <w:ilvl w:val="0"/>
                <w:numId w:val="0"/>
              </w:numPr>
              <w:suppressLineNumbers w:val="0"/>
              <w:kinsoku/>
              <w:wordWrap/>
              <w:overflowPunct/>
              <w:topLinePunct w:val="0"/>
              <w:bidi w:val="0"/>
              <w:adjustRightInd/>
              <w:snapToGrid/>
              <w:spacing w:line="560" w:lineRule="exact"/>
              <w:ind w:firstLine="420" w:firstLineChars="0"/>
              <w:jc w:val="left"/>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为我院的体检管理信息系统</w:t>
            </w:r>
            <w:r>
              <w:rPr>
                <w:rFonts w:hint="eastAsia" w:ascii="仿宋_GB2312" w:hAnsi="仿宋_GB2312" w:eastAsia="仿宋_GB2312" w:cs="仿宋_GB2312"/>
                <w:color w:val="000000"/>
                <w:kern w:val="0"/>
                <w:sz w:val="24"/>
                <w:szCs w:val="24"/>
                <w:vertAlign w:val="baseline"/>
                <w:lang w:val="en-US" w:eastAsia="zh-CN" w:bidi="ar"/>
              </w:rPr>
              <w:t>、</w:t>
            </w:r>
            <w:r>
              <w:rPr>
                <w:rFonts w:hint="eastAsia" w:ascii="仿宋_GB2312" w:hAnsi="仿宋_GB2312" w:eastAsia="仿宋_GB2312" w:cs="仿宋_GB2312"/>
                <w:color w:val="000000"/>
                <w:kern w:val="0"/>
                <w:sz w:val="24"/>
                <w:szCs w:val="24"/>
                <w:lang w:val="en-US" w:eastAsia="zh-CN" w:bidi="ar"/>
              </w:rPr>
              <w:t>上述接口与集成平台等系统（详见表1）和数据中心相关分析报表系统以及涉及上述系统的接口提供至少1年7×24售后运维保障服务、需求处理服务、问题处理服务、系统优化服务、漏洞修复服务、安全巡检服务、系统操作培训服务、应急响应服务、技术支持服务等。保障我院以上信息系统1年 7×24安全稳定运行。</w:t>
            </w:r>
          </w:p>
        </w:tc>
      </w:tr>
      <w:tr w14:paraId="02DF5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09E1C920">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1606" w:type="dxa"/>
          </w:tcPr>
          <w:p w14:paraId="727F90AD">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运维服务要求</w:t>
            </w:r>
          </w:p>
          <w:p w14:paraId="771BCC5C">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p>
        </w:tc>
        <w:tc>
          <w:tcPr>
            <w:tcW w:w="6064" w:type="dxa"/>
          </w:tcPr>
          <w:p w14:paraId="32B923E8">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1.运行保障：为我院维保的系统提供的服务包括但不限于：运行保障、系统维护、错误信息内容监测、跟踪监测、故障排除、软件平台Bug修复、安全漏洞修复、平台故障调试监测等服务。无条件配合做好重要数据容灾备份工作与数据恢复演练工作，保证各系统和平台安全、稳定、高效运行、数据准确。 </w:t>
            </w:r>
          </w:p>
          <w:p w14:paraId="05A8B320">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2.问题处理：针对系统和平台出现的问题，根据紧急程度分为四个等级：紧急、较紧急、中等、一般，紧急问题要求立即进行程序修改，在最短时间内提供程序升级包，并及时合并到公共版本；较紧急问题要求在3日内进行程序修改并提供程序升级包；中等紧急问题要求在5日内进行程序修改并提供程序升级包；一般需求和问题要求在7日内进行程序修改并提供程序升级包。程序升级包由厂家工程师发布与回滚。 </w:t>
            </w:r>
          </w:p>
          <w:p w14:paraId="42F4DE5A">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3.系统巡检：每月对系统进行一次巡检并出具巡检报告，确保系统安全运行。定期对业务账号进行检查，定期更新管理员密码。每半年核心开发和数据库技术人员对系统进行一次现场技术巡检和技术交流并出具巡检报告。 </w:t>
            </w:r>
          </w:p>
          <w:p w14:paraId="5CDC5066">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4.操作备案：对应用系统的任何修改，对数据库的修改操作、需向我院提交的变更申请单执行，并做好相关的台账工作，未经允许不能随意更改系统。 </w:t>
            </w:r>
          </w:p>
          <w:p w14:paraId="05966605">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5.重大事项报告：如发生重大问题，如系统严重故障、数据丢失等，第一时间向我院反馈，协助处置事件，并向我院出具故障处理报告。</w:t>
            </w:r>
          </w:p>
          <w:p w14:paraId="337CAB79">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6.日常问题处理：针对系统在日常运行中出现的BUG、数据不同步、系统页面异常等相关问题进行日常维护处理。对应用软件进行日常数据检查。处理由操作人员使用不当引起的系统故障。对系统存在的潜在性错误进行修改。接口数据问题排查，接口没有正常返回时，查询入参数据问题，联系各方处理等等。 </w:t>
            </w:r>
          </w:p>
          <w:p w14:paraId="2308BA41">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7.日常报表制作和维护：配合我院各部门完成报表的编制、调整、修改等。 </w:t>
            </w:r>
          </w:p>
          <w:p w14:paraId="3A97731A">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8.保密要求：服务商运维人员、技术人员和远程支持人员以及其他能接触到我院系统环境的相关人员须同我院签订保密协定，如果有违反的按条款和相关法律执行。对运维服务中产生的过程数据和结果数据严格保密，未经我院允许不得泄露给任何单位和个人，不得利用此数据进行任何侵害我院的行为，否则我院有权追究责任。服务商服务结束之后销毁所有和本项目有关的数据和文档，合同结束后，服务商需保守我院各项数据秘密 </w:t>
            </w:r>
          </w:p>
          <w:p w14:paraId="3F91EF84">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。因运维人员自身原因造成工作失误，给我院造成损失的，服务商应承担赔偿责任。 </w:t>
            </w:r>
          </w:p>
          <w:p w14:paraId="363B66E4">
            <w:pPr>
              <w:keepNext w:val="0"/>
              <w:keepLines w:val="0"/>
              <w:pageBreakBefore w:val="0"/>
              <w:widowControl/>
              <w:numPr>
                <w:ilvl w:val="0"/>
                <w:numId w:val="4"/>
              </w:numPr>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等保测评配合服务：按照我院要求，在规定时间内修复系统漏洞，并按时提交漏洞修复报告，包含操作系统漏洞、应用系统漏洞、中间件漏洞、数据库漏洞等。配合我院完成运行环境升级、等级保护测评、密评、灾备恢复演练、渗透测试、漏洞扫描等工作。</w:t>
            </w:r>
          </w:p>
          <w:p w14:paraId="23117156">
            <w:pPr>
              <w:keepNext w:val="0"/>
              <w:keepLines w:val="0"/>
              <w:pageBreakBefore w:val="0"/>
              <w:widowControl/>
              <w:numPr>
                <w:ilvl w:val="0"/>
                <w:numId w:val="4"/>
              </w:numPr>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商用密码测评配合服务： 按照我院要求，在规定时间提供商用密码测评需要材料等工作。</w:t>
            </w:r>
          </w:p>
          <w:p w14:paraId="0DEEBE1C">
            <w:pPr>
              <w:keepNext w:val="0"/>
              <w:keepLines w:val="0"/>
              <w:pageBreakBefore w:val="0"/>
              <w:widowControl/>
              <w:numPr>
                <w:ilvl w:val="0"/>
                <w:numId w:val="4"/>
              </w:numPr>
              <w:suppressLineNumbers w:val="0"/>
              <w:kinsoku/>
              <w:wordWrap/>
              <w:overflowPunct/>
              <w:topLinePunct w:val="0"/>
              <w:bidi w:val="0"/>
              <w:adjustRightInd/>
              <w:snapToGrid/>
              <w:spacing w:line="560" w:lineRule="exact"/>
              <w:jc w:val="left"/>
              <w:textAlignment w:val="auto"/>
              <w:rPr>
                <w:rFonts w:hint="default"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数据ETL工作：按照我院要求，为上级单位政策性审计、巡察、市场监督检查、医保各种检查等做好分析与数据提取、导出工作。根据我院要求，遇到非上班时间、周末、节假日需安排工程师加班。</w:t>
            </w:r>
          </w:p>
          <w:p w14:paraId="3A64F09F">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12.人员培训：为我院提供系统使用和维护培训，制作相关培训文档、经信息科工程师审核后对医护人员进行培训、并做好签到、照片等相关台账资料，保障我院医护人员对系统功能熟悉。 </w:t>
            </w:r>
          </w:p>
          <w:p w14:paraId="6C19ACD1">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13.服务商需依照我院的应急预案制定对应系统的应急处置流程，确保在突发事件发生时能够迅速恢复系统正常运行。 </w:t>
            </w:r>
          </w:p>
          <w:p w14:paraId="35895865">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14.数据查错及纠正：对业务数据、统计报表数据进行查错或纠正。 </w:t>
            </w:r>
          </w:p>
          <w:p w14:paraId="45A78B8A">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15.数据维护服务：按照我院实际业务需求进行后台维护数据库操作和维护。 </w:t>
            </w:r>
          </w:p>
          <w:p w14:paraId="2ABA8D9B">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16.系统参数调整：按照我院实际需要对各子系统的运行参数、业务流程参数、运行模式参数等的调整。</w:t>
            </w:r>
          </w:p>
          <w:p w14:paraId="16BFFAF7">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17.纠错性服务：程序潜在错误的改正，由于程序修改或增加功能所引起错误的改正；数据错误：我院使用系统过程中，由于错误操作而引起的、但通过系统无法挽回的，并且又必须的数据，经过我院批准后，将错误数据纠正。 </w:t>
            </w:r>
          </w:p>
          <w:p w14:paraId="5F4546A4">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18.重大活动期间保障：提前对系统进行紧急巡检，确保系统安全稳定运行，确保技术人员7×24小时待命，随时联系处置问题和咨询技术。 </w:t>
            </w:r>
          </w:p>
          <w:p w14:paraId="679F2108">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19.满足我院其他和系统运行和维护服务有关的服务要求。 </w:t>
            </w:r>
          </w:p>
          <w:p w14:paraId="3B50A017">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20.出具运维报告：定期出具运维报告，报告包含需求处理、功能改造、接口开发、报表编制、操作培训、故障分析等内容。每月出具月度运维报告，每季度出具季度运维报告，服务结束后出具年度运维总结报告。 </w:t>
            </w:r>
          </w:p>
          <w:p w14:paraId="358E50EF">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21.服务人员要求 （1）要求提供1名系统运维人员（至少具有三年以上工作经验）提供服务、7×24技术支持服务和问题故障处理服务。 （2）运维人员负责日常运行维护，保障系统的稳定运行，负责需求、问题收集和处理，以及服务器等配套硬件运维报警监控，发现报警时，第一时间通知我院，并及时做出响应，协调各方资源保障及时解决问题。 （3）负责协调医院各部门之间的信息技术需求，及时服务商反馈并提出业务申请，确保信息系统的兼容性与协同性,公司及时处理医院提出的需求涉及到程序修改、接口开发、代码编写等工作，保障医院的需求能最快时间解决。 （4）服务人员每天至少保障一人24小时值班，出现系统问题我院能够及时联系到相应人员技术支持。同时提供机动服务人员现场支持，根据我院实际运维需要，确需临时增加运维人员的，服务商须按照我院需要临时增加1-3名服务人员。 （5）服务商需指定一名项目经理综合协调系统售后运维、需求处理、问题和报错处理、系统操作培训、系统优化、漏洞修复、安全巡检、技术支持等服务内容。 </w:t>
            </w:r>
          </w:p>
          <w:p w14:paraId="07BF7CE2">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22.应急响应 （1）要求提供1年7×24技术支持服务、应急响应服务，服务响应由第一响应人负责所有问题的响应及解决，并做好记录，归档。 （2）根据系统故障的紧急程度将应急响应分为四个等级：紧急、较紧急、中等、一般。 （3）紧急响应：系统发生灾难事故、系统瘫痪，服务人员须立即响应，立刻联系后台技术支撑人员，组建支持小组，减少数据损失，降低灾难对整个系统的影响。人员须迅速赶往我院进行现场技术支 </w:t>
            </w:r>
          </w:p>
          <w:p w14:paraId="64A329C8">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持。 （4）较紧急响应：系统发生故障，影响到我院大部分核心业务、需紧急解决的问题，须半小时内响应，迅速召集支持小组，迅速提出解决方案，提供在线和现场支持。（5）中等响应：部分系统出现问题或系统部分功能出现问题，影响到我院部分业务、需解决的问题，须2小时内响应，召集支持小组，提出解决方案，提供技术支持。 （6）一般响应：对我院业务影响范围相对较小并有临时替代方案的问题，须4小时内响应，召集支持小组，提出替代方案，并提出解决方案，提供技术支持。</w:t>
            </w:r>
          </w:p>
          <w:p w14:paraId="7D8EA655">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p>
        </w:tc>
      </w:tr>
      <w:tr w14:paraId="02E2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00AAF780">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1606" w:type="dxa"/>
          </w:tcPr>
          <w:p w14:paraId="2972B298">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系统二次开发服务要求</w:t>
            </w:r>
          </w:p>
          <w:p w14:paraId="6097C4C0">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p>
        </w:tc>
        <w:tc>
          <w:tcPr>
            <w:tcW w:w="6064" w:type="dxa"/>
          </w:tcPr>
          <w:p w14:paraId="082C4CD8">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1.为我院提出的系统功能和接口（设备通信接口除外）开发等个性化需求提供代码开发服务，需求开发工作量须经过我院和服务商双方共同评估，对于开发工作量不超过10个工作日（含）的，服务商免费完成开发。超过10个工作日的开发需求，双方根据实际工作量另行协商费用。 </w:t>
            </w:r>
          </w:p>
          <w:p w14:paraId="6066ECFF">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2.二次开发需求，根据紧急程度分为三个等级：紧急、较紧急、一般，紧急需求和指令3.性特殊需求须立刻响应并立即进行开发，在最短时间内开发完成，并及时升级；较紧急需求须在1日内响应并在5日内开发完成；一般需求须在2日内响应并在10日内开发完成。 </w:t>
            </w:r>
          </w:p>
          <w:p w14:paraId="58E0A5C8">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3.我院已有的标准化接口和不需要程序开发仅通过系统参数配置即可完成的接口，免费向经过第三方开放，不能收取费用。</w:t>
            </w:r>
          </w:p>
        </w:tc>
      </w:tr>
      <w:tr w14:paraId="2202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63E796E1">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1606" w:type="dxa"/>
          </w:tcPr>
          <w:p w14:paraId="4A0C67BF">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核心数据库保障服务要求</w:t>
            </w:r>
          </w:p>
          <w:p w14:paraId="5A7A5BEB">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p>
        </w:tc>
        <w:tc>
          <w:tcPr>
            <w:tcW w:w="6064" w:type="dxa"/>
          </w:tcPr>
          <w:p w14:paraId="157EC0C8">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保证我院体检管理信息系统核心系统数据库及配套数据库稳定运行，定期巡检，出现数据库问题须第一时间处理。 </w:t>
            </w:r>
          </w:p>
          <w:p w14:paraId="0142A35A">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1.系统运行与数据安全评估 服务商需要在系统服务器冗余、系统具备存储冗余、系统具备操作系统冗余、系统具备数据库冗余、数据具备实时同步备份、数据具备定时增量备份六个层面对系统是否满足业务持续性运行与恢复能力进行评估。针对不符合业务持续性运行与恢复的方面进行重新规划，提出优化解决方案。 </w:t>
            </w:r>
          </w:p>
          <w:p w14:paraId="13A3CD95">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 xml:space="preserve">2.系统运行与数据安全周期性巡检 巡检周期：每周进行一次远程健康巡检，每周出具一次巡检报告。 巡检内容： 检查操作系统和业务中间件运行状态，确保系统没有影响稳定运行的错误，发现错误第一时间处置。 检查数据库运行状态，确保数据库没有影响稳定运行的错误，发现错误第一时间处置。 检查系统集群运行状态，确保证服务器冗余正常、存储冗余正常、操作系统冗余正常、数据库冗余正常。 检查数据实时与定时备份状态，确保备份状态正常。 定期SQL优化：对执行高耗时SQL优化、高I/O SQL优化、高执行频率SQL优化。 数据库优化：根据运行响应效率和时间，及时调整数据库参数符合运行要求。 </w:t>
            </w:r>
          </w:p>
          <w:p w14:paraId="05EBB2F1">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3.数据库故障处理服务响应：7×24电话响应支持，2小时内远程响应支持。如需现场支持4小时内安排人员前往现场支持。 服务内容：数据库运行性能问题处理，在业务系统发生性能问题进行处理，排除影响业务系统运行故障因素。 数据故障处理，在数据故障时进行处理，依据备份策略和数据损坏情况，以最优的方案对数据进行恢复，恢复系统正常运行。 5.数据库迁移服务 根据我院实际需要，完成平台同版本的数据库迁移，保证数据完整性、可用性，迁移后的数据一致可用。</w:t>
            </w:r>
          </w:p>
        </w:tc>
      </w:tr>
      <w:tr w14:paraId="1501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2917EBC9">
            <w:pPr>
              <w:pStyle w:val="28"/>
              <w:keepNext w:val="0"/>
              <w:keepLines w:val="0"/>
              <w:pageBreakBefore w:val="0"/>
              <w:kinsoku/>
              <w:wordWrap/>
              <w:overflowPunct/>
              <w:topLinePunct w:val="0"/>
              <w:bidi w:val="0"/>
              <w:adjustRightInd/>
              <w:snapToGrid/>
              <w:spacing w:line="560" w:lineRule="exact"/>
              <w:jc w:val="both"/>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c>
          <w:tcPr>
            <w:tcW w:w="1606" w:type="dxa"/>
          </w:tcPr>
          <w:p w14:paraId="645BFFE8">
            <w:pPr>
              <w:keepNext w:val="0"/>
              <w:keepLines w:val="0"/>
              <w:pageBreakBefore w:val="0"/>
              <w:widowControl/>
              <w:suppressLineNumbers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应用服务器迁移服务要求</w:t>
            </w:r>
          </w:p>
          <w:p w14:paraId="1A119DAD">
            <w:pPr>
              <w:pStyle w:val="28"/>
              <w:keepNext w:val="0"/>
              <w:keepLines w:val="0"/>
              <w:pageBreakBefore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24"/>
                <w:szCs w:val="24"/>
                <w:vertAlign w:val="baseline"/>
                <w:lang w:val="en-US" w:eastAsia="zh-CN"/>
              </w:rPr>
            </w:pPr>
          </w:p>
        </w:tc>
        <w:tc>
          <w:tcPr>
            <w:tcW w:w="6064" w:type="dxa"/>
          </w:tcPr>
          <w:p w14:paraId="060201EE">
            <w:pPr>
              <w:pStyle w:val="28"/>
              <w:keepNext w:val="0"/>
              <w:keepLines w:val="0"/>
              <w:pageBreakBefore w:val="0"/>
              <w:kinsoku/>
              <w:wordWrap/>
              <w:overflowPunct/>
              <w:topLinePunct w:val="0"/>
              <w:bidi w:val="0"/>
              <w:adjustRightInd/>
              <w:snapToGrid/>
              <w:spacing w:line="560" w:lineRule="exact"/>
              <w:jc w:val="both"/>
              <w:textAlignment w:val="auto"/>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1.根据我院需求，在信创过程中，虚拟服务器迁移中遇到问题，提供必要的技术支持。</w:t>
            </w:r>
          </w:p>
        </w:tc>
      </w:tr>
    </w:tbl>
    <w:p w14:paraId="2FC4B59B">
      <w:pPr>
        <w:spacing w:line="400" w:lineRule="exact"/>
        <w:rPr>
          <w:rFonts w:hint="eastAsia" w:ascii="宋体" w:hAnsi="宋体" w:eastAsia="宋体" w:cs="Times New Roman"/>
          <w:color w:val="000000"/>
          <w:lang w:val="en-US" w:eastAsia="zh-CN"/>
        </w:rPr>
      </w:pPr>
      <w:r>
        <w:rPr>
          <w:rFonts w:hint="eastAsia" w:ascii="宋体" w:hAnsi="宋体" w:eastAsia="宋体" w:cs="Times New Roman"/>
          <w:color w:val="000000"/>
          <w:lang w:val="en-US" w:eastAsia="zh-CN"/>
        </w:rPr>
        <w:t>三、考核要求</w:t>
      </w:r>
    </w:p>
    <w:tbl>
      <w:tblPr>
        <w:tblStyle w:val="9"/>
        <w:tblW w:w="84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80"/>
        <w:gridCol w:w="3704"/>
        <w:gridCol w:w="1880"/>
        <w:gridCol w:w="975"/>
      </w:tblGrid>
      <w:tr w14:paraId="7E557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6B93974C">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名称</w:t>
            </w:r>
          </w:p>
        </w:tc>
        <w:tc>
          <w:tcPr>
            <w:tcW w:w="3704" w:type="dxa"/>
            <w:noWrap w:val="0"/>
            <w:vAlign w:val="top"/>
          </w:tcPr>
          <w:p w14:paraId="6918EDE2">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1880" w:type="dxa"/>
            <w:noWrap w:val="0"/>
            <w:vAlign w:val="top"/>
          </w:tcPr>
          <w:p w14:paraId="6762083E">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地点</w:t>
            </w:r>
          </w:p>
        </w:tc>
        <w:tc>
          <w:tcPr>
            <w:tcW w:w="975" w:type="dxa"/>
            <w:noWrap w:val="0"/>
            <w:vAlign w:val="top"/>
          </w:tcPr>
          <w:p w14:paraId="7C20CEF0">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r>
      <w:tr w14:paraId="0A3EF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079E08A3">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考核日期</w:t>
            </w:r>
          </w:p>
        </w:tc>
        <w:tc>
          <w:tcPr>
            <w:tcW w:w="3704" w:type="dxa"/>
            <w:noWrap w:val="0"/>
            <w:vAlign w:val="top"/>
          </w:tcPr>
          <w:p w14:paraId="6D04A6B4">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1880" w:type="dxa"/>
            <w:noWrap w:val="0"/>
            <w:vAlign w:val="top"/>
          </w:tcPr>
          <w:p w14:paraId="357ED93D">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考核部门</w:t>
            </w:r>
          </w:p>
        </w:tc>
        <w:tc>
          <w:tcPr>
            <w:tcW w:w="975" w:type="dxa"/>
            <w:noWrap w:val="0"/>
            <w:vAlign w:val="top"/>
          </w:tcPr>
          <w:p w14:paraId="3221170D">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r>
      <w:tr w14:paraId="7D3D5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495BAF93">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公司名称</w:t>
            </w:r>
          </w:p>
        </w:tc>
        <w:tc>
          <w:tcPr>
            <w:tcW w:w="3704" w:type="dxa"/>
            <w:noWrap w:val="0"/>
            <w:vAlign w:val="top"/>
          </w:tcPr>
          <w:p w14:paraId="450A4307">
            <w:pPr>
              <w:spacing w:line="400" w:lineRule="exact"/>
              <w:ind w:left="0" w:firstLine="630"/>
              <w:rPr>
                <w:rFonts w:hint="eastAsia" w:ascii="仿宋_GB2312" w:hAnsi="仿宋_GB2312" w:eastAsia="仿宋_GB2312" w:cs="仿宋_GB2312"/>
                <w:color w:val="000000"/>
                <w:sz w:val="24"/>
                <w:szCs w:val="24"/>
              </w:rPr>
            </w:pPr>
          </w:p>
        </w:tc>
        <w:tc>
          <w:tcPr>
            <w:tcW w:w="1880" w:type="dxa"/>
            <w:noWrap w:val="0"/>
            <w:vAlign w:val="top"/>
          </w:tcPr>
          <w:p w14:paraId="5AF0BF59">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人员数量</w:t>
            </w:r>
          </w:p>
        </w:tc>
        <w:tc>
          <w:tcPr>
            <w:tcW w:w="975" w:type="dxa"/>
            <w:noWrap w:val="0"/>
            <w:vAlign w:val="top"/>
          </w:tcPr>
          <w:p w14:paraId="5DF7803D">
            <w:pPr>
              <w:spacing w:line="400" w:lineRule="exact"/>
              <w:ind w:left="0" w:firstLine="630"/>
              <w:rPr>
                <w:rFonts w:hint="eastAsia" w:ascii="仿宋_GB2312" w:hAnsi="仿宋_GB2312" w:eastAsia="仿宋_GB2312" w:cs="仿宋_GB2312"/>
                <w:color w:val="000000"/>
                <w:sz w:val="24"/>
                <w:szCs w:val="24"/>
              </w:rPr>
            </w:pPr>
          </w:p>
        </w:tc>
      </w:tr>
      <w:tr w14:paraId="0D4C1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1E74FAA5">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序号</w:t>
            </w:r>
          </w:p>
        </w:tc>
        <w:tc>
          <w:tcPr>
            <w:tcW w:w="3704" w:type="dxa"/>
            <w:noWrap w:val="0"/>
            <w:vAlign w:val="top"/>
          </w:tcPr>
          <w:p w14:paraId="01090D87">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评分项目</w:t>
            </w:r>
          </w:p>
        </w:tc>
        <w:tc>
          <w:tcPr>
            <w:tcW w:w="1880" w:type="dxa"/>
            <w:noWrap w:val="0"/>
            <w:vAlign w:val="top"/>
          </w:tcPr>
          <w:p w14:paraId="2E7FA4E4">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得分</w:t>
            </w:r>
          </w:p>
        </w:tc>
        <w:tc>
          <w:tcPr>
            <w:tcW w:w="975" w:type="dxa"/>
            <w:noWrap w:val="0"/>
            <w:vAlign w:val="top"/>
          </w:tcPr>
          <w:p w14:paraId="2289ADEA">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满分</w:t>
            </w:r>
          </w:p>
        </w:tc>
      </w:tr>
      <w:tr w14:paraId="543B1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032189D7">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3704" w:type="dxa"/>
            <w:noWrap w:val="0"/>
            <w:vAlign w:val="top"/>
          </w:tcPr>
          <w:p w14:paraId="19B9FA92">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问题响应时间</w:t>
            </w:r>
          </w:p>
        </w:tc>
        <w:tc>
          <w:tcPr>
            <w:tcW w:w="1880" w:type="dxa"/>
            <w:noWrap w:val="0"/>
            <w:vAlign w:val="top"/>
          </w:tcPr>
          <w:p w14:paraId="70EEA150">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975" w:type="dxa"/>
            <w:noWrap w:val="0"/>
            <w:vAlign w:val="top"/>
          </w:tcPr>
          <w:p w14:paraId="5708D8A8">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10</w:t>
            </w:r>
          </w:p>
        </w:tc>
      </w:tr>
      <w:tr w14:paraId="6E886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4A0F8939">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3704" w:type="dxa"/>
            <w:noWrap w:val="0"/>
            <w:vAlign w:val="top"/>
          </w:tcPr>
          <w:p w14:paraId="62FB7173">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维保服务质量</w:t>
            </w:r>
          </w:p>
        </w:tc>
        <w:tc>
          <w:tcPr>
            <w:tcW w:w="1880" w:type="dxa"/>
            <w:noWrap w:val="0"/>
            <w:vAlign w:val="top"/>
          </w:tcPr>
          <w:p w14:paraId="0203A80E">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975" w:type="dxa"/>
            <w:noWrap w:val="0"/>
            <w:vAlign w:val="top"/>
          </w:tcPr>
          <w:p w14:paraId="60B14465">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w:t>
            </w:r>
          </w:p>
        </w:tc>
      </w:tr>
      <w:tr w14:paraId="264FE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7A2B49D9">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3704" w:type="dxa"/>
            <w:noWrap w:val="0"/>
            <w:vAlign w:val="top"/>
          </w:tcPr>
          <w:p w14:paraId="12A8AEF9">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维保安全情况</w:t>
            </w:r>
          </w:p>
        </w:tc>
        <w:tc>
          <w:tcPr>
            <w:tcW w:w="1880" w:type="dxa"/>
            <w:noWrap w:val="0"/>
            <w:vAlign w:val="top"/>
          </w:tcPr>
          <w:p w14:paraId="13A90315">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975" w:type="dxa"/>
            <w:noWrap w:val="0"/>
            <w:vAlign w:val="top"/>
          </w:tcPr>
          <w:p w14:paraId="35091CCE">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10</w:t>
            </w:r>
          </w:p>
        </w:tc>
      </w:tr>
      <w:tr w14:paraId="4D921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3CEB470E">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4</w:t>
            </w:r>
          </w:p>
        </w:tc>
        <w:tc>
          <w:tcPr>
            <w:tcW w:w="3704" w:type="dxa"/>
            <w:noWrap w:val="0"/>
            <w:vAlign w:val="top"/>
          </w:tcPr>
          <w:p w14:paraId="539DE9E9">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维保人员工作态度</w:t>
            </w:r>
          </w:p>
        </w:tc>
        <w:tc>
          <w:tcPr>
            <w:tcW w:w="1880" w:type="dxa"/>
            <w:noWrap w:val="0"/>
            <w:vAlign w:val="top"/>
          </w:tcPr>
          <w:p w14:paraId="7113BC6E">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975" w:type="dxa"/>
            <w:noWrap w:val="0"/>
            <w:vAlign w:val="top"/>
          </w:tcPr>
          <w:p w14:paraId="0D606473">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10</w:t>
            </w:r>
          </w:p>
        </w:tc>
      </w:tr>
      <w:tr w14:paraId="52DA0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7761299B">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c>
          <w:tcPr>
            <w:tcW w:w="3704" w:type="dxa"/>
            <w:noWrap w:val="0"/>
            <w:vAlign w:val="top"/>
          </w:tcPr>
          <w:p w14:paraId="2908306F">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维保人员业务水平</w:t>
            </w:r>
          </w:p>
        </w:tc>
        <w:tc>
          <w:tcPr>
            <w:tcW w:w="1880" w:type="dxa"/>
            <w:noWrap w:val="0"/>
            <w:vAlign w:val="top"/>
          </w:tcPr>
          <w:p w14:paraId="2E86A29E">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975" w:type="dxa"/>
            <w:noWrap w:val="0"/>
            <w:vAlign w:val="top"/>
          </w:tcPr>
          <w:p w14:paraId="6337361B">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10</w:t>
            </w:r>
          </w:p>
        </w:tc>
      </w:tr>
      <w:tr w14:paraId="1F46E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4A82F166">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6</w:t>
            </w:r>
          </w:p>
        </w:tc>
        <w:tc>
          <w:tcPr>
            <w:tcW w:w="3704" w:type="dxa"/>
            <w:noWrap w:val="0"/>
            <w:vAlign w:val="top"/>
          </w:tcPr>
          <w:p w14:paraId="2D2D58B4">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问题解决是否及时</w:t>
            </w:r>
          </w:p>
        </w:tc>
        <w:tc>
          <w:tcPr>
            <w:tcW w:w="1880" w:type="dxa"/>
            <w:noWrap w:val="0"/>
            <w:vAlign w:val="top"/>
          </w:tcPr>
          <w:p w14:paraId="24E11974">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975" w:type="dxa"/>
            <w:noWrap w:val="0"/>
            <w:vAlign w:val="top"/>
          </w:tcPr>
          <w:p w14:paraId="7521D024">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w:t>
            </w:r>
          </w:p>
        </w:tc>
      </w:tr>
      <w:tr w14:paraId="266BC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14E8E884">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7</w:t>
            </w:r>
          </w:p>
        </w:tc>
        <w:tc>
          <w:tcPr>
            <w:tcW w:w="3704" w:type="dxa"/>
            <w:noWrap w:val="0"/>
            <w:vAlign w:val="top"/>
          </w:tcPr>
          <w:p w14:paraId="3960F3CD">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维保资料完整性</w:t>
            </w:r>
          </w:p>
        </w:tc>
        <w:tc>
          <w:tcPr>
            <w:tcW w:w="1880" w:type="dxa"/>
            <w:noWrap w:val="0"/>
            <w:vAlign w:val="top"/>
          </w:tcPr>
          <w:p w14:paraId="5CBE8A6F">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975" w:type="dxa"/>
            <w:noWrap w:val="0"/>
            <w:vAlign w:val="top"/>
          </w:tcPr>
          <w:p w14:paraId="4B79BCDB">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10</w:t>
            </w:r>
          </w:p>
        </w:tc>
      </w:tr>
      <w:tr w14:paraId="1BB6B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6E7E6621">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8</w:t>
            </w:r>
          </w:p>
        </w:tc>
        <w:tc>
          <w:tcPr>
            <w:tcW w:w="3704" w:type="dxa"/>
            <w:noWrap w:val="0"/>
            <w:vAlign w:val="top"/>
          </w:tcPr>
          <w:p w14:paraId="6C6E6AB0">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维保人员考勤</w:t>
            </w:r>
          </w:p>
        </w:tc>
        <w:tc>
          <w:tcPr>
            <w:tcW w:w="1880" w:type="dxa"/>
            <w:noWrap w:val="0"/>
            <w:vAlign w:val="top"/>
          </w:tcPr>
          <w:p w14:paraId="4A4A13CC">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975" w:type="dxa"/>
            <w:noWrap w:val="0"/>
            <w:vAlign w:val="top"/>
          </w:tcPr>
          <w:p w14:paraId="365BEE9D">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r>
      <w:tr w14:paraId="463B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1880" w:type="dxa"/>
            <w:noWrap w:val="0"/>
            <w:vAlign w:val="top"/>
          </w:tcPr>
          <w:p w14:paraId="588C6F98">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9</w:t>
            </w:r>
          </w:p>
        </w:tc>
        <w:tc>
          <w:tcPr>
            <w:tcW w:w="3704" w:type="dxa"/>
            <w:noWrap w:val="0"/>
            <w:vAlign w:val="top"/>
          </w:tcPr>
          <w:p w14:paraId="1306BBA1">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保密协议遵守情况</w:t>
            </w:r>
          </w:p>
        </w:tc>
        <w:tc>
          <w:tcPr>
            <w:tcW w:w="1880" w:type="dxa"/>
            <w:noWrap w:val="0"/>
            <w:vAlign w:val="top"/>
          </w:tcPr>
          <w:p w14:paraId="738A41EB">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975" w:type="dxa"/>
            <w:noWrap w:val="0"/>
            <w:vAlign w:val="top"/>
          </w:tcPr>
          <w:p w14:paraId="49453DD0">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w:t>
            </w:r>
          </w:p>
        </w:tc>
      </w:tr>
      <w:tr w14:paraId="00E4C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8" w:hRule="exact"/>
          <w:jc w:val="center"/>
        </w:trPr>
        <w:tc>
          <w:tcPr>
            <w:tcW w:w="5584" w:type="dxa"/>
            <w:gridSpan w:val="2"/>
            <w:noWrap w:val="0"/>
            <w:vAlign w:val="top"/>
          </w:tcPr>
          <w:p w14:paraId="1132F3CD">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总分</w:t>
            </w:r>
          </w:p>
        </w:tc>
        <w:tc>
          <w:tcPr>
            <w:tcW w:w="1880" w:type="dxa"/>
            <w:noWrap w:val="0"/>
            <w:vAlign w:val="top"/>
          </w:tcPr>
          <w:p w14:paraId="3746FFEE">
            <w:pPr>
              <w:spacing w:line="400" w:lineRule="exact"/>
              <w:ind w:left="0" w:firstLine="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w:t>
            </w:r>
          </w:p>
        </w:tc>
        <w:tc>
          <w:tcPr>
            <w:tcW w:w="975" w:type="dxa"/>
            <w:noWrap w:val="0"/>
            <w:vAlign w:val="top"/>
          </w:tcPr>
          <w:p w14:paraId="6D8E2499">
            <w:pPr>
              <w:spacing w:line="400" w:lineRule="exact"/>
              <w:ind w:left="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100</w:t>
            </w:r>
          </w:p>
        </w:tc>
      </w:tr>
      <w:tr w14:paraId="2E9BE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20" w:hRule="exact"/>
          <w:jc w:val="center"/>
        </w:trPr>
        <w:tc>
          <w:tcPr>
            <w:tcW w:w="8439" w:type="dxa"/>
            <w:gridSpan w:val="4"/>
            <w:noWrap w:val="0"/>
            <w:vAlign w:val="top"/>
          </w:tcPr>
          <w:p w14:paraId="171AC48E">
            <w:pPr>
              <w:tabs>
                <w:tab w:val="left" w:pos="420"/>
              </w:tabs>
              <w:spacing w:line="360" w:lineRule="auto"/>
              <w:ind w:left="0"/>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Pr>
              <w:t>备注：总分90分以上考核合格</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sz w:val="24"/>
                <w:szCs w:val="24"/>
                <w:highlight w:val="none"/>
                <w:lang w:eastAsia="zh-CN"/>
              </w:rPr>
              <w:t>每</w:t>
            </w:r>
            <w:r>
              <w:rPr>
                <w:rFonts w:hint="eastAsia" w:ascii="仿宋_GB2312" w:hAnsi="仿宋_GB2312" w:eastAsia="仿宋_GB2312" w:cs="仿宋_GB2312"/>
                <w:sz w:val="24"/>
                <w:szCs w:val="24"/>
                <w:highlight w:val="none"/>
                <w:lang w:val="en-US" w:eastAsia="zh-CN"/>
              </w:rPr>
              <w:t>月</w:t>
            </w:r>
            <w:r>
              <w:rPr>
                <w:rFonts w:hint="eastAsia" w:ascii="仿宋_GB2312" w:hAnsi="仿宋_GB2312" w:eastAsia="仿宋_GB2312" w:cs="仿宋_GB2312"/>
                <w:sz w:val="24"/>
                <w:szCs w:val="24"/>
                <w:highlight w:val="none"/>
                <w:lang w:eastAsia="zh-CN"/>
              </w:rPr>
              <w:t>根据维保考核打分表进行考核打分</w:t>
            </w:r>
            <w:r>
              <w:rPr>
                <w:rFonts w:hint="eastAsia" w:ascii="仿宋_GB2312" w:hAnsi="仿宋_GB2312" w:eastAsia="仿宋_GB2312" w:cs="仿宋_GB2312"/>
                <w:sz w:val="24"/>
                <w:szCs w:val="24"/>
              </w:rPr>
              <w:t>，连续两个月或半年内累计三个月考核不高于</w:t>
            </w:r>
            <w:r>
              <w:rPr>
                <w:rFonts w:hint="eastAsia" w:ascii="仿宋_GB2312" w:hAnsi="仿宋_GB2312" w:eastAsia="仿宋_GB2312" w:cs="仿宋_GB2312"/>
                <w:sz w:val="24"/>
                <w:szCs w:val="24"/>
                <w:lang w:val="en-US" w:eastAsia="zh-CN"/>
              </w:rPr>
              <w:t>9</w:t>
            </w:r>
            <w:r>
              <w:rPr>
                <w:rFonts w:hint="eastAsia" w:ascii="仿宋_GB2312" w:hAnsi="仿宋_GB2312" w:eastAsia="仿宋_GB2312" w:cs="仿宋_GB2312"/>
                <w:sz w:val="24"/>
                <w:szCs w:val="24"/>
              </w:rPr>
              <w:t>0分，判定运维服务商服务不合格，</w:t>
            </w:r>
            <w:r>
              <w:rPr>
                <w:rFonts w:hint="eastAsia" w:ascii="仿宋_GB2312" w:hAnsi="仿宋_GB2312" w:eastAsia="仿宋_GB2312" w:cs="仿宋_GB2312"/>
                <w:sz w:val="24"/>
                <w:szCs w:val="24"/>
                <w:lang w:val="en-US" w:eastAsia="zh-CN"/>
              </w:rPr>
              <w:t>甲方</w:t>
            </w:r>
            <w:r>
              <w:rPr>
                <w:rFonts w:hint="eastAsia" w:ascii="仿宋_GB2312" w:hAnsi="仿宋_GB2312" w:eastAsia="仿宋_GB2312" w:cs="仿宋_GB2312"/>
                <w:sz w:val="24"/>
                <w:szCs w:val="24"/>
              </w:rPr>
              <w:t>可提前解除合同。</w:t>
            </w:r>
            <w:r>
              <w:rPr>
                <w:rFonts w:hint="eastAsia" w:ascii="仿宋_GB2312" w:hAnsi="仿宋_GB2312" w:eastAsia="仿宋_GB2312" w:cs="仿宋_GB2312"/>
                <w:sz w:val="24"/>
                <w:szCs w:val="24"/>
                <w:lang w:val="en-US" w:eastAsia="zh-CN"/>
              </w:rPr>
              <w:t>1分为人民币2000元，扣除分数对应的价值从本合同的成交价中扣除。</w:t>
            </w:r>
          </w:p>
        </w:tc>
      </w:tr>
    </w:tbl>
    <w:p w14:paraId="215CF016">
      <w:pPr>
        <w:rPr>
          <w:rFonts w:hint="eastAsia" w:ascii="仿宋_GB2312" w:hAnsi="仿宋_GB2312" w:eastAsia="仿宋_GB2312" w:cs="仿宋_GB2312"/>
          <w:sz w:val="24"/>
          <w:szCs w:val="24"/>
          <w:lang w:val="en-US" w:eastAsia="zh-CN"/>
        </w:rPr>
      </w:pPr>
    </w:p>
    <w:p w14:paraId="57BB9887">
      <w:pPr>
        <w:pStyle w:val="28"/>
        <w:widowControl w:val="0"/>
        <w:numPr>
          <w:ilvl w:val="0"/>
          <w:numId w:val="0"/>
        </w:numPr>
        <w:autoSpaceDE w:val="0"/>
        <w:autoSpaceDN w:val="0"/>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四、其它要求</w:t>
      </w:r>
    </w:p>
    <w:p w14:paraId="6A3359D4">
      <w:pPr>
        <w:pStyle w:val="28"/>
        <w:widowControl w:val="0"/>
        <w:numPr>
          <w:ilvl w:val="0"/>
          <w:numId w:val="0"/>
        </w:numPr>
        <w:autoSpaceDE w:val="0"/>
        <w:autoSpaceDN w:val="0"/>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 xml:space="preserve">    </w:t>
      </w:r>
      <w:bookmarkStart w:id="0" w:name="_GoBack"/>
      <w:bookmarkEnd w:id="0"/>
      <w:r>
        <w:rPr>
          <w:rFonts w:hint="eastAsia" w:ascii="仿宋_GB2312" w:hAnsi="仿宋_GB2312" w:eastAsia="仿宋_GB2312" w:cs="仿宋_GB2312"/>
          <w:b w:val="0"/>
          <w:bCs w:val="0"/>
          <w:sz w:val="24"/>
          <w:szCs w:val="24"/>
          <w:lang w:val="en-US" w:eastAsia="zh-CN"/>
        </w:rPr>
        <w:t>非生产厂商参与响应的，须提供该生产厂商出具的区域总代理授权文件，方可具备响应资格。</w:t>
      </w:r>
    </w:p>
    <w:p w14:paraId="39AB8389">
      <w:pPr>
        <w:keepNext w:val="0"/>
        <w:keepLines w:val="0"/>
        <w:widowControl/>
        <w:numPr>
          <w:ilvl w:val="0"/>
          <w:numId w:val="0"/>
        </w:numPr>
        <w:suppressLineNumbers w:val="0"/>
        <w:jc w:val="left"/>
        <w:rPr>
          <w:rFonts w:hint="eastAsia" w:ascii="仿宋_GB2312" w:hAnsi="仿宋_GB2312" w:eastAsia="仿宋_GB2312" w:cs="仿宋_GB2312"/>
          <w:color w:val="000000"/>
          <w:kern w:val="0"/>
          <w:sz w:val="24"/>
          <w:szCs w:val="24"/>
          <w:lang w:val="en-US" w:eastAsia="zh-CN" w:bidi="ar"/>
        </w:rPr>
      </w:pPr>
    </w:p>
    <w:p w14:paraId="47E3B7E9">
      <w:pPr>
        <w:keepNext w:val="0"/>
        <w:keepLines w:val="0"/>
        <w:widowControl/>
        <w:suppressLineNumbers w:val="0"/>
        <w:jc w:val="left"/>
        <w:rPr>
          <w:rFonts w:hint="eastAsia" w:ascii="仿宋_GB2312" w:hAnsi="仿宋_GB2312" w:eastAsia="仿宋_GB2312" w:cs="仿宋_GB2312"/>
          <w:color w:val="000000"/>
          <w:kern w:val="0"/>
          <w:sz w:val="24"/>
          <w:szCs w:val="24"/>
          <w:lang w:val="en-US" w:eastAsia="zh-CN" w:bidi="ar"/>
        </w:rPr>
      </w:pPr>
    </w:p>
    <w:p w14:paraId="0FAD5109">
      <w:pPr>
        <w:rPr>
          <w:rFonts w:hint="eastAsia" w:ascii="仿宋_GB2312" w:hAnsi="仿宋_GB2312" w:eastAsia="仿宋_GB2312" w:cs="仿宋_GB2312"/>
          <w:sz w:val="24"/>
          <w:szCs w:val="24"/>
        </w:rPr>
      </w:pPr>
    </w:p>
    <w:p w14:paraId="546BA175">
      <w:pPr>
        <w:pStyle w:val="8"/>
        <w:keepNext w:val="0"/>
        <w:keepLines w:val="0"/>
        <w:pageBreakBefore w:val="0"/>
        <w:widowControl/>
        <w:kinsoku/>
        <w:wordWrap/>
        <w:overflowPunct/>
        <w:topLinePunct w:val="0"/>
        <w:autoSpaceDE/>
        <w:autoSpaceDN/>
        <w:bidi w:val="0"/>
        <w:adjustRightInd/>
        <w:snapToGrid/>
        <w:spacing w:before="0" w:beforeAutospacing="0" w:after="0" w:afterAutospacing="0" w:line="380" w:lineRule="exact"/>
        <w:ind w:firstLine="357"/>
        <w:textAlignment w:val="auto"/>
        <w:rPr>
          <w:rFonts w:hint="eastAsia"/>
          <w:sz w:val="21"/>
          <w:szCs w:val="21"/>
        </w:rPr>
      </w:pPr>
    </w:p>
    <w:p w14:paraId="68614B76">
      <w:pPr>
        <w:ind w:firstLine="420" w:firstLineChars="0"/>
        <w:rPr>
          <w:rFonts w:hint="default" w:ascii="宋体" w:hAnsi="宋体" w:cs="宋体"/>
          <w:b/>
          <w:szCs w:val="21"/>
          <w:lang w:val="en-US" w:eastAsia="zh-CN"/>
        </w:rPr>
      </w:pPr>
      <w:r>
        <w:rPr>
          <w:rFonts w:hint="eastAsia"/>
          <w:b/>
          <w:sz w:val="21"/>
          <w:szCs w:val="21"/>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474D1E"/>
    <w:multiLevelType w:val="singleLevel"/>
    <w:tmpl w:val="D2474D1E"/>
    <w:lvl w:ilvl="0" w:tentative="0">
      <w:start w:val="1"/>
      <w:numFmt w:val="decimal"/>
      <w:lvlText w:val="%1."/>
      <w:lvlJc w:val="left"/>
      <w:pPr>
        <w:tabs>
          <w:tab w:val="left" w:pos="312"/>
        </w:tabs>
      </w:pPr>
    </w:lvl>
  </w:abstractNum>
  <w:abstractNum w:abstractNumId="1">
    <w:nsid w:val="E8497404"/>
    <w:multiLevelType w:val="singleLevel"/>
    <w:tmpl w:val="E8497404"/>
    <w:lvl w:ilvl="0" w:tentative="0">
      <w:start w:val="2"/>
      <w:numFmt w:val="chineseCounting"/>
      <w:suff w:val="nothing"/>
      <w:lvlText w:val="%1、"/>
      <w:lvlJc w:val="left"/>
      <w:rPr>
        <w:rFonts w:hint="eastAsia"/>
      </w:rPr>
    </w:lvl>
  </w:abstractNum>
  <w:abstractNum w:abstractNumId="2">
    <w:nsid w:val="EB9A5D01"/>
    <w:multiLevelType w:val="singleLevel"/>
    <w:tmpl w:val="EB9A5D01"/>
    <w:lvl w:ilvl="0" w:tentative="0">
      <w:start w:val="1"/>
      <w:numFmt w:val="chineseCounting"/>
      <w:lvlText w:val="%1."/>
      <w:lvlJc w:val="left"/>
      <w:pPr>
        <w:tabs>
          <w:tab w:val="left" w:pos="312"/>
        </w:tabs>
      </w:pPr>
      <w:rPr>
        <w:rFonts w:hint="eastAsia"/>
      </w:rPr>
    </w:lvl>
  </w:abstractNum>
  <w:abstractNum w:abstractNumId="3">
    <w:nsid w:val="F09CEE02"/>
    <w:multiLevelType w:val="singleLevel"/>
    <w:tmpl w:val="F09CEE02"/>
    <w:lvl w:ilvl="0" w:tentative="0">
      <w:start w:val="9"/>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4YTU3ZmQyMGEwOWI1Y2JkOWU4YmE5NDJiZDI5YTIifQ=="/>
  </w:docVars>
  <w:rsids>
    <w:rsidRoot w:val="00BE36B6"/>
    <w:rsid w:val="0001058E"/>
    <w:rsid w:val="00020AA3"/>
    <w:rsid w:val="00074662"/>
    <w:rsid w:val="000C0AA6"/>
    <w:rsid w:val="000D3978"/>
    <w:rsid w:val="000E5303"/>
    <w:rsid w:val="00105139"/>
    <w:rsid w:val="001135A4"/>
    <w:rsid w:val="002534C3"/>
    <w:rsid w:val="00263509"/>
    <w:rsid w:val="00293411"/>
    <w:rsid w:val="002A30E9"/>
    <w:rsid w:val="00303BE3"/>
    <w:rsid w:val="00316066"/>
    <w:rsid w:val="00351A15"/>
    <w:rsid w:val="00356378"/>
    <w:rsid w:val="003F18CD"/>
    <w:rsid w:val="004451EF"/>
    <w:rsid w:val="0047368D"/>
    <w:rsid w:val="004A35B9"/>
    <w:rsid w:val="004C3B03"/>
    <w:rsid w:val="005168C3"/>
    <w:rsid w:val="00564BA6"/>
    <w:rsid w:val="005A2E23"/>
    <w:rsid w:val="005D7540"/>
    <w:rsid w:val="005E73FF"/>
    <w:rsid w:val="005F0743"/>
    <w:rsid w:val="00607ADF"/>
    <w:rsid w:val="006553F1"/>
    <w:rsid w:val="00684179"/>
    <w:rsid w:val="006A4658"/>
    <w:rsid w:val="006C32F5"/>
    <w:rsid w:val="006D59B0"/>
    <w:rsid w:val="006E04EE"/>
    <w:rsid w:val="00715523"/>
    <w:rsid w:val="00774463"/>
    <w:rsid w:val="0078096F"/>
    <w:rsid w:val="007B1024"/>
    <w:rsid w:val="00802CD7"/>
    <w:rsid w:val="00844D36"/>
    <w:rsid w:val="00860ABE"/>
    <w:rsid w:val="00863F5A"/>
    <w:rsid w:val="008A5F87"/>
    <w:rsid w:val="00933BA4"/>
    <w:rsid w:val="00973F5E"/>
    <w:rsid w:val="009A2C72"/>
    <w:rsid w:val="009B5F0C"/>
    <w:rsid w:val="009F0936"/>
    <w:rsid w:val="009F7695"/>
    <w:rsid w:val="00B24420"/>
    <w:rsid w:val="00B475E1"/>
    <w:rsid w:val="00B52363"/>
    <w:rsid w:val="00BE36B6"/>
    <w:rsid w:val="00C94472"/>
    <w:rsid w:val="00CB2DAF"/>
    <w:rsid w:val="00CC039E"/>
    <w:rsid w:val="00CE2C0E"/>
    <w:rsid w:val="00D11C47"/>
    <w:rsid w:val="00D64578"/>
    <w:rsid w:val="00D65EBF"/>
    <w:rsid w:val="00DB372C"/>
    <w:rsid w:val="00DE4C02"/>
    <w:rsid w:val="00E05767"/>
    <w:rsid w:val="00E35BDF"/>
    <w:rsid w:val="00E5027C"/>
    <w:rsid w:val="00EE7A27"/>
    <w:rsid w:val="00F150A3"/>
    <w:rsid w:val="00F872D0"/>
    <w:rsid w:val="00F93F76"/>
    <w:rsid w:val="00FB440B"/>
    <w:rsid w:val="00FD6037"/>
    <w:rsid w:val="00FF176D"/>
    <w:rsid w:val="04D90566"/>
    <w:rsid w:val="12401738"/>
    <w:rsid w:val="22C90239"/>
    <w:rsid w:val="2771414A"/>
    <w:rsid w:val="2BFA2717"/>
    <w:rsid w:val="2D543F15"/>
    <w:rsid w:val="373447F2"/>
    <w:rsid w:val="37A42ED5"/>
    <w:rsid w:val="3846711D"/>
    <w:rsid w:val="38BD5E69"/>
    <w:rsid w:val="3E035A26"/>
    <w:rsid w:val="41AA04BB"/>
    <w:rsid w:val="438F29DC"/>
    <w:rsid w:val="46E62D0A"/>
    <w:rsid w:val="4B5A0B53"/>
    <w:rsid w:val="52EE5798"/>
    <w:rsid w:val="56C25616"/>
    <w:rsid w:val="58952615"/>
    <w:rsid w:val="5DCC7783"/>
    <w:rsid w:val="5E0224F6"/>
    <w:rsid w:val="618E553F"/>
    <w:rsid w:val="62552354"/>
    <w:rsid w:val="636F4E8B"/>
    <w:rsid w:val="656A4869"/>
    <w:rsid w:val="66504B2B"/>
    <w:rsid w:val="668313EA"/>
    <w:rsid w:val="67B74EB7"/>
    <w:rsid w:val="6803072D"/>
    <w:rsid w:val="6BDA557E"/>
    <w:rsid w:val="725136B4"/>
    <w:rsid w:val="77BC43BF"/>
    <w:rsid w:val="789C25CC"/>
    <w:rsid w:val="7A993D54"/>
    <w:rsid w:val="7EDA2B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autoRedefine/>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0"/>
    <w:pPr>
      <w:spacing w:after="120"/>
    </w:pPr>
  </w:style>
  <w:style w:type="paragraph" w:styleId="5">
    <w:name w:val="Body Text Indent"/>
    <w:basedOn w:val="1"/>
    <w:autoRedefine/>
    <w:qFormat/>
    <w:uiPriority w:val="0"/>
    <w:pPr>
      <w:spacing w:line="200" w:lineRule="exact"/>
      <w:ind w:firstLine="301"/>
    </w:pPr>
    <w:rPr>
      <w:rFonts w:ascii="宋体" w:hAnsi="Courier New"/>
      <w:spacing w:val="-4"/>
      <w:sz w:val="18"/>
      <w:szCs w:val="20"/>
    </w:rPr>
  </w:style>
  <w:style w:type="paragraph" w:styleId="6">
    <w:name w:val="footer"/>
    <w:basedOn w:val="1"/>
    <w:link w:val="14"/>
    <w:autoRedefine/>
    <w:semiHidden/>
    <w:unhideWhenUsed/>
    <w:qFormat/>
    <w:uiPriority w:val="99"/>
    <w:pPr>
      <w:tabs>
        <w:tab w:val="center" w:pos="4153"/>
        <w:tab w:val="right" w:pos="8306"/>
      </w:tabs>
      <w:snapToGrid w:val="0"/>
      <w:jc w:val="left"/>
    </w:pPr>
    <w:rPr>
      <w:sz w:val="18"/>
      <w:szCs w:val="18"/>
    </w:rPr>
  </w:style>
  <w:style w:type="paragraph" w:styleId="7">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Strong"/>
    <w:basedOn w:val="11"/>
    <w:autoRedefine/>
    <w:qFormat/>
    <w:uiPriority w:val="22"/>
    <w:rPr>
      <w:b/>
    </w:rPr>
  </w:style>
  <w:style w:type="character" w:customStyle="1" w:styleId="13">
    <w:name w:val="页眉 Char"/>
    <w:basedOn w:val="11"/>
    <w:link w:val="7"/>
    <w:autoRedefine/>
    <w:semiHidden/>
    <w:qFormat/>
    <w:uiPriority w:val="99"/>
    <w:rPr>
      <w:sz w:val="18"/>
      <w:szCs w:val="18"/>
    </w:rPr>
  </w:style>
  <w:style w:type="character" w:customStyle="1" w:styleId="14">
    <w:name w:val="页脚 Char"/>
    <w:basedOn w:val="11"/>
    <w:link w:val="6"/>
    <w:autoRedefine/>
    <w:semiHidden/>
    <w:qFormat/>
    <w:uiPriority w:val="99"/>
    <w:rPr>
      <w:sz w:val="18"/>
      <w:szCs w:val="18"/>
    </w:rPr>
  </w:style>
  <w:style w:type="paragraph" w:customStyle="1" w:styleId="15">
    <w:name w:val="表格文字"/>
    <w:basedOn w:val="5"/>
    <w:next w:val="4"/>
    <w:autoRedefine/>
    <w:qFormat/>
    <w:uiPriority w:val="99"/>
    <w:pPr>
      <w:spacing w:before="25" w:after="25"/>
      <w:jc w:val="left"/>
    </w:pPr>
    <w:rPr>
      <w:bCs/>
      <w:spacing w:val="10"/>
      <w:kern w:val="0"/>
      <w:sz w:val="24"/>
    </w:rPr>
  </w:style>
  <w:style w:type="paragraph" w:styleId="16">
    <w:name w:val="List Paragraph"/>
    <w:basedOn w:val="1"/>
    <w:autoRedefine/>
    <w:qFormat/>
    <w:uiPriority w:val="34"/>
    <w:pPr>
      <w:ind w:firstLine="420" w:firstLineChars="200"/>
    </w:pPr>
  </w:style>
  <w:style w:type="paragraph" w:customStyle="1" w:styleId="17">
    <w:name w:val="正文1"/>
    <w:basedOn w:val="18"/>
    <w:autoRedefine/>
    <w:qFormat/>
    <w:uiPriority w:val="0"/>
    <w:pPr>
      <w:spacing w:line="318" w:lineRule="atLeast"/>
      <w:ind w:left="369" w:firstLine="369"/>
    </w:pPr>
    <w:rPr>
      <w:rFonts w:ascii="宋体" w:hAnsi="Calibri" w:eastAsia="宋体" w:cs="Times New Roman"/>
      <w:szCs w:val="24"/>
    </w:rPr>
  </w:style>
  <w:style w:type="paragraph" w:customStyle="1" w:styleId="18">
    <w:name w:val="正文_1"/>
    <w:basedOn w:val="19"/>
    <w:autoRedefine/>
    <w:qFormat/>
    <w:uiPriority w:val="0"/>
    <w:rPr>
      <w:rFonts w:cs="Calibri"/>
      <w:szCs w:val="21"/>
    </w:rPr>
  </w:style>
  <w:style w:type="paragraph" w:customStyle="1" w:styleId="19">
    <w:name w:val="正文_2"/>
    <w:basedOn w:val="20"/>
    <w:next w:val="26"/>
    <w:autoRedefine/>
    <w:qFormat/>
    <w:uiPriority w:val="0"/>
  </w:style>
  <w:style w:type="paragraph" w:customStyle="1" w:styleId="20">
    <w:name w:val="正文_3"/>
    <w:next w:val="2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
    <w:name w:val="正文文本_1"/>
    <w:basedOn w:val="22"/>
    <w:autoRedefine/>
    <w:unhideWhenUsed/>
    <w:qFormat/>
    <w:uiPriority w:val="0"/>
    <w:pPr>
      <w:spacing w:after="120"/>
    </w:pPr>
    <w:rPr>
      <w:rFonts w:eastAsia="宋体" w:cs="Times New Roman"/>
    </w:rPr>
  </w:style>
  <w:style w:type="paragraph" w:customStyle="1" w:styleId="22">
    <w:name w:val="正文_2_0"/>
    <w:basedOn w:val="23"/>
    <w:next w:val="21"/>
    <w:autoRedefine/>
    <w:qFormat/>
    <w:uiPriority w:val="0"/>
    <w:rPr>
      <w:rFonts w:ascii="Calibri" w:hAnsi="Calibri"/>
      <w:sz w:val="21"/>
      <w:lang w:eastAsia="zh-CN"/>
    </w:rPr>
  </w:style>
  <w:style w:type="paragraph" w:customStyle="1" w:styleId="23">
    <w:name w:val="正文_3_0"/>
    <w:basedOn w:val="24"/>
    <w:autoRedefine/>
    <w:qFormat/>
    <w:uiPriority w:val="0"/>
    <w:pPr>
      <w:autoSpaceDE w:val="0"/>
      <w:autoSpaceDN w:val="0"/>
    </w:pPr>
    <w:rPr>
      <w:rFonts w:ascii="仿宋" w:hAnsi="仿宋" w:eastAsia="仿宋" w:cs="仿宋"/>
      <w:sz w:val="22"/>
      <w:lang w:eastAsia="en-US"/>
    </w:rPr>
  </w:style>
  <w:style w:type="paragraph" w:customStyle="1" w:styleId="24">
    <w:name w:val="正文_4_0"/>
    <w:basedOn w:val="25"/>
    <w:autoRedefine/>
    <w:qFormat/>
    <w:uiPriority w:val="0"/>
  </w:style>
  <w:style w:type="paragraph" w:customStyle="1" w:styleId="25">
    <w:name w:val="正文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
    <w:name w:val="无间隔1"/>
    <w:basedOn w:val="1"/>
    <w:next w:val="27"/>
    <w:autoRedefine/>
    <w:qFormat/>
    <w:uiPriority w:val="1"/>
  </w:style>
  <w:style w:type="paragraph" w:customStyle="1" w:styleId="27">
    <w:name w:val="样式 标题 3 + (中文) 黑体 小四 非加粗 段前: 7.8 磅 段后: 0 磅 行距: 固定值 20 磅"/>
    <w:basedOn w:val="3"/>
    <w:autoRedefine/>
    <w:qFormat/>
    <w:uiPriority w:val="0"/>
    <w:pPr>
      <w:numPr>
        <w:ilvl w:val="0"/>
        <w:numId w:val="0"/>
      </w:numPr>
      <w:spacing w:line="400" w:lineRule="exact"/>
    </w:pPr>
    <w:rPr>
      <w:rFonts w:ascii="Times New Roman" w:eastAsia="黑体" w:cs="宋体"/>
      <w:b w:val="0"/>
      <w:sz w:val="24"/>
    </w:rPr>
  </w:style>
  <w:style w:type="paragraph" w:customStyle="1" w:styleId="28">
    <w:name w:val="Default"/>
    <w:next w:val="1"/>
    <w:qFormat/>
    <w:uiPriority w:val="0"/>
    <w:pPr>
      <w:widowControl w:val="0"/>
      <w:autoSpaceDE w:val="0"/>
      <w:autoSpaceDN w:val="0"/>
    </w:pPr>
    <w:rPr>
      <w:rFonts w:hint="eastAsia" w:ascii="Times New Roman" w:hAnsi="Times New Roman" w:eastAsia="宋体" w:cs="Times New Roman"/>
      <w:color w:val="000000"/>
      <w:sz w:val="24"/>
      <w:lang w:val="en-US" w:eastAsia="zh-CN" w:bidi="ar-SA"/>
    </w:rPr>
  </w:style>
  <w:style w:type="paragraph" w:customStyle="1" w:styleId="2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2549</Words>
  <Characters>2628</Characters>
  <Lines>5</Lines>
  <Paragraphs>1</Paragraphs>
  <TotalTime>0</TotalTime>
  <ScaleCrop>false</ScaleCrop>
  <LinksUpToDate>false</LinksUpToDate>
  <CharactersWithSpaces>2672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2023-09-01T02:58:00Z</dcterms:created>
  <dc:creator>Yang</dc:creator>
  <cp:lastModifiedBy>李骞</cp:lastModifiedBy>
  <cp:lastPrinted>2024-03-19T02:44:00Z</cp:lastPrinted>
  <dcterms:modified xsi:type="dcterms:W3CDTF">2026-10-14T12:19:00Z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2FA9AE6255334980A593405D51267E84_13</vt:lpwstr>
  </property>
  <property fmtid="{D5CDD505-2E9C-101B-9397-08002B2CF9AE}" pid="4" name="KSOTemplateDocerSaveRecord">
    <vt:lpwstr>eyJoZGlkIjoiM2I2YWE5ZmQ1N2IxZjgyZjc2MGJkNmY0MTQ4ZjU5ZjQiLCJ1c2VySWQiOiIxNjU3NTc1ODQ4In0=</vt:lpwstr>
  </property>
</Properties>
</file>