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15A255D">
      <w:pPr>
        <w:ind w:left="0" w:leftChars="0" w:firstLine="1258" w:firstLineChars="242"/>
        <w:jc w:val="both"/>
        <w:rPr>
          <w:rFonts w:ascii="宋体" w:hAnsi="宋体"/>
          <w:color w:val="auto"/>
          <w:sz w:val="52"/>
          <w:szCs w:val="52"/>
          <w:highlight w:val="none"/>
        </w:rPr>
      </w:pPr>
      <w:bookmarkStart w:id="120" w:name="_GoBack"/>
      <w:r>
        <w:rPr>
          <w:rFonts w:hint="eastAsia" w:ascii="宋体" w:hAnsi="宋体" w:eastAsia="宋体" w:cs="宋体"/>
          <w:b w:val="0"/>
          <w:bCs w:val="0"/>
          <w:color w:val="auto"/>
          <w:sz w:val="52"/>
          <w:szCs w:val="52"/>
          <w:highlight w:val="none"/>
          <w:u w:val="none"/>
          <w:lang w:eastAsia="zh-CN"/>
        </w:rPr>
        <w:t>广西华扬工程项目管理有限公司</w:t>
      </w:r>
    </w:p>
    <w:p w14:paraId="7D81B037">
      <w:pPr>
        <w:jc w:val="center"/>
        <w:rPr>
          <w:rFonts w:ascii="宋体" w:hAnsi="宋体"/>
          <w:color w:val="auto"/>
          <w:sz w:val="28"/>
          <w:szCs w:val="28"/>
          <w:highlight w:val="none"/>
        </w:rPr>
      </w:pPr>
    </w:p>
    <w:p w14:paraId="6938992B">
      <w:pPr>
        <w:jc w:val="center"/>
        <w:rPr>
          <w:rFonts w:ascii="宋体" w:hAnsi="宋体"/>
          <w:color w:val="auto"/>
          <w:sz w:val="28"/>
          <w:szCs w:val="28"/>
          <w:highlight w:val="none"/>
        </w:rPr>
      </w:pPr>
    </w:p>
    <w:p w14:paraId="53DB88ED">
      <w:pPr>
        <w:jc w:val="both"/>
        <w:rPr>
          <w:rFonts w:ascii="宋体" w:hAnsi="宋体"/>
          <w:color w:val="auto"/>
          <w:sz w:val="28"/>
          <w:szCs w:val="28"/>
          <w:highlight w:val="none"/>
        </w:rPr>
      </w:pPr>
    </w:p>
    <w:p w14:paraId="4FEBF9C4">
      <w:pPr>
        <w:jc w:val="center"/>
        <w:rPr>
          <w:rFonts w:hint="eastAsia" w:ascii="楷体" w:hAnsi="楷体" w:eastAsia="楷体" w:cs="Times New Roman"/>
          <w:color w:val="auto"/>
          <w:kern w:val="2"/>
          <w:sz w:val="90"/>
          <w:szCs w:val="90"/>
          <w:highlight w:val="none"/>
          <w:lang w:val="en-US" w:eastAsia="zh-CN" w:bidi="ar-SA"/>
          <w14:shadow w14:blurRad="50800" w14:dist="38100" w14:dir="2700000" w14:sx="100000" w14:sy="100000" w14:kx="0" w14:ky="0" w14:algn="tl">
            <w14:srgbClr w14:val="000000">
              <w14:alpha w14:val="60000"/>
            </w14:srgbClr>
          </w14:shadow>
        </w:rPr>
      </w:pPr>
      <w:r>
        <w:rPr>
          <w:rFonts w:hint="eastAsia" w:ascii="楷体" w:hAnsi="楷体" w:eastAsia="楷体" w:cs="Times New Roman"/>
          <w:color w:val="auto"/>
          <w:kern w:val="2"/>
          <w:sz w:val="90"/>
          <w:szCs w:val="90"/>
          <w:highlight w:val="none"/>
          <w:lang w:val="en-US" w:eastAsia="zh-CN" w:bidi="ar-SA"/>
          <w14:shadow w14:blurRad="50800" w14:dist="38100" w14:dir="2700000" w14:sx="100000" w14:sy="100000" w14:kx="0" w14:ky="0" w14:algn="tl">
            <w14:srgbClr w14:val="000000">
              <w14:alpha w14:val="60000"/>
            </w14:srgbClr>
          </w14:shadow>
        </w:rPr>
        <w:t>招标文件</w:t>
      </w:r>
    </w:p>
    <w:p w14:paraId="7CF1158B">
      <w:pPr>
        <w:jc w:val="center"/>
        <w:rPr>
          <w:rFonts w:hint="eastAsia" w:ascii="宋体" w:hAnsi="宋体" w:eastAsia="宋体"/>
          <w:color w:val="auto"/>
          <w:sz w:val="32"/>
          <w:szCs w:val="32"/>
          <w:highlight w:val="none"/>
          <w:lang w:eastAsia="zh-CN"/>
        </w:rPr>
      </w:pPr>
      <w:r>
        <w:rPr>
          <w:rFonts w:hint="eastAsia" w:ascii="宋体" w:hAnsi="宋体"/>
          <w:color w:val="auto"/>
          <w:sz w:val="32"/>
          <w:szCs w:val="32"/>
          <w:highlight w:val="none"/>
          <w:lang w:eastAsia="zh-CN"/>
        </w:rPr>
        <w:t>（全流程电子标）</w:t>
      </w:r>
    </w:p>
    <w:p w14:paraId="75281866">
      <w:pPr>
        <w:pStyle w:val="2"/>
        <w:rPr>
          <w:rFonts w:ascii="宋体" w:hAnsi="宋体"/>
          <w:color w:val="auto"/>
          <w:sz w:val="28"/>
          <w:szCs w:val="28"/>
          <w:highlight w:val="none"/>
        </w:rPr>
      </w:pPr>
    </w:p>
    <w:p w14:paraId="401AF105">
      <w:pPr>
        <w:pStyle w:val="3"/>
        <w:rPr>
          <w:color w:val="auto"/>
          <w:highlight w:val="none"/>
        </w:rPr>
      </w:pPr>
    </w:p>
    <w:p w14:paraId="23CBD4FB">
      <w:pPr>
        <w:pStyle w:val="3"/>
        <w:rPr>
          <w:rFonts w:ascii="宋体" w:hAnsi="宋体"/>
          <w:color w:val="auto"/>
          <w:sz w:val="28"/>
          <w:szCs w:val="28"/>
          <w:highlight w:val="none"/>
        </w:rPr>
      </w:pPr>
    </w:p>
    <w:p w14:paraId="588EE131">
      <w:pPr>
        <w:pStyle w:val="23"/>
        <w:spacing w:line="360" w:lineRule="auto"/>
        <w:ind w:firstLine="1280" w:firstLineChars="400"/>
        <w:jc w:val="left"/>
        <w:rPr>
          <w:rFonts w:hint="eastAsia" w:ascii="宋体" w:hAnsi="Times New Roman" w:eastAsia="宋体" w:cs="Times New Roman"/>
          <w:bCs/>
          <w:color w:val="auto"/>
          <w:kern w:val="2"/>
          <w:sz w:val="32"/>
          <w:szCs w:val="32"/>
          <w:highlight w:val="none"/>
          <w:lang w:val="en-US" w:eastAsia="zh-CN" w:bidi="ar-SA"/>
        </w:rPr>
      </w:pPr>
    </w:p>
    <w:p w14:paraId="6757B77E">
      <w:pPr>
        <w:pStyle w:val="23"/>
        <w:spacing w:line="600" w:lineRule="auto"/>
        <w:ind w:firstLine="1280" w:firstLineChars="400"/>
        <w:jc w:val="left"/>
        <w:rPr>
          <w:rFonts w:hint="eastAsia" w:ascii="宋体" w:hAnsi="Times New Roman" w:eastAsia="宋体" w:cs="Times New Roman"/>
          <w:bCs/>
          <w:color w:val="auto"/>
          <w:kern w:val="2"/>
          <w:sz w:val="32"/>
          <w:szCs w:val="32"/>
          <w:highlight w:val="none"/>
          <w:lang w:val="en-US" w:eastAsia="zh-CN" w:bidi="ar-SA"/>
        </w:rPr>
      </w:pPr>
      <w:r>
        <w:rPr>
          <w:rFonts w:hint="eastAsia" w:ascii="宋体" w:hAnsi="Times New Roman" w:eastAsia="宋体" w:cs="Times New Roman"/>
          <w:bCs/>
          <w:color w:val="auto"/>
          <w:kern w:val="2"/>
          <w:sz w:val="32"/>
          <w:szCs w:val="32"/>
          <w:highlight w:val="none"/>
          <w:lang w:val="en-US" w:eastAsia="zh-CN" w:bidi="ar-SA"/>
        </w:rPr>
        <w:t>项目名称：2026年市本级应急成品粮轮换运营招标项目</w:t>
      </w:r>
    </w:p>
    <w:p w14:paraId="3796915B">
      <w:pPr>
        <w:pStyle w:val="23"/>
        <w:spacing w:line="600" w:lineRule="auto"/>
        <w:ind w:firstLine="1280" w:firstLineChars="400"/>
        <w:jc w:val="left"/>
        <w:rPr>
          <w:rFonts w:hint="eastAsia" w:ascii="宋体" w:hAnsi="Times New Roman" w:eastAsia="宋体" w:cs="Times New Roman"/>
          <w:bCs/>
          <w:color w:val="auto"/>
          <w:kern w:val="2"/>
          <w:sz w:val="32"/>
          <w:szCs w:val="32"/>
          <w:highlight w:val="none"/>
          <w:lang w:val="en-US" w:eastAsia="zh-CN" w:bidi="ar-SA"/>
        </w:rPr>
      </w:pPr>
      <w:r>
        <w:rPr>
          <w:rFonts w:hint="eastAsia" w:ascii="宋体" w:hAnsi="Times New Roman" w:eastAsia="宋体" w:cs="Times New Roman"/>
          <w:bCs/>
          <w:color w:val="auto"/>
          <w:kern w:val="2"/>
          <w:sz w:val="32"/>
          <w:szCs w:val="32"/>
          <w:highlight w:val="none"/>
          <w:lang w:val="en-US" w:eastAsia="zh-CN" w:bidi="ar-SA"/>
        </w:rPr>
        <w:t>项目编号：QZZC2026-G3-990225-GXHY</w:t>
      </w:r>
    </w:p>
    <w:p w14:paraId="3952956E">
      <w:pPr>
        <w:pStyle w:val="23"/>
        <w:spacing w:line="600" w:lineRule="auto"/>
        <w:ind w:firstLine="1280" w:firstLineChars="400"/>
        <w:jc w:val="left"/>
        <w:rPr>
          <w:rFonts w:hint="eastAsia" w:ascii="宋体" w:hAnsi="Times New Roman" w:eastAsia="宋体" w:cs="Times New Roman"/>
          <w:bCs/>
          <w:color w:val="auto"/>
          <w:kern w:val="2"/>
          <w:sz w:val="32"/>
          <w:szCs w:val="32"/>
          <w:highlight w:val="none"/>
          <w:lang w:val="en-US" w:eastAsia="zh-CN" w:bidi="ar-SA"/>
        </w:rPr>
      </w:pPr>
      <w:r>
        <w:rPr>
          <w:rFonts w:hint="eastAsia" w:ascii="宋体" w:hAnsi="Times New Roman" w:eastAsia="宋体" w:cs="Times New Roman"/>
          <w:bCs/>
          <w:color w:val="auto"/>
          <w:kern w:val="2"/>
          <w:sz w:val="32"/>
          <w:szCs w:val="32"/>
          <w:highlight w:val="none"/>
          <w:lang w:val="en-US" w:eastAsia="zh-CN" w:bidi="ar-SA"/>
        </w:rPr>
        <w:t>采购单位：钦州市储备粮管理中心</w:t>
      </w:r>
    </w:p>
    <w:p w14:paraId="23B98CA7">
      <w:pPr>
        <w:pStyle w:val="23"/>
        <w:spacing w:line="600" w:lineRule="auto"/>
        <w:ind w:firstLine="1280" w:firstLineChars="400"/>
        <w:jc w:val="left"/>
        <w:rPr>
          <w:rFonts w:hint="eastAsia" w:ascii="宋体" w:hAnsi="宋体"/>
          <w:color w:val="auto"/>
          <w:sz w:val="32"/>
          <w:szCs w:val="32"/>
          <w:highlight w:val="none"/>
          <w:lang w:val="en-US" w:eastAsia="zh-CN"/>
        </w:rPr>
      </w:pPr>
      <w:r>
        <w:rPr>
          <w:rFonts w:hint="eastAsia" w:ascii="宋体" w:hAnsi="Times New Roman" w:eastAsia="宋体" w:cs="Times New Roman"/>
          <w:bCs/>
          <w:color w:val="auto"/>
          <w:kern w:val="2"/>
          <w:sz w:val="32"/>
          <w:szCs w:val="32"/>
          <w:highlight w:val="none"/>
          <w:lang w:val="en-US" w:eastAsia="zh-CN" w:bidi="ar-SA"/>
        </w:rPr>
        <w:t>采购代理机构：广西华扬工程项目管理有限公司</w:t>
      </w:r>
    </w:p>
    <w:p w14:paraId="12E6ADD0">
      <w:pPr>
        <w:ind w:firstLine="2880" w:firstLineChars="900"/>
        <w:jc w:val="both"/>
        <w:rPr>
          <w:rFonts w:hint="eastAsia" w:ascii="宋体" w:hAnsi="宋体" w:eastAsia="宋体"/>
          <w:color w:val="auto"/>
          <w:sz w:val="32"/>
          <w:szCs w:val="32"/>
          <w:highlight w:val="none"/>
          <w:lang w:eastAsia="zh-CN"/>
        </w:rPr>
      </w:pPr>
      <w:r>
        <w:rPr>
          <w:rFonts w:hint="eastAsia" w:ascii="宋体" w:hAnsi="宋体"/>
          <w:color w:val="auto"/>
          <w:sz w:val="32"/>
          <w:szCs w:val="32"/>
          <w:highlight w:val="none"/>
          <w:lang w:val="en-US" w:eastAsia="zh-CN"/>
        </w:rPr>
        <w:t>2026</w:t>
      </w:r>
      <w:r>
        <w:rPr>
          <w:rFonts w:hint="eastAsia" w:ascii="宋体" w:hAnsi="宋体"/>
          <w:color w:val="auto"/>
          <w:sz w:val="32"/>
          <w:szCs w:val="32"/>
          <w:highlight w:val="none"/>
        </w:rPr>
        <w:t>年</w:t>
      </w:r>
      <w:r>
        <w:rPr>
          <w:rFonts w:hint="eastAsia" w:ascii="宋体" w:hAnsi="宋体"/>
          <w:color w:val="auto"/>
          <w:sz w:val="32"/>
          <w:szCs w:val="32"/>
          <w:highlight w:val="none"/>
          <w:lang w:val="en-US" w:eastAsia="zh-CN"/>
        </w:rPr>
        <w:t xml:space="preserve">   </w:t>
      </w:r>
      <w:r>
        <w:rPr>
          <w:rFonts w:hint="eastAsia" w:ascii="宋体" w:hAnsi="宋体"/>
          <w:color w:val="auto"/>
          <w:sz w:val="32"/>
          <w:szCs w:val="32"/>
          <w:highlight w:val="none"/>
        </w:rPr>
        <w:t>月</w:t>
      </w:r>
      <w:r>
        <w:rPr>
          <w:rFonts w:hint="eastAsia" w:ascii="宋体" w:hAnsi="宋体"/>
          <w:color w:val="auto"/>
          <w:sz w:val="32"/>
          <w:szCs w:val="32"/>
          <w:highlight w:val="none"/>
          <w:lang w:val="en-US" w:eastAsia="zh-CN"/>
        </w:rPr>
        <w:t xml:space="preserve">   </w:t>
      </w:r>
      <w:r>
        <w:rPr>
          <w:rFonts w:hint="eastAsia" w:ascii="宋体" w:hAnsi="宋体"/>
          <w:color w:val="auto"/>
          <w:sz w:val="32"/>
          <w:szCs w:val="32"/>
          <w:highlight w:val="none"/>
          <w:lang w:eastAsia="zh-CN"/>
        </w:rPr>
        <w:t>日</w:t>
      </w:r>
    </w:p>
    <w:p w14:paraId="5D7B4307">
      <w:pPr>
        <w:jc w:val="center"/>
        <w:rPr>
          <w:rFonts w:ascii="宋体" w:hAnsi="宋体"/>
          <w:color w:val="auto"/>
          <w:sz w:val="28"/>
          <w:szCs w:val="28"/>
          <w:highlight w:val="none"/>
        </w:rPr>
      </w:pPr>
    </w:p>
    <w:p w14:paraId="61A3533E">
      <w:pPr>
        <w:jc w:val="center"/>
        <w:rPr>
          <w:rFonts w:ascii="宋体" w:hAnsi="宋体"/>
          <w:color w:val="auto"/>
          <w:sz w:val="28"/>
          <w:szCs w:val="28"/>
          <w:highlight w:val="none"/>
        </w:rPr>
      </w:pPr>
    </w:p>
    <w:p w14:paraId="67A99A70">
      <w:pPr>
        <w:jc w:val="center"/>
        <w:rPr>
          <w:rFonts w:ascii="宋体" w:hAnsi="宋体"/>
          <w:color w:val="auto"/>
          <w:sz w:val="28"/>
          <w:szCs w:val="28"/>
          <w:highlight w:val="none"/>
        </w:rPr>
      </w:pPr>
    </w:p>
    <w:p w14:paraId="73C15F55">
      <w:pPr>
        <w:jc w:val="both"/>
        <w:rPr>
          <w:rFonts w:ascii="宋体" w:hAnsi="宋体"/>
          <w:color w:val="auto"/>
          <w:sz w:val="28"/>
          <w:szCs w:val="28"/>
          <w:highlight w:val="none"/>
        </w:rPr>
        <w:sectPr>
          <w:headerReference r:id="rId3" w:type="default"/>
          <w:footerReference r:id="rId4" w:type="default"/>
          <w:pgSz w:w="11906" w:h="16838"/>
          <w:pgMar w:top="1134" w:right="1134" w:bottom="1134" w:left="1134" w:header="720" w:footer="720" w:gutter="0"/>
          <w:cols w:space="720" w:num="1"/>
          <w:docGrid w:type="lines" w:linePitch="331" w:charSpace="0"/>
        </w:sectPr>
      </w:pPr>
    </w:p>
    <w:p w14:paraId="6079FEA1">
      <w:pPr>
        <w:pStyle w:val="2"/>
        <w:rPr>
          <w:color w:val="auto"/>
          <w:highlight w:val="none"/>
        </w:rPr>
      </w:pPr>
    </w:p>
    <w:p w14:paraId="061348BA">
      <w:pPr>
        <w:jc w:val="center"/>
        <w:rPr>
          <w:color w:val="auto"/>
          <w:sz w:val="28"/>
          <w:szCs w:val="28"/>
          <w:highlight w:val="none"/>
        </w:rPr>
      </w:pPr>
      <w:r>
        <w:rPr>
          <w:rFonts w:ascii="宋体" w:hAnsi="宋体"/>
          <w:color w:val="auto"/>
          <w:sz w:val="28"/>
          <w:szCs w:val="28"/>
          <w:highlight w:val="none"/>
        </w:rPr>
        <w:t>目录</w:t>
      </w:r>
    </w:p>
    <w:p w14:paraId="5D26F1B9">
      <w:pPr>
        <w:pStyle w:val="115"/>
        <w:tabs>
          <w:tab w:val="right" w:leader="dot" w:pos="9638"/>
        </w:tabs>
        <w:spacing w:line="48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TOC \o "1-1" \h \u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_Toc12497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第一章  招标公告</w:t>
      </w:r>
      <w:r>
        <w:rPr>
          <w:rFonts w:hint="eastAsia" w:ascii="宋体" w:hAnsi="宋体" w:cs="宋体"/>
          <w:color w:val="auto"/>
          <w:sz w:val="24"/>
          <w:szCs w:val="24"/>
          <w:highlight w:val="none"/>
        </w:rPr>
        <w:tab/>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fldChar w:fldCharType="end"/>
      </w:r>
    </w:p>
    <w:p w14:paraId="13E9FB89">
      <w:pPr>
        <w:pStyle w:val="115"/>
        <w:tabs>
          <w:tab w:val="right" w:leader="dot" w:pos="9638"/>
        </w:tabs>
        <w:spacing w:line="48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_Toc7211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第二章  采购需求</w:t>
      </w:r>
      <w:r>
        <w:rPr>
          <w:rFonts w:hint="eastAsia" w:ascii="宋体" w:hAnsi="宋体" w:cs="宋体"/>
          <w:color w:val="auto"/>
          <w:sz w:val="24"/>
          <w:szCs w:val="24"/>
          <w:highlight w:val="none"/>
        </w:rPr>
        <w:tab/>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fldChar w:fldCharType="end"/>
      </w:r>
    </w:p>
    <w:p w14:paraId="4C4576D1">
      <w:pPr>
        <w:pStyle w:val="115"/>
        <w:tabs>
          <w:tab w:val="right" w:leader="dot" w:pos="9638"/>
        </w:tabs>
        <w:spacing w:line="48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_Toc20602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第三章  投标人须知</w:t>
      </w:r>
      <w:r>
        <w:rPr>
          <w:rFonts w:hint="eastAsia" w:ascii="宋体" w:hAnsi="宋体" w:cs="宋体"/>
          <w:color w:val="auto"/>
          <w:sz w:val="24"/>
          <w:szCs w:val="24"/>
          <w:highlight w:val="none"/>
        </w:rPr>
        <w:tab/>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rPr>
        <w:fldChar w:fldCharType="end"/>
      </w:r>
    </w:p>
    <w:p w14:paraId="4CAA3951">
      <w:pPr>
        <w:pStyle w:val="115"/>
        <w:tabs>
          <w:tab w:val="right" w:leader="dot" w:pos="9638"/>
        </w:tabs>
        <w:spacing w:line="480" w:lineRule="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_Toc13160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第四章  评标方法及评分标准</w:t>
      </w:r>
      <w:r>
        <w:rPr>
          <w:rFonts w:hint="eastAsia" w:ascii="宋体" w:hAnsi="宋体" w:cs="宋体"/>
          <w:color w:val="auto"/>
          <w:sz w:val="24"/>
          <w:szCs w:val="24"/>
          <w:highlight w:val="none"/>
        </w:rPr>
        <w:tab/>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lang w:val="en-US" w:eastAsia="zh-CN"/>
        </w:rPr>
        <w:t>9</w:t>
      </w:r>
    </w:p>
    <w:p w14:paraId="6B10A75C">
      <w:pPr>
        <w:pStyle w:val="115"/>
        <w:tabs>
          <w:tab w:val="right" w:leader="dot" w:pos="9638"/>
        </w:tabs>
        <w:spacing w:line="48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_Toc8762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第五章 拟签订的合同文本</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_Toc8762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38</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26233A3A">
      <w:pPr>
        <w:pStyle w:val="115"/>
        <w:tabs>
          <w:tab w:val="right" w:leader="dot" w:pos="9638"/>
        </w:tabs>
        <w:spacing w:line="48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_Toc2402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第六章 投标文件格式</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_Toc2402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43</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605E5FC1">
      <w:pPr>
        <w:pStyle w:val="115"/>
        <w:tabs>
          <w:tab w:val="right" w:leader="dot" w:pos="9638"/>
        </w:tabs>
        <w:spacing w:line="48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_Toc2501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第七章 质疑、投诉证明材料格式</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_Toc2501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63</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65991405">
      <w:pPr>
        <w:pStyle w:val="18"/>
        <w:spacing w:line="480" w:lineRule="auto"/>
        <w:jc w:val="center"/>
        <w:rPr>
          <w:rFonts w:hint="eastAsia" w:hAnsi="宋体" w:cs="宋体"/>
          <w:color w:val="auto"/>
          <w:sz w:val="24"/>
          <w:szCs w:val="24"/>
          <w:highlight w:val="none"/>
        </w:rPr>
      </w:pPr>
      <w:r>
        <w:rPr>
          <w:rFonts w:hint="eastAsia" w:hAnsi="宋体" w:cs="宋体"/>
          <w:color w:val="auto"/>
          <w:sz w:val="24"/>
          <w:szCs w:val="24"/>
          <w:highlight w:val="none"/>
        </w:rPr>
        <w:fldChar w:fldCharType="end"/>
      </w:r>
    </w:p>
    <w:p w14:paraId="68785DFE">
      <w:pPr>
        <w:pStyle w:val="18"/>
        <w:jc w:val="center"/>
        <w:rPr>
          <w:color w:val="auto"/>
          <w:highlight w:val="none"/>
        </w:rPr>
      </w:pPr>
    </w:p>
    <w:p w14:paraId="028EADA5">
      <w:pPr>
        <w:pStyle w:val="18"/>
        <w:jc w:val="center"/>
        <w:rPr>
          <w:color w:val="auto"/>
          <w:highlight w:val="none"/>
        </w:rPr>
      </w:pPr>
    </w:p>
    <w:p w14:paraId="66CCAF48">
      <w:pPr>
        <w:pStyle w:val="18"/>
        <w:jc w:val="center"/>
        <w:rPr>
          <w:color w:val="auto"/>
          <w:highlight w:val="none"/>
        </w:rPr>
      </w:pPr>
    </w:p>
    <w:p w14:paraId="07A6210A">
      <w:pPr>
        <w:pStyle w:val="18"/>
        <w:jc w:val="center"/>
        <w:rPr>
          <w:color w:val="auto"/>
          <w:highlight w:val="none"/>
        </w:rPr>
      </w:pPr>
    </w:p>
    <w:p w14:paraId="3AD9322F">
      <w:pPr>
        <w:pStyle w:val="18"/>
        <w:jc w:val="center"/>
        <w:rPr>
          <w:color w:val="auto"/>
          <w:highlight w:val="none"/>
        </w:rPr>
      </w:pPr>
    </w:p>
    <w:p w14:paraId="7037A4AA">
      <w:pPr>
        <w:pStyle w:val="7"/>
        <w:rPr>
          <w:color w:val="auto"/>
          <w:highlight w:val="none"/>
        </w:rPr>
      </w:pPr>
    </w:p>
    <w:p w14:paraId="2F0B23BC">
      <w:pPr>
        <w:rPr>
          <w:color w:val="auto"/>
          <w:highlight w:val="none"/>
        </w:rPr>
      </w:pPr>
    </w:p>
    <w:p w14:paraId="625B2D2D">
      <w:pPr>
        <w:pStyle w:val="2"/>
        <w:rPr>
          <w:color w:val="auto"/>
          <w:highlight w:val="none"/>
        </w:rPr>
      </w:pPr>
    </w:p>
    <w:p w14:paraId="6594908D">
      <w:pPr>
        <w:pStyle w:val="3"/>
        <w:rPr>
          <w:color w:val="auto"/>
          <w:highlight w:val="none"/>
        </w:rPr>
      </w:pPr>
    </w:p>
    <w:p w14:paraId="0625AC4E">
      <w:pPr>
        <w:pStyle w:val="33"/>
        <w:rPr>
          <w:color w:val="auto"/>
          <w:highlight w:val="none"/>
        </w:rPr>
      </w:pPr>
    </w:p>
    <w:p w14:paraId="61929800">
      <w:pPr>
        <w:pStyle w:val="34"/>
        <w:rPr>
          <w:color w:val="auto"/>
          <w:highlight w:val="none"/>
        </w:rPr>
      </w:pPr>
    </w:p>
    <w:p w14:paraId="31B95555">
      <w:pPr>
        <w:rPr>
          <w:color w:val="auto"/>
          <w:highlight w:val="none"/>
        </w:rPr>
      </w:pPr>
    </w:p>
    <w:p w14:paraId="71AD5F74">
      <w:pPr>
        <w:pStyle w:val="2"/>
        <w:rPr>
          <w:color w:val="auto"/>
          <w:highlight w:val="none"/>
        </w:rPr>
      </w:pPr>
    </w:p>
    <w:p w14:paraId="0BA31DC6">
      <w:pPr>
        <w:pStyle w:val="3"/>
        <w:rPr>
          <w:color w:val="auto"/>
          <w:highlight w:val="none"/>
        </w:rPr>
      </w:pPr>
    </w:p>
    <w:p w14:paraId="753873E7">
      <w:pPr>
        <w:pStyle w:val="33"/>
        <w:rPr>
          <w:color w:val="auto"/>
          <w:highlight w:val="none"/>
        </w:rPr>
      </w:pPr>
    </w:p>
    <w:p w14:paraId="6D426AEF">
      <w:pPr>
        <w:pStyle w:val="34"/>
        <w:rPr>
          <w:color w:val="auto"/>
          <w:highlight w:val="none"/>
        </w:rPr>
      </w:pPr>
    </w:p>
    <w:p w14:paraId="5F5E18DE">
      <w:pPr>
        <w:pStyle w:val="18"/>
        <w:jc w:val="center"/>
        <w:rPr>
          <w:color w:val="auto"/>
          <w:highlight w:val="none"/>
        </w:rPr>
      </w:pPr>
    </w:p>
    <w:p w14:paraId="31FFBE3C">
      <w:pPr>
        <w:pStyle w:val="18"/>
        <w:jc w:val="center"/>
        <w:rPr>
          <w:color w:val="auto"/>
          <w:highlight w:val="none"/>
        </w:rPr>
      </w:pPr>
    </w:p>
    <w:p w14:paraId="58CF9D95">
      <w:pPr>
        <w:pStyle w:val="18"/>
        <w:jc w:val="center"/>
        <w:rPr>
          <w:color w:val="auto"/>
          <w:highlight w:val="none"/>
        </w:rPr>
      </w:pPr>
    </w:p>
    <w:p w14:paraId="0E1C877F">
      <w:pPr>
        <w:pStyle w:val="18"/>
        <w:jc w:val="center"/>
        <w:rPr>
          <w:color w:val="auto"/>
          <w:highlight w:val="none"/>
        </w:rPr>
      </w:pPr>
    </w:p>
    <w:p w14:paraId="3E14C3E5">
      <w:pPr>
        <w:widowControl/>
        <w:spacing w:line="500" w:lineRule="exact"/>
        <w:jc w:val="center"/>
        <w:rPr>
          <w:rFonts w:hint="eastAsia" w:ascii="宋体" w:hAnsi="宋体" w:cs="宋体"/>
          <w:b/>
          <w:bCs/>
          <w:color w:val="auto"/>
          <w:kern w:val="0"/>
          <w:sz w:val="36"/>
          <w:szCs w:val="36"/>
          <w:highlight w:val="none"/>
          <w:lang w:eastAsia="zh-CN"/>
        </w:rPr>
        <w:sectPr>
          <w:footerReference r:id="rId5" w:type="default"/>
          <w:pgSz w:w="11906" w:h="16838"/>
          <w:pgMar w:top="1134" w:right="1134" w:bottom="1134" w:left="1134" w:header="720" w:footer="720" w:gutter="0"/>
          <w:pgNumType w:fmt="decimal" w:start="1"/>
          <w:cols w:space="720" w:num="1"/>
          <w:docGrid w:type="lines" w:linePitch="331" w:charSpace="0"/>
        </w:sectPr>
      </w:pPr>
    </w:p>
    <w:p w14:paraId="36A21A24">
      <w:pPr>
        <w:widowControl/>
        <w:spacing w:line="500" w:lineRule="exact"/>
        <w:jc w:val="center"/>
        <w:rPr>
          <w:rFonts w:hint="default" w:ascii="宋体" w:hAnsi="宋体" w:eastAsia="宋体" w:cs="宋体"/>
          <w:b/>
          <w:bCs/>
          <w:color w:val="auto"/>
          <w:kern w:val="0"/>
          <w:sz w:val="36"/>
          <w:szCs w:val="36"/>
          <w:highlight w:val="none"/>
          <w:lang w:val="en-US" w:eastAsia="zh-CN"/>
        </w:rPr>
      </w:pPr>
      <w:r>
        <w:rPr>
          <w:rFonts w:hint="eastAsia" w:ascii="宋体" w:hAnsi="宋体" w:cs="宋体"/>
          <w:b/>
          <w:bCs/>
          <w:color w:val="auto"/>
          <w:kern w:val="0"/>
          <w:sz w:val="36"/>
          <w:szCs w:val="36"/>
          <w:highlight w:val="none"/>
          <w:lang w:eastAsia="zh-CN"/>
        </w:rPr>
        <w:t>第一章</w:t>
      </w:r>
      <w:r>
        <w:rPr>
          <w:rFonts w:hint="eastAsia" w:ascii="宋体" w:hAnsi="宋体" w:cs="宋体"/>
          <w:b/>
          <w:bCs/>
          <w:color w:val="auto"/>
          <w:kern w:val="0"/>
          <w:sz w:val="36"/>
          <w:szCs w:val="36"/>
          <w:highlight w:val="none"/>
          <w:lang w:val="en-US" w:eastAsia="zh-CN"/>
        </w:rPr>
        <w:t xml:space="preserve">  招标公告</w:t>
      </w:r>
    </w:p>
    <w:p w14:paraId="3FEFFB09">
      <w:pPr>
        <w:widowControl/>
        <w:spacing w:line="500" w:lineRule="exact"/>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lang w:eastAsia="zh-CN"/>
        </w:rPr>
        <w:t>广西华扬工程项目管理有限公司</w:t>
      </w:r>
      <w:r>
        <w:rPr>
          <w:rFonts w:hint="eastAsia" w:ascii="宋体" w:hAnsi="宋体" w:cs="宋体"/>
          <w:b/>
          <w:bCs/>
          <w:color w:val="auto"/>
          <w:kern w:val="0"/>
          <w:sz w:val="28"/>
          <w:szCs w:val="28"/>
          <w:highlight w:val="none"/>
        </w:rPr>
        <w:t>关于</w:t>
      </w:r>
      <w:r>
        <w:rPr>
          <w:rFonts w:hint="eastAsia" w:ascii="宋体" w:hAnsi="宋体" w:cs="宋体"/>
          <w:b/>
          <w:bCs/>
          <w:color w:val="auto"/>
          <w:kern w:val="0"/>
          <w:sz w:val="28"/>
          <w:szCs w:val="28"/>
          <w:highlight w:val="none"/>
          <w:lang w:eastAsia="zh-CN"/>
        </w:rPr>
        <w:t>2026年市本级应急成品粮轮换运营招标项目</w:t>
      </w:r>
      <w:r>
        <w:rPr>
          <w:rFonts w:hint="eastAsia" w:ascii="宋体" w:hAnsi="宋体" w:cs="宋体"/>
          <w:b/>
          <w:bCs/>
          <w:color w:val="auto"/>
          <w:kern w:val="0"/>
          <w:sz w:val="28"/>
          <w:szCs w:val="28"/>
          <w:highlight w:val="none"/>
        </w:rPr>
        <w:t>（项目编号：QZZC2026-G3-990225-GXHY）公开招标公告</w:t>
      </w:r>
    </w:p>
    <w:p w14:paraId="0B30BE91">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项目概况</w:t>
      </w:r>
    </w:p>
    <w:p w14:paraId="7FC80B97">
      <w:pPr>
        <w:pBdr>
          <w:top w:val="single" w:color="auto" w:sz="4" w:space="1"/>
          <w:left w:val="single" w:color="auto" w:sz="4" w:space="4"/>
          <w:bottom w:val="single" w:color="auto" w:sz="4" w:space="1"/>
          <w:right w:val="single" w:color="auto" w:sz="4" w:space="4"/>
        </w:pBdr>
        <w:spacing w:line="360" w:lineRule="auto"/>
        <w:ind w:firstLine="525" w:firstLineChars="250"/>
        <w:rPr>
          <w:rFonts w:hint="eastAsia" w:ascii="宋体" w:hAnsi="宋体" w:cs="宋体"/>
          <w:color w:val="auto"/>
          <w:szCs w:val="21"/>
          <w:highlight w:val="none"/>
          <w:u w:val="single"/>
        </w:rPr>
      </w:pPr>
      <w:r>
        <w:rPr>
          <w:rFonts w:hint="eastAsia" w:ascii="宋体" w:hAnsi="宋体" w:cs="宋体"/>
          <w:color w:val="auto"/>
          <w:szCs w:val="21"/>
          <w:highlight w:val="none"/>
          <w:u w:val="single"/>
          <w:lang w:eastAsia="zh-CN"/>
        </w:rPr>
        <w:t>2026年市本级应急成品粮轮换运营招标项目</w:t>
      </w:r>
      <w:r>
        <w:rPr>
          <w:rFonts w:hint="eastAsia" w:ascii="宋体" w:hAnsi="宋体" w:cs="宋体"/>
          <w:color w:val="auto"/>
          <w:szCs w:val="21"/>
          <w:highlight w:val="none"/>
        </w:rPr>
        <w:t>的潜在投标人应在“广西政府采购云平台”（</w:t>
      </w:r>
      <w:r>
        <w:rPr>
          <w:rFonts w:hint="eastAsia" w:ascii="宋体" w:hAnsi="宋体" w:cs="宋体"/>
          <w:color w:val="auto"/>
          <w:szCs w:val="21"/>
          <w:highlight w:val="none"/>
          <w:lang w:eastAsia="zh-CN"/>
        </w:rPr>
        <w:t>https://login.gcy.zfcg.gxzf.gov.cn/</w:t>
      </w:r>
      <w:r>
        <w:rPr>
          <w:rFonts w:hint="eastAsia" w:ascii="宋体" w:hAnsi="宋体" w:cs="宋体"/>
          <w:color w:val="auto"/>
          <w:szCs w:val="21"/>
          <w:highlight w:val="none"/>
        </w:rPr>
        <w:t>）获取（下载）招标文件，并于</w:t>
      </w:r>
      <w:r>
        <w:rPr>
          <w:rFonts w:hint="eastAsia" w:ascii="宋体" w:hAnsi="宋体" w:cs="宋体"/>
          <w:color w:val="auto"/>
          <w:szCs w:val="21"/>
          <w:highlight w:val="none"/>
          <w:u w:val="single"/>
          <w:lang w:val="en-US" w:eastAsia="zh-CN"/>
        </w:rPr>
        <w:t>2026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日</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点</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分</w:t>
      </w:r>
      <w:r>
        <w:rPr>
          <w:rFonts w:hint="eastAsia" w:ascii="宋体" w:hAnsi="宋体" w:cs="宋体"/>
          <w:bCs/>
          <w:color w:val="auto"/>
          <w:szCs w:val="21"/>
          <w:highlight w:val="none"/>
        </w:rPr>
        <w:t>（北京时间）前</w:t>
      </w:r>
      <w:r>
        <w:rPr>
          <w:rFonts w:hint="eastAsia" w:ascii="宋体" w:hAnsi="宋体" w:cs="宋体"/>
          <w:color w:val="auto"/>
          <w:szCs w:val="21"/>
          <w:highlight w:val="none"/>
        </w:rPr>
        <w:t>递交（上传）投标文件。</w:t>
      </w:r>
    </w:p>
    <w:p w14:paraId="23D360C9">
      <w:pPr>
        <w:spacing w:line="360" w:lineRule="auto"/>
        <w:rPr>
          <w:rFonts w:ascii="黑体" w:hAnsi="黑体" w:eastAsia="黑体"/>
          <w:b/>
          <w:bCs/>
          <w:color w:val="auto"/>
          <w:sz w:val="24"/>
          <w:highlight w:val="none"/>
        </w:rPr>
      </w:pPr>
      <w:bookmarkStart w:id="0" w:name="_Toc28359002"/>
      <w:bookmarkStart w:id="1" w:name="_Toc35393790"/>
      <w:bookmarkStart w:id="2" w:name="_Toc28359079"/>
      <w:bookmarkStart w:id="3" w:name="_Toc35393621"/>
      <w:bookmarkStart w:id="4" w:name="_Hlk24379207"/>
      <w:r>
        <w:rPr>
          <w:rFonts w:hint="eastAsia" w:ascii="黑体" w:hAnsi="黑体" w:eastAsia="黑体"/>
          <w:b/>
          <w:bCs/>
          <w:color w:val="auto"/>
          <w:sz w:val="24"/>
          <w:highlight w:val="none"/>
        </w:rPr>
        <w:t>一、项目基本情况</w:t>
      </w:r>
      <w:bookmarkEnd w:id="0"/>
      <w:bookmarkEnd w:id="1"/>
      <w:bookmarkEnd w:id="2"/>
      <w:bookmarkEnd w:id="3"/>
    </w:p>
    <w:p w14:paraId="3B75F900">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项目编号：QZZC2026-G3-990225-GXHY</w:t>
      </w:r>
    </w:p>
    <w:p w14:paraId="7FDCBBAB">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olor w:val="auto"/>
          <w:szCs w:val="21"/>
          <w:highlight w:val="none"/>
          <w:lang w:eastAsia="zh-CN"/>
        </w:rPr>
      </w:pPr>
      <w:r>
        <w:rPr>
          <w:rFonts w:hint="eastAsia" w:ascii="宋体" w:hAnsi="宋体"/>
          <w:color w:val="auto"/>
          <w:szCs w:val="21"/>
          <w:highlight w:val="none"/>
        </w:rPr>
        <w:t>项目名称：</w:t>
      </w:r>
      <w:r>
        <w:rPr>
          <w:rFonts w:hint="eastAsia" w:ascii="宋体" w:hAnsi="宋体"/>
          <w:color w:val="auto"/>
          <w:szCs w:val="21"/>
          <w:highlight w:val="none"/>
          <w:lang w:eastAsia="zh-CN"/>
        </w:rPr>
        <w:t>2026年市本</w:t>
      </w:r>
      <w:r>
        <w:rPr>
          <w:rFonts w:hint="eastAsia" w:ascii="宋体" w:hAnsi="宋体"/>
          <w:color w:val="auto"/>
          <w:szCs w:val="21"/>
          <w:highlight w:val="none"/>
          <w:lang w:val="en-US" w:eastAsia="zh-CN"/>
        </w:rPr>
        <w:tab/>
      </w:r>
      <w:r>
        <w:rPr>
          <w:rFonts w:hint="eastAsia" w:ascii="宋体" w:hAnsi="宋体"/>
          <w:color w:val="auto"/>
          <w:szCs w:val="21"/>
          <w:highlight w:val="none"/>
          <w:lang w:eastAsia="zh-CN"/>
        </w:rPr>
        <w:t>级应急成品粮轮换运营招标项目</w:t>
      </w:r>
    </w:p>
    <w:bookmarkEnd w:id="4"/>
    <w:p w14:paraId="5C218CEC">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预算总金额（元）：3054000.00</w:t>
      </w:r>
    </w:p>
    <w:p w14:paraId="49258517">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 xml:space="preserve">采购需求： </w:t>
      </w:r>
    </w:p>
    <w:p w14:paraId="5CC81683">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简要规格描述或项目基本概况介绍、用途：600吨应急成品粮3年轮换运营服务，600吨应急成品粮购粮款3年采购使用权，合同期满须如数归还,如需进一步了解详细内容，详见招标文件。</w:t>
      </w:r>
    </w:p>
    <w:p w14:paraId="1AFCACDD">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olor w:val="auto"/>
          <w:highlight w:val="none"/>
          <w:lang w:val="en-US" w:eastAsia="zh-CN"/>
        </w:rPr>
      </w:pPr>
      <w:r>
        <w:rPr>
          <w:rFonts w:hint="default" w:ascii="宋体" w:hAnsi="宋体" w:eastAsia="宋体" w:cs="Times New Roman"/>
          <w:color w:val="auto"/>
          <w:szCs w:val="21"/>
          <w:highlight w:val="none"/>
          <w:lang w:val="en-US" w:eastAsia="zh-CN"/>
        </w:rPr>
        <w:t>最高限价（如有）：3054000.00</w:t>
      </w:r>
      <w:r>
        <w:rPr>
          <w:rFonts w:hint="eastAsia" w:ascii="宋体" w:hAnsi="宋体" w:eastAsia="宋体" w:cs="Times New Roman"/>
          <w:color w:val="auto"/>
          <w:szCs w:val="21"/>
          <w:highlight w:val="none"/>
          <w:lang w:val="en-US" w:eastAsia="zh-CN"/>
        </w:rPr>
        <w:t>元</w:t>
      </w:r>
    </w:p>
    <w:p w14:paraId="41C00E6D">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合同履行期限：自签订合同日起三年时间。</w:t>
      </w:r>
    </w:p>
    <w:p w14:paraId="286A62A4">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Times New Roman"/>
          <w:color w:val="auto"/>
          <w:szCs w:val="21"/>
          <w:highlight w:val="none"/>
          <w:lang w:val="en-US" w:eastAsia="zh-CN"/>
        </w:rPr>
      </w:pPr>
      <w:bookmarkStart w:id="5" w:name="_Toc28359003"/>
      <w:bookmarkStart w:id="6" w:name="_Toc35393791"/>
      <w:bookmarkStart w:id="7" w:name="_Toc35393622"/>
      <w:bookmarkStart w:id="8" w:name="_Toc28359080"/>
      <w:r>
        <w:rPr>
          <w:rFonts w:hint="eastAsia" w:ascii="宋体" w:hAnsi="宋体" w:eastAsia="宋体" w:cs="Times New Roman"/>
          <w:color w:val="auto"/>
          <w:szCs w:val="21"/>
          <w:highlight w:val="none"/>
          <w:lang w:val="en-US" w:eastAsia="zh-CN"/>
        </w:rPr>
        <w:t>本标项（否）</w:t>
      </w:r>
      <w:r>
        <w:rPr>
          <w:rFonts w:hint="eastAsia" w:ascii="宋体" w:hAnsi="宋体" w:eastAsia="宋体" w:cs="Times New Roman"/>
          <w:color w:val="auto"/>
          <w:szCs w:val="21"/>
          <w:highlight w:val="none"/>
          <w:lang w:val="en-US" w:eastAsia="zh-CN"/>
        </w:rPr>
        <w:t>接受联合体投标</w:t>
      </w:r>
    </w:p>
    <w:p w14:paraId="253781EF">
      <w:pPr>
        <w:spacing w:line="360" w:lineRule="auto"/>
        <w:rPr>
          <w:rFonts w:ascii="黑体" w:hAnsi="黑体" w:eastAsia="黑体"/>
          <w:b/>
          <w:bCs/>
          <w:color w:val="auto"/>
          <w:sz w:val="24"/>
          <w:highlight w:val="none"/>
        </w:rPr>
      </w:pPr>
      <w:r>
        <w:rPr>
          <w:rFonts w:hint="eastAsia" w:ascii="黑体" w:hAnsi="黑体" w:eastAsia="黑体"/>
          <w:b/>
          <w:bCs/>
          <w:color w:val="auto"/>
          <w:sz w:val="24"/>
          <w:highlight w:val="none"/>
        </w:rPr>
        <w:t>二、投标人的资格要求：</w:t>
      </w:r>
      <w:bookmarkEnd w:id="5"/>
      <w:bookmarkEnd w:id="6"/>
      <w:bookmarkEnd w:id="7"/>
      <w:bookmarkEnd w:id="8"/>
    </w:p>
    <w:p w14:paraId="2198324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1.满足《中华人民共和国政府采购法》第二十二条规定；</w:t>
      </w:r>
    </w:p>
    <w:p w14:paraId="594E0061">
      <w:pPr>
        <w:spacing w:line="360" w:lineRule="auto"/>
        <w:ind w:firstLine="420" w:firstLineChars="200"/>
        <w:rPr>
          <w:rFonts w:hint="eastAsia" w:ascii="宋体" w:hAnsi="宋体"/>
          <w:color w:val="auto"/>
          <w:szCs w:val="21"/>
          <w:highlight w:val="none"/>
        </w:rPr>
      </w:pPr>
      <w:bookmarkStart w:id="9" w:name="_Toc28359081"/>
      <w:bookmarkStart w:id="10" w:name="_Toc28359004"/>
      <w:r>
        <w:rPr>
          <w:rFonts w:ascii="宋体" w:hAnsi="宋体"/>
          <w:color w:val="auto"/>
          <w:szCs w:val="21"/>
          <w:highlight w:val="none"/>
        </w:rPr>
        <w:t>2</w:t>
      </w:r>
      <w:r>
        <w:rPr>
          <w:rFonts w:hint="eastAsia" w:ascii="宋体" w:hAnsi="宋体"/>
          <w:color w:val="auto"/>
          <w:szCs w:val="21"/>
          <w:highlight w:val="none"/>
        </w:rPr>
        <w:t>.落实政府采购政策需满足的资格要求：本项目属于专门面向中小企业采购的项目，投标人应为中小微企业或监狱企业或残疾人福利性单位；</w:t>
      </w:r>
    </w:p>
    <w:p w14:paraId="3A4B0450">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rPr>
          <w:rFonts w:hint="eastAsia" w:ascii="宋体" w:hAnsi="宋体" w:cs="宋体"/>
          <w:color w:val="auto"/>
          <w:szCs w:val="21"/>
          <w:highlight w:val="none"/>
        </w:rPr>
      </w:pPr>
      <w:r>
        <w:rPr>
          <w:rFonts w:hint="eastAsia" w:ascii="宋体" w:hAnsi="宋体"/>
          <w:color w:val="auto"/>
          <w:szCs w:val="21"/>
          <w:highlight w:val="none"/>
        </w:rPr>
        <w:t>3.本项目的特定资格要求：</w:t>
      </w:r>
      <w:r>
        <w:rPr>
          <w:rFonts w:hint="eastAsia" w:ascii="宋体" w:hAnsi="宋体" w:cs="宋体"/>
          <w:color w:val="auto"/>
          <w:szCs w:val="21"/>
          <w:highlight w:val="none"/>
        </w:rPr>
        <w:t>供应商具有《食品经营许可证》；</w:t>
      </w:r>
    </w:p>
    <w:p w14:paraId="10C9610A">
      <w:pPr>
        <w:keepNext w:val="0"/>
        <w:keepLines w:val="0"/>
        <w:pageBreakBefore w:val="0"/>
        <w:widowControl w:val="0"/>
        <w:kinsoku/>
        <w:wordWrap/>
        <w:overflowPunct/>
        <w:topLinePunct w:val="0"/>
        <w:autoSpaceDE/>
        <w:autoSpaceDN/>
        <w:bidi w:val="0"/>
        <w:spacing w:line="360" w:lineRule="exact"/>
        <w:rPr>
          <w:rFonts w:ascii="黑体" w:hAnsi="黑体" w:eastAsia="黑体"/>
          <w:b/>
          <w:bCs/>
          <w:color w:val="auto"/>
          <w:sz w:val="24"/>
          <w:highlight w:val="none"/>
        </w:rPr>
      </w:pPr>
      <w:bookmarkStart w:id="11" w:name="_Toc35393623"/>
      <w:bookmarkStart w:id="12" w:name="_Toc35393792"/>
      <w:r>
        <w:rPr>
          <w:rFonts w:hint="eastAsia" w:ascii="黑体" w:hAnsi="黑体" w:eastAsia="黑体"/>
          <w:b/>
          <w:bCs/>
          <w:color w:val="auto"/>
          <w:sz w:val="24"/>
          <w:highlight w:val="none"/>
        </w:rPr>
        <w:t>三、获取招标文件</w:t>
      </w:r>
      <w:bookmarkEnd w:id="9"/>
      <w:bookmarkEnd w:id="10"/>
      <w:bookmarkEnd w:id="11"/>
      <w:bookmarkEnd w:id="12"/>
    </w:p>
    <w:p w14:paraId="07D51879">
      <w:pPr>
        <w:keepNext w:val="0"/>
        <w:keepLines w:val="0"/>
        <w:pageBreakBefore w:val="0"/>
        <w:widowControl w:val="0"/>
        <w:kinsoku/>
        <w:wordWrap/>
        <w:overflowPunct/>
        <w:topLinePunct w:val="0"/>
        <w:autoSpaceDE/>
        <w:autoSpaceDN/>
        <w:bidi w:val="0"/>
        <w:snapToGrid w:val="0"/>
        <w:spacing w:line="360" w:lineRule="exact"/>
        <w:ind w:firstLine="472" w:firstLineChars="225"/>
        <w:rPr>
          <w:rFonts w:hint="eastAsia" w:ascii="宋体" w:hAnsi="宋体"/>
          <w:color w:val="auto"/>
          <w:szCs w:val="21"/>
          <w:highlight w:val="none"/>
        </w:rPr>
      </w:pPr>
      <w:bookmarkStart w:id="13" w:name="_Toc28359082"/>
      <w:bookmarkStart w:id="14" w:name="_Toc28359005"/>
      <w:bookmarkStart w:id="15" w:name="_Toc35393793"/>
      <w:bookmarkStart w:id="16" w:name="_Toc35393624"/>
      <w:r>
        <w:rPr>
          <w:rFonts w:hint="eastAsia" w:ascii="宋体" w:hAnsi="宋体"/>
          <w:color w:val="auto"/>
          <w:szCs w:val="21"/>
          <w:highlight w:val="none"/>
        </w:rPr>
        <w:t>时间：202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月</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日至202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月</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日， 每天上午 08:00 至 12:00，下午 15:00 至 18:00(北京时间，法定节假日除外)</w:t>
      </w:r>
    </w:p>
    <w:p w14:paraId="26791646">
      <w:pPr>
        <w:keepNext w:val="0"/>
        <w:keepLines w:val="0"/>
        <w:pageBreakBefore w:val="0"/>
        <w:widowControl w:val="0"/>
        <w:kinsoku/>
        <w:wordWrap/>
        <w:overflowPunct/>
        <w:topLinePunct w:val="0"/>
        <w:autoSpaceDE/>
        <w:autoSpaceDN/>
        <w:bidi w:val="0"/>
        <w:spacing w:line="360" w:lineRule="exact"/>
        <w:rPr>
          <w:rFonts w:hint="eastAsia" w:ascii="宋体" w:hAnsi="宋体"/>
          <w:color w:val="auto"/>
          <w:szCs w:val="21"/>
          <w:highlight w:val="none"/>
          <w:lang w:val="en-US" w:eastAsia="zh-CN"/>
        </w:rPr>
      </w:pPr>
      <w:r>
        <w:rPr>
          <w:rFonts w:hint="eastAsia" w:ascii="宋体" w:hAnsi="宋体"/>
          <w:color w:val="auto"/>
          <w:szCs w:val="21"/>
          <w:highlight w:val="none"/>
        </w:rPr>
        <w:t xml:space="preserve">  </w:t>
      </w:r>
      <w:r>
        <w:rPr>
          <w:rFonts w:hint="eastAsia" w:ascii="宋体" w:hAnsi="宋体"/>
          <w:color w:val="auto"/>
          <w:szCs w:val="21"/>
          <w:highlight w:val="none"/>
          <w:lang w:val="en-US" w:eastAsia="zh-CN"/>
        </w:rPr>
        <w:t xml:space="preserve"> 地点（网址）：广西政府采购云平台（https://www.gcy.zfcg.gxzf.gov.cn/）</w:t>
      </w:r>
    </w:p>
    <w:p w14:paraId="796D42C3">
      <w:pPr>
        <w:keepNext w:val="0"/>
        <w:keepLines w:val="0"/>
        <w:pageBreakBefore w:val="0"/>
        <w:widowControl w:val="0"/>
        <w:kinsoku/>
        <w:wordWrap/>
        <w:overflowPunct/>
        <w:topLinePunct w:val="0"/>
        <w:autoSpaceDE/>
        <w:autoSpaceDN/>
        <w:bidi w:val="0"/>
        <w:spacing w:line="360" w:lineRule="exact"/>
        <w:ind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方式：网上下载。本项目不发放纸质采购文件，供应商可自行在广西政府采购云平台（https://www.gcy.zfcg.gxzf.gov.cn/）下载采购文件（操作路径：登录广西政府采购云平台-项目采购-获取采购文件-找到本项目-点击“申请获取采购文件”），电子响应文件制作需要基于广西政府采购云平台获取的采购文件编制。</w:t>
      </w:r>
    </w:p>
    <w:p w14:paraId="790F4F12">
      <w:pPr>
        <w:pStyle w:val="2"/>
        <w:keepNext w:val="0"/>
        <w:keepLines w:val="0"/>
        <w:pageBreakBefore w:val="0"/>
        <w:widowControl w:val="0"/>
        <w:kinsoku/>
        <w:wordWrap/>
        <w:overflowPunct/>
        <w:topLinePunct w:val="0"/>
        <w:autoSpaceDE/>
        <w:autoSpaceDN/>
        <w:bidi w:val="0"/>
        <w:spacing w:line="360" w:lineRule="exact"/>
        <w:ind w:firstLine="420" w:firstLineChars="200"/>
        <w:rPr>
          <w:rFonts w:hint="eastAsia"/>
          <w:color w:val="auto"/>
          <w:highlight w:val="none"/>
        </w:rPr>
      </w:pPr>
      <w:r>
        <w:rPr>
          <w:rFonts w:hint="eastAsia"/>
          <w:color w:val="auto"/>
          <w:highlight w:val="none"/>
        </w:rPr>
        <w:t> 售价（元）：0 </w:t>
      </w:r>
    </w:p>
    <w:p w14:paraId="40853CE0">
      <w:pPr>
        <w:keepNext w:val="0"/>
        <w:keepLines w:val="0"/>
        <w:pageBreakBefore w:val="0"/>
        <w:widowControl w:val="0"/>
        <w:kinsoku/>
        <w:wordWrap/>
        <w:overflowPunct/>
        <w:topLinePunct w:val="0"/>
        <w:autoSpaceDE/>
        <w:autoSpaceDN/>
        <w:bidi w:val="0"/>
        <w:spacing w:line="360" w:lineRule="exact"/>
        <w:rPr>
          <w:rFonts w:ascii="黑体" w:hAnsi="黑体" w:eastAsia="黑体"/>
          <w:b/>
          <w:bCs/>
          <w:color w:val="auto"/>
          <w:sz w:val="24"/>
          <w:highlight w:val="none"/>
        </w:rPr>
      </w:pPr>
      <w:r>
        <w:rPr>
          <w:rFonts w:hint="eastAsia" w:ascii="黑体" w:hAnsi="黑体" w:eastAsia="黑体"/>
          <w:b/>
          <w:bCs/>
          <w:color w:val="auto"/>
          <w:sz w:val="24"/>
          <w:highlight w:val="none"/>
        </w:rPr>
        <w:t>四、提交投标文件</w:t>
      </w:r>
      <w:bookmarkEnd w:id="13"/>
      <w:bookmarkEnd w:id="14"/>
      <w:r>
        <w:rPr>
          <w:rFonts w:hint="eastAsia" w:ascii="黑体" w:hAnsi="黑体" w:eastAsia="黑体"/>
          <w:b/>
          <w:bCs/>
          <w:color w:val="auto"/>
          <w:sz w:val="24"/>
          <w:highlight w:val="none"/>
        </w:rPr>
        <w:t>截止时间、开标时间和地点</w:t>
      </w:r>
      <w:bookmarkEnd w:id="15"/>
      <w:bookmarkEnd w:id="16"/>
    </w:p>
    <w:p w14:paraId="2679317E">
      <w:pPr>
        <w:keepNext w:val="0"/>
        <w:keepLines w:val="0"/>
        <w:pageBreakBefore w:val="0"/>
        <w:widowControl w:val="0"/>
        <w:kinsoku/>
        <w:wordWrap/>
        <w:overflowPunct/>
        <w:topLinePunct w:val="0"/>
        <w:autoSpaceDE/>
        <w:autoSpaceDN/>
        <w:bidi w:val="0"/>
        <w:spacing w:line="360" w:lineRule="exact"/>
        <w:ind w:firstLine="420" w:firstLineChars="200"/>
        <w:rPr>
          <w:rFonts w:ascii="宋体" w:hAnsi="宋体" w:cs="宋体"/>
          <w:color w:val="auto"/>
          <w:szCs w:val="21"/>
          <w:highlight w:val="none"/>
          <w:u w:val="single"/>
        </w:rPr>
      </w:pPr>
      <w:r>
        <w:rPr>
          <w:rFonts w:hint="eastAsia" w:ascii="宋体" w:hAnsi="宋体"/>
          <w:bCs/>
          <w:color w:val="auto"/>
          <w:szCs w:val="21"/>
          <w:highlight w:val="none"/>
        </w:rPr>
        <w:t>1、提交投标文件截止时间和开标时间：</w:t>
      </w:r>
      <w:r>
        <w:rPr>
          <w:rFonts w:hint="eastAsia" w:ascii="宋体" w:hAnsi="宋体"/>
          <w:bCs/>
          <w:color w:val="auto"/>
          <w:szCs w:val="21"/>
          <w:highlight w:val="none"/>
          <w:u w:val="single"/>
          <w:lang w:val="en-US" w:eastAsia="zh-CN"/>
        </w:rPr>
        <w:t>2026</w:t>
      </w:r>
      <w:r>
        <w:rPr>
          <w:rFonts w:hint="eastAsia" w:ascii="宋体" w:hAnsi="宋体"/>
          <w:bCs/>
          <w:color w:val="auto"/>
          <w:szCs w:val="21"/>
          <w:highlight w:val="none"/>
          <w:u w:val="single"/>
        </w:rPr>
        <w:t>年</w:t>
      </w:r>
      <w:r>
        <w:rPr>
          <w:rFonts w:hint="eastAsia" w:ascii="宋体" w:hAnsi="宋体"/>
          <w:bCs/>
          <w:color w:val="auto"/>
          <w:szCs w:val="21"/>
          <w:highlight w:val="none"/>
          <w:u w:val="single"/>
          <w:lang w:val="en-US" w:eastAsia="zh-CN"/>
        </w:rPr>
        <w:t xml:space="preserve">  </w:t>
      </w:r>
      <w:r>
        <w:rPr>
          <w:rFonts w:hint="eastAsia" w:ascii="宋体" w:hAnsi="宋体"/>
          <w:bCs/>
          <w:color w:val="auto"/>
          <w:szCs w:val="21"/>
          <w:highlight w:val="none"/>
          <w:u w:val="single"/>
        </w:rPr>
        <w:t>月</w:t>
      </w:r>
      <w:r>
        <w:rPr>
          <w:rFonts w:hint="eastAsia" w:ascii="宋体" w:hAnsi="宋体"/>
          <w:bCs/>
          <w:color w:val="auto"/>
          <w:szCs w:val="21"/>
          <w:highlight w:val="none"/>
          <w:u w:val="single"/>
          <w:lang w:val="en-US" w:eastAsia="zh-CN"/>
        </w:rPr>
        <w:t xml:space="preserve">  </w:t>
      </w:r>
      <w:r>
        <w:rPr>
          <w:rFonts w:hint="eastAsia" w:ascii="宋体" w:hAnsi="宋体"/>
          <w:bCs/>
          <w:color w:val="auto"/>
          <w:szCs w:val="21"/>
          <w:highlight w:val="none"/>
          <w:u w:val="single"/>
        </w:rPr>
        <w:t>日</w:t>
      </w:r>
      <w:r>
        <w:rPr>
          <w:rFonts w:hint="eastAsia" w:ascii="宋体" w:hAnsi="宋体"/>
          <w:bCs/>
          <w:color w:val="auto"/>
          <w:szCs w:val="21"/>
          <w:highlight w:val="none"/>
          <w:u w:val="single"/>
          <w:lang w:val="en-US" w:eastAsia="zh-CN"/>
        </w:rPr>
        <w:t xml:space="preserve">  </w:t>
      </w:r>
      <w:r>
        <w:rPr>
          <w:rFonts w:hint="eastAsia" w:ascii="宋体" w:hAnsi="宋体"/>
          <w:bCs/>
          <w:color w:val="auto"/>
          <w:szCs w:val="21"/>
          <w:highlight w:val="none"/>
          <w:u w:val="single"/>
        </w:rPr>
        <w:t>点</w:t>
      </w:r>
      <w:r>
        <w:rPr>
          <w:rFonts w:hint="eastAsia" w:ascii="宋体" w:hAnsi="宋体"/>
          <w:bCs/>
          <w:color w:val="auto"/>
          <w:szCs w:val="21"/>
          <w:highlight w:val="none"/>
          <w:u w:val="single"/>
          <w:lang w:val="en-US" w:eastAsia="zh-CN"/>
        </w:rPr>
        <w:t xml:space="preserve">  </w:t>
      </w:r>
      <w:r>
        <w:rPr>
          <w:rFonts w:hint="eastAsia" w:ascii="宋体" w:hAnsi="宋体"/>
          <w:bCs/>
          <w:color w:val="auto"/>
          <w:szCs w:val="21"/>
          <w:highlight w:val="none"/>
          <w:u w:val="single"/>
        </w:rPr>
        <w:t>分</w:t>
      </w:r>
      <w:r>
        <w:rPr>
          <w:rFonts w:hint="eastAsia" w:ascii="宋体" w:hAnsi="宋体"/>
          <w:bCs/>
          <w:color w:val="auto"/>
          <w:szCs w:val="21"/>
          <w:highlight w:val="none"/>
        </w:rPr>
        <w:t>（北京时间）</w:t>
      </w:r>
    </w:p>
    <w:p w14:paraId="494A4D90">
      <w:pPr>
        <w:keepNext w:val="0"/>
        <w:keepLines w:val="0"/>
        <w:pageBreakBefore w:val="0"/>
        <w:widowControl w:val="0"/>
        <w:kinsoku/>
        <w:wordWrap/>
        <w:overflowPunct/>
        <w:topLinePunct w:val="0"/>
        <w:autoSpaceDE/>
        <w:autoSpaceDN/>
        <w:bidi w:val="0"/>
        <w:spacing w:line="360" w:lineRule="exact"/>
        <w:ind w:firstLine="420" w:firstLineChars="200"/>
        <w:rPr>
          <w:rFonts w:hint="eastAsia" w:ascii="宋体" w:hAnsi="宋体"/>
          <w:color w:val="auto"/>
          <w:szCs w:val="21"/>
          <w:highlight w:val="none"/>
        </w:rPr>
      </w:pPr>
      <w:r>
        <w:rPr>
          <w:rFonts w:hint="eastAsia" w:ascii="宋体" w:hAnsi="宋体" w:eastAsia="宋体" w:cs="Times New Roman"/>
          <w:bCs/>
          <w:color w:val="auto"/>
          <w:szCs w:val="21"/>
          <w:highlight w:val="none"/>
        </w:rPr>
        <w:t>2、</w:t>
      </w:r>
      <w:r>
        <w:rPr>
          <w:rFonts w:hint="eastAsia" w:ascii="宋体" w:hAnsi="宋体" w:eastAsia="宋体" w:cs="Times New Roman"/>
          <w:bCs/>
          <w:color w:val="auto"/>
          <w:szCs w:val="21"/>
          <w:highlight w:val="none"/>
          <w:lang w:val="en-US" w:eastAsia="zh-CN"/>
        </w:rPr>
        <w:t>投标地点（网址）</w:t>
      </w:r>
      <w:r>
        <w:rPr>
          <w:rFonts w:hint="eastAsia" w:ascii="宋体" w:hAnsi="宋体" w:eastAsia="宋体" w:cs="Times New Roman"/>
          <w:bCs/>
          <w:color w:val="auto"/>
          <w:szCs w:val="21"/>
          <w:highlight w:val="none"/>
        </w:rPr>
        <w:t>：通过广西政府采购云平台（https://www.gcy.zfcg.gxzf.gov.cn/）实行在线投标 </w:t>
      </w:r>
    </w:p>
    <w:p w14:paraId="260DF12D">
      <w:pPr>
        <w:pStyle w:val="2"/>
        <w:keepNext w:val="0"/>
        <w:keepLines w:val="0"/>
        <w:pageBreakBefore w:val="0"/>
        <w:widowControl w:val="0"/>
        <w:kinsoku/>
        <w:wordWrap/>
        <w:overflowPunct/>
        <w:topLinePunct w:val="0"/>
        <w:autoSpaceDE/>
        <w:autoSpaceDN/>
        <w:bidi w:val="0"/>
        <w:spacing w:line="360" w:lineRule="exact"/>
        <w:ind w:firstLine="420" w:firstLineChars="200"/>
        <w:rPr>
          <w:rFonts w:hint="eastAsia" w:eastAsia="宋体"/>
          <w:color w:val="auto"/>
          <w:highlight w:val="none"/>
          <w:lang w:val="en-US" w:eastAsia="zh-CN"/>
        </w:rPr>
      </w:pPr>
      <w:r>
        <w:rPr>
          <w:rFonts w:hint="eastAsia"/>
          <w:color w:val="auto"/>
          <w:highlight w:val="none"/>
          <w:lang w:val="en-US" w:eastAsia="zh-CN"/>
        </w:rPr>
        <w:t>3、开标地点：钦州市金海湾东大街8号市政务服务中心三楼线上开标室</w:t>
      </w:r>
    </w:p>
    <w:p w14:paraId="31756890">
      <w:pPr>
        <w:spacing w:line="360" w:lineRule="auto"/>
        <w:rPr>
          <w:rFonts w:ascii="黑体" w:hAnsi="黑体" w:eastAsia="黑体"/>
          <w:b/>
          <w:bCs/>
          <w:color w:val="auto"/>
          <w:sz w:val="24"/>
          <w:highlight w:val="none"/>
        </w:rPr>
      </w:pPr>
      <w:bookmarkStart w:id="17" w:name="_Toc35393794"/>
      <w:bookmarkStart w:id="18" w:name="_Toc35393625"/>
      <w:bookmarkStart w:id="19" w:name="_Toc28359084"/>
      <w:bookmarkStart w:id="20" w:name="_Toc28359007"/>
      <w:r>
        <w:rPr>
          <w:rFonts w:hint="eastAsia" w:ascii="黑体" w:hAnsi="黑体" w:eastAsia="黑体"/>
          <w:b/>
          <w:bCs/>
          <w:color w:val="auto"/>
          <w:sz w:val="24"/>
          <w:highlight w:val="none"/>
        </w:rPr>
        <w:t>五、公告期限</w:t>
      </w:r>
      <w:bookmarkEnd w:id="17"/>
      <w:bookmarkEnd w:id="18"/>
      <w:bookmarkEnd w:id="19"/>
      <w:bookmarkEnd w:id="20"/>
    </w:p>
    <w:p w14:paraId="77EBD7E8">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w:t>
      </w:r>
      <w:r>
        <w:rPr>
          <w:rFonts w:hint="eastAsia" w:ascii="宋体" w:hAnsi="宋体" w:cs="宋体"/>
          <w:color w:val="auto"/>
          <w:kern w:val="0"/>
          <w:szCs w:val="21"/>
          <w:highlight w:val="none"/>
        </w:rPr>
        <w:t>发布之日起5个工作</w:t>
      </w:r>
      <w:r>
        <w:rPr>
          <w:rFonts w:hint="eastAsia" w:ascii="宋体" w:hAnsi="宋体" w:cs="宋体"/>
          <w:color w:val="auto"/>
          <w:kern w:val="0"/>
          <w:szCs w:val="21"/>
          <w:highlight w:val="none"/>
        </w:rPr>
        <w:t>日。</w:t>
      </w:r>
    </w:p>
    <w:p w14:paraId="57214065">
      <w:pPr>
        <w:spacing w:line="360" w:lineRule="auto"/>
        <w:rPr>
          <w:rFonts w:ascii="黑体" w:hAnsi="黑体" w:eastAsia="黑体"/>
          <w:b/>
          <w:bCs/>
          <w:color w:val="auto"/>
          <w:sz w:val="24"/>
          <w:highlight w:val="none"/>
        </w:rPr>
      </w:pPr>
      <w:bookmarkStart w:id="21" w:name="_Toc35393626"/>
      <w:bookmarkStart w:id="22" w:name="_Toc35393795"/>
      <w:r>
        <w:rPr>
          <w:rFonts w:hint="eastAsia" w:ascii="黑体" w:hAnsi="黑体" w:eastAsia="黑体"/>
          <w:b/>
          <w:bCs/>
          <w:color w:val="auto"/>
          <w:sz w:val="24"/>
          <w:highlight w:val="none"/>
        </w:rPr>
        <w:t>六、其他补充事宜</w:t>
      </w:r>
      <w:bookmarkEnd w:id="21"/>
      <w:bookmarkEnd w:id="22"/>
    </w:p>
    <w:p w14:paraId="66141DCD">
      <w:pPr>
        <w:spacing w:line="360" w:lineRule="auto"/>
        <w:ind w:firstLine="420" w:firstLineChars="200"/>
        <w:rPr>
          <w:rFonts w:hint="eastAsia" w:ascii="宋体" w:hAnsi="宋体" w:cs="宋体"/>
          <w:color w:val="auto"/>
          <w:kern w:val="0"/>
          <w:szCs w:val="21"/>
          <w:highlight w:val="none"/>
        </w:rPr>
      </w:pPr>
      <w:bookmarkStart w:id="23" w:name="_Toc35393796"/>
      <w:bookmarkStart w:id="24" w:name="_Toc28359085"/>
      <w:bookmarkStart w:id="25" w:name="_Toc35393627"/>
      <w:bookmarkStart w:id="26" w:name="_Toc28359008"/>
      <w:r>
        <w:rPr>
          <w:rFonts w:hint="eastAsia" w:ascii="宋体" w:hAnsi="宋体" w:cs="宋体"/>
          <w:color w:val="auto"/>
          <w:kern w:val="0"/>
          <w:szCs w:val="21"/>
          <w:highlight w:val="none"/>
        </w:rPr>
        <w:t>(一) 投标保证金：本项目无须提交投标保证金</w:t>
      </w:r>
    </w:p>
    <w:p w14:paraId="26256BBB">
      <w:pPr>
        <w:spacing w:line="360" w:lineRule="auto"/>
        <w:ind w:firstLine="420" w:firstLineChars="200"/>
        <w:jc w:val="left"/>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rPr>
        <w:t>(二) 网上查询地址中国政府采购网（www.ccgp.gov.cn）、广西壮族自治区政府采购网（zfcg.gxzf.gov.cn）、全国公共资源交易平台（广西•钦州）（http://ggzy.jgswj.gxzf.gov.cn/qzggzy/）</w:t>
      </w:r>
      <w:r>
        <w:rPr>
          <w:rFonts w:hint="eastAsia" w:ascii="宋体" w:hAnsi="宋体" w:cs="宋体"/>
          <w:color w:val="auto"/>
          <w:kern w:val="0"/>
          <w:szCs w:val="21"/>
          <w:highlight w:val="none"/>
          <w:lang w:val="en-US" w:eastAsia="zh-CN"/>
        </w:rPr>
        <w:t xml:space="preserve"> </w:t>
      </w:r>
    </w:p>
    <w:p w14:paraId="65498BD4">
      <w:pPr>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(三) 本项目需要落实的政府采购政策：</w:t>
      </w:r>
    </w:p>
    <w:p w14:paraId="431391D0">
      <w:pPr>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 政府采购促进中小企业发展。</w:t>
      </w:r>
    </w:p>
    <w:p w14:paraId="3CB819ED">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 政府采购促进残疾人就业政策。</w:t>
      </w:r>
    </w:p>
    <w:p w14:paraId="48D18D65">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 政府采购支持监狱企业发展。</w:t>
      </w:r>
    </w:p>
    <w:p w14:paraId="7BC038A7">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(四) 单位负责人为同一人或者存在直接控股、管理关系的不同供应商，不得参加同一合同项下的政府采购活动。</w:t>
      </w:r>
    </w:p>
    <w:p w14:paraId="5B102DC3">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(五) 根据财政部《关于在政府采购活动中查询及使用信用记录有关问题的通知》（财库〔2016〕125号）的规定，对在“中国执行信息公开网（https://zxgk.court.gov.cn/）、信用中国”网站 、中国政府采购网被列入失信被执行人、重大税收违法失信主体、政府采购严重违法失信行为记录名单及其他不符合《中华人民共和国政府采购法》第二十二条规定条件的供应商，不得参与政府采购活动。</w:t>
      </w:r>
    </w:p>
    <w:p w14:paraId="00D202AE">
      <w:pPr>
        <w:pStyle w:val="2"/>
        <w:ind w:firstLine="420" w:firstLineChars="200"/>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六）</w:t>
      </w:r>
      <w:r>
        <w:rPr>
          <w:rFonts w:hint="eastAsia" w:ascii="宋体" w:hAnsi="宋体" w:eastAsia="宋体" w:cs="Times New Roman"/>
          <w:color w:val="auto"/>
          <w:szCs w:val="21"/>
          <w:highlight w:val="none"/>
          <w:lang w:eastAsia="zh-CN"/>
        </w:rPr>
        <w:t>政府监督部门：钦州市财政局政府采购监督管理科，联系电话：0777-2895258</w:t>
      </w:r>
    </w:p>
    <w:p w14:paraId="6DA7A47D">
      <w:pPr>
        <w:pStyle w:val="2"/>
        <w:ind w:firstLine="420" w:firstLineChars="200"/>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七）</w:t>
      </w:r>
      <w:r>
        <w:rPr>
          <w:rFonts w:hint="eastAsia" w:ascii="宋体" w:hAnsi="宋体" w:eastAsia="宋体" w:cs="Times New Roman"/>
          <w:color w:val="auto"/>
          <w:szCs w:val="21"/>
          <w:highlight w:val="none"/>
          <w:lang w:eastAsia="zh-CN"/>
        </w:rPr>
        <w:t>投标注意事项：</w:t>
      </w:r>
    </w:p>
    <w:p w14:paraId="05D2540F">
      <w:pPr>
        <w:pStyle w:val="2"/>
        <w:ind w:firstLine="420" w:firstLineChars="200"/>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eastAsia="zh-CN"/>
        </w:rPr>
        <w:t>（1）投标文件提交方式：本项目为全流程电子化政府采购项目，通过广西政府采购云平台（https://www.gcy.zfcg.gxzf.gov.cn/）实行在线电子投标，供应商应先安装“广西政府采购云电子交易客户端”（请自行前往“广西政府采购云”平台进行下载），并按照本项目招标文件和“广西政府采购云”平台的要求编制、加密后在投标截止时间前通过网络上传至“广西政府采购云”平台，供应商在“广西政府采购云”平台提交电子版投标文件时，请填写参加远程开标活动经办人联系方式。</w:t>
      </w:r>
    </w:p>
    <w:p w14:paraId="4E6A4019">
      <w:pPr>
        <w:pStyle w:val="2"/>
        <w:ind w:firstLine="420" w:firstLineChars="200"/>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eastAsia="zh-CN"/>
        </w:rPr>
        <w:t>（2）供应商应及时熟悉掌握电子标系统操作指南（见广西政府采购云电子卖场首页右上角—服务中心—帮助文档—项目采购）；及时完成CA申领和绑定（见广西壮族自治区政府采购网—办事服务—下载专区-广西政府采购云CA证书办理操作指南）。</w:t>
      </w:r>
    </w:p>
    <w:p w14:paraId="02286F6E">
      <w:pPr>
        <w:pStyle w:val="2"/>
        <w:ind w:firstLine="420" w:firstLineChars="200"/>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eastAsia="zh-CN"/>
        </w:rPr>
        <w:t>（3）未进行网上注册并办理数字证书（CA认证）的供应商将无法参与本项目政府采购活动，潜在供应商应当在投标截止时间前，完成电子交易平台上的CA数字证书办理及投标文件的提交。完成CA数字证书办理预计7日左右，投标人只需办理其中一家CA数字证书及签章，建议各投标人抓紧时间办理。</w:t>
      </w:r>
    </w:p>
    <w:p w14:paraId="407A7D0E">
      <w:pPr>
        <w:pStyle w:val="2"/>
        <w:ind w:firstLine="420" w:firstLineChars="200"/>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eastAsia="zh-CN"/>
        </w:rPr>
        <w:t>（4）为确保网上操作合法、有效和安全，请投标人确保在电子投标过程中能够对相关数据电文进行加密和使用电子签章，妥善保管CA数字证书并使用有效的CA数字证书参与整个采购活动。</w:t>
      </w:r>
    </w:p>
    <w:p w14:paraId="6840E84E">
      <w:pPr>
        <w:pStyle w:val="2"/>
        <w:ind w:firstLine="630" w:firstLineChars="300"/>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eastAsia="zh-CN"/>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5AD614D7">
      <w:pPr>
        <w:pStyle w:val="2"/>
        <w:ind w:firstLine="420" w:firstLineChars="200"/>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八）</w:t>
      </w:r>
      <w:r>
        <w:rPr>
          <w:rFonts w:hint="eastAsia" w:ascii="宋体" w:hAnsi="宋体" w:eastAsia="宋体" w:cs="Times New Roman"/>
          <w:color w:val="auto"/>
          <w:szCs w:val="21"/>
          <w:highlight w:val="none"/>
          <w:lang w:eastAsia="zh-CN"/>
        </w:rPr>
        <w:t>CA证书在线解密：供应商投标时，需携带制作投标文件时用来加密的有效数字证书（CA认证）登录“广西政府采购云”平台电子开标大厅现场按规定时间对加密的投标文件进行解密，否则后果自负。</w:t>
      </w:r>
    </w:p>
    <w:p w14:paraId="7720DCAE">
      <w:pPr>
        <w:pStyle w:val="2"/>
        <w:ind w:firstLine="420" w:firstLineChars="200"/>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九）</w:t>
      </w:r>
      <w:r>
        <w:rPr>
          <w:rFonts w:hint="eastAsia" w:ascii="宋体" w:hAnsi="宋体" w:eastAsia="宋体" w:cs="Times New Roman"/>
          <w:color w:val="auto"/>
          <w:szCs w:val="21"/>
          <w:highlight w:val="none"/>
          <w:lang w:eastAsia="zh-CN"/>
        </w:rPr>
        <w:t>若对项目采购电子交易系统操作有疑问，可登录“广西政府采购云”平台，点击右侧咨询小采，获取采小蜜智能服务管家帮助，或拨打广西政府采购云服务热线95763获取热线服务帮助。</w:t>
      </w:r>
    </w:p>
    <w:p w14:paraId="307755A0">
      <w:pPr>
        <w:spacing w:line="360" w:lineRule="auto"/>
        <w:rPr>
          <w:rFonts w:ascii="黑体" w:hAnsi="黑体" w:eastAsia="黑体"/>
          <w:b/>
          <w:bCs/>
          <w:color w:val="auto"/>
          <w:sz w:val="24"/>
          <w:highlight w:val="none"/>
        </w:rPr>
      </w:pPr>
      <w:r>
        <w:rPr>
          <w:rFonts w:hint="eastAsia" w:ascii="黑体" w:hAnsi="黑体" w:eastAsia="黑体"/>
          <w:b/>
          <w:bCs/>
          <w:color w:val="auto"/>
          <w:sz w:val="24"/>
          <w:highlight w:val="none"/>
        </w:rPr>
        <w:t>七、对本次招标提出询问，请按</w:t>
      </w:r>
      <w:r>
        <w:rPr>
          <w:rFonts w:ascii="黑体" w:hAnsi="黑体" w:eastAsia="黑体"/>
          <w:b/>
          <w:bCs/>
          <w:color w:val="auto"/>
          <w:sz w:val="24"/>
          <w:highlight w:val="none"/>
        </w:rPr>
        <w:t>以下方式</w:t>
      </w:r>
      <w:r>
        <w:rPr>
          <w:rFonts w:hint="eastAsia" w:ascii="黑体" w:hAnsi="黑体" w:eastAsia="黑体"/>
          <w:b/>
          <w:bCs/>
          <w:color w:val="auto"/>
          <w:sz w:val="24"/>
          <w:highlight w:val="none"/>
        </w:rPr>
        <w:t>联系。</w:t>
      </w:r>
      <w:bookmarkEnd w:id="23"/>
      <w:bookmarkEnd w:id="24"/>
      <w:bookmarkEnd w:id="25"/>
      <w:bookmarkEnd w:id="26"/>
    </w:p>
    <w:p w14:paraId="0B92F414">
      <w:pPr>
        <w:spacing w:line="360" w:lineRule="auto"/>
        <w:jc w:val="left"/>
        <w:rPr>
          <w:rFonts w:ascii="宋体" w:hAnsi="宋体"/>
          <w:color w:val="auto"/>
          <w:szCs w:val="21"/>
          <w:highlight w:val="none"/>
        </w:rPr>
      </w:pPr>
      <w:r>
        <w:rPr>
          <w:rFonts w:hint="eastAsia" w:ascii="宋体" w:hAnsi="宋体" w:cs="宋体"/>
          <w:color w:val="auto"/>
          <w:szCs w:val="21"/>
          <w:highlight w:val="none"/>
        </w:rPr>
        <w:t>　　　1.采购人信息</w:t>
      </w:r>
    </w:p>
    <w:p w14:paraId="6BC2F192">
      <w:pPr>
        <w:spacing w:line="360" w:lineRule="auto"/>
        <w:ind w:left="1041" w:leftChars="371" w:hanging="262" w:hangingChars="125"/>
        <w:jc w:val="left"/>
        <w:rPr>
          <w:rFonts w:hint="eastAsia" w:ascii="宋体" w:hAnsi="宋体"/>
          <w:color w:val="auto"/>
          <w:szCs w:val="21"/>
          <w:highlight w:val="none"/>
        </w:rPr>
      </w:pPr>
      <w:r>
        <w:rPr>
          <w:rFonts w:hint="eastAsia" w:ascii="宋体" w:hAnsi="宋体"/>
          <w:color w:val="auto"/>
          <w:szCs w:val="21"/>
          <w:highlight w:val="none"/>
        </w:rPr>
        <w:t>名 称</w:t>
      </w:r>
      <w:r>
        <w:rPr>
          <w:rFonts w:hint="eastAsia" w:ascii="宋体" w:hAnsi="宋体"/>
          <w:color w:val="auto"/>
          <w:szCs w:val="21"/>
          <w:highlight w:val="none"/>
        </w:rPr>
        <w:t>：</w:t>
      </w:r>
      <w:r>
        <w:rPr>
          <w:rFonts w:hint="eastAsia" w:ascii="宋体" w:hAnsi="宋体" w:cs="宋体"/>
          <w:color w:val="auto"/>
          <w:highlight w:val="none"/>
        </w:rPr>
        <w:t>钦州市储备粮管理中心</w:t>
      </w:r>
    </w:p>
    <w:p w14:paraId="317D90FB">
      <w:pPr>
        <w:spacing w:line="360" w:lineRule="auto"/>
        <w:ind w:left="1041" w:leftChars="371" w:hanging="262" w:hangingChars="125"/>
        <w:jc w:val="left"/>
        <w:rPr>
          <w:rFonts w:hint="eastAsia" w:ascii="宋体" w:hAnsi="宋体" w:cs="宋体"/>
          <w:color w:val="auto"/>
          <w:highlight w:val="none"/>
        </w:rPr>
      </w:pPr>
      <w:r>
        <w:rPr>
          <w:rFonts w:hint="eastAsia" w:ascii="宋体" w:hAnsi="宋体"/>
          <w:color w:val="auto"/>
          <w:szCs w:val="21"/>
          <w:highlight w:val="none"/>
        </w:rPr>
        <w:t>地址：</w:t>
      </w:r>
      <w:r>
        <w:rPr>
          <w:rFonts w:hint="eastAsia" w:ascii="宋体" w:hAnsi="宋体" w:cs="宋体"/>
          <w:color w:val="auto"/>
          <w:highlight w:val="none"/>
        </w:rPr>
        <w:t>钦州市钦州湾大道立交桥西侧（钦州市粮食和物资储备局办公楼</w:t>
      </w:r>
      <w:r>
        <w:rPr>
          <w:rFonts w:hint="eastAsia" w:ascii="宋体" w:hAnsi="宋体" w:cs="宋体"/>
          <w:color w:val="auto"/>
          <w:highlight w:val="none"/>
          <w:lang w:eastAsia="zh-CN"/>
        </w:rPr>
        <w:t>三</w:t>
      </w:r>
      <w:r>
        <w:rPr>
          <w:rFonts w:hint="eastAsia" w:ascii="宋体" w:hAnsi="宋体" w:cs="宋体"/>
          <w:color w:val="auto"/>
          <w:highlight w:val="none"/>
        </w:rPr>
        <w:t>楼）　</w:t>
      </w:r>
    </w:p>
    <w:p w14:paraId="39313F91">
      <w:pPr>
        <w:pStyle w:val="18"/>
        <w:spacing w:line="360" w:lineRule="auto"/>
        <w:ind w:firstLine="735" w:firstLineChars="350"/>
        <w:rPr>
          <w:rFonts w:hint="default" w:hAnsi="宋体" w:eastAsia="宋体"/>
          <w:color w:val="auto"/>
          <w:szCs w:val="21"/>
          <w:highlight w:val="none"/>
          <w:lang w:val="en-US" w:eastAsia="zh-CN"/>
        </w:rPr>
      </w:pPr>
      <w:r>
        <w:rPr>
          <w:rFonts w:hint="eastAsia" w:hAnsi="宋体"/>
          <w:color w:val="auto"/>
          <w:highlight w:val="none"/>
        </w:rPr>
        <w:t>项目联系人：</w:t>
      </w:r>
      <w:r>
        <w:rPr>
          <w:rFonts w:hint="eastAsia" w:hAnsi="宋体" w:cs="宋体"/>
          <w:color w:val="auto"/>
          <w:highlight w:val="none"/>
        </w:rPr>
        <w:t>卜春晓</w:t>
      </w:r>
      <w:r>
        <w:rPr>
          <w:rFonts w:hint="eastAsia" w:hAnsi="宋体" w:cs="宋体"/>
          <w:color w:val="auto"/>
          <w:szCs w:val="24"/>
          <w:highlight w:val="none"/>
        </w:rPr>
        <w:t xml:space="preserve">  </w:t>
      </w:r>
      <w:r>
        <w:rPr>
          <w:rFonts w:hint="eastAsia" w:hAnsi="宋体" w:cs="宋体"/>
          <w:color w:val="auto"/>
          <w:szCs w:val="24"/>
          <w:highlight w:val="none"/>
        </w:rPr>
        <w:t>0777-25616</w:t>
      </w:r>
      <w:r>
        <w:rPr>
          <w:rFonts w:hint="eastAsia" w:hAnsi="宋体" w:cs="宋体"/>
          <w:color w:val="auto"/>
          <w:szCs w:val="24"/>
          <w:highlight w:val="none"/>
          <w:lang w:val="en-US" w:eastAsia="zh-CN"/>
        </w:rPr>
        <w:t>38</w:t>
      </w:r>
    </w:p>
    <w:p w14:paraId="1B097003">
      <w:pPr>
        <w:spacing w:line="360" w:lineRule="auto"/>
        <w:ind w:left="1041" w:leftChars="371" w:hanging="262" w:hangingChars="125"/>
        <w:jc w:val="left"/>
        <w:rPr>
          <w:rFonts w:ascii="宋体" w:hAnsi="宋体"/>
          <w:color w:val="auto"/>
          <w:szCs w:val="21"/>
          <w:highlight w:val="none"/>
        </w:rPr>
      </w:pPr>
      <w:r>
        <w:rPr>
          <w:rFonts w:hint="eastAsia" w:ascii="宋体" w:hAnsi="宋体" w:cs="宋体"/>
          <w:color w:val="auto"/>
          <w:szCs w:val="21"/>
          <w:highlight w:val="none"/>
        </w:rPr>
        <w:t>2.采购代理机构信息</w:t>
      </w:r>
    </w:p>
    <w:p w14:paraId="6C678E4F">
      <w:pPr>
        <w:spacing w:line="360" w:lineRule="auto"/>
        <w:ind w:firstLine="735" w:firstLineChars="350"/>
        <w:rPr>
          <w:rFonts w:hint="eastAsia" w:ascii="宋体" w:hAnsi="宋体"/>
          <w:color w:val="auto"/>
          <w:szCs w:val="21"/>
          <w:highlight w:val="none"/>
        </w:rPr>
      </w:pPr>
      <w:r>
        <w:rPr>
          <w:rFonts w:hint="eastAsia" w:ascii="宋体" w:hAnsi="宋体"/>
          <w:color w:val="auto"/>
          <w:szCs w:val="21"/>
          <w:highlight w:val="none"/>
        </w:rPr>
        <w:t>名 称：</w:t>
      </w:r>
      <w:r>
        <w:rPr>
          <w:rFonts w:hint="eastAsia" w:ascii="宋体" w:hAnsi="宋体"/>
          <w:color w:val="auto"/>
          <w:szCs w:val="21"/>
          <w:highlight w:val="none"/>
          <w:lang w:eastAsia="zh-CN"/>
        </w:rPr>
        <w:t>广西华扬工程项目管理有限公司</w:t>
      </w:r>
    </w:p>
    <w:p w14:paraId="4C18AF26">
      <w:pPr>
        <w:spacing w:line="360" w:lineRule="auto"/>
        <w:ind w:firstLine="735" w:firstLineChars="350"/>
        <w:rPr>
          <w:rFonts w:hint="eastAsia" w:ascii="宋体" w:hAnsi="宋体"/>
          <w:color w:val="auto"/>
          <w:szCs w:val="21"/>
          <w:highlight w:val="none"/>
        </w:rPr>
      </w:pPr>
      <w:r>
        <w:rPr>
          <w:rFonts w:hint="eastAsia" w:ascii="宋体" w:hAnsi="宋体"/>
          <w:color w:val="auto"/>
          <w:szCs w:val="21"/>
          <w:highlight w:val="none"/>
        </w:rPr>
        <w:t>地　址： 钦州市钦北区子材东大街15-163号</w:t>
      </w:r>
    </w:p>
    <w:p w14:paraId="2C5F05D2">
      <w:pPr>
        <w:spacing w:line="360" w:lineRule="auto"/>
        <w:ind w:firstLine="735" w:firstLineChars="350"/>
        <w:rPr>
          <w:rFonts w:hint="eastAsia" w:ascii="宋体" w:hAnsi="宋体"/>
          <w:color w:val="auto"/>
          <w:szCs w:val="21"/>
          <w:highlight w:val="none"/>
        </w:rPr>
      </w:pPr>
      <w:r>
        <w:rPr>
          <w:rFonts w:hint="eastAsia" w:ascii="宋体" w:hAnsi="宋体"/>
          <w:color w:val="auto"/>
          <w:szCs w:val="21"/>
          <w:highlight w:val="none"/>
        </w:rPr>
        <w:t>联系电话：0777-3698199</w:t>
      </w:r>
    </w:p>
    <w:p w14:paraId="4D2E5063">
      <w:pPr>
        <w:spacing w:line="360" w:lineRule="auto"/>
        <w:ind w:firstLine="735" w:firstLineChars="350"/>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w:t>
      </w:r>
      <w:r>
        <w:rPr>
          <w:rFonts w:hint="eastAsia" w:ascii="宋体" w:hAnsi="宋体"/>
          <w:color w:val="auto"/>
          <w:szCs w:val="21"/>
          <w:highlight w:val="none"/>
        </w:rPr>
        <w:t>项目联系方式</w:t>
      </w:r>
    </w:p>
    <w:p w14:paraId="746C53AF">
      <w:pPr>
        <w:spacing w:line="360" w:lineRule="auto"/>
        <w:ind w:firstLine="735" w:firstLineChars="350"/>
        <w:rPr>
          <w:rFonts w:ascii="宋体" w:hAnsi="宋体"/>
          <w:color w:val="auto"/>
          <w:szCs w:val="21"/>
          <w:highlight w:val="none"/>
        </w:rPr>
      </w:pPr>
      <w:r>
        <w:rPr>
          <w:rFonts w:hint="eastAsia" w:ascii="宋体" w:hAnsi="宋体"/>
          <w:color w:val="auto"/>
          <w:szCs w:val="21"/>
          <w:highlight w:val="none"/>
        </w:rPr>
        <w:t>项目联系人：</w:t>
      </w:r>
      <w:r>
        <w:rPr>
          <w:rFonts w:hint="eastAsia" w:ascii="宋体" w:hAnsi="宋体"/>
          <w:color w:val="auto"/>
          <w:szCs w:val="21"/>
          <w:highlight w:val="none"/>
          <w:lang w:val="en-US" w:eastAsia="zh-CN"/>
        </w:rPr>
        <w:t>何凤娇</w:t>
      </w:r>
      <w:r>
        <w:rPr>
          <w:rFonts w:hint="eastAsia" w:ascii="宋体" w:hAnsi="宋体"/>
          <w:color w:val="auto"/>
          <w:szCs w:val="21"/>
          <w:highlight w:val="none"/>
        </w:rPr>
        <w:t xml:space="preserve">     电话：0777-3698199</w:t>
      </w:r>
    </w:p>
    <w:p w14:paraId="2397BD70">
      <w:pPr>
        <w:spacing w:line="360" w:lineRule="auto"/>
        <w:jc w:val="center"/>
        <w:rPr>
          <w:rFonts w:hint="eastAsia" w:ascii="宋体" w:hAnsi="宋体"/>
          <w:color w:val="auto"/>
          <w:szCs w:val="21"/>
          <w:highlight w:val="none"/>
        </w:rPr>
      </w:pPr>
      <w:r>
        <w:rPr>
          <w:rFonts w:hint="eastAsia" w:ascii="宋体" w:hAnsi="宋体"/>
          <w:color w:val="auto"/>
          <w:szCs w:val="21"/>
          <w:highlight w:val="none"/>
        </w:rPr>
        <w:t xml:space="preserve">                                       </w:t>
      </w:r>
    </w:p>
    <w:p w14:paraId="3302781E">
      <w:pPr>
        <w:spacing w:line="360" w:lineRule="auto"/>
        <w:jc w:val="center"/>
        <w:rPr>
          <w:rFonts w:hint="eastAsia" w:ascii="宋体" w:hAnsi="宋体"/>
          <w:color w:val="auto"/>
          <w:szCs w:val="21"/>
          <w:highlight w:val="none"/>
        </w:rPr>
      </w:pPr>
    </w:p>
    <w:p w14:paraId="510343C9">
      <w:pPr>
        <w:spacing w:line="360" w:lineRule="auto"/>
        <w:jc w:val="right"/>
        <w:rPr>
          <w:rFonts w:hint="eastAsia" w:ascii="宋体" w:hAnsi="宋体" w:eastAsia="宋体"/>
          <w:color w:val="auto"/>
          <w:szCs w:val="21"/>
          <w:highlight w:val="none"/>
          <w:lang w:eastAsia="zh-CN"/>
        </w:rPr>
      </w:pPr>
      <w:r>
        <w:rPr>
          <w:rFonts w:hint="eastAsia" w:ascii="宋体" w:hAnsi="宋体" w:cs="宋体"/>
          <w:color w:val="auto"/>
          <w:szCs w:val="21"/>
          <w:highlight w:val="none"/>
        </w:rPr>
        <w:t>采购代理机构</w:t>
      </w:r>
      <w:r>
        <w:rPr>
          <w:rFonts w:hint="eastAsia" w:ascii="宋体" w:hAnsi="宋体" w:cs="宋体"/>
          <w:color w:val="auto"/>
          <w:szCs w:val="21"/>
          <w:highlight w:val="none"/>
          <w:lang w:eastAsia="zh-CN"/>
        </w:rPr>
        <w:t>：</w:t>
      </w:r>
      <w:r>
        <w:rPr>
          <w:rFonts w:hint="eastAsia" w:ascii="宋体" w:hAnsi="宋体" w:cs="宋体"/>
          <w:color w:val="auto"/>
          <w:highlight w:val="none"/>
          <w:lang w:eastAsia="zh-CN"/>
        </w:rPr>
        <w:t>广西华扬工程项目管理有限公司</w:t>
      </w:r>
    </w:p>
    <w:p w14:paraId="5B8C0BB3">
      <w:pPr>
        <w:spacing w:line="360" w:lineRule="auto"/>
        <w:ind w:firstLine="210" w:firstLineChars="100"/>
        <w:jc w:val="center"/>
        <w:rPr>
          <w:rFonts w:ascii="宋体" w:hAnsi="宋体" w:cs="宋体"/>
          <w:color w:val="auto"/>
          <w:sz w:val="24"/>
          <w:highlight w:val="none"/>
          <w:lang w:val="zh-CN"/>
        </w:rPr>
      </w:pPr>
      <w:r>
        <w:rPr>
          <w:rFonts w:hint="eastAsia" w:ascii="宋体" w:hAnsi="宋体"/>
          <w:color w:val="auto"/>
          <w:szCs w:val="21"/>
          <w:highlight w:val="none"/>
        </w:rPr>
        <w:t xml:space="preserve">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 </w:t>
      </w:r>
      <w:r>
        <w:rPr>
          <w:rFonts w:hint="eastAsia" w:ascii="宋体" w:hAnsi="宋体"/>
          <w:color w:val="auto"/>
          <w:szCs w:val="21"/>
          <w:highlight w:val="none"/>
          <w:lang w:val="en-US" w:eastAsia="zh-CN"/>
        </w:rPr>
        <w:t xml:space="preserve">            2026</w:t>
      </w:r>
      <w:r>
        <w:rPr>
          <w:rFonts w:hint="eastAsia" w:ascii="宋体" w:hAnsi="宋体"/>
          <w:color w:val="auto"/>
          <w:szCs w:val="21"/>
          <w:highlight w:val="none"/>
        </w:rPr>
        <w:t>年</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月</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日</w:t>
      </w:r>
    </w:p>
    <w:p w14:paraId="4805085F">
      <w:pPr>
        <w:pStyle w:val="18"/>
        <w:jc w:val="center"/>
        <w:outlineLvl w:val="0"/>
        <w:rPr>
          <w:rFonts w:hint="eastAsia" w:ascii="Times New Roman" w:hAnsi="Times New Roman"/>
          <w:b/>
          <w:color w:val="auto"/>
          <w:sz w:val="36"/>
          <w:highlight w:val="none"/>
        </w:rPr>
      </w:pPr>
      <w:bookmarkStart w:id="27" w:name="_Toc7211"/>
      <w:bookmarkStart w:id="28" w:name="_Toc80092991"/>
      <w:bookmarkStart w:id="29" w:name="_Toc532545042"/>
    </w:p>
    <w:p w14:paraId="5FDE3474">
      <w:pPr>
        <w:pStyle w:val="18"/>
        <w:jc w:val="center"/>
        <w:outlineLvl w:val="0"/>
        <w:rPr>
          <w:rFonts w:hint="eastAsia" w:ascii="Times New Roman" w:hAnsi="Times New Roman"/>
          <w:b/>
          <w:color w:val="auto"/>
          <w:sz w:val="36"/>
          <w:highlight w:val="none"/>
        </w:rPr>
      </w:pPr>
    </w:p>
    <w:p w14:paraId="3BF16DA0">
      <w:pPr>
        <w:pStyle w:val="18"/>
        <w:jc w:val="center"/>
        <w:outlineLvl w:val="0"/>
        <w:rPr>
          <w:rFonts w:hint="eastAsia" w:ascii="Times New Roman" w:hAnsi="Times New Roman"/>
          <w:b/>
          <w:color w:val="auto"/>
          <w:sz w:val="36"/>
          <w:highlight w:val="none"/>
        </w:rPr>
        <w:sectPr>
          <w:footerReference r:id="rId6" w:type="default"/>
          <w:pgSz w:w="11906" w:h="16838"/>
          <w:pgMar w:top="1134" w:right="1134" w:bottom="1134" w:left="1134" w:header="720" w:footer="720" w:gutter="0"/>
          <w:pgNumType w:fmt="decimal" w:start="1"/>
          <w:cols w:space="720" w:num="1"/>
          <w:docGrid w:type="lines" w:linePitch="331" w:charSpace="0"/>
        </w:sectPr>
      </w:pPr>
    </w:p>
    <w:bookmarkEnd w:id="27"/>
    <w:bookmarkEnd w:id="28"/>
    <w:bookmarkEnd w:id="29"/>
    <w:p w14:paraId="39C1E93E">
      <w:pPr>
        <w:adjustRightInd w:val="0"/>
        <w:spacing w:line="340" w:lineRule="exact"/>
        <w:rPr>
          <w:rFonts w:hAnsi="宋体"/>
          <w:b/>
          <w:color w:val="auto"/>
          <w:szCs w:val="21"/>
          <w:highlight w:val="none"/>
        </w:rPr>
      </w:pPr>
    </w:p>
    <w:p w14:paraId="05BACA41">
      <w:pPr>
        <w:pStyle w:val="18"/>
        <w:jc w:val="center"/>
        <w:outlineLvl w:val="0"/>
        <w:rPr>
          <w:rFonts w:hint="eastAsia" w:ascii="Times New Roman" w:hAnsi="Times New Roman"/>
          <w:b/>
          <w:color w:val="auto"/>
          <w:sz w:val="36"/>
          <w:highlight w:val="none"/>
        </w:rPr>
      </w:pPr>
      <w:r>
        <w:rPr>
          <w:rFonts w:hint="eastAsia" w:ascii="Times New Roman" w:hAnsi="Times New Roman"/>
          <w:b/>
          <w:color w:val="auto"/>
          <w:sz w:val="36"/>
          <w:highlight w:val="none"/>
        </w:rPr>
        <w:t>第二章</w:t>
      </w:r>
      <w:r>
        <w:rPr>
          <w:rFonts w:ascii="Times New Roman" w:hAnsi="Times New Roman"/>
          <w:b/>
          <w:color w:val="auto"/>
          <w:sz w:val="36"/>
          <w:highlight w:val="none"/>
        </w:rPr>
        <w:t xml:space="preserve">  </w:t>
      </w:r>
      <w:r>
        <w:rPr>
          <w:rFonts w:hint="eastAsia" w:ascii="Times New Roman" w:hAnsi="Times New Roman"/>
          <w:b/>
          <w:color w:val="auto"/>
          <w:sz w:val="36"/>
          <w:highlight w:val="none"/>
        </w:rPr>
        <w:t>采购需求</w:t>
      </w:r>
    </w:p>
    <w:p w14:paraId="057828DF">
      <w:pPr>
        <w:tabs>
          <w:tab w:val="left" w:pos="180"/>
          <w:tab w:val="left" w:pos="1620"/>
        </w:tabs>
        <w:adjustRightInd w:val="0"/>
        <w:snapToGrid w:val="0"/>
        <w:spacing w:line="500" w:lineRule="exact"/>
        <w:rPr>
          <w:rFonts w:hint="eastAsia" w:ascii="宋体" w:hAnsi="宋体" w:eastAsia="宋体"/>
          <w:color w:val="auto"/>
          <w:szCs w:val="21"/>
          <w:highlight w:val="none"/>
          <w:u w:val="single"/>
          <w:lang w:val="en-US" w:eastAsia="zh-CN"/>
        </w:rPr>
      </w:pPr>
      <w:r>
        <w:rPr>
          <w:rFonts w:hint="eastAsia" w:ascii="宋体" w:hAnsi="宋体"/>
          <w:b/>
          <w:bCs/>
          <w:color w:val="auto"/>
          <w:szCs w:val="21"/>
          <w:highlight w:val="none"/>
        </w:rPr>
        <w:t>一、项目编号：QZZC2026-G3-990225-GXHY</w:t>
      </w:r>
    </w:p>
    <w:p w14:paraId="7AE33B61">
      <w:pPr>
        <w:adjustRightInd w:val="0"/>
        <w:snapToGrid w:val="0"/>
        <w:spacing w:line="500" w:lineRule="exact"/>
        <w:rPr>
          <w:rFonts w:hint="eastAsia" w:ascii="宋体" w:hAnsi="宋体"/>
          <w:color w:val="auto"/>
          <w:szCs w:val="21"/>
          <w:highlight w:val="none"/>
          <w:u w:val="none"/>
          <w:lang w:val="en-US" w:eastAsia="zh-CN"/>
        </w:rPr>
      </w:pPr>
      <w:r>
        <w:rPr>
          <w:rFonts w:hint="eastAsia" w:ascii="宋体" w:hAnsi="宋体"/>
          <w:b/>
          <w:bCs/>
          <w:color w:val="auto"/>
          <w:szCs w:val="21"/>
          <w:highlight w:val="none"/>
        </w:rPr>
        <w:t>二、</w:t>
      </w:r>
      <w:r>
        <w:rPr>
          <w:rFonts w:hint="eastAsia" w:ascii="宋体" w:hAnsi="宋体"/>
          <w:b/>
          <w:bCs/>
          <w:color w:val="auto"/>
          <w:szCs w:val="21"/>
          <w:highlight w:val="none"/>
          <w:lang w:eastAsia="zh-CN"/>
        </w:rPr>
        <w:t>项目名称</w:t>
      </w:r>
      <w:r>
        <w:rPr>
          <w:rFonts w:hint="eastAsia" w:ascii="宋体" w:hAnsi="宋体"/>
          <w:b/>
          <w:bCs/>
          <w:color w:val="auto"/>
          <w:szCs w:val="21"/>
          <w:highlight w:val="none"/>
        </w:rPr>
        <w:t>：</w:t>
      </w:r>
      <w:r>
        <w:rPr>
          <w:rFonts w:hint="eastAsia" w:ascii="宋体" w:hAnsi="宋体"/>
          <w:color w:val="auto"/>
          <w:szCs w:val="21"/>
          <w:highlight w:val="none"/>
        </w:rPr>
        <w:t>202</w:t>
      </w:r>
      <w:r>
        <w:rPr>
          <w:rFonts w:hint="eastAsia" w:ascii="宋体" w:hAnsi="宋体"/>
          <w:color w:val="auto"/>
          <w:szCs w:val="21"/>
          <w:highlight w:val="none"/>
          <w:lang w:val="en-US" w:eastAsia="zh-CN"/>
        </w:rPr>
        <w:t>6</w:t>
      </w:r>
      <w:r>
        <w:rPr>
          <w:rFonts w:hint="eastAsia" w:ascii="宋体" w:hAnsi="宋体"/>
          <w:color w:val="auto"/>
          <w:szCs w:val="21"/>
          <w:highlight w:val="none"/>
        </w:rPr>
        <w:t>年市本级应急成品粮轮换运营招标</w:t>
      </w:r>
      <w:r>
        <w:rPr>
          <w:rFonts w:hint="eastAsia" w:ascii="宋体" w:hAnsi="宋体"/>
          <w:color w:val="auto"/>
          <w:szCs w:val="21"/>
          <w:highlight w:val="none"/>
          <w:lang w:eastAsia="zh-CN"/>
        </w:rPr>
        <w:t>项目</w:t>
      </w:r>
      <w:r>
        <w:rPr>
          <w:rFonts w:hint="eastAsia" w:ascii="宋体" w:hAnsi="宋体"/>
          <w:color w:val="auto"/>
          <w:szCs w:val="21"/>
          <w:highlight w:val="none"/>
          <w:u w:val="none"/>
          <w:lang w:val="en-US" w:eastAsia="zh-CN"/>
        </w:rPr>
        <w:t xml:space="preserve">           </w:t>
      </w:r>
    </w:p>
    <w:p w14:paraId="057484E1">
      <w:pPr>
        <w:keepNext w:val="0"/>
        <w:keepLines w:val="0"/>
        <w:pageBreakBefore w:val="0"/>
        <w:widowControl w:val="0"/>
        <w:kinsoku/>
        <w:wordWrap/>
        <w:overflowPunct/>
        <w:topLinePunct w:val="0"/>
        <w:autoSpaceDE/>
        <w:autoSpaceDN/>
        <w:bidi w:val="0"/>
        <w:spacing w:line="420" w:lineRule="exact"/>
        <w:textAlignment w:val="auto"/>
        <w:rPr>
          <w:rFonts w:hint="eastAsia"/>
          <w:color w:val="auto"/>
          <w:highlight w:val="none"/>
        </w:rPr>
      </w:pPr>
      <w:r>
        <w:rPr>
          <w:rFonts w:hint="eastAsia" w:ascii="宋体" w:hAnsi="宋体"/>
          <w:b/>
          <w:bCs/>
          <w:color w:val="auto"/>
          <w:szCs w:val="21"/>
          <w:highlight w:val="none"/>
          <w:lang w:eastAsia="zh-CN"/>
        </w:rPr>
        <w:t>三、所属行业：</w:t>
      </w:r>
      <w:r>
        <w:rPr>
          <w:rFonts w:hint="eastAsia" w:ascii="宋体" w:hAnsi="宋体"/>
          <w:b w:val="0"/>
          <w:bCs w:val="0"/>
          <w:color w:val="auto"/>
          <w:szCs w:val="21"/>
          <w:highlight w:val="none"/>
          <w:lang w:eastAsia="zh-CN"/>
        </w:rPr>
        <w:t>仓储业</w:t>
      </w:r>
    </w:p>
    <w:tbl>
      <w:tblPr>
        <w:tblStyle w:val="35"/>
        <w:tblW w:w="101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5"/>
        <w:gridCol w:w="1395"/>
        <w:gridCol w:w="7577"/>
      </w:tblGrid>
      <w:tr w14:paraId="62B10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1185" w:type="dxa"/>
            <w:noWrap w:val="0"/>
            <w:vAlign w:val="center"/>
          </w:tcPr>
          <w:p w14:paraId="2AA298BF">
            <w:pPr>
              <w:spacing w:line="500" w:lineRule="exact"/>
              <w:jc w:val="center"/>
              <w:rPr>
                <w:rFonts w:hint="eastAsia" w:ascii="宋体" w:hAnsi="宋体"/>
                <w:b/>
                <w:color w:val="auto"/>
                <w:szCs w:val="21"/>
                <w:highlight w:val="none"/>
              </w:rPr>
            </w:pPr>
            <w:r>
              <w:rPr>
                <w:rFonts w:hint="eastAsia" w:ascii="宋体" w:hAnsi="宋体"/>
                <w:b/>
                <w:color w:val="auto"/>
                <w:szCs w:val="21"/>
                <w:highlight w:val="none"/>
              </w:rPr>
              <w:t>服务名称</w:t>
            </w:r>
          </w:p>
        </w:tc>
        <w:tc>
          <w:tcPr>
            <w:tcW w:w="8972" w:type="dxa"/>
            <w:gridSpan w:val="2"/>
            <w:noWrap w:val="0"/>
            <w:vAlign w:val="center"/>
          </w:tcPr>
          <w:p w14:paraId="0F9C9819">
            <w:pPr>
              <w:spacing w:line="500" w:lineRule="exact"/>
              <w:jc w:val="center"/>
              <w:rPr>
                <w:rFonts w:hint="eastAsia" w:ascii="宋体" w:hAnsi="宋体"/>
                <w:b/>
                <w:color w:val="auto"/>
                <w:szCs w:val="21"/>
                <w:highlight w:val="none"/>
              </w:rPr>
            </w:pPr>
            <w:r>
              <w:rPr>
                <w:rFonts w:hint="eastAsia" w:ascii="宋体" w:hAnsi="宋体"/>
                <w:b/>
                <w:color w:val="auto"/>
                <w:szCs w:val="21"/>
                <w:highlight w:val="none"/>
                <w:shd w:val="clear" w:color="auto" w:fill="FFFFFF"/>
              </w:rPr>
              <w:t>服务要求</w:t>
            </w:r>
          </w:p>
        </w:tc>
      </w:tr>
      <w:tr w14:paraId="620F8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85" w:type="dxa"/>
            <w:vMerge w:val="restart"/>
            <w:noWrap w:val="0"/>
            <w:vAlign w:val="center"/>
          </w:tcPr>
          <w:p w14:paraId="58CDE095">
            <w:pPr>
              <w:adjustRightInd w:val="0"/>
              <w:spacing w:line="500" w:lineRule="exact"/>
              <w:jc w:val="center"/>
              <w:rPr>
                <w:rFonts w:hint="eastAsia" w:ascii="宋体" w:hAnsi="宋体" w:eastAsia="宋体"/>
                <w:color w:val="auto"/>
                <w:kern w:val="0"/>
                <w:szCs w:val="21"/>
                <w:highlight w:val="none"/>
                <w:lang w:eastAsia="zh-CN"/>
              </w:rPr>
            </w:pPr>
            <w:r>
              <w:rPr>
                <w:rFonts w:hint="eastAsia" w:ascii="宋体" w:hAnsi="宋体"/>
                <w:color w:val="auto"/>
                <w:kern w:val="0"/>
                <w:szCs w:val="21"/>
                <w:highlight w:val="none"/>
              </w:rPr>
              <w:t>202</w:t>
            </w:r>
            <w:r>
              <w:rPr>
                <w:rFonts w:hint="eastAsia" w:ascii="宋体" w:hAnsi="宋体" w:eastAsia="宋体"/>
                <w:color w:val="auto"/>
                <w:kern w:val="0"/>
                <w:szCs w:val="21"/>
                <w:highlight w:val="none"/>
                <w:lang w:val="en-US" w:eastAsia="zh-CN"/>
              </w:rPr>
              <w:t>6</w:t>
            </w:r>
            <w:r>
              <w:rPr>
                <w:rFonts w:hint="eastAsia" w:ascii="宋体" w:hAnsi="宋体"/>
                <w:color w:val="auto"/>
                <w:kern w:val="0"/>
                <w:szCs w:val="21"/>
                <w:highlight w:val="none"/>
              </w:rPr>
              <w:t>年市本级应急成品粮</w:t>
            </w:r>
            <w:r>
              <w:rPr>
                <w:rFonts w:hint="eastAsia" w:ascii="宋体" w:hAnsi="宋体"/>
                <w:color w:val="auto"/>
                <w:kern w:val="0"/>
                <w:szCs w:val="21"/>
                <w:highlight w:val="none"/>
              </w:rPr>
              <w:t>轮换运营招标</w:t>
            </w:r>
            <w:r>
              <w:rPr>
                <w:rFonts w:hint="eastAsia" w:ascii="宋体" w:hAnsi="宋体"/>
                <w:color w:val="auto"/>
                <w:kern w:val="0"/>
                <w:szCs w:val="21"/>
                <w:highlight w:val="none"/>
                <w:lang w:eastAsia="zh-CN"/>
              </w:rPr>
              <w:t>项目</w:t>
            </w:r>
          </w:p>
        </w:tc>
        <w:tc>
          <w:tcPr>
            <w:tcW w:w="1395" w:type="dxa"/>
            <w:noWrap w:val="0"/>
            <w:vAlign w:val="center"/>
          </w:tcPr>
          <w:p w14:paraId="23985267">
            <w:pPr>
              <w:adjustRightInd w:val="0"/>
              <w:spacing w:line="500" w:lineRule="exact"/>
              <w:jc w:val="center"/>
              <w:rPr>
                <w:rFonts w:hint="eastAsia" w:ascii="宋体" w:hAnsi="宋体"/>
                <w:color w:val="auto"/>
                <w:kern w:val="0"/>
                <w:szCs w:val="21"/>
                <w:highlight w:val="none"/>
              </w:rPr>
            </w:pPr>
            <w:r>
              <w:rPr>
                <w:rFonts w:hint="eastAsia" w:ascii="宋体" w:hAnsi="宋体" w:eastAsia="宋体" w:cs="Times New Roman"/>
                <w:color w:val="auto"/>
                <w:szCs w:val="21"/>
                <w:highlight w:val="none"/>
                <w:lang w:val="en-US" w:eastAsia="zh-CN"/>
              </w:rPr>
              <w:t>基本概况介绍、用途</w:t>
            </w:r>
          </w:p>
        </w:tc>
        <w:tc>
          <w:tcPr>
            <w:tcW w:w="7577" w:type="dxa"/>
            <w:noWrap w:val="0"/>
            <w:vAlign w:val="center"/>
          </w:tcPr>
          <w:p w14:paraId="78A0CE65">
            <w:pPr>
              <w:spacing w:line="360" w:lineRule="auto"/>
              <w:rPr>
                <w:rFonts w:hint="eastAsia" w:ascii="宋体" w:hAnsi="宋体"/>
                <w:color w:val="auto"/>
                <w:szCs w:val="21"/>
                <w:highlight w:val="none"/>
              </w:rPr>
            </w:pPr>
            <w:r>
              <w:rPr>
                <w:rFonts w:hint="eastAsia" w:ascii="宋体" w:hAnsi="宋体" w:eastAsia="宋体" w:cs="Times New Roman"/>
                <w:b w:val="0"/>
                <w:bCs/>
                <w:color w:val="auto"/>
                <w:szCs w:val="21"/>
                <w:highlight w:val="none"/>
                <w:lang w:val="en-US" w:eastAsia="zh-CN"/>
              </w:rPr>
              <w:t>4、5</w:t>
            </w:r>
            <w:r>
              <w:rPr>
                <w:rFonts w:hint="eastAsia" w:ascii="宋体" w:hAnsi="宋体" w:eastAsia="宋体" w:cs="Times New Roman"/>
                <w:b w:val="0"/>
                <w:bCs/>
                <w:color w:val="auto"/>
                <w:szCs w:val="21"/>
                <w:highlight w:val="none"/>
              </w:rPr>
              <w:t>号仓</w:t>
            </w:r>
            <w:r>
              <w:rPr>
                <w:rFonts w:hint="eastAsia" w:ascii="宋体" w:hAnsi="宋体" w:eastAsia="宋体" w:cs="Times New Roman"/>
                <w:b w:val="0"/>
                <w:bCs/>
                <w:color w:val="auto"/>
                <w:szCs w:val="21"/>
                <w:highlight w:val="none"/>
                <w:lang w:eastAsia="zh-CN"/>
              </w:rPr>
              <w:t>共</w:t>
            </w:r>
            <w:r>
              <w:rPr>
                <w:rFonts w:hint="eastAsia" w:ascii="宋体" w:hAnsi="宋体" w:eastAsia="宋体" w:cs="Times New Roman"/>
                <w:b w:val="0"/>
                <w:bCs/>
                <w:color w:val="auto"/>
                <w:szCs w:val="21"/>
                <w:highlight w:val="none"/>
                <w:lang w:val="en-US" w:eastAsia="zh-CN"/>
              </w:rPr>
              <w:t>600</w:t>
            </w:r>
            <w:r>
              <w:rPr>
                <w:rFonts w:hint="eastAsia" w:ascii="宋体" w:hAnsi="宋体" w:eastAsia="宋体" w:cs="Times New Roman"/>
                <w:b w:val="0"/>
                <w:bCs/>
                <w:color w:val="auto"/>
                <w:szCs w:val="21"/>
                <w:highlight w:val="none"/>
              </w:rPr>
              <w:t>吨应急成品粮</w:t>
            </w:r>
            <w:r>
              <w:rPr>
                <w:rFonts w:hint="eastAsia" w:ascii="宋体" w:hAnsi="宋体" w:eastAsia="宋体" w:cs="Times New Roman"/>
                <w:b w:val="0"/>
                <w:bCs/>
                <w:color w:val="auto"/>
                <w:szCs w:val="21"/>
                <w:highlight w:val="none"/>
                <w:lang w:val="en-US" w:eastAsia="zh-CN"/>
              </w:rPr>
              <w:t>3</w:t>
            </w:r>
            <w:r>
              <w:rPr>
                <w:rFonts w:hint="eastAsia" w:ascii="宋体" w:hAnsi="宋体" w:eastAsia="宋体" w:cs="Times New Roman"/>
                <w:b w:val="0"/>
                <w:bCs/>
                <w:color w:val="auto"/>
                <w:szCs w:val="21"/>
                <w:highlight w:val="none"/>
              </w:rPr>
              <w:t>年轮换运营服务，轮换运营服务费</w:t>
            </w:r>
            <w:r>
              <w:rPr>
                <w:rFonts w:hint="eastAsia" w:ascii="宋体" w:hAnsi="宋体" w:eastAsia="宋体" w:cs="Times New Roman"/>
                <w:b w:val="0"/>
                <w:bCs/>
                <w:color w:val="auto"/>
                <w:szCs w:val="21"/>
                <w:highlight w:val="none"/>
                <w:lang w:val="en-US" w:eastAsia="zh-CN"/>
              </w:rPr>
              <w:t>77.4</w:t>
            </w:r>
            <w:r>
              <w:rPr>
                <w:rFonts w:hint="eastAsia" w:ascii="宋体" w:hAnsi="宋体" w:eastAsia="宋体" w:cs="Times New Roman"/>
                <w:b w:val="0"/>
                <w:bCs/>
                <w:color w:val="auto"/>
                <w:szCs w:val="21"/>
                <w:highlight w:val="none"/>
              </w:rPr>
              <w:t>万元；</w:t>
            </w:r>
            <w:r>
              <w:rPr>
                <w:rFonts w:hint="eastAsia" w:ascii="宋体" w:hAnsi="宋体" w:eastAsia="宋体" w:cs="Times New Roman"/>
                <w:b w:val="0"/>
                <w:bCs/>
                <w:color w:val="auto"/>
                <w:szCs w:val="21"/>
                <w:highlight w:val="none"/>
                <w:lang w:val="en-US" w:eastAsia="zh-CN"/>
              </w:rPr>
              <w:t>600</w:t>
            </w:r>
            <w:r>
              <w:rPr>
                <w:rFonts w:hint="eastAsia" w:ascii="宋体" w:hAnsi="宋体" w:eastAsia="宋体" w:cs="Times New Roman"/>
                <w:b w:val="0"/>
                <w:bCs/>
                <w:color w:val="auto"/>
                <w:szCs w:val="21"/>
                <w:highlight w:val="none"/>
              </w:rPr>
              <w:t>吨应急成品粮购粮款</w:t>
            </w:r>
            <w:r>
              <w:rPr>
                <w:rFonts w:hint="eastAsia" w:ascii="宋体" w:hAnsi="宋体" w:eastAsia="宋体" w:cs="Times New Roman"/>
                <w:b w:val="0"/>
                <w:bCs/>
                <w:color w:val="auto"/>
                <w:szCs w:val="21"/>
                <w:highlight w:val="none"/>
                <w:lang w:val="en-US" w:eastAsia="zh-CN"/>
              </w:rPr>
              <w:t>228</w:t>
            </w:r>
            <w:r>
              <w:rPr>
                <w:rFonts w:hint="eastAsia" w:ascii="宋体" w:hAnsi="宋体" w:eastAsia="宋体" w:cs="Times New Roman"/>
                <w:b w:val="0"/>
                <w:bCs/>
                <w:color w:val="auto"/>
                <w:szCs w:val="21"/>
                <w:highlight w:val="none"/>
              </w:rPr>
              <w:t>万元的</w:t>
            </w:r>
            <w:r>
              <w:rPr>
                <w:rFonts w:hint="eastAsia" w:ascii="宋体" w:hAnsi="宋体" w:eastAsia="宋体" w:cs="Times New Roman"/>
                <w:b w:val="0"/>
                <w:bCs/>
                <w:color w:val="auto"/>
                <w:szCs w:val="21"/>
                <w:highlight w:val="none"/>
                <w:lang w:val="en-US" w:eastAsia="zh-CN"/>
              </w:rPr>
              <w:t>3</w:t>
            </w:r>
            <w:r>
              <w:rPr>
                <w:rFonts w:hint="eastAsia" w:ascii="宋体" w:hAnsi="宋体" w:eastAsia="宋体" w:cs="Times New Roman"/>
                <w:b w:val="0"/>
                <w:bCs/>
                <w:color w:val="auto"/>
                <w:szCs w:val="21"/>
                <w:highlight w:val="none"/>
              </w:rPr>
              <w:t>年采购使用权，合同期满须如数归还。</w:t>
            </w:r>
          </w:p>
        </w:tc>
      </w:tr>
      <w:tr w14:paraId="32E28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185" w:type="dxa"/>
            <w:vMerge w:val="continue"/>
            <w:noWrap w:val="0"/>
            <w:vAlign w:val="center"/>
          </w:tcPr>
          <w:p w14:paraId="12A06698">
            <w:pPr>
              <w:adjustRightInd w:val="0"/>
              <w:spacing w:line="500" w:lineRule="exact"/>
              <w:jc w:val="center"/>
              <w:rPr>
                <w:rFonts w:hint="eastAsia" w:ascii="宋体" w:hAnsi="宋体"/>
                <w:color w:val="auto"/>
                <w:kern w:val="0"/>
                <w:szCs w:val="21"/>
                <w:highlight w:val="none"/>
              </w:rPr>
            </w:pPr>
          </w:p>
        </w:tc>
        <w:tc>
          <w:tcPr>
            <w:tcW w:w="1395" w:type="dxa"/>
            <w:noWrap w:val="0"/>
            <w:vAlign w:val="center"/>
          </w:tcPr>
          <w:p w14:paraId="15E7C838">
            <w:pPr>
              <w:adjustRightInd w:val="0"/>
              <w:spacing w:line="500" w:lineRule="exact"/>
              <w:jc w:val="center"/>
              <w:rPr>
                <w:rFonts w:hint="eastAsia" w:ascii="宋体" w:hAnsi="宋体"/>
                <w:color w:val="auto"/>
                <w:kern w:val="0"/>
                <w:szCs w:val="21"/>
                <w:highlight w:val="none"/>
              </w:rPr>
            </w:pPr>
            <w:r>
              <w:rPr>
                <w:rFonts w:hint="eastAsia" w:ascii="宋体" w:hAnsi="宋体"/>
                <w:color w:val="auto"/>
                <w:kern w:val="0"/>
                <w:szCs w:val="21"/>
                <w:highlight w:val="none"/>
              </w:rPr>
              <w:t>运营方式</w:t>
            </w:r>
          </w:p>
          <w:p w14:paraId="1C46E901">
            <w:pPr>
              <w:adjustRightInd w:val="0"/>
              <w:spacing w:line="500" w:lineRule="exact"/>
              <w:jc w:val="center"/>
              <w:rPr>
                <w:rFonts w:hint="eastAsia" w:ascii="宋体" w:hAnsi="宋体"/>
                <w:color w:val="auto"/>
                <w:kern w:val="0"/>
                <w:szCs w:val="21"/>
                <w:highlight w:val="none"/>
              </w:rPr>
            </w:pPr>
          </w:p>
        </w:tc>
        <w:tc>
          <w:tcPr>
            <w:tcW w:w="7577" w:type="dxa"/>
            <w:noWrap w:val="0"/>
            <w:vAlign w:val="center"/>
          </w:tcPr>
          <w:p w14:paraId="4DA57F32">
            <w:pPr>
              <w:spacing w:line="360" w:lineRule="auto"/>
              <w:rPr>
                <w:rFonts w:hint="eastAsia" w:ascii="宋体" w:hAnsi="宋体"/>
                <w:color w:val="auto"/>
                <w:szCs w:val="21"/>
                <w:highlight w:val="none"/>
              </w:rPr>
            </w:pPr>
            <w:r>
              <w:rPr>
                <w:rFonts w:hint="eastAsia" w:ascii="宋体" w:hAnsi="宋体"/>
                <w:color w:val="auto"/>
                <w:szCs w:val="21"/>
                <w:highlight w:val="none"/>
              </w:rPr>
              <w:t>（一）采购人委托运营商按要求的标准购进应急成品粮，存放于采购人指定仓库，经验收合格后，采购人向运营商拨付成品粮采购资金</w:t>
            </w:r>
            <w:r>
              <w:rPr>
                <w:rFonts w:hint="eastAsia" w:ascii="宋体" w:hAnsi="宋体" w:eastAsia="宋体"/>
                <w:color w:val="auto"/>
                <w:szCs w:val="21"/>
                <w:highlight w:val="none"/>
                <w:lang w:eastAsia="zh-CN"/>
              </w:rPr>
              <w:t>（三</w:t>
            </w:r>
            <w:r>
              <w:rPr>
                <w:rFonts w:hint="eastAsia" w:ascii="宋体" w:hAnsi="宋体"/>
                <w:color w:val="auto"/>
                <w:szCs w:val="21"/>
                <w:highlight w:val="none"/>
              </w:rPr>
              <w:t>年内运营商无息拥有该笔资金采购使用权）。仓库实行双锁管理，采购人及运营商共同监管，出入库需经采购人及运营商共同确认。</w:t>
            </w:r>
          </w:p>
          <w:p w14:paraId="46F4BAEC">
            <w:pPr>
              <w:spacing w:line="360" w:lineRule="auto"/>
              <w:rPr>
                <w:rFonts w:hint="eastAsia" w:ascii="宋体" w:hAnsi="宋体"/>
                <w:color w:val="auto"/>
                <w:szCs w:val="21"/>
                <w:highlight w:val="none"/>
              </w:rPr>
            </w:pPr>
            <w:r>
              <w:rPr>
                <w:rFonts w:hint="eastAsia" w:ascii="宋体" w:hAnsi="宋体"/>
                <w:color w:val="auto"/>
                <w:szCs w:val="21"/>
                <w:highlight w:val="none"/>
              </w:rPr>
              <w:t>（二）运营商对应急成品粮的数量和质量负全责，并负责对应急成品粮按要求进行日常轮换（</w:t>
            </w:r>
            <w:r>
              <w:rPr>
                <w:rFonts w:hint="eastAsia" w:ascii="宋体" w:hAnsi="宋体" w:eastAsia="宋体"/>
                <w:color w:val="auto"/>
                <w:szCs w:val="21"/>
                <w:highlight w:val="none"/>
                <w:lang w:eastAsia="zh-CN"/>
              </w:rPr>
              <w:t>原则上</w:t>
            </w:r>
            <w:r>
              <w:rPr>
                <w:rFonts w:hint="eastAsia" w:ascii="宋体" w:hAnsi="宋体"/>
                <w:color w:val="auto"/>
                <w:szCs w:val="21"/>
                <w:highlight w:val="none"/>
              </w:rPr>
              <w:t>每年4次），确保应急成品粮</w:t>
            </w:r>
            <w:r>
              <w:rPr>
                <w:rFonts w:hint="eastAsia" w:ascii="宋体" w:hAnsi="宋体" w:eastAsia="宋体"/>
                <w:color w:val="auto"/>
                <w:szCs w:val="21"/>
                <w:highlight w:val="none"/>
                <w:lang w:eastAsia="zh-CN"/>
              </w:rPr>
              <w:t>质量合格，</w:t>
            </w:r>
            <w:r>
              <w:rPr>
                <w:rFonts w:hint="eastAsia" w:ascii="宋体" w:hAnsi="宋体"/>
                <w:color w:val="auto"/>
                <w:szCs w:val="21"/>
                <w:highlight w:val="none"/>
              </w:rPr>
              <w:t>品质</w:t>
            </w:r>
            <w:r>
              <w:rPr>
                <w:rFonts w:hint="eastAsia" w:ascii="宋体" w:hAnsi="宋体" w:eastAsia="宋体"/>
                <w:color w:val="auto"/>
                <w:szCs w:val="21"/>
                <w:highlight w:val="none"/>
                <w:lang w:eastAsia="zh-CN"/>
              </w:rPr>
              <w:t>良好</w:t>
            </w:r>
            <w:r>
              <w:rPr>
                <w:rFonts w:hint="eastAsia" w:ascii="宋体" w:hAnsi="宋体"/>
                <w:color w:val="auto"/>
                <w:szCs w:val="21"/>
                <w:highlight w:val="none"/>
              </w:rPr>
              <w:t>。</w:t>
            </w:r>
          </w:p>
          <w:p w14:paraId="2762D78F">
            <w:pPr>
              <w:spacing w:line="360" w:lineRule="auto"/>
              <w:rPr>
                <w:rFonts w:ascii="宋体" w:hAnsi="宋体"/>
                <w:color w:val="auto"/>
                <w:szCs w:val="21"/>
                <w:highlight w:val="none"/>
              </w:rPr>
            </w:pPr>
            <w:r>
              <w:rPr>
                <w:rFonts w:hint="eastAsia" w:ascii="宋体" w:hAnsi="宋体"/>
                <w:color w:val="auto"/>
                <w:szCs w:val="21"/>
                <w:highlight w:val="none"/>
              </w:rPr>
              <w:t>（三）代理运营结束后，运营商全额返还采购人所提供的应急成品粮采购资金，所储应急成品粮由运营商自行处置并承担盈亏。</w:t>
            </w:r>
          </w:p>
        </w:tc>
      </w:tr>
      <w:tr w14:paraId="7460E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185" w:type="dxa"/>
            <w:vMerge w:val="continue"/>
            <w:noWrap w:val="0"/>
            <w:vAlign w:val="center"/>
          </w:tcPr>
          <w:p w14:paraId="1A3D6475">
            <w:pPr>
              <w:adjustRightInd w:val="0"/>
              <w:spacing w:line="500" w:lineRule="exact"/>
              <w:jc w:val="center"/>
              <w:rPr>
                <w:rFonts w:ascii="宋体" w:hAnsi="宋体"/>
                <w:color w:val="auto"/>
                <w:kern w:val="0"/>
                <w:szCs w:val="21"/>
                <w:highlight w:val="none"/>
              </w:rPr>
            </w:pPr>
          </w:p>
        </w:tc>
        <w:tc>
          <w:tcPr>
            <w:tcW w:w="1395" w:type="dxa"/>
            <w:vMerge w:val="restart"/>
            <w:noWrap w:val="0"/>
            <w:vAlign w:val="center"/>
          </w:tcPr>
          <w:p w14:paraId="20466857">
            <w:pPr>
              <w:adjustRightInd w:val="0"/>
              <w:spacing w:line="500" w:lineRule="exact"/>
              <w:jc w:val="center"/>
              <w:rPr>
                <w:rFonts w:hint="eastAsia" w:ascii="宋体" w:hAnsi="宋体"/>
                <w:color w:val="auto"/>
                <w:kern w:val="0"/>
                <w:szCs w:val="21"/>
                <w:highlight w:val="none"/>
              </w:rPr>
            </w:pPr>
            <w:r>
              <w:rPr>
                <w:rFonts w:hint="eastAsia" w:ascii="宋体" w:hAnsi="宋体"/>
                <w:color w:val="auto"/>
                <w:kern w:val="0"/>
                <w:szCs w:val="21"/>
                <w:highlight w:val="none"/>
              </w:rPr>
              <w:t>应急成品粮的品种、数量、质量要求及存放地点</w:t>
            </w:r>
          </w:p>
        </w:tc>
        <w:tc>
          <w:tcPr>
            <w:tcW w:w="7577" w:type="dxa"/>
            <w:noWrap w:val="0"/>
            <w:vAlign w:val="center"/>
          </w:tcPr>
          <w:p w14:paraId="51BDFD1B">
            <w:pPr>
              <w:spacing w:line="500" w:lineRule="exact"/>
              <w:jc w:val="left"/>
              <w:rPr>
                <w:rFonts w:hint="eastAsia" w:ascii="宋体" w:hAnsi="宋体"/>
                <w:color w:val="auto"/>
                <w:kern w:val="0"/>
                <w:szCs w:val="21"/>
                <w:highlight w:val="none"/>
              </w:rPr>
            </w:pPr>
            <w:r>
              <w:rPr>
                <w:rFonts w:hint="eastAsia" w:ascii="宋体" w:hAnsi="宋体"/>
                <w:color w:val="auto"/>
                <w:kern w:val="0"/>
                <w:szCs w:val="21"/>
                <w:highlight w:val="none"/>
              </w:rPr>
              <w:t>品种：</w:t>
            </w:r>
            <w:r>
              <w:rPr>
                <w:rFonts w:hint="eastAsia" w:ascii="宋体" w:hAnsi="宋体"/>
                <w:color w:val="auto"/>
                <w:kern w:val="0"/>
                <w:szCs w:val="21"/>
                <w:highlight w:val="none"/>
                <w:lang w:eastAsia="zh-CN"/>
              </w:rPr>
              <w:t>成品</w:t>
            </w:r>
            <w:r>
              <w:rPr>
                <w:rFonts w:hint="eastAsia" w:ascii="宋体" w:hAnsi="宋体"/>
                <w:color w:val="auto"/>
                <w:kern w:val="0"/>
                <w:szCs w:val="21"/>
                <w:highlight w:val="none"/>
              </w:rPr>
              <w:t>大米，数量：</w:t>
            </w:r>
            <w:r>
              <w:rPr>
                <w:rFonts w:hint="eastAsia" w:ascii="宋体" w:hAnsi="宋体"/>
                <w:color w:val="auto"/>
                <w:kern w:val="0"/>
                <w:szCs w:val="21"/>
                <w:highlight w:val="none"/>
                <w:lang w:val="en-US" w:eastAsia="zh-CN"/>
              </w:rPr>
              <w:t>600</w:t>
            </w:r>
            <w:r>
              <w:rPr>
                <w:rFonts w:hint="eastAsia" w:ascii="宋体" w:hAnsi="宋体"/>
                <w:color w:val="auto"/>
                <w:kern w:val="0"/>
                <w:szCs w:val="21"/>
                <w:highlight w:val="none"/>
              </w:rPr>
              <w:t>吨，质量等级：国标三级（含三级）以上。</w:t>
            </w:r>
          </w:p>
        </w:tc>
      </w:tr>
      <w:tr w14:paraId="2D833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85" w:type="dxa"/>
            <w:vMerge w:val="continue"/>
            <w:noWrap w:val="0"/>
            <w:vAlign w:val="center"/>
          </w:tcPr>
          <w:p w14:paraId="0F64ACA2">
            <w:pPr>
              <w:adjustRightInd w:val="0"/>
              <w:spacing w:line="500" w:lineRule="exact"/>
              <w:jc w:val="center"/>
              <w:rPr>
                <w:rFonts w:hint="eastAsia" w:ascii="宋体" w:hAnsi="宋体"/>
                <w:color w:val="auto"/>
                <w:kern w:val="0"/>
                <w:szCs w:val="21"/>
                <w:highlight w:val="none"/>
              </w:rPr>
            </w:pPr>
          </w:p>
        </w:tc>
        <w:tc>
          <w:tcPr>
            <w:tcW w:w="1395" w:type="dxa"/>
            <w:vMerge w:val="continue"/>
            <w:noWrap w:val="0"/>
            <w:vAlign w:val="center"/>
          </w:tcPr>
          <w:p w14:paraId="785EF30F">
            <w:pPr>
              <w:adjustRightInd w:val="0"/>
              <w:spacing w:line="500" w:lineRule="exact"/>
              <w:jc w:val="center"/>
              <w:rPr>
                <w:rFonts w:hint="eastAsia" w:ascii="宋体" w:hAnsi="宋体"/>
                <w:color w:val="auto"/>
                <w:kern w:val="0"/>
                <w:szCs w:val="21"/>
                <w:highlight w:val="none"/>
              </w:rPr>
            </w:pPr>
          </w:p>
        </w:tc>
        <w:tc>
          <w:tcPr>
            <w:tcW w:w="7577" w:type="dxa"/>
            <w:noWrap w:val="0"/>
            <w:vAlign w:val="center"/>
          </w:tcPr>
          <w:p w14:paraId="0DCC3037">
            <w:pPr>
              <w:spacing w:line="500" w:lineRule="exact"/>
              <w:jc w:val="left"/>
              <w:rPr>
                <w:rFonts w:hint="eastAsia" w:ascii="宋体" w:hAnsi="宋体"/>
                <w:color w:val="auto"/>
                <w:kern w:val="0"/>
                <w:szCs w:val="21"/>
                <w:highlight w:val="none"/>
              </w:rPr>
            </w:pPr>
            <w:r>
              <w:rPr>
                <w:rFonts w:hint="eastAsia" w:ascii="宋体" w:hAnsi="宋体"/>
                <w:color w:val="auto"/>
                <w:kern w:val="0"/>
                <w:szCs w:val="21"/>
                <w:highlight w:val="none"/>
              </w:rPr>
              <w:t>运营代理时间期限：</w:t>
            </w:r>
            <w:r>
              <w:rPr>
                <w:rFonts w:hint="eastAsia" w:ascii="宋体" w:hAnsi="宋体" w:eastAsia="宋体" w:cs="Times New Roman"/>
                <w:color w:val="auto"/>
                <w:szCs w:val="21"/>
                <w:highlight w:val="none"/>
                <w:lang w:val="en-US" w:eastAsia="zh-CN"/>
              </w:rPr>
              <w:t>自签订合同日起三年时间</w:t>
            </w:r>
            <w:r>
              <w:rPr>
                <w:rFonts w:hint="eastAsia" w:ascii="宋体" w:hAnsi="宋体"/>
                <w:color w:val="auto"/>
                <w:kern w:val="0"/>
                <w:szCs w:val="21"/>
                <w:highlight w:val="none"/>
              </w:rPr>
              <w:t>。</w:t>
            </w:r>
          </w:p>
        </w:tc>
      </w:tr>
      <w:tr w14:paraId="78E06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1185" w:type="dxa"/>
            <w:vMerge w:val="continue"/>
            <w:noWrap w:val="0"/>
            <w:vAlign w:val="center"/>
          </w:tcPr>
          <w:p w14:paraId="47A90FB3">
            <w:pPr>
              <w:adjustRightInd w:val="0"/>
              <w:spacing w:line="500" w:lineRule="exact"/>
              <w:jc w:val="center"/>
              <w:rPr>
                <w:rFonts w:hint="eastAsia" w:ascii="宋体" w:hAnsi="宋体"/>
                <w:color w:val="auto"/>
                <w:kern w:val="0"/>
                <w:szCs w:val="21"/>
                <w:highlight w:val="none"/>
              </w:rPr>
            </w:pPr>
          </w:p>
        </w:tc>
        <w:tc>
          <w:tcPr>
            <w:tcW w:w="1395" w:type="dxa"/>
            <w:vMerge w:val="continue"/>
            <w:noWrap w:val="0"/>
            <w:vAlign w:val="center"/>
          </w:tcPr>
          <w:p w14:paraId="5275EBD4">
            <w:pPr>
              <w:adjustRightInd w:val="0"/>
              <w:spacing w:line="500" w:lineRule="exact"/>
              <w:jc w:val="center"/>
              <w:rPr>
                <w:rFonts w:hint="eastAsia" w:ascii="宋体" w:hAnsi="宋体"/>
                <w:color w:val="auto"/>
                <w:kern w:val="0"/>
                <w:szCs w:val="21"/>
                <w:highlight w:val="none"/>
              </w:rPr>
            </w:pPr>
          </w:p>
        </w:tc>
        <w:tc>
          <w:tcPr>
            <w:tcW w:w="7577" w:type="dxa"/>
            <w:noWrap w:val="0"/>
            <w:vAlign w:val="center"/>
          </w:tcPr>
          <w:p w14:paraId="7710C129">
            <w:pPr>
              <w:spacing w:line="500" w:lineRule="exact"/>
              <w:jc w:val="left"/>
              <w:rPr>
                <w:rFonts w:hint="eastAsia" w:ascii="宋体" w:hAnsi="宋体"/>
                <w:color w:val="auto"/>
                <w:kern w:val="0"/>
                <w:szCs w:val="21"/>
                <w:highlight w:val="none"/>
              </w:rPr>
            </w:pPr>
            <w:r>
              <w:rPr>
                <w:rFonts w:hint="eastAsia" w:ascii="宋体" w:hAnsi="宋体"/>
                <w:color w:val="auto"/>
                <w:kern w:val="0"/>
                <w:szCs w:val="21"/>
                <w:highlight w:val="none"/>
              </w:rPr>
              <w:t>应急成品粮的指定存放、轮换地点为：钦州市钦北区皇马工业园一区钦州市粮食储备库</w:t>
            </w:r>
            <w:r>
              <w:rPr>
                <w:rFonts w:hint="eastAsia" w:ascii="宋体" w:hAnsi="宋体" w:eastAsia="宋体"/>
                <w:color w:val="auto"/>
                <w:kern w:val="0"/>
                <w:szCs w:val="21"/>
                <w:highlight w:val="none"/>
                <w:lang w:val="en-US" w:eastAsia="zh-CN"/>
              </w:rPr>
              <w:t>4、5</w:t>
            </w:r>
            <w:r>
              <w:rPr>
                <w:rFonts w:hint="eastAsia" w:ascii="宋体" w:hAnsi="宋体"/>
                <w:color w:val="auto"/>
                <w:kern w:val="0"/>
                <w:szCs w:val="21"/>
                <w:highlight w:val="none"/>
              </w:rPr>
              <w:t>号仓。</w:t>
            </w:r>
          </w:p>
        </w:tc>
      </w:tr>
      <w:tr w14:paraId="28E6D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1185" w:type="dxa"/>
            <w:vMerge w:val="continue"/>
            <w:noWrap w:val="0"/>
            <w:vAlign w:val="center"/>
          </w:tcPr>
          <w:p w14:paraId="3F895454">
            <w:pPr>
              <w:adjustRightInd w:val="0"/>
              <w:spacing w:line="500" w:lineRule="exact"/>
              <w:jc w:val="center"/>
              <w:rPr>
                <w:rFonts w:hint="eastAsia" w:ascii="宋体" w:hAnsi="宋体"/>
                <w:color w:val="auto"/>
                <w:kern w:val="0"/>
                <w:szCs w:val="21"/>
                <w:highlight w:val="none"/>
              </w:rPr>
            </w:pPr>
          </w:p>
        </w:tc>
        <w:tc>
          <w:tcPr>
            <w:tcW w:w="1395" w:type="dxa"/>
            <w:vMerge w:val="restart"/>
            <w:noWrap w:val="0"/>
            <w:vAlign w:val="center"/>
          </w:tcPr>
          <w:p w14:paraId="4839ACC2">
            <w:pPr>
              <w:adjustRightInd w:val="0"/>
              <w:spacing w:line="50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费用金额</w:t>
            </w:r>
          </w:p>
          <w:p w14:paraId="3F5BDDDA">
            <w:pPr>
              <w:adjustRightInd w:val="0"/>
              <w:spacing w:line="500" w:lineRule="exact"/>
              <w:jc w:val="center"/>
              <w:rPr>
                <w:rFonts w:hint="eastAsia" w:ascii="宋体" w:hAnsi="宋体" w:cs="宋体"/>
                <w:color w:val="auto"/>
                <w:kern w:val="0"/>
                <w:szCs w:val="21"/>
                <w:highlight w:val="none"/>
              </w:rPr>
            </w:pPr>
          </w:p>
        </w:tc>
        <w:tc>
          <w:tcPr>
            <w:tcW w:w="7577" w:type="dxa"/>
            <w:noWrap w:val="0"/>
            <w:vAlign w:val="center"/>
          </w:tcPr>
          <w:p w14:paraId="53BD26FE">
            <w:pPr>
              <w:pStyle w:val="2"/>
              <w:keepNext w:val="0"/>
              <w:keepLines w:val="0"/>
              <w:pageBreakBefore w:val="0"/>
              <w:widowControl w:val="0"/>
              <w:kinsoku/>
              <w:wordWrap/>
              <w:overflowPunct/>
              <w:topLinePunct w:val="0"/>
              <w:autoSpaceDE/>
              <w:autoSpaceDN/>
              <w:bidi w:val="0"/>
              <w:adjustRightInd w:val="0"/>
              <w:snapToGrid/>
              <w:spacing w:line="460" w:lineRule="exact"/>
              <w:jc w:val="left"/>
              <w:textAlignment w:val="baseline"/>
              <w:rPr>
                <w:rFonts w:hint="eastAsia" w:ascii="宋体" w:hAnsi="宋体" w:eastAsia="Arial" w:cs="Arial"/>
                <w:snapToGrid w:val="0"/>
                <w:color w:val="auto"/>
                <w:kern w:val="0"/>
                <w:sz w:val="21"/>
                <w:szCs w:val="21"/>
                <w:highlight w:val="none"/>
                <w:lang w:val="en-US" w:eastAsia="en-US" w:bidi="ar-SA"/>
              </w:rPr>
            </w:pPr>
            <w:r>
              <w:rPr>
                <w:rFonts w:hint="eastAsia" w:ascii="宋体" w:hAnsi="宋体" w:eastAsia="Arial" w:cs="Arial"/>
                <w:snapToGrid w:val="0"/>
                <w:color w:val="auto"/>
                <w:kern w:val="0"/>
                <w:sz w:val="21"/>
                <w:szCs w:val="21"/>
                <w:highlight w:val="none"/>
                <w:lang w:val="en-US" w:eastAsia="en-US" w:bidi="ar-SA"/>
              </w:rPr>
              <w:t>（一）采购人对运营商在轮换运营中的运输装卸费、商品损耗、及轮换亏损等费用，按每年每吨</w:t>
            </w:r>
            <w:r>
              <w:rPr>
                <w:rFonts w:hint="eastAsia" w:ascii="宋体" w:hAnsi="宋体" w:eastAsia="宋体" w:cs="Arial"/>
                <w:snapToGrid w:val="0"/>
                <w:color w:val="auto"/>
                <w:kern w:val="0"/>
                <w:sz w:val="21"/>
                <w:szCs w:val="21"/>
                <w:highlight w:val="none"/>
                <w:lang w:val="en-US" w:eastAsia="zh-CN" w:bidi="ar-SA"/>
              </w:rPr>
              <w:t>肆</w:t>
            </w:r>
            <w:r>
              <w:rPr>
                <w:rFonts w:hint="eastAsia" w:ascii="宋体" w:hAnsi="宋体" w:eastAsia="Arial" w:cs="Arial"/>
                <w:snapToGrid w:val="0"/>
                <w:color w:val="auto"/>
                <w:kern w:val="0"/>
                <w:sz w:val="21"/>
                <w:szCs w:val="21"/>
                <w:highlight w:val="none"/>
                <w:lang w:val="en-US" w:eastAsia="en-US" w:bidi="ar-SA"/>
              </w:rPr>
              <w:t>佰叁拾元整（</w:t>
            </w:r>
            <w:r>
              <w:rPr>
                <w:rFonts w:hint="default" w:ascii="Arial" w:hAnsi="Arial" w:eastAsia="Arial" w:cs="Arial"/>
                <w:snapToGrid w:val="0"/>
                <w:color w:val="auto"/>
                <w:kern w:val="0"/>
                <w:sz w:val="21"/>
                <w:szCs w:val="21"/>
                <w:highlight w:val="none"/>
                <w:lang w:val="en-US" w:eastAsia="en-US" w:bidi="ar-SA"/>
              </w:rPr>
              <w:t>¥</w:t>
            </w:r>
            <w:r>
              <w:rPr>
                <w:rFonts w:hint="eastAsia" w:ascii="宋体" w:hAnsi="宋体" w:eastAsia="宋体" w:cs="Arial"/>
                <w:snapToGrid w:val="0"/>
                <w:color w:val="auto"/>
                <w:kern w:val="0"/>
                <w:sz w:val="21"/>
                <w:szCs w:val="21"/>
                <w:highlight w:val="none"/>
                <w:lang w:val="en-US" w:eastAsia="zh-CN" w:bidi="ar-SA"/>
              </w:rPr>
              <w:t>430</w:t>
            </w:r>
            <w:r>
              <w:rPr>
                <w:rFonts w:hint="eastAsia" w:ascii="宋体" w:hAnsi="宋体" w:eastAsia="Arial" w:cs="Arial"/>
                <w:snapToGrid w:val="0"/>
                <w:color w:val="auto"/>
                <w:kern w:val="0"/>
                <w:sz w:val="21"/>
                <w:szCs w:val="21"/>
                <w:highlight w:val="none"/>
                <w:lang w:val="en-US" w:eastAsia="en-US" w:bidi="ar-SA"/>
              </w:rPr>
              <w:t>元/吨</w:t>
            </w:r>
            <w:r>
              <w:rPr>
                <w:rFonts w:hint="eastAsia" w:ascii="微软雅黑" w:hAnsi="微软雅黑" w:eastAsia="微软雅黑" w:cs="微软雅黑"/>
                <w:snapToGrid w:val="0"/>
                <w:color w:val="auto"/>
                <w:kern w:val="0"/>
                <w:sz w:val="21"/>
                <w:szCs w:val="21"/>
                <w:highlight w:val="none"/>
                <w:lang w:val="en-US" w:eastAsia="en-US" w:bidi="ar-SA"/>
              </w:rPr>
              <w:t>·</w:t>
            </w:r>
            <w:r>
              <w:rPr>
                <w:rFonts w:hint="eastAsia" w:ascii="宋体" w:hAnsi="宋体" w:eastAsia="宋体" w:cs="Arial"/>
                <w:snapToGrid w:val="0"/>
                <w:color w:val="auto"/>
                <w:kern w:val="0"/>
                <w:sz w:val="21"/>
                <w:szCs w:val="21"/>
                <w:highlight w:val="none"/>
                <w:lang w:val="en-US" w:eastAsia="zh-CN" w:bidi="ar-SA"/>
              </w:rPr>
              <w:t>年</w:t>
            </w:r>
            <w:r>
              <w:rPr>
                <w:rFonts w:hint="eastAsia" w:ascii="宋体" w:hAnsi="宋体" w:eastAsia="Arial" w:cs="Arial"/>
                <w:snapToGrid w:val="0"/>
                <w:color w:val="auto"/>
                <w:kern w:val="0"/>
                <w:sz w:val="21"/>
                <w:szCs w:val="21"/>
                <w:highlight w:val="none"/>
                <w:lang w:val="en-US" w:eastAsia="en-US" w:bidi="ar-SA"/>
              </w:rPr>
              <w:t>）的标准实行定额包干补贴（轮换运营服务费），</w:t>
            </w:r>
            <w:r>
              <w:rPr>
                <w:rFonts w:hint="eastAsia" w:ascii="宋体" w:hAnsi="宋体" w:eastAsia="宋体" w:cs="Arial"/>
                <w:snapToGrid w:val="0"/>
                <w:color w:val="auto"/>
                <w:kern w:val="0"/>
                <w:sz w:val="21"/>
                <w:szCs w:val="21"/>
                <w:highlight w:val="none"/>
                <w:lang w:val="en-US" w:eastAsia="zh-CN" w:bidi="ar-SA"/>
              </w:rPr>
              <w:t>三</w:t>
            </w:r>
            <w:r>
              <w:rPr>
                <w:rFonts w:hint="eastAsia" w:ascii="宋体" w:hAnsi="宋体" w:eastAsia="Arial" w:cs="Arial"/>
                <w:snapToGrid w:val="0"/>
                <w:color w:val="auto"/>
                <w:kern w:val="0"/>
                <w:sz w:val="21"/>
                <w:szCs w:val="21"/>
                <w:highlight w:val="none"/>
                <w:lang w:val="en-US" w:eastAsia="en-US" w:bidi="ar-SA"/>
              </w:rPr>
              <w:t>年共</w:t>
            </w:r>
            <w:r>
              <w:rPr>
                <w:rFonts w:hint="eastAsia" w:ascii="宋体" w:hAnsi="宋体" w:cs="Arial"/>
                <w:snapToGrid w:val="0"/>
                <w:color w:val="auto"/>
                <w:kern w:val="0"/>
                <w:sz w:val="21"/>
                <w:szCs w:val="21"/>
                <w:highlight w:val="none"/>
                <w:lang w:val="en-US" w:eastAsia="zh-CN" w:bidi="ar-SA"/>
              </w:rPr>
              <w:t>77.4</w:t>
            </w:r>
            <w:r>
              <w:rPr>
                <w:rFonts w:hint="eastAsia" w:ascii="宋体" w:hAnsi="宋体" w:eastAsia="Arial" w:cs="Arial"/>
                <w:snapToGrid w:val="0"/>
                <w:color w:val="auto"/>
                <w:kern w:val="0"/>
                <w:sz w:val="21"/>
                <w:szCs w:val="21"/>
                <w:highlight w:val="none"/>
                <w:lang w:val="en-US" w:eastAsia="en-US" w:bidi="ar-SA"/>
              </w:rPr>
              <w:t>万元。</w:t>
            </w:r>
          </w:p>
          <w:p w14:paraId="0A49E0BE">
            <w:pPr>
              <w:pStyle w:val="2"/>
              <w:keepNext w:val="0"/>
              <w:keepLines w:val="0"/>
              <w:pageBreakBefore w:val="0"/>
              <w:widowControl w:val="0"/>
              <w:kinsoku/>
              <w:wordWrap/>
              <w:overflowPunct/>
              <w:topLinePunct w:val="0"/>
              <w:autoSpaceDE/>
              <w:autoSpaceDN/>
              <w:bidi w:val="0"/>
              <w:adjustRightInd w:val="0"/>
              <w:snapToGrid/>
              <w:spacing w:line="460" w:lineRule="exact"/>
              <w:ind w:firstLine="420" w:firstLineChars="200"/>
              <w:jc w:val="left"/>
              <w:textAlignment w:val="baseline"/>
              <w:rPr>
                <w:rFonts w:hint="eastAsia" w:ascii="宋体" w:hAnsi="宋体" w:eastAsia="Arial" w:cs="Arial"/>
                <w:snapToGrid w:val="0"/>
                <w:color w:val="auto"/>
                <w:kern w:val="0"/>
                <w:sz w:val="21"/>
                <w:szCs w:val="21"/>
                <w:highlight w:val="none"/>
                <w:lang w:val="en-US" w:eastAsia="en-US" w:bidi="ar-SA"/>
              </w:rPr>
            </w:pPr>
            <w:r>
              <w:rPr>
                <w:rFonts w:hint="eastAsia" w:ascii="宋体" w:hAnsi="宋体" w:eastAsia="宋体" w:cs="宋体"/>
                <w:color w:val="auto"/>
                <w:kern w:val="2"/>
                <w:sz w:val="21"/>
                <w:szCs w:val="21"/>
                <w:highlight w:val="none"/>
                <w:lang w:val="en-US" w:eastAsia="zh-CN" w:bidi="ar-SA"/>
              </w:rPr>
              <w:t>原则上每年轮换4次</w:t>
            </w:r>
            <w:r>
              <w:rPr>
                <w:rFonts w:hint="eastAsia" w:ascii="宋体" w:hAnsi="宋体" w:cs="宋体"/>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也可以根据品质状况和市场销售需要适时进行轮换，确保质量合格，品质良好</w:t>
            </w:r>
            <w:r>
              <w:rPr>
                <w:rFonts w:hint="eastAsia" w:ascii="宋体" w:hAnsi="宋体" w:cs="宋体"/>
                <w:color w:val="auto"/>
                <w:kern w:val="2"/>
                <w:sz w:val="21"/>
                <w:szCs w:val="21"/>
                <w:highlight w:val="none"/>
                <w:lang w:val="en-US" w:eastAsia="zh-CN" w:bidi="ar-SA"/>
              </w:rPr>
              <w:t>。三年合同期内轮换次数不低于12次，超过12次的按照12次结算</w:t>
            </w:r>
            <w:r>
              <w:rPr>
                <w:rFonts w:hint="eastAsia" w:ascii="宋体" w:hAnsi="宋体" w:eastAsia="宋体" w:cs="宋体"/>
                <w:color w:val="auto"/>
                <w:kern w:val="2"/>
                <w:sz w:val="21"/>
                <w:szCs w:val="21"/>
                <w:highlight w:val="none"/>
                <w:lang w:val="en-US" w:eastAsia="zh-CN" w:bidi="ar-SA"/>
              </w:rPr>
              <w:t>。</w:t>
            </w:r>
            <w:r>
              <w:rPr>
                <w:rFonts w:hint="eastAsia" w:ascii="宋体" w:hAnsi="宋体" w:eastAsia="Arial" w:cs="Arial"/>
                <w:snapToGrid w:val="0"/>
                <w:color w:val="auto"/>
                <w:kern w:val="0"/>
                <w:sz w:val="21"/>
                <w:szCs w:val="21"/>
                <w:highlight w:val="none"/>
                <w:lang w:val="en-US" w:eastAsia="en-US" w:bidi="ar-SA"/>
              </w:rPr>
              <w:t>轮换运营服务费按实际轮换次数</w:t>
            </w:r>
            <w:r>
              <w:rPr>
                <w:rFonts w:hint="eastAsia" w:ascii="宋体" w:hAnsi="宋体" w:eastAsia="宋体" w:cs="Arial"/>
                <w:snapToGrid w:val="0"/>
                <w:color w:val="auto"/>
                <w:kern w:val="0"/>
                <w:sz w:val="21"/>
                <w:szCs w:val="21"/>
                <w:highlight w:val="none"/>
                <w:lang w:val="en-US" w:eastAsia="zh-CN" w:bidi="ar-SA"/>
              </w:rPr>
              <w:t>结算，</w:t>
            </w:r>
            <w:r>
              <w:rPr>
                <w:rFonts w:hint="eastAsia" w:ascii="宋体" w:hAnsi="宋体" w:eastAsia="Arial" w:cs="Arial"/>
                <w:snapToGrid w:val="0"/>
                <w:color w:val="auto"/>
                <w:kern w:val="0"/>
                <w:sz w:val="21"/>
                <w:szCs w:val="21"/>
                <w:highlight w:val="none"/>
                <w:lang w:val="en-US" w:eastAsia="en-US" w:bidi="ar-SA"/>
              </w:rPr>
              <w:t>每半年一结</w:t>
            </w:r>
            <w:r>
              <w:rPr>
                <w:rFonts w:hint="eastAsia" w:ascii="宋体" w:hAnsi="宋体" w:eastAsia="宋体" w:cs="Arial"/>
                <w:snapToGrid w:val="0"/>
                <w:color w:val="auto"/>
                <w:kern w:val="0"/>
                <w:sz w:val="21"/>
                <w:szCs w:val="21"/>
                <w:highlight w:val="none"/>
                <w:lang w:val="en-US" w:eastAsia="zh-CN" w:bidi="ar-SA"/>
              </w:rPr>
              <w:t>。</w:t>
            </w:r>
            <w:r>
              <w:rPr>
                <w:rFonts w:hint="eastAsia" w:ascii="宋体" w:hAnsi="宋体" w:eastAsia="Arial" w:cs="Arial"/>
                <w:snapToGrid w:val="0"/>
                <w:color w:val="auto"/>
                <w:kern w:val="0"/>
                <w:sz w:val="21"/>
                <w:szCs w:val="21"/>
                <w:highlight w:val="none"/>
                <w:lang w:val="en-US" w:eastAsia="en-US" w:bidi="ar-SA"/>
              </w:rPr>
              <w:t>每次拨付</w:t>
            </w:r>
            <w:r>
              <w:rPr>
                <w:rFonts w:hint="eastAsia" w:ascii="宋体" w:hAnsi="宋体" w:eastAsia="宋体" w:cs="Arial"/>
                <w:snapToGrid w:val="0"/>
                <w:color w:val="auto"/>
                <w:kern w:val="0"/>
                <w:sz w:val="21"/>
                <w:szCs w:val="21"/>
                <w:highlight w:val="none"/>
                <w:lang w:val="en-US" w:eastAsia="zh-CN" w:bidi="ar-SA"/>
              </w:rPr>
              <w:t>金</w:t>
            </w:r>
            <w:r>
              <w:rPr>
                <w:rFonts w:hint="eastAsia" w:ascii="宋体" w:hAnsi="宋体" w:eastAsia="Arial" w:cs="Arial"/>
                <w:snapToGrid w:val="0"/>
                <w:color w:val="auto"/>
                <w:kern w:val="0"/>
                <w:sz w:val="21"/>
                <w:szCs w:val="21"/>
                <w:highlight w:val="none"/>
                <w:lang w:val="en-US" w:eastAsia="en-US" w:bidi="ar-SA"/>
              </w:rPr>
              <w:t>额为：</w:t>
            </w:r>
            <w:r>
              <w:rPr>
                <w:rFonts w:hint="eastAsia" w:ascii="宋体" w:hAnsi="宋体" w:eastAsia="宋体" w:cs="Arial"/>
                <w:snapToGrid w:val="0"/>
                <w:color w:val="auto"/>
                <w:kern w:val="0"/>
                <w:sz w:val="21"/>
                <w:szCs w:val="21"/>
                <w:highlight w:val="none"/>
                <w:lang w:val="en-US" w:eastAsia="zh-CN" w:bidi="ar-SA"/>
              </w:rPr>
              <w:t>三年</w:t>
            </w:r>
            <w:r>
              <w:rPr>
                <w:rFonts w:hint="eastAsia" w:ascii="宋体" w:hAnsi="宋体" w:eastAsia="Arial" w:cs="Arial"/>
                <w:snapToGrid w:val="0"/>
                <w:color w:val="auto"/>
                <w:kern w:val="0"/>
                <w:sz w:val="21"/>
                <w:szCs w:val="21"/>
                <w:highlight w:val="none"/>
                <w:lang w:val="en-US" w:eastAsia="en-US" w:bidi="ar-SA"/>
              </w:rPr>
              <w:t>运营</w:t>
            </w:r>
            <w:r>
              <w:rPr>
                <w:rFonts w:hint="eastAsia" w:ascii="宋体" w:hAnsi="宋体" w:eastAsia="宋体" w:cs="Arial"/>
                <w:snapToGrid w:val="0"/>
                <w:color w:val="auto"/>
                <w:kern w:val="0"/>
                <w:sz w:val="21"/>
                <w:szCs w:val="21"/>
                <w:highlight w:val="none"/>
                <w:lang w:val="en-US" w:eastAsia="zh-CN" w:bidi="ar-SA"/>
              </w:rPr>
              <w:t>轮换费总额</w:t>
            </w:r>
            <w:r>
              <w:rPr>
                <w:rFonts w:hint="eastAsia" w:ascii="宋体" w:hAnsi="宋体" w:eastAsia="Arial" w:cs="Arial"/>
                <w:snapToGrid w:val="0"/>
                <w:color w:val="auto"/>
                <w:kern w:val="0"/>
                <w:sz w:val="21"/>
                <w:szCs w:val="21"/>
                <w:highlight w:val="none"/>
                <w:lang w:val="en-US" w:eastAsia="en-US" w:bidi="ar-SA"/>
              </w:rPr>
              <w:t>÷</w:t>
            </w:r>
            <w:r>
              <w:rPr>
                <w:rFonts w:hint="eastAsia" w:ascii="宋体" w:hAnsi="宋体" w:eastAsia="宋体" w:cs="Arial"/>
                <w:snapToGrid w:val="0"/>
                <w:color w:val="auto"/>
                <w:kern w:val="0"/>
                <w:sz w:val="21"/>
                <w:szCs w:val="21"/>
                <w:highlight w:val="none"/>
                <w:lang w:val="en-US" w:eastAsia="zh-CN" w:bidi="ar-SA"/>
              </w:rPr>
              <w:t>12</w:t>
            </w:r>
            <w:r>
              <w:rPr>
                <w:rFonts w:hint="eastAsia" w:ascii="宋体" w:hAnsi="宋体" w:eastAsia="Arial" w:cs="Arial"/>
                <w:snapToGrid w:val="0"/>
                <w:color w:val="auto"/>
                <w:kern w:val="0"/>
                <w:sz w:val="21"/>
                <w:szCs w:val="21"/>
                <w:highlight w:val="none"/>
                <w:lang w:val="en-US" w:eastAsia="en-US" w:bidi="ar-SA"/>
              </w:rPr>
              <w:t>×</w:t>
            </w:r>
            <w:r>
              <w:rPr>
                <w:rFonts w:hint="eastAsia" w:ascii="宋体" w:hAnsi="宋体" w:eastAsia="宋体" w:cs="Arial"/>
                <w:snapToGrid w:val="0"/>
                <w:color w:val="auto"/>
                <w:kern w:val="0"/>
                <w:sz w:val="21"/>
                <w:szCs w:val="21"/>
                <w:highlight w:val="none"/>
                <w:lang w:val="en-US" w:eastAsia="zh-CN" w:bidi="ar-SA"/>
              </w:rPr>
              <w:t>本期实际</w:t>
            </w:r>
            <w:r>
              <w:rPr>
                <w:rFonts w:hint="eastAsia" w:ascii="宋体" w:hAnsi="宋体" w:eastAsia="Arial" w:cs="Arial"/>
                <w:snapToGrid w:val="0"/>
                <w:color w:val="auto"/>
                <w:kern w:val="0"/>
                <w:sz w:val="21"/>
                <w:szCs w:val="21"/>
                <w:highlight w:val="none"/>
                <w:lang w:val="en-US" w:eastAsia="en-US" w:bidi="ar-SA"/>
              </w:rPr>
              <w:t>轮换次数，日常轮换如产生价差及其他损失，由运营商自行负担。</w:t>
            </w:r>
          </w:p>
        </w:tc>
      </w:tr>
      <w:tr w14:paraId="2B50B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85" w:type="dxa"/>
            <w:vMerge w:val="continue"/>
            <w:noWrap w:val="0"/>
            <w:vAlign w:val="center"/>
          </w:tcPr>
          <w:p w14:paraId="6CCEED78">
            <w:pPr>
              <w:adjustRightInd w:val="0"/>
              <w:spacing w:line="500" w:lineRule="exact"/>
              <w:jc w:val="center"/>
              <w:rPr>
                <w:rFonts w:hint="eastAsia" w:ascii="宋体" w:hAnsi="宋体"/>
                <w:color w:val="auto"/>
                <w:kern w:val="0"/>
                <w:szCs w:val="21"/>
                <w:highlight w:val="none"/>
              </w:rPr>
            </w:pPr>
          </w:p>
        </w:tc>
        <w:tc>
          <w:tcPr>
            <w:tcW w:w="1395" w:type="dxa"/>
            <w:vMerge w:val="continue"/>
            <w:noWrap w:val="0"/>
            <w:vAlign w:val="center"/>
          </w:tcPr>
          <w:p w14:paraId="24C59312">
            <w:pPr>
              <w:adjustRightInd w:val="0"/>
              <w:spacing w:line="500" w:lineRule="exact"/>
              <w:jc w:val="center"/>
              <w:rPr>
                <w:rFonts w:hint="eastAsia" w:ascii="宋体" w:hAnsi="宋体" w:cs="宋体"/>
                <w:color w:val="auto"/>
                <w:kern w:val="0"/>
                <w:szCs w:val="21"/>
                <w:highlight w:val="none"/>
              </w:rPr>
            </w:pPr>
          </w:p>
        </w:tc>
        <w:tc>
          <w:tcPr>
            <w:tcW w:w="7577" w:type="dxa"/>
            <w:noWrap w:val="0"/>
            <w:vAlign w:val="center"/>
          </w:tcPr>
          <w:p w14:paraId="4A46860E">
            <w:pPr>
              <w:pStyle w:val="2"/>
              <w:keepNext w:val="0"/>
              <w:keepLines w:val="0"/>
              <w:pageBreakBefore w:val="0"/>
              <w:widowControl w:val="0"/>
              <w:numPr>
                <w:ilvl w:val="0"/>
                <w:numId w:val="1"/>
              </w:numPr>
              <w:kinsoku/>
              <w:wordWrap/>
              <w:overflowPunct/>
              <w:topLinePunct w:val="0"/>
              <w:autoSpaceDE/>
              <w:autoSpaceDN/>
              <w:bidi w:val="0"/>
              <w:adjustRightInd w:val="0"/>
              <w:snapToGrid/>
              <w:spacing w:line="460" w:lineRule="exact"/>
              <w:jc w:val="left"/>
              <w:textAlignment w:val="baseline"/>
              <w:rPr>
                <w:rFonts w:hint="eastAsia" w:ascii="宋体" w:hAnsi="宋体" w:eastAsia="Arial" w:cs="Arial"/>
                <w:snapToGrid w:val="0"/>
                <w:color w:val="auto"/>
                <w:kern w:val="0"/>
                <w:sz w:val="21"/>
                <w:szCs w:val="21"/>
                <w:highlight w:val="none"/>
                <w:lang w:val="en-US" w:eastAsia="en-US" w:bidi="ar-SA"/>
              </w:rPr>
            </w:pPr>
            <w:r>
              <w:rPr>
                <w:rFonts w:hint="eastAsia" w:ascii="宋体" w:hAnsi="宋体" w:eastAsia="Arial" w:cs="Arial"/>
                <w:snapToGrid w:val="0"/>
                <w:color w:val="auto"/>
                <w:kern w:val="0"/>
                <w:sz w:val="21"/>
                <w:szCs w:val="21"/>
                <w:highlight w:val="none"/>
                <w:lang w:val="en-US" w:eastAsia="en-US" w:bidi="ar-SA"/>
              </w:rPr>
              <w:t>采购人按钦州市发展和改革委员会、市财政局、农发行钦州市分行三部门核定价格提供</w:t>
            </w:r>
            <w:r>
              <w:rPr>
                <w:rFonts w:hint="eastAsia" w:ascii="宋体" w:hAnsi="宋体" w:eastAsia="宋体" w:cs="Arial"/>
                <w:snapToGrid w:val="0"/>
                <w:color w:val="auto"/>
                <w:kern w:val="0"/>
                <w:sz w:val="21"/>
                <w:szCs w:val="21"/>
                <w:highlight w:val="none"/>
                <w:lang w:val="en-US" w:eastAsia="zh-CN" w:bidi="ar-SA"/>
              </w:rPr>
              <w:t>600</w:t>
            </w:r>
            <w:r>
              <w:rPr>
                <w:rFonts w:hint="eastAsia" w:ascii="宋体" w:hAnsi="宋体" w:eastAsia="Arial" w:cs="Arial"/>
                <w:snapToGrid w:val="0"/>
                <w:color w:val="auto"/>
                <w:kern w:val="0"/>
                <w:sz w:val="21"/>
                <w:szCs w:val="21"/>
                <w:highlight w:val="none"/>
                <w:lang w:val="en-US" w:eastAsia="en-US" w:bidi="ar-SA"/>
              </w:rPr>
              <w:t>吨成品粮采购资金共</w:t>
            </w:r>
            <w:r>
              <w:rPr>
                <w:rFonts w:hint="eastAsia" w:ascii="宋体" w:hAnsi="宋体" w:eastAsia="Arial" w:cs="Arial"/>
                <w:snapToGrid w:val="0"/>
                <w:color w:val="auto"/>
                <w:kern w:val="0"/>
                <w:sz w:val="21"/>
                <w:szCs w:val="21"/>
                <w:highlight w:val="none"/>
                <w:lang w:val="en-US" w:eastAsia="zh-CN" w:bidi="ar-SA"/>
              </w:rPr>
              <w:t>228</w:t>
            </w:r>
            <w:r>
              <w:rPr>
                <w:rFonts w:hint="eastAsia" w:ascii="宋体" w:hAnsi="宋体" w:eastAsia="Arial" w:cs="Arial"/>
                <w:snapToGrid w:val="0"/>
                <w:color w:val="auto"/>
                <w:kern w:val="0"/>
                <w:sz w:val="21"/>
                <w:szCs w:val="21"/>
                <w:highlight w:val="none"/>
                <w:lang w:val="en-US" w:eastAsia="en-US" w:bidi="ar-SA"/>
              </w:rPr>
              <w:t>万元。运营商</w:t>
            </w:r>
            <w:r>
              <w:rPr>
                <w:rFonts w:hint="eastAsia" w:ascii="宋体" w:hAnsi="宋体" w:eastAsia="宋体" w:cs="Arial"/>
                <w:snapToGrid w:val="0"/>
                <w:color w:val="auto"/>
                <w:kern w:val="0"/>
                <w:sz w:val="21"/>
                <w:szCs w:val="21"/>
                <w:highlight w:val="none"/>
                <w:lang w:val="en-US" w:eastAsia="zh-CN" w:bidi="ar-SA"/>
              </w:rPr>
              <w:t>中标后第一次</w:t>
            </w:r>
            <w:r>
              <w:rPr>
                <w:rFonts w:hint="eastAsia" w:ascii="宋体" w:hAnsi="宋体" w:eastAsia="Arial" w:cs="Arial"/>
                <w:snapToGrid w:val="0"/>
                <w:color w:val="auto"/>
                <w:kern w:val="0"/>
                <w:sz w:val="21"/>
                <w:szCs w:val="21"/>
                <w:highlight w:val="none"/>
                <w:lang w:val="en-US" w:eastAsia="en-US" w:bidi="ar-SA"/>
              </w:rPr>
              <w:t>采购入仓的应急成品粮数量</w:t>
            </w:r>
            <w:r>
              <w:rPr>
                <w:rFonts w:hint="eastAsia" w:ascii="宋体" w:hAnsi="宋体" w:eastAsia="宋体" w:cs="Arial"/>
                <w:snapToGrid w:val="0"/>
                <w:color w:val="auto"/>
                <w:kern w:val="0"/>
                <w:sz w:val="21"/>
                <w:szCs w:val="21"/>
                <w:highlight w:val="none"/>
                <w:lang w:val="en-US" w:eastAsia="zh-CN" w:bidi="ar-SA"/>
              </w:rPr>
              <w:t>为600</w:t>
            </w:r>
            <w:r>
              <w:rPr>
                <w:rFonts w:hint="eastAsia" w:ascii="宋体" w:hAnsi="宋体" w:eastAsia="Arial" w:cs="Arial"/>
                <w:snapToGrid w:val="0"/>
                <w:color w:val="auto"/>
                <w:kern w:val="0"/>
                <w:sz w:val="21"/>
                <w:szCs w:val="21"/>
                <w:highlight w:val="none"/>
                <w:lang w:val="en-US" w:eastAsia="en-US" w:bidi="ar-SA"/>
              </w:rPr>
              <w:t>吨，且每吨采购价格不能低于3</w:t>
            </w:r>
            <w:r>
              <w:rPr>
                <w:rFonts w:hint="eastAsia" w:ascii="宋体" w:hAnsi="宋体" w:eastAsia="Arial" w:cs="Arial"/>
                <w:snapToGrid w:val="0"/>
                <w:color w:val="auto"/>
                <w:kern w:val="0"/>
                <w:sz w:val="21"/>
                <w:szCs w:val="21"/>
                <w:highlight w:val="none"/>
                <w:lang w:val="en-US" w:eastAsia="zh-CN" w:bidi="ar-SA"/>
              </w:rPr>
              <w:t>800</w:t>
            </w:r>
            <w:r>
              <w:rPr>
                <w:rFonts w:hint="eastAsia" w:ascii="宋体" w:hAnsi="宋体" w:eastAsia="Arial" w:cs="Arial"/>
                <w:snapToGrid w:val="0"/>
                <w:color w:val="auto"/>
                <w:kern w:val="0"/>
                <w:sz w:val="21"/>
                <w:szCs w:val="21"/>
                <w:highlight w:val="none"/>
                <w:lang w:val="en-US" w:eastAsia="en-US" w:bidi="ar-SA"/>
              </w:rPr>
              <w:t xml:space="preserve">元。  </w:t>
            </w:r>
          </w:p>
        </w:tc>
      </w:tr>
      <w:tr w14:paraId="5D7BA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185" w:type="dxa"/>
            <w:vMerge w:val="continue"/>
            <w:noWrap w:val="0"/>
            <w:vAlign w:val="center"/>
          </w:tcPr>
          <w:p w14:paraId="645B0093">
            <w:pPr>
              <w:pStyle w:val="2"/>
              <w:keepNext w:val="0"/>
              <w:keepLines w:val="0"/>
              <w:pageBreakBefore w:val="0"/>
              <w:widowControl w:val="0"/>
              <w:kinsoku/>
              <w:wordWrap/>
              <w:overflowPunct/>
              <w:topLinePunct w:val="0"/>
              <w:autoSpaceDE/>
              <w:autoSpaceDN/>
              <w:bidi w:val="0"/>
              <w:adjustRightInd w:val="0"/>
              <w:snapToGrid/>
              <w:spacing w:line="460" w:lineRule="exact"/>
              <w:textAlignment w:val="baseline"/>
              <w:rPr>
                <w:color w:val="auto"/>
                <w:highlight w:val="none"/>
              </w:rPr>
            </w:pPr>
          </w:p>
        </w:tc>
        <w:tc>
          <w:tcPr>
            <w:tcW w:w="1395" w:type="dxa"/>
            <w:vMerge w:val="continue"/>
            <w:noWrap w:val="0"/>
            <w:vAlign w:val="center"/>
          </w:tcPr>
          <w:p w14:paraId="29E9B675">
            <w:pPr>
              <w:pStyle w:val="2"/>
              <w:keepNext w:val="0"/>
              <w:keepLines w:val="0"/>
              <w:pageBreakBefore w:val="0"/>
              <w:widowControl w:val="0"/>
              <w:kinsoku/>
              <w:wordWrap/>
              <w:overflowPunct/>
              <w:topLinePunct w:val="0"/>
              <w:autoSpaceDE/>
              <w:autoSpaceDN/>
              <w:bidi w:val="0"/>
              <w:adjustRightInd w:val="0"/>
              <w:snapToGrid/>
              <w:spacing w:line="460" w:lineRule="exact"/>
              <w:textAlignment w:val="baseline"/>
              <w:rPr>
                <w:color w:val="auto"/>
                <w:highlight w:val="none"/>
              </w:rPr>
            </w:pPr>
          </w:p>
        </w:tc>
        <w:tc>
          <w:tcPr>
            <w:tcW w:w="7577" w:type="dxa"/>
            <w:noWrap w:val="0"/>
            <w:vAlign w:val="center"/>
          </w:tcPr>
          <w:p w14:paraId="692FB257">
            <w:pPr>
              <w:pStyle w:val="2"/>
              <w:keepNext w:val="0"/>
              <w:keepLines w:val="0"/>
              <w:pageBreakBefore w:val="0"/>
              <w:widowControl w:val="0"/>
              <w:numPr>
                <w:ilvl w:val="0"/>
                <w:numId w:val="0"/>
              </w:numPr>
              <w:kinsoku/>
              <w:wordWrap/>
              <w:overflowPunct/>
              <w:topLinePunct w:val="0"/>
              <w:autoSpaceDE/>
              <w:autoSpaceDN/>
              <w:bidi w:val="0"/>
              <w:adjustRightInd w:val="0"/>
              <w:snapToGrid/>
              <w:spacing w:line="460" w:lineRule="exact"/>
              <w:jc w:val="left"/>
              <w:textAlignment w:val="baseline"/>
              <w:rPr>
                <w:rFonts w:hint="eastAsia" w:ascii="宋体" w:hAnsi="宋体" w:eastAsia="Arial" w:cs="Arial"/>
                <w:snapToGrid w:val="0"/>
                <w:color w:val="auto"/>
                <w:kern w:val="0"/>
                <w:sz w:val="21"/>
                <w:szCs w:val="21"/>
                <w:highlight w:val="none"/>
                <w:lang w:val="en-US" w:eastAsia="zh-CN" w:bidi="ar-SA"/>
              </w:rPr>
            </w:pPr>
            <w:r>
              <w:rPr>
                <w:rFonts w:hint="eastAsia" w:ascii="宋体" w:hAnsi="宋体" w:eastAsia="Arial" w:cs="Arial"/>
                <w:snapToGrid w:val="0"/>
                <w:color w:val="auto"/>
                <w:kern w:val="0"/>
                <w:sz w:val="21"/>
                <w:szCs w:val="21"/>
                <w:highlight w:val="none"/>
                <w:lang w:val="en-US" w:eastAsia="zh-CN" w:bidi="ar-SA"/>
              </w:rPr>
              <w:t>（三）运营商要按中标项目总金额2%的比例，向采购人缴纳履约保证金，运营合同结束后，归还采购人所提供的应急成品粮采购资金后，采购人如数归还运营商运营履约保证金。</w:t>
            </w:r>
          </w:p>
        </w:tc>
      </w:tr>
      <w:tr w14:paraId="163A5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1185" w:type="dxa"/>
            <w:vMerge w:val="continue"/>
            <w:noWrap w:val="0"/>
            <w:vAlign w:val="center"/>
          </w:tcPr>
          <w:p w14:paraId="255111DF">
            <w:pPr>
              <w:pStyle w:val="3"/>
              <w:rPr>
                <w:color w:val="auto"/>
                <w:highlight w:val="none"/>
              </w:rPr>
            </w:pPr>
          </w:p>
        </w:tc>
        <w:tc>
          <w:tcPr>
            <w:tcW w:w="1395" w:type="dxa"/>
            <w:vMerge w:val="continue"/>
            <w:noWrap w:val="0"/>
            <w:vAlign w:val="center"/>
          </w:tcPr>
          <w:p w14:paraId="3DB04728">
            <w:pPr>
              <w:pStyle w:val="3"/>
              <w:rPr>
                <w:color w:val="auto"/>
                <w:highlight w:val="none"/>
              </w:rPr>
            </w:pPr>
          </w:p>
        </w:tc>
        <w:tc>
          <w:tcPr>
            <w:tcW w:w="7577" w:type="dxa"/>
            <w:noWrap w:val="0"/>
            <w:vAlign w:val="center"/>
          </w:tcPr>
          <w:p w14:paraId="2FF46862">
            <w:pPr>
              <w:pStyle w:val="3"/>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Arial" w:cs="Arial"/>
                <w:snapToGrid w:val="0"/>
                <w:color w:val="auto"/>
                <w:kern w:val="0"/>
                <w:sz w:val="21"/>
                <w:szCs w:val="21"/>
                <w:highlight w:val="none"/>
                <w:lang w:val="en-US" w:eastAsia="en-US" w:bidi="ar-SA"/>
              </w:rPr>
            </w:pPr>
            <w:r>
              <w:rPr>
                <w:rFonts w:hint="eastAsia" w:ascii="宋体" w:hAnsi="宋体" w:eastAsia="Arial" w:cs="Arial"/>
                <w:snapToGrid w:val="0"/>
                <w:color w:val="auto"/>
                <w:kern w:val="0"/>
                <w:sz w:val="21"/>
                <w:szCs w:val="21"/>
                <w:highlight w:val="none"/>
                <w:lang w:val="en-US" w:eastAsia="zh-CN" w:bidi="ar-SA"/>
              </w:rPr>
              <w:t>（四）合同期限届满或采购人</w:t>
            </w:r>
            <w:r>
              <w:rPr>
                <w:rFonts w:hint="eastAsia" w:ascii="宋体" w:hAnsi="宋体" w:cs="Arial"/>
                <w:snapToGrid w:val="0"/>
                <w:color w:val="auto"/>
                <w:kern w:val="0"/>
                <w:sz w:val="21"/>
                <w:szCs w:val="21"/>
                <w:highlight w:val="none"/>
                <w:lang w:val="en-US" w:eastAsia="zh-CN" w:bidi="ar-SA"/>
              </w:rPr>
              <w:t>（</w:t>
            </w:r>
            <w:r>
              <w:rPr>
                <w:rFonts w:hint="eastAsia" w:ascii="宋体" w:hAnsi="宋体" w:eastAsia="Arial" w:cs="Arial"/>
                <w:snapToGrid w:val="0"/>
                <w:color w:val="auto"/>
                <w:kern w:val="0"/>
                <w:sz w:val="21"/>
                <w:szCs w:val="21"/>
                <w:highlight w:val="none"/>
                <w:lang w:val="en-US" w:eastAsia="zh-CN" w:bidi="ar-SA"/>
              </w:rPr>
              <w:t>运营商</w:t>
            </w:r>
            <w:r>
              <w:rPr>
                <w:rFonts w:hint="eastAsia" w:ascii="宋体" w:hAnsi="宋体" w:cs="Arial"/>
                <w:snapToGrid w:val="0"/>
                <w:color w:val="auto"/>
                <w:kern w:val="0"/>
                <w:sz w:val="21"/>
                <w:szCs w:val="21"/>
                <w:highlight w:val="none"/>
                <w:lang w:val="en-US" w:eastAsia="zh-CN" w:bidi="ar-SA"/>
              </w:rPr>
              <w:t>）</w:t>
            </w:r>
            <w:r>
              <w:rPr>
                <w:rFonts w:hint="eastAsia" w:ascii="宋体" w:hAnsi="宋体" w:eastAsia="Arial" w:cs="Arial"/>
                <w:snapToGrid w:val="0"/>
                <w:color w:val="auto"/>
                <w:kern w:val="0"/>
                <w:sz w:val="21"/>
                <w:szCs w:val="21"/>
                <w:highlight w:val="none"/>
                <w:lang w:val="en-US" w:eastAsia="zh-CN" w:bidi="ar-SA"/>
              </w:rPr>
              <w:t>因故解除合同的，运营商必须在合同期满或解除合同后30日内将所中标的成品粮的采购资金足额退还采购人，库存应急成品粮由运营商按还款进度提货自行处理，盈亏由运营商自行负责。如运营商不能按时退还的采购款的，按每日2‰标准支付未退还资金的占用利息。</w:t>
            </w:r>
          </w:p>
        </w:tc>
      </w:tr>
      <w:tr w14:paraId="446AA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157" w:type="dxa"/>
            <w:gridSpan w:val="3"/>
            <w:noWrap w:val="0"/>
            <w:vAlign w:val="center"/>
          </w:tcPr>
          <w:p w14:paraId="3E52382D">
            <w:pPr>
              <w:pStyle w:val="2"/>
              <w:adjustRightInd/>
              <w:spacing w:line="440" w:lineRule="exact"/>
              <w:ind w:firstLine="422" w:firstLineChars="200"/>
              <w:jc w:val="center"/>
              <w:textAlignment w:val="auto"/>
              <w:rPr>
                <w:rFonts w:ascii="宋体" w:hAnsi="宋体"/>
                <w:color w:val="auto"/>
                <w:szCs w:val="21"/>
                <w:highlight w:val="none"/>
              </w:rPr>
            </w:pPr>
            <w:r>
              <w:rPr>
                <w:rFonts w:hint="eastAsia" w:ascii="宋体" w:hAnsi="宋体"/>
                <w:b/>
                <w:color w:val="auto"/>
                <w:kern w:val="2"/>
                <w:szCs w:val="21"/>
                <w:highlight w:val="none"/>
                <w:shd w:val="clear" w:color="auto" w:fill="FFFFFF"/>
              </w:rPr>
              <w:t>商务条款</w:t>
            </w:r>
          </w:p>
        </w:tc>
      </w:tr>
      <w:tr w14:paraId="51362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jc w:val="center"/>
        </w:trPr>
        <w:tc>
          <w:tcPr>
            <w:tcW w:w="1185" w:type="dxa"/>
            <w:noWrap w:val="0"/>
            <w:vAlign w:val="center"/>
          </w:tcPr>
          <w:p w14:paraId="62623253">
            <w:pPr>
              <w:adjustRightInd w:val="0"/>
              <w:spacing w:line="500" w:lineRule="exact"/>
              <w:jc w:val="center"/>
              <w:rPr>
                <w:rFonts w:hint="eastAsia" w:ascii="宋体" w:hAnsi="宋体"/>
                <w:color w:val="auto"/>
                <w:kern w:val="0"/>
                <w:szCs w:val="21"/>
                <w:highlight w:val="none"/>
              </w:rPr>
            </w:pPr>
            <w:r>
              <w:rPr>
                <w:rFonts w:hint="eastAsia" w:ascii="宋体" w:hAnsi="宋体"/>
                <w:color w:val="auto"/>
                <w:kern w:val="0"/>
                <w:szCs w:val="21"/>
                <w:highlight w:val="none"/>
              </w:rPr>
              <w:t>售后服务及其它要求：</w:t>
            </w:r>
          </w:p>
        </w:tc>
        <w:tc>
          <w:tcPr>
            <w:tcW w:w="8972" w:type="dxa"/>
            <w:gridSpan w:val="2"/>
            <w:noWrap w:val="0"/>
            <w:vAlign w:val="center"/>
          </w:tcPr>
          <w:p w14:paraId="4C43B412">
            <w:pPr>
              <w:spacing w:line="500" w:lineRule="exact"/>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一</w:t>
            </w:r>
            <w:r>
              <w:rPr>
                <w:rFonts w:hint="eastAsia" w:ascii="宋体" w:hAnsi="宋体" w:cs="宋体"/>
                <w:color w:val="auto"/>
                <w:sz w:val="21"/>
                <w:szCs w:val="21"/>
                <w:highlight w:val="none"/>
              </w:rPr>
              <w:t>）食品运输必须采用符合卫生标准的外包装和运载工具，并且要保持清洁和定期消毒。运输车厢的内仓，包括地面、墙面和顶，应使用抗腐蚀、防潮、易清洁消毒的材料。车厢内无不良气味、异味。</w:t>
            </w:r>
          </w:p>
          <w:p w14:paraId="544A3186">
            <w:pPr>
              <w:spacing w:line="500" w:lineRule="exact"/>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二</w:t>
            </w:r>
            <w:r>
              <w:rPr>
                <w:rFonts w:hint="eastAsia" w:ascii="宋体" w:hAnsi="宋体" w:cs="宋体"/>
                <w:color w:val="auto"/>
                <w:sz w:val="21"/>
                <w:szCs w:val="21"/>
                <w:highlight w:val="none"/>
              </w:rPr>
              <w:t>）对送货车辆定期实行消毒制度，避免在运输过程中导致食物交叉感染，送货车辆应保持清洁，食品堆放科学合理。</w:t>
            </w:r>
          </w:p>
          <w:p w14:paraId="057E1461">
            <w:pPr>
              <w:spacing w:line="500" w:lineRule="exact"/>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三</w:t>
            </w:r>
            <w:r>
              <w:rPr>
                <w:rFonts w:hint="eastAsia" w:ascii="宋体" w:hAnsi="宋体" w:cs="宋体"/>
                <w:color w:val="auto"/>
                <w:sz w:val="21"/>
                <w:szCs w:val="21"/>
                <w:highlight w:val="none"/>
              </w:rPr>
              <w:t>）在合同履行期间，因上级政策变动，取消应急成品粮储备或变更应急成品粮储备方式而运营商无法履行的，采购人提前一个月书面告知运营商后，可终止该合同。</w:t>
            </w:r>
          </w:p>
          <w:p w14:paraId="0C7EB709">
            <w:pPr>
              <w:spacing w:line="500" w:lineRule="exact"/>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四</w:t>
            </w:r>
            <w:r>
              <w:rPr>
                <w:rFonts w:hint="eastAsia" w:ascii="宋体" w:hAnsi="宋体" w:cs="宋体"/>
                <w:color w:val="auto"/>
                <w:sz w:val="21"/>
                <w:szCs w:val="21"/>
                <w:highlight w:val="none"/>
              </w:rPr>
              <w:t>）运营商在成交签订运营合同后，必须在一个月内完成所中标的应急成品粮的采购入库。（</w:t>
            </w:r>
            <w:r>
              <w:rPr>
                <w:rFonts w:hint="eastAsia" w:ascii="宋体" w:hAnsi="宋体" w:cs="宋体"/>
                <w:color w:val="auto"/>
                <w:sz w:val="21"/>
                <w:szCs w:val="21"/>
                <w:highlight w:val="none"/>
                <w:lang w:eastAsia="zh-CN"/>
              </w:rPr>
              <w:t>五</w:t>
            </w:r>
            <w:r>
              <w:rPr>
                <w:rFonts w:hint="eastAsia" w:ascii="宋体" w:hAnsi="宋体" w:cs="宋体"/>
                <w:color w:val="auto"/>
                <w:sz w:val="21"/>
                <w:szCs w:val="21"/>
                <w:highlight w:val="none"/>
              </w:rPr>
              <w:t>）、采购人权利与义务</w:t>
            </w:r>
          </w:p>
          <w:p w14:paraId="22DA456A">
            <w:pPr>
              <w:spacing w:line="500" w:lineRule="exact"/>
              <w:ind w:firstLine="420" w:firstLineChars="20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1、采购人根据钦州市发展和改革委员会、市财政局、农发行钦州市分行三部门核定的单价向运营商提供所中标的的应急成品粮采购资金。</w:t>
            </w:r>
          </w:p>
          <w:p w14:paraId="0C55BB8D">
            <w:pPr>
              <w:spacing w:line="500" w:lineRule="exact"/>
              <w:ind w:firstLine="420" w:firstLineChars="20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2、采购人可根据运营商采购应急成品粮的入仓进度向运营商提供采购资金。根据运营商提出书面申请，经采购人上级主管部门同意后，5个工作日内付款。</w:t>
            </w:r>
          </w:p>
          <w:p w14:paraId="55564184">
            <w:pPr>
              <w:spacing w:line="500" w:lineRule="exact"/>
              <w:ind w:firstLine="420" w:firstLineChars="20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3、采购人负责提供应急成品粮的储存仓房，对所储应急成品粮的数量、质量及安全情况定期检查，及时与运营商沟通，以确保成品粮</w:t>
            </w:r>
            <w:r>
              <w:rPr>
                <w:rFonts w:hint="eastAsia" w:ascii="宋体" w:hAnsi="宋体" w:eastAsia="宋体"/>
                <w:color w:val="auto"/>
                <w:szCs w:val="21"/>
                <w:highlight w:val="none"/>
                <w:lang w:eastAsia="zh-CN"/>
              </w:rPr>
              <w:t>质量合格，</w:t>
            </w:r>
            <w:r>
              <w:rPr>
                <w:rFonts w:hint="eastAsia" w:ascii="宋体" w:hAnsi="宋体"/>
                <w:color w:val="auto"/>
                <w:szCs w:val="21"/>
                <w:highlight w:val="none"/>
              </w:rPr>
              <w:t>品质</w:t>
            </w:r>
            <w:r>
              <w:rPr>
                <w:rFonts w:hint="eastAsia" w:ascii="宋体" w:hAnsi="宋体" w:eastAsia="宋体"/>
                <w:color w:val="auto"/>
                <w:szCs w:val="21"/>
                <w:highlight w:val="none"/>
                <w:lang w:eastAsia="zh-CN"/>
              </w:rPr>
              <w:t>良好</w:t>
            </w:r>
            <w:r>
              <w:rPr>
                <w:rFonts w:hint="eastAsia" w:ascii="宋体" w:hAnsi="宋体" w:cs="宋体"/>
                <w:color w:val="auto"/>
                <w:sz w:val="21"/>
                <w:szCs w:val="21"/>
                <w:highlight w:val="none"/>
                <w:lang w:val="en-US" w:eastAsia="zh-CN"/>
              </w:rPr>
              <w:t>。</w:t>
            </w:r>
          </w:p>
          <w:p w14:paraId="71CA7DEA">
            <w:pPr>
              <w:spacing w:line="500" w:lineRule="exact"/>
              <w:ind w:firstLine="420" w:firstLineChars="20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4、应急成品粮的粮权属钦州市人民政府。钦州市人民政府可随调随用，运营商要无条件配合。</w:t>
            </w:r>
          </w:p>
          <w:p w14:paraId="187864EF">
            <w:pPr>
              <w:spacing w:line="500" w:lineRule="exact"/>
              <w:ind w:firstLine="420" w:firstLineChars="200"/>
              <w:rPr>
                <w:rFonts w:hint="eastAsia" w:ascii="宋体" w:hAnsi="宋体" w:cs="宋体"/>
                <w:color w:val="auto"/>
                <w:sz w:val="21"/>
                <w:szCs w:val="21"/>
                <w:highlight w:val="none"/>
                <w:lang w:val="en-US" w:eastAsia="zh-CN"/>
              </w:rPr>
            </w:pPr>
            <w:r>
              <w:rPr>
                <w:color w:val="auto"/>
                <w:highlight w:val="none"/>
              </w:rPr>
              <w:t>5、采购人除工作日外，周末、节假日需根据运营商需求配合运营商正常出入库。</w:t>
            </w:r>
          </w:p>
          <w:p w14:paraId="6CEA87FD">
            <w:pPr>
              <w:pStyle w:val="2"/>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Arial" w:cs="宋体"/>
                <w:snapToGrid w:val="0"/>
                <w:color w:val="auto"/>
                <w:kern w:val="0"/>
                <w:sz w:val="21"/>
                <w:szCs w:val="21"/>
                <w:highlight w:val="none"/>
                <w:lang w:val="en-US" w:eastAsia="zh-CN" w:bidi="ar-SA"/>
              </w:rPr>
            </w:pPr>
            <w:r>
              <w:rPr>
                <w:rFonts w:hint="eastAsia" w:ascii="宋体" w:hAnsi="宋体" w:eastAsia="Arial" w:cs="宋体"/>
                <w:snapToGrid w:val="0"/>
                <w:color w:val="auto"/>
                <w:kern w:val="0"/>
                <w:sz w:val="21"/>
                <w:szCs w:val="21"/>
                <w:highlight w:val="none"/>
                <w:lang w:val="en-US" w:eastAsia="zh-CN" w:bidi="ar-SA"/>
              </w:rPr>
              <w:t>（六）运营商的权利和义务</w:t>
            </w:r>
          </w:p>
          <w:p w14:paraId="6E040EF0">
            <w:pPr>
              <w:spacing w:line="500" w:lineRule="exact"/>
              <w:ind w:firstLine="420" w:firstLineChars="200"/>
              <w:jc w:val="both"/>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1、运营商所采购的应急成品粮必须存放在采购人指定的仓库，运营商可按采购入库的进度向采购人申请拨付采购资金。首次入库要提供证明入库成品粮价格的采购（销售）凭证和发票等佐证材料。</w:t>
            </w:r>
          </w:p>
          <w:p w14:paraId="359C2550">
            <w:pPr>
              <w:spacing w:line="5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2、运营商对应急成品粮的数量和质量负责。所采购入库的应急成品粮质量必须达到国家标准三级（含三级）以上，保质期6个月的应为入库前30天内加工的产品，保质期12个月及以上的应为入库前3个月内加工的产品。各项常规质量指标及包装标签标识符合国家标准要求，食品安全指标符合食品安全国家标准限量规定。并向采购人提供每一批次入库应急成品粮的质量报告。</w:t>
            </w:r>
            <w:r>
              <w:rPr>
                <w:rFonts w:hint="eastAsia" w:ascii="宋体" w:hAnsi="宋体" w:eastAsia="宋体" w:cs="宋体"/>
                <w:color w:val="auto"/>
                <w:kern w:val="2"/>
                <w:sz w:val="21"/>
                <w:szCs w:val="21"/>
                <w:highlight w:val="none"/>
                <w:lang w:val="en-US" w:eastAsia="zh-CN" w:bidi="ar-SA"/>
              </w:rPr>
              <w:t>进口成品粮须经商检合格并附检验证书，质量标准不低于国家标准的相关要求。</w:t>
            </w:r>
          </w:p>
          <w:p w14:paraId="68F85BB2">
            <w:pPr>
              <w:pStyle w:val="2"/>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3、应急成品粮实行动态轮换，每批大米轮换时间最迟不得超过该批次大米保质期限的前</w:t>
            </w:r>
            <w:r>
              <w:rPr>
                <w:rFonts w:hint="eastAsia" w:ascii="宋体" w:hAnsi="宋体" w:cs="宋体"/>
                <w:color w:val="auto"/>
                <w:kern w:val="2"/>
                <w:sz w:val="21"/>
                <w:szCs w:val="21"/>
                <w:highlight w:val="none"/>
                <w:lang w:val="en-US" w:eastAsia="zh-CN" w:bidi="ar-SA"/>
              </w:rPr>
              <w:t>30</w:t>
            </w:r>
            <w:r>
              <w:rPr>
                <w:rFonts w:hint="eastAsia" w:ascii="宋体" w:hAnsi="宋体" w:eastAsia="宋体" w:cs="宋体"/>
                <w:color w:val="auto"/>
                <w:kern w:val="2"/>
                <w:sz w:val="21"/>
                <w:szCs w:val="21"/>
                <w:highlight w:val="none"/>
                <w:lang w:val="en-US" w:eastAsia="zh-CN" w:bidi="ar-SA"/>
              </w:rPr>
              <w:t>天</w:t>
            </w:r>
            <w:r>
              <w:rPr>
                <w:rFonts w:hint="eastAsia" w:ascii="宋体" w:hAnsi="宋体" w:cs="宋体"/>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轮换由运营商自行组织，在轮换运营过程中库存不得低于承储规模</w:t>
            </w:r>
            <w:r>
              <w:rPr>
                <w:rFonts w:hint="eastAsia" w:ascii="宋体" w:hAnsi="宋体" w:cs="宋体"/>
                <w:color w:val="auto"/>
                <w:kern w:val="2"/>
                <w:sz w:val="21"/>
                <w:szCs w:val="21"/>
                <w:highlight w:val="none"/>
                <w:lang w:val="en-US" w:eastAsia="zh-CN" w:bidi="ar-SA"/>
              </w:rPr>
              <w:t>600吨</w:t>
            </w:r>
            <w:r>
              <w:rPr>
                <w:rFonts w:hint="eastAsia" w:ascii="宋体" w:hAnsi="宋体" w:eastAsia="宋体" w:cs="宋体"/>
                <w:color w:val="auto"/>
                <w:kern w:val="2"/>
                <w:sz w:val="21"/>
                <w:szCs w:val="21"/>
                <w:highlight w:val="none"/>
                <w:lang w:val="en-US" w:eastAsia="zh-CN" w:bidi="ar-SA"/>
              </w:rPr>
              <w:t>的90%</w:t>
            </w:r>
            <w:r>
              <w:rPr>
                <w:rFonts w:hint="eastAsia" w:ascii="宋体" w:hAnsi="宋体" w:cs="宋体"/>
                <w:color w:val="auto"/>
                <w:kern w:val="2"/>
                <w:sz w:val="21"/>
                <w:szCs w:val="21"/>
                <w:highlight w:val="none"/>
                <w:lang w:val="en-US" w:eastAsia="zh-CN" w:bidi="ar-SA"/>
              </w:rPr>
              <w:t>，每年3月和12月月末库存数必须为600吨</w:t>
            </w:r>
            <w:r>
              <w:rPr>
                <w:rFonts w:hint="eastAsia" w:ascii="宋体" w:hAnsi="宋体" w:eastAsia="宋体" w:cs="宋体"/>
                <w:color w:val="auto"/>
                <w:kern w:val="2"/>
                <w:sz w:val="21"/>
                <w:szCs w:val="21"/>
                <w:highlight w:val="none"/>
                <w:lang w:val="en-US" w:eastAsia="zh-CN" w:bidi="ar-SA"/>
              </w:rPr>
              <w:t>。</w:t>
            </w:r>
          </w:p>
          <w:p w14:paraId="3C896AE1">
            <w:pPr>
              <w:pStyle w:val="2"/>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4</w:t>
            </w:r>
            <w:r>
              <w:rPr>
                <w:rFonts w:hint="eastAsia" w:ascii="宋体" w:hAnsi="宋体" w:eastAsia="宋体" w:cs="宋体"/>
                <w:color w:val="auto"/>
                <w:kern w:val="2"/>
                <w:sz w:val="21"/>
                <w:szCs w:val="21"/>
                <w:highlight w:val="none"/>
                <w:lang w:val="en-US" w:eastAsia="zh-CN" w:bidi="ar-SA"/>
              </w:rPr>
              <w:t>、代理运营结束后，运营商全额返还采购人所提供的应急成品粮采购资金，所储应急成品粮由运营商自行处置并承担盈亏。</w:t>
            </w:r>
          </w:p>
          <w:p w14:paraId="283FF15F">
            <w:pPr>
              <w:pStyle w:val="2"/>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w:t>
            </w:r>
            <w:r>
              <w:rPr>
                <w:rFonts w:hint="eastAsia" w:ascii="宋体" w:hAnsi="宋体" w:cs="宋体"/>
                <w:color w:val="auto"/>
                <w:kern w:val="2"/>
                <w:sz w:val="21"/>
                <w:szCs w:val="21"/>
                <w:highlight w:val="none"/>
                <w:lang w:val="en-US" w:eastAsia="zh-CN" w:bidi="ar-SA"/>
              </w:rPr>
              <w:t>七</w:t>
            </w:r>
            <w:r>
              <w:rPr>
                <w:rFonts w:hint="eastAsia" w:ascii="宋体" w:hAnsi="宋体" w:eastAsia="宋体" w:cs="宋体"/>
                <w:color w:val="auto"/>
                <w:kern w:val="2"/>
                <w:sz w:val="21"/>
                <w:szCs w:val="21"/>
                <w:highlight w:val="none"/>
                <w:lang w:val="en-US" w:eastAsia="zh-CN" w:bidi="ar-SA"/>
              </w:rPr>
              <w:t>）违约责任</w:t>
            </w:r>
          </w:p>
          <w:p w14:paraId="50110C1C">
            <w:pPr>
              <w:pStyle w:val="2"/>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签订合同后，运营商不能按要求质量及时限购进应急成品粮入库储备，经采购人督促仍不完成的，采购人可扣罚运营商未完成入库大米数量当年的轮换运营服务费。影响到市本级应急成品粮储备落实的，采购人可终止合同，并由运营商承担由此带来的一切损失及责任。</w:t>
            </w:r>
          </w:p>
          <w:p w14:paraId="2A56F1C7">
            <w:pPr>
              <w:pStyle w:val="2"/>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2、运营商每批次入库大米手续不完备或质量不达标准的，采购人有权拒绝该批大米入库，并由运营商承担由此带来的一切损失及责任。</w:t>
            </w:r>
          </w:p>
          <w:p w14:paraId="7973D3B4">
            <w:pPr>
              <w:pStyle w:val="2"/>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在合同履行期间，如采购人检查发现运营商有弄虚作假、伪造检验报告等佐证材料的情况，每次扣除总运营费25％；如因质量问题造成食品安全事故或对社会造成不良影响的，采购人有权终止合同，并保留追究运营商及运营商相关责任人员刑事责任的权利。</w:t>
            </w:r>
          </w:p>
          <w:p w14:paraId="6341409D">
            <w:pPr>
              <w:pStyle w:val="2"/>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在合同履行期间，采购人检查发现运营商不按要求的质保期限及时开展轮换的，每发现一次，运营商应按该批次大米轮换费用的2倍金额向采购人支付违约金。影响恶劣的，采购人可终止合同，并由运营商承担由此带来的一切损失及责任。</w:t>
            </w:r>
          </w:p>
          <w:p w14:paraId="4F414D19">
            <w:pPr>
              <w:pStyle w:val="2"/>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在合同履行期间，采购人检查发现库存大米有质量不达标的，运营商要立即按要求处理，并按该批次大米价值的2倍金额向采购人支付违约金。运营商不按要求及时处理的，或影响恶劣的，采购人可终止合同，并由运营商承担由此带来的一切损失及责任。</w:t>
            </w:r>
          </w:p>
          <w:p w14:paraId="41B0D2C2">
            <w:pPr>
              <w:pStyle w:val="2"/>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6、合同期满或合同提前终止，采购人按实际符合合同要求的轮换次数支付轮换运营服务费用。</w:t>
            </w:r>
          </w:p>
          <w:p w14:paraId="26E953D9">
            <w:pPr>
              <w:pStyle w:val="2"/>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7、合同期限届满或在合同提前终止后，运营商需在30日内采取一次性或分批次归还采购人所拨付的采购资金。库存成品粮由运营商自行处理，盈亏由运营商自行负责，同时运营商须按资金返还的到位情况确定提货量，全部提完货的时间最迟不能超过合同终止后30日。</w:t>
            </w:r>
          </w:p>
          <w:p w14:paraId="14A946F9">
            <w:pPr>
              <w:pStyle w:val="2"/>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运营商不能按时退还的采购款，要按每日2‰标准支付资金占用利息。不按时完成提货的，采购人可根据需要做移库处理，并按每天3元/吨的标准收取运营商仓库占用费。</w:t>
            </w:r>
          </w:p>
          <w:p w14:paraId="6A5E385D">
            <w:pPr>
              <w:pStyle w:val="2"/>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8、合同期限届满或在合同提前终止后，若运营商不能按时按要求履行全额返还采购人所提供应急成品粮采购资金及处置所储应急成品粮义务的，采购人可将所储成品大米进行竞拍销售，因此而产生的损失、费用及因差价亏损出现的资金缺口，采购人将通过司法程序向运营商索赔。</w:t>
            </w:r>
          </w:p>
          <w:p w14:paraId="6710BAF4">
            <w:pPr>
              <w:pStyle w:val="2"/>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9、运营商提供的服务如侵犯了第三方合法权益而引发的任何纠纷或诉讼，均由运营商方负责交涉并承担全部责任。</w:t>
            </w:r>
          </w:p>
          <w:p w14:paraId="19F0A344">
            <w:pPr>
              <w:pStyle w:val="2"/>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olor w:val="auto"/>
                <w:szCs w:val="21"/>
                <w:highlight w:val="none"/>
              </w:rPr>
            </w:pPr>
            <w:r>
              <w:rPr>
                <w:rFonts w:hint="eastAsia" w:ascii="宋体" w:hAnsi="宋体" w:eastAsia="宋体" w:cs="宋体"/>
                <w:color w:val="auto"/>
                <w:kern w:val="2"/>
                <w:sz w:val="21"/>
                <w:szCs w:val="21"/>
                <w:highlight w:val="none"/>
                <w:lang w:val="en-US" w:eastAsia="zh-CN" w:bidi="ar-SA"/>
              </w:rPr>
              <w:t>10、其它违约行为根据违约涉及的标的分项内容，按标的相应金额的5%收取违约金并赔偿经济损</w:t>
            </w:r>
          </w:p>
        </w:tc>
      </w:tr>
    </w:tbl>
    <w:p w14:paraId="1328AC3A">
      <w:pPr>
        <w:pStyle w:val="18"/>
        <w:jc w:val="left"/>
        <w:rPr>
          <w:rFonts w:hint="eastAsia" w:ascii="Arial Unicode MS" w:hAnsi="Arial Unicode MS" w:eastAsia="Arial Unicode MS" w:cs="Arial Unicode MS"/>
          <w:color w:val="auto"/>
          <w:sz w:val="32"/>
          <w:szCs w:val="32"/>
          <w:highlight w:val="none"/>
        </w:rPr>
      </w:pPr>
    </w:p>
    <w:p w14:paraId="338F3095">
      <w:pPr>
        <w:pStyle w:val="18"/>
        <w:jc w:val="left"/>
        <w:rPr>
          <w:rFonts w:hint="eastAsia" w:ascii="Arial Unicode MS" w:hAnsi="Arial Unicode MS" w:eastAsia="Arial Unicode MS" w:cs="Arial Unicode MS"/>
          <w:color w:val="auto"/>
          <w:sz w:val="32"/>
          <w:szCs w:val="32"/>
          <w:highlight w:val="none"/>
        </w:rPr>
      </w:pPr>
    </w:p>
    <w:p w14:paraId="551DF731">
      <w:pPr>
        <w:pStyle w:val="18"/>
        <w:jc w:val="left"/>
        <w:rPr>
          <w:rFonts w:hint="eastAsia" w:ascii="Arial Unicode MS" w:hAnsi="Arial Unicode MS" w:eastAsia="Arial Unicode MS" w:cs="Arial Unicode MS"/>
          <w:color w:val="auto"/>
          <w:sz w:val="32"/>
          <w:szCs w:val="32"/>
          <w:highlight w:val="none"/>
        </w:rPr>
      </w:pPr>
    </w:p>
    <w:p w14:paraId="7EB17EAB">
      <w:pPr>
        <w:rPr>
          <w:rFonts w:hint="eastAsia" w:ascii="Arial Unicode MS" w:hAnsi="Arial Unicode MS" w:eastAsia="Arial Unicode MS" w:cs="Arial Unicode MS"/>
          <w:color w:val="auto"/>
          <w:sz w:val="32"/>
          <w:szCs w:val="32"/>
          <w:highlight w:val="none"/>
        </w:rPr>
      </w:pPr>
    </w:p>
    <w:p w14:paraId="7D723E7E">
      <w:pPr>
        <w:pStyle w:val="2"/>
        <w:rPr>
          <w:rFonts w:hint="eastAsia" w:ascii="Arial Unicode MS" w:hAnsi="Arial Unicode MS" w:eastAsia="Arial Unicode MS" w:cs="Arial Unicode MS"/>
          <w:color w:val="auto"/>
          <w:sz w:val="32"/>
          <w:szCs w:val="32"/>
          <w:highlight w:val="none"/>
        </w:rPr>
      </w:pPr>
    </w:p>
    <w:p w14:paraId="3561199E">
      <w:pPr>
        <w:pStyle w:val="3"/>
        <w:rPr>
          <w:rFonts w:hint="eastAsia" w:ascii="Arial Unicode MS" w:hAnsi="Arial Unicode MS" w:eastAsia="Arial Unicode MS" w:cs="Arial Unicode MS"/>
          <w:color w:val="auto"/>
          <w:sz w:val="32"/>
          <w:szCs w:val="32"/>
          <w:highlight w:val="none"/>
        </w:rPr>
      </w:pPr>
    </w:p>
    <w:p w14:paraId="65C2DAFD">
      <w:pPr>
        <w:pStyle w:val="3"/>
        <w:rPr>
          <w:rFonts w:hint="eastAsia" w:ascii="Arial Unicode MS" w:hAnsi="Arial Unicode MS" w:eastAsia="Arial Unicode MS" w:cs="Arial Unicode MS"/>
          <w:color w:val="auto"/>
          <w:sz w:val="32"/>
          <w:szCs w:val="32"/>
          <w:highlight w:val="none"/>
        </w:rPr>
      </w:pPr>
    </w:p>
    <w:p w14:paraId="41774E71">
      <w:pPr>
        <w:pStyle w:val="3"/>
        <w:rPr>
          <w:rFonts w:hint="eastAsia" w:ascii="Arial Unicode MS" w:hAnsi="Arial Unicode MS" w:eastAsia="Arial Unicode MS" w:cs="Arial Unicode MS"/>
          <w:color w:val="auto"/>
          <w:sz w:val="32"/>
          <w:szCs w:val="32"/>
          <w:highlight w:val="none"/>
        </w:rPr>
      </w:pPr>
    </w:p>
    <w:p w14:paraId="4AC931D5">
      <w:pPr>
        <w:pStyle w:val="3"/>
        <w:rPr>
          <w:rFonts w:hint="eastAsia" w:ascii="Arial Unicode MS" w:hAnsi="Arial Unicode MS" w:eastAsia="Arial Unicode MS" w:cs="Arial Unicode MS"/>
          <w:color w:val="auto"/>
          <w:sz w:val="32"/>
          <w:szCs w:val="32"/>
          <w:highlight w:val="none"/>
        </w:rPr>
      </w:pPr>
    </w:p>
    <w:p w14:paraId="08C1FF64">
      <w:pPr>
        <w:pStyle w:val="3"/>
        <w:rPr>
          <w:rFonts w:hint="eastAsia" w:ascii="Arial Unicode MS" w:hAnsi="Arial Unicode MS" w:eastAsia="Arial Unicode MS" w:cs="Arial Unicode MS"/>
          <w:color w:val="auto"/>
          <w:sz w:val="32"/>
          <w:szCs w:val="32"/>
          <w:highlight w:val="none"/>
        </w:rPr>
      </w:pPr>
    </w:p>
    <w:p w14:paraId="122DD63F">
      <w:pPr>
        <w:pStyle w:val="3"/>
        <w:rPr>
          <w:rFonts w:hint="eastAsia" w:ascii="Arial Unicode MS" w:hAnsi="Arial Unicode MS" w:eastAsia="Arial Unicode MS" w:cs="Arial Unicode MS"/>
          <w:color w:val="auto"/>
          <w:sz w:val="32"/>
          <w:szCs w:val="32"/>
          <w:highlight w:val="none"/>
        </w:rPr>
      </w:pPr>
    </w:p>
    <w:p w14:paraId="1E63DFAF">
      <w:pPr>
        <w:pStyle w:val="2"/>
        <w:rPr>
          <w:rFonts w:hint="eastAsia"/>
          <w:color w:val="auto"/>
          <w:highlight w:val="none"/>
        </w:rPr>
      </w:pPr>
    </w:p>
    <w:p w14:paraId="699A71FF">
      <w:pPr>
        <w:pStyle w:val="18"/>
        <w:jc w:val="left"/>
        <w:rPr>
          <w:rFonts w:hint="eastAsia" w:ascii="Arial Unicode MS" w:hAnsi="Arial Unicode MS" w:eastAsia="Arial Unicode MS" w:cs="Arial Unicode MS"/>
          <w:color w:val="auto"/>
          <w:sz w:val="32"/>
          <w:szCs w:val="32"/>
          <w:highlight w:val="none"/>
        </w:rPr>
        <w:sectPr>
          <w:pgSz w:w="11906" w:h="16838"/>
          <w:pgMar w:top="1134" w:right="1134" w:bottom="1134" w:left="1134" w:header="720" w:footer="720" w:gutter="0"/>
          <w:pgNumType w:fmt="decimal"/>
          <w:cols w:space="720" w:num="1"/>
          <w:docGrid w:type="lines" w:linePitch="331" w:charSpace="0"/>
        </w:sectPr>
      </w:pPr>
    </w:p>
    <w:p w14:paraId="26495629">
      <w:pPr>
        <w:pStyle w:val="18"/>
        <w:jc w:val="left"/>
        <w:rPr>
          <w:rFonts w:hint="eastAsia" w:ascii="Arial Unicode MS" w:hAnsi="Arial Unicode MS" w:eastAsia="Arial Unicode MS" w:cs="Arial Unicode MS"/>
          <w:color w:val="auto"/>
          <w:sz w:val="32"/>
          <w:szCs w:val="32"/>
          <w:highlight w:val="none"/>
        </w:rPr>
      </w:pPr>
      <w:r>
        <w:rPr>
          <w:rFonts w:hint="eastAsia" w:ascii="Arial Unicode MS" w:hAnsi="Arial Unicode MS" w:eastAsia="Arial Unicode MS" w:cs="Arial Unicode MS"/>
          <w:color w:val="auto"/>
          <w:sz w:val="32"/>
          <w:szCs w:val="32"/>
          <w:highlight w:val="none"/>
        </w:rPr>
        <w:t>附件：</w:t>
      </w:r>
    </w:p>
    <w:p w14:paraId="05581E1D">
      <w:pPr>
        <w:spacing w:line="528" w:lineRule="exact"/>
        <w:ind w:left="1871"/>
        <w:rPr>
          <w:rFonts w:hint="eastAsia" w:ascii="Arial Unicode MS" w:hAnsi="Arial Unicode MS" w:eastAsia="Arial Unicode MS" w:cs="Arial Unicode MS"/>
          <w:color w:val="auto"/>
          <w:sz w:val="40"/>
          <w:szCs w:val="40"/>
          <w:highlight w:val="none"/>
        </w:rPr>
      </w:pPr>
      <w:r>
        <w:rPr>
          <w:rFonts w:hint="eastAsia" w:ascii="Arial Unicode MS" w:hAnsi="Arial Unicode MS" w:eastAsia="Arial Unicode MS" w:cs="Arial Unicode MS"/>
          <w:color w:val="auto"/>
          <w:sz w:val="40"/>
          <w:szCs w:val="40"/>
          <w:highlight w:val="none"/>
        </w:rPr>
        <w:t>中小微企业划型标准</w:t>
      </w:r>
    </w:p>
    <w:tbl>
      <w:tblPr>
        <w:tblStyle w:val="35"/>
        <w:tblW w:w="0" w:type="auto"/>
        <w:tblInd w:w="136" w:type="dxa"/>
        <w:tblLayout w:type="fixed"/>
        <w:tblCellMar>
          <w:top w:w="0" w:type="dxa"/>
          <w:left w:w="108" w:type="dxa"/>
          <w:bottom w:w="0" w:type="dxa"/>
          <w:right w:w="108" w:type="dxa"/>
        </w:tblCellMar>
      </w:tblPr>
      <w:tblGrid>
        <w:gridCol w:w="1964"/>
        <w:gridCol w:w="1598"/>
        <w:gridCol w:w="1054"/>
        <w:gridCol w:w="1871"/>
        <w:gridCol w:w="1663"/>
        <w:gridCol w:w="1068"/>
      </w:tblGrid>
      <w:tr w14:paraId="39CC6EA7">
        <w:tblPrEx>
          <w:tblCellMar>
            <w:top w:w="0" w:type="dxa"/>
            <w:left w:w="108" w:type="dxa"/>
            <w:bottom w:w="0" w:type="dxa"/>
            <w:right w:w="108" w:type="dxa"/>
          </w:tblCellMar>
        </w:tblPrEx>
        <w:trPr>
          <w:trHeight w:val="668" w:hRule="atLeast"/>
        </w:trPr>
        <w:tc>
          <w:tcPr>
            <w:tcW w:w="1964" w:type="dxa"/>
            <w:tcBorders>
              <w:top w:val="single" w:color="auto" w:sz="4" w:space="0"/>
              <w:left w:val="single" w:color="auto" w:sz="4" w:space="0"/>
              <w:bottom w:val="single" w:color="auto" w:sz="4" w:space="0"/>
              <w:right w:val="single" w:color="auto" w:sz="4" w:space="0"/>
            </w:tcBorders>
            <w:noWrap w:val="0"/>
            <w:vAlign w:val="center"/>
          </w:tcPr>
          <w:p w14:paraId="3CCE7F8D">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行业名称</w:t>
            </w:r>
          </w:p>
        </w:tc>
        <w:tc>
          <w:tcPr>
            <w:tcW w:w="1598" w:type="dxa"/>
            <w:tcBorders>
              <w:top w:val="single" w:color="auto" w:sz="4" w:space="0"/>
              <w:left w:val="nil"/>
              <w:bottom w:val="single" w:color="auto" w:sz="4" w:space="0"/>
              <w:right w:val="single" w:color="auto" w:sz="4" w:space="0"/>
            </w:tcBorders>
            <w:noWrap w:val="0"/>
            <w:vAlign w:val="center"/>
          </w:tcPr>
          <w:p w14:paraId="58268B95">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指标名称</w:t>
            </w:r>
          </w:p>
        </w:tc>
        <w:tc>
          <w:tcPr>
            <w:tcW w:w="1054" w:type="dxa"/>
            <w:tcBorders>
              <w:top w:val="single" w:color="auto" w:sz="4" w:space="0"/>
              <w:left w:val="nil"/>
              <w:bottom w:val="single" w:color="auto" w:sz="4" w:space="0"/>
              <w:right w:val="single" w:color="auto" w:sz="4" w:space="0"/>
            </w:tcBorders>
            <w:noWrap w:val="0"/>
            <w:vAlign w:val="center"/>
          </w:tcPr>
          <w:p w14:paraId="347761EA">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计量单位</w:t>
            </w:r>
          </w:p>
        </w:tc>
        <w:tc>
          <w:tcPr>
            <w:tcW w:w="1871" w:type="dxa"/>
            <w:tcBorders>
              <w:top w:val="single" w:color="auto" w:sz="4" w:space="0"/>
              <w:left w:val="nil"/>
              <w:bottom w:val="single" w:color="auto" w:sz="4" w:space="0"/>
              <w:right w:val="single" w:color="auto" w:sz="4" w:space="0"/>
            </w:tcBorders>
            <w:noWrap w:val="0"/>
            <w:vAlign w:val="center"/>
          </w:tcPr>
          <w:p w14:paraId="47F17233">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中型</w:t>
            </w:r>
          </w:p>
        </w:tc>
        <w:tc>
          <w:tcPr>
            <w:tcW w:w="1663" w:type="dxa"/>
            <w:tcBorders>
              <w:top w:val="single" w:color="auto" w:sz="4" w:space="0"/>
              <w:left w:val="nil"/>
              <w:bottom w:val="single" w:color="auto" w:sz="4" w:space="0"/>
              <w:right w:val="single" w:color="auto" w:sz="4" w:space="0"/>
            </w:tcBorders>
            <w:noWrap w:val="0"/>
            <w:vAlign w:val="center"/>
          </w:tcPr>
          <w:p w14:paraId="6C5E3F48">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小型</w:t>
            </w:r>
          </w:p>
        </w:tc>
        <w:tc>
          <w:tcPr>
            <w:tcW w:w="1068" w:type="dxa"/>
            <w:tcBorders>
              <w:top w:val="single" w:color="auto" w:sz="4" w:space="0"/>
              <w:left w:val="nil"/>
              <w:bottom w:val="single" w:color="auto" w:sz="4" w:space="0"/>
              <w:right w:val="single" w:color="auto" w:sz="4" w:space="0"/>
            </w:tcBorders>
            <w:noWrap w:val="0"/>
            <w:vAlign w:val="center"/>
          </w:tcPr>
          <w:p w14:paraId="607238E7">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微型</w:t>
            </w:r>
          </w:p>
        </w:tc>
      </w:tr>
      <w:tr w14:paraId="39EBDE5B">
        <w:tblPrEx>
          <w:tblCellMar>
            <w:top w:w="0" w:type="dxa"/>
            <w:left w:w="108" w:type="dxa"/>
            <w:bottom w:w="0" w:type="dxa"/>
            <w:right w:w="108" w:type="dxa"/>
          </w:tblCellMar>
        </w:tblPrEx>
        <w:trPr>
          <w:trHeight w:val="339" w:hRule="atLeast"/>
        </w:trPr>
        <w:tc>
          <w:tcPr>
            <w:tcW w:w="1964" w:type="dxa"/>
            <w:tcBorders>
              <w:top w:val="nil"/>
              <w:left w:val="single" w:color="auto" w:sz="4" w:space="0"/>
              <w:bottom w:val="single" w:color="auto" w:sz="4" w:space="0"/>
              <w:right w:val="single" w:color="auto" w:sz="4" w:space="0"/>
            </w:tcBorders>
            <w:noWrap w:val="0"/>
            <w:vAlign w:val="bottom"/>
          </w:tcPr>
          <w:p w14:paraId="4C425FBD">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农、林、牧、渔</w:t>
            </w:r>
          </w:p>
        </w:tc>
        <w:tc>
          <w:tcPr>
            <w:tcW w:w="1598" w:type="dxa"/>
            <w:tcBorders>
              <w:top w:val="nil"/>
              <w:left w:val="nil"/>
              <w:bottom w:val="single" w:color="auto" w:sz="4" w:space="0"/>
              <w:right w:val="single" w:color="auto" w:sz="4" w:space="0"/>
            </w:tcBorders>
            <w:noWrap w:val="0"/>
            <w:vAlign w:val="center"/>
          </w:tcPr>
          <w:p w14:paraId="20A1CC9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54" w:type="dxa"/>
            <w:tcBorders>
              <w:top w:val="nil"/>
              <w:left w:val="nil"/>
              <w:bottom w:val="single" w:color="auto" w:sz="4" w:space="0"/>
              <w:right w:val="single" w:color="auto" w:sz="4" w:space="0"/>
            </w:tcBorders>
            <w:noWrap w:val="0"/>
            <w:vAlign w:val="center"/>
          </w:tcPr>
          <w:p w14:paraId="116BA1E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71" w:type="dxa"/>
            <w:tcBorders>
              <w:top w:val="nil"/>
              <w:left w:val="nil"/>
              <w:bottom w:val="single" w:color="auto" w:sz="4" w:space="0"/>
              <w:right w:val="single" w:color="auto" w:sz="4" w:space="0"/>
            </w:tcBorders>
            <w:noWrap w:val="0"/>
            <w:vAlign w:val="center"/>
          </w:tcPr>
          <w:p w14:paraId="698ED96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663" w:type="dxa"/>
            <w:tcBorders>
              <w:top w:val="nil"/>
              <w:left w:val="nil"/>
              <w:bottom w:val="single" w:color="auto" w:sz="4" w:space="0"/>
              <w:right w:val="single" w:color="auto" w:sz="4" w:space="0"/>
            </w:tcBorders>
            <w:noWrap w:val="0"/>
            <w:vAlign w:val="center"/>
          </w:tcPr>
          <w:p w14:paraId="3841CCF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50≤Y＜500</w:t>
            </w:r>
          </w:p>
        </w:tc>
        <w:tc>
          <w:tcPr>
            <w:tcW w:w="1068" w:type="dxa"/>
            <w:tcBorders>
              <w:top w:val="nil"/>
              <w:left w:val="nil"/>
              <w:bottom w:val="single" w:color="auto" w:sz="4" w:space="0"/>
              <w:right w:val="single" w:color="auto" w:sz="4" w:space="0"/>
            </w:tcBorders>
            <w:noWrap w:val="0"/>
            <w:vAlign w:val="center"/>
          </w:tcPr>
          <w:p w14:paraId="0F3C136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6B0ABF52">
        <w:tblPrEx>
          <w:tblCellMar>
            <w:top w:w="0" w:type="dxa"/>
            <w:left w:w="108" w:type="dxa"/>
            <w:bottom w:w="0" w:type="dxa"/>
            <w:right w:w="108" w:type="dxa"/>
          </w:tblCellMar>
        </w:tblPrEx>
        <w:trPr>
          <w:trHeight w:val="339" w:hRule="atLeast"/>
        </w:trPr>
        <w:tc>
          <w:tcPr>
            <w:tcW w:w="1964" w:type="dxa"/>
            <w:vMerge w:val="restart"/>
            <w:tcBorders>
              <w:top w:val="nil"/>
              <w:left w:val="single" w:color="auto" w:sz="4" w:space="0"/>
              <w:bottom w:val="single" w:color="auto" w:sz="4" w:space="0"/>
              <w:right w:val="single" w:color="auto" w:sz="4" w:space="0"/>
            </w:tcBorders>
            <w:noWrap w:val="0"/>
            <w:vAlign w:val="bottom"/>
          </w:tcPr>
          <w:p w14:paraId="2F6EB19B">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工业</w:t>
            </w:r>
          </w:p>
        </w:tc>
        <w:tc>
          <w:tcPr>
            <w:tcW w:w="1598" w:type="dxa"/>
            <w:tcBorders>
              <w:top w:val="nil"/>
              <w:left w:val="nil"/>
              <w:bottom w:val="single" w:color="auto" w:sz="4" w:space="0"/>
              <w:right w:val="single" w:color="auto" w:sz="4" w:space="0"/>
            </w:tcBorders>
            <w:noWrap w:val="0"/>
            <w:vAlign w:val="center"/>
          </w:tcPr>
          <w:p w14:paraId="02993BE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54" w:type="dxa"/>
            <w:tcBorders>
              <w:top w:val="nil"/>
              <w:left w:val="nil"/>
              <w:bottom w:val="single" w:color="auto" w:sz="4" w:space="0"/>
              <w:right w:val="single" w:color="auto" w:sz="4" w:space="0"/>
            </w:tcBorders>
            <w:noWrap w:val="0"/>
            <w:vAlign w:val="center"/>
          </w:tcPr>
          <w:p w14:paraId="117E5E6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71" w:type="dxa"/>
            <w:tcBorders>
              <w:top w:val="nil"/>
              <w:left w:val="nil"/>
              <w:bottom w:val="single" w:color="auto" w:sz="4" w:space="0"/>
              <w:right w:val="single" w:color="auto" w:sz="4" w:space="0"/>
            </w:tcBorders>
            <w:noWrap w:val="0"/>
            <w:vAlign w:val="center"/>
          </w:tcPr>
          <w:p w14:paraId="5016813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663" w:type="dxa"/>
            <w:tcBorders>
              <w:top w:val="nil"/>
              <w:left w:val="nil"/>
              <w:bottom w:val="single" w:color="auto" w:sz="4" w:space="0"/>
              <w:right w:val="single" w:color="auto" w:sz="4" w:space="0"/>
            </w:tcBorders>
            <w:noWrap w:val="0"/>
            <w:vAlign w:val="center"/>
          </w:tcPr>
          <w:p w14:paraId="08BA51F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068" w:type="dxa"/>
            <w:tcBorders>
              <w:top w:val="nil"/>
              <w:left w:val="nil"/>
              <w:bottom w:val="single" w:color="auto" w:sz="4" w:space="0"/>
              <w:right w:val="single" w:color="auto" w:sz="4" w:space="0"/>
            </w:tcBorders>
            <w:noWrap w:val="0"/>
            <w:vAlign w:val="center"/>
          </w:tcPr>
          <w:p w14:paraId="35C03D3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6D9AABD4">
        <w:tblPrEx>
          <w:tblCellMar>
            <w:top w:w="0" w:type="dxa"/>
            <w:left w:w="108" w:type="dxa"/>
            <w:bottom w:w="0" w:type="dxa"/>
            <w:right w:w="108" w:type="dxa"/>
          </w:tblCellMar>
        </w:tblPrEx>
        <w:trPr>
          <w:trHeight w:val="339" w:hRule="atLeast"/>
        </w:trPr>
        <w:tc>
          <w:tcPr>
            <w:tcW w:w="1964" w:type="dxa"/>
            <w:vMerge w:val="continue"/>
            <w:tcBorders>
              <w:top w:val="nil"/>
              <w:left w:val="single" w:color="auto" w:sz="4" w:space="0"/>
              <w:bottom w:val="single" w:color="auto" w:sz="4" w:space="0"/>
              <w:right w:val="single" w:color="auto" w:sz="4" w:space="0"/>
            </w:tcBorders>
            <w:noWrap w:val="0"/>
            <w:vAlign w:val="center"/>
          </w:tcPr>
          <w:p w14:paraId="7B6CF14C">
            <w:pPr>
              <w:widowControl/>
              <w:jc w:val="left"/>
              <w:rPr>
                <w:rFonts w:ascii="仿宋_GB2312" w:hAnsi="仿宋" w:eastAsia="仿宋_GB2312" w:cs="宋体"/>
                <w:b/>
                <w:bCs/>
                <w:color w:val="auto"/>
                <w:kern w:val="0"/>
                <w:sz w:val="18"/>
                <w:szCs w:val="18"/>
                <w:highlight w:val="none"/>
              </w:rPr>
            </w:pPr>
          </w:p>
        </w:tc>
        <w:tc>
          <w:tcPr>
            <w:tcW w:w="1598" w:type="dxa"/>
            <w:tcBorders>
              <w:top w:val="nil"/>
              <w:left w:val="nil"/>
              <w:bottom w:val="single" w:color="auto" w:sz="4" w:space="0"/>
              <w:right w:val="single" w:color="auto" w:sz="4" w:space="0"/>
            </w:tcBorders>
            <w:noWrap w:val="0"/>
            <w:vAlign w:val="center"/>
          </w:tcPr>
          <w:p w14:paraId="52CC9B0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54" w:type="dxa"/>
            <w:tcBorders>
              <w:top w:val="nil"/>
              <w:left w:val="nil"/>
              <w:bottom w:val="single" w:color="auto" w:sz="4" w:space="0"/>
              <w:right w:val="single" w:color="auto" w:sz="4" w:space="0"/>
            </w:tcBorders>
            <w:noWrap w:val="0"/>
            <w:vAlign w:val="center"/>
          </w:tcPr>
          <w:p w14:paraId="0F09E6B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71" w:type="dxa"/>
            <w:tcBorders>
              <w:top w:val="nil"/>
              <w:left w:val="nil"/>
              <w:bottom w:val="single" w:color="auto" w:sz="4" w:space="0"/>
              <w:right w:val="single" w:color="auto" w:sz="4" w:space="0"/>
            </w:tcBorders>
            <w:noWrap w:val="0"/>
            <w:vAlign w:val="center"/>
          </w:tcPr>
          <w:p w14:paraId="0605D8D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2000≤Y＜40000</w:t>
            </w:r>
          </w:p>
        </w:tc>
        <w:tc>
          <w:tcPr>
            <w:tcW w:w="1663" w:type="dxa"/>
            <w:tcBorders>
              <w:top w:val="nil"/>
              <w:left w:val="nil"/>
              <w:bottom w:val="single" w:color="auto" w:sz="4" w:space="0"/>
              <w:right w:val="single" w:color="auto" w:sz="4" w:space="0"/>
            </w:tcBorders>
            <w:noWrap w:val="0"/>
            <w:vAlign w:val="center"/>
          </w:tcPr>
          <w:p w14:paraId="4172FB1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300≤Y＜2000</w:t>
            </w:r>
          </w:p>
        </w:tc>
        <w:tc>
          <w:tcPr>
            <w:tcW w:w="1068" w:type="dxa"/>
            <w:tcBorders>
              <w:top w:val="nil"/>
              <w:left w:val="nil"/>
              <w:bottom w:val="single" w:color="auto" w:sz="4" w:space="0"/>
              <w:right w:val="single" w:color="auto" w:sz="4" w:space="0"/>
            </w:tcBorders>
            <w:noWrap w:val="0"/>
            <w:vAlign w:val="center"/>
          </w:tcPr>
          <w:p w14:paraId="50FF908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39DDA48E">
        <w:tblPrEx>
          <w:tblCellMar>
            <w:top w:w="0" w:type="dxa"/>
            <w:left w:w="108" w:type="dxa"/>
            <w:bottom w:w="0" w:type="dxa"/>
            <w:right w:w="108" w:type="dxa"/>
          </w:tblCellMar>
        </w:tblPrEx>
        <w:trPr>
          <w:trHeight w:val="339" w:hRule="atLeast"/>
        </w:trPr>
        <w:tc>
          <w:tcPr>
            <w:tcW w:w="1964" w:type="dxa"/>
            <w:vMerge w:val="restart"/>
            <w:tcBorders>
              <w:top w:val="nil"/>
              <w:left w:val="single" w:color="auto" w:sz="4" w:space="0"/>
              <w:bottom w:val="single" w:color="auto" w:sz="4" w:space="0"/>
              <w:right w:val="single" w:color="auto" w:sz="4" w:space="0"/>
            </w:tcBorders>
            <w:noWrap w:val="0"/>
            <w:vAlign w:val="bottom"/>
          </w:tcPr>
          <w:p w14:paraId="0821D828">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建筑业</w:t>
            </w:r>
          </w:p>
        </w:tc>
        <w:tc>
          <w:tcPr>
            <w:tcW w:w="1598" w:type="dxa"/>
            <w:tcBorders>
              <w:top w:val="nil"/>
              <w:left w:val="nil"/>
              <w:bottom w:val="single" w:color="auto" w:sz="4" w:space="0"/>
              <w:right w:val="single" w:color="auto" w:sz="4" w:space="0"/>
            </w:tcBorders>
            <w:noWrap w:val="0"/>
            <w:vAlign w:val="center"/>
          </w:tcPr>
          <w:p w14:paraId="71BF3AE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54" w:type="dxa"/>
            <w:tcBorders>
              <w:top w:val="nil"/>
              <w:left w:val="nil"/>
              <w:bottom w:val="single" w:color="auto" w:sz="4" w:space="0"/>
              <w:right w:val="single" w:color="auto" w:sz="4" w:space="0"/>
            </w:tcBorders>
            <w:noWrap w:val="0"/>
            <w:vAlign w:val="center"/>
          </w:tcPr>
          <w:p w14:paraId="145B7F4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71" w:type="dxa"/>
            <w:tcBorders>
              <w:top w:val="nil"/>
              <w:left w:val="nil"/>
              <w:bottom w:val="single" w:color="auto" w:sz="4" w:space="0"/>
              <w:right w:val="single" w:color="auto" w:sz="4" w:space="0"/>
            </w:tcBorders>
            <w:noWrap w:val="0"/>
            <w:vAlign w:val="center"/>
          </w:tcPr>
          <w:p w14:paraId="6BE8D8F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6000≤Y＜80000</w:t>
            </w:r>
          </w:p>
        </w:tc>
        <w:tc>
          <w:tcPr>
            <w:tcW w:w="1663" w:type="dxa"/>
            <w:tcBorders>
              <w:top w:val="nil"/>
              <w:left w:val="nil"/>
              <w:bottom w:val="single" w:color="auto" w:sz="4" w:space="0"/>
              <w:right w:val="single" w:color="auto" w:sz="4" w:space="0"/>
            </w:tcBorders>
            <w:noWrap w:val="0"/>
            <w:vAlign w:val="center"/>
          </w:tcPr>
          <w:p w14:paraId="60A23FB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300≤Y＜6000</w:t>
            </w:r>
          </w:p>
        </w:tc>
        <w:tc>
          <w:tcPr>
            <w:tcW w:w="1068" w:type="dxa"/>
            <w:tcBorders>
              <w:top w:val="nil"/>
              <w:left w:val="nil"/>
              <w:bottom w:val="single" w:color="auto" w:sz="4" w:space="0"/>
              <w:right w:val="single" w:color="auto" w:sz="4" w:space="0"/>
            </w:tcBorders>
            <w:noWrap w:val="0"/>
            <w:vAlign w:val="center"/>
          </w:tcPr>
          <w:p w14:paraId="7921780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23AA1B36">
        <w:tblPrEx>
          <w:tblCellMar>
            <w:top w:w="0" w:type="dxa"/>
            <w:left w:w="108" w:type="dxa"/>
            <w:bottom w:w="0" w:type="dxa"/>
            <w:right w:w="108" w:type="dxa"/>
          </w:tblCellMar>
        </w:tblPrEx>
        <w:trPr>
          <w:trHeight w:val="339" w:hRule="atLeast"/>
        </w:trPr>
        <w:tc>
          <w:tcPr>
            <w:tcW w:w="1964" w:type="dxa"/>
            <w:vMerge w:val="continue"/>
            <w:tcBorders>
              <w:top w:val="nil"/>
              <w:left w:val="single" w:color="auto" w:sz="4" w:space="0"/>
              <w:bottom w:val="single" w:color="auto" w:sz="4" w:space="0"/>
              <w:right w:val="single" w:color="auto" w:sz="4" w:space="0"/>
            </w:tcBorders>
            <w:noWrap w:val="0"/>
            <w:vAlign w:val="center"/>
          </w:tcPr>
          <w:p w14:paraId="40B88C86">
            <w:pPr>
              <w:widowControl/>
              <w:jc w:val="left"/>
              <w:rPr>
                <w:rFonts w:ascii="仿宋_GB2312" w:hAnsi="仿宋" w:eastAsia="仿宋_GB2312" w:cs="宋体"/>
                <w:b/>
                <w:bCs/>
                <w:color w:val="auto"/>
                <w:kern w:val="0"/>
                <w:sz w:val="18"/>
                <w:szCs w:val="18"/>
                <w:highlight w:val="none"/>
              </w:rPr>
            </w:pPr>
          </w:p>
        </w:tc>
        <w:tc>
          <w:tcPr>
            <w:tcW w:w="1598" w:type="dxa"/>
            <w:tcBorders>
              <w:top w:val="nil"/>
              <w:left w:val="nil"/>
              <w:bottom w:val="single" w:color="auto" w:sz="4" w:space="0"/>
              <w:right w:val="single" w:color="auto" w:sz="4" w:space="0"/>
            </w:tcBorders>
            <w:noWrap w:val="0"/>
            <w:vAlign w:val="center"/>
          </w:tcPr>
          <w:p w14:paraId="3A55EE4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1054" w:type="dxa"/>
            <w:tcBorders>
              <w:top w:val="nil"/>
              <w:left w:val="nil"/>
              <w:bottom w:val="single" w:color="auto" w:sz="4" w:space="0"/>
              <w:right w:val="single" w:color="auto" w:sz="4" w:space="0"/>
            </w:tcBorders>
            <w:noWrap w:val="0"/>
            <w:vAlign w:val="center"/>
          </w:tcPr>
          <w:p w14:paraId="4C1850A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71" w:type="dxa"/>
            <w:tcBorders>
              <w:top w:val="nil"/>
              <w:left w:val="nil"/>
              <w:bottom w:val="single" w:color="auto" w:sz="4" w:space="0"/>
              <w:right w:val="single" w:color="auto" w:sz="4" w:space="0"/>
            </w:tcBorders>
            <w:noWrap w:val="0"/>
            <w:vAlign w:val="center"/>
          </w:tcPr>
          <w:p w14:paraId="0BF4082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5000≤Z＜80000</w:t>
            </w:r>
          </w:p>
        </w:tc>
        <w:tc>
          <w:tcPr>
            <w:tcW w:w="1663" w:type="dxa"/>
            <w:tcBorders>
              <w:top w:val="nil"/>
              <w:left w:val="nil"/>
              <w:bottom w:val="single" w:color="auto" w:sz="4" w:space="0"/>
              <w:right w:val="single" w:color="auto" w:sz="4" w:space="0"/>
            </w:tcBorders>
            <w:noWrap w:val="0"/>
            <w:vAlign w:val="center"/>
          </w:tcPr>
          <w:p w14:paraId="7EF450A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300≤Z＜5000</w:t>
            </w:r>
          </w:p>
        </w:tc>
        <w:tc>
          <w:tcPr>
            <w:tcW w:w="1068" w:type="dxa"/>
            <w:tcBorders>
              <w:top w:val="nil"/>
              <w:left w:val="nil"/>
              <w:bottom w:val="single" w:color="auto" w:sz="4" w:space="0"/>
              <w:right w:val="single" w:color="auto" w:sz="4" w:space="0"/>
            </w:tcBorders>
            <w:noWrap w:val="0"/>
            <w:vAlign w:val="center"/>
          </w:tcPr>
          <w:p w14:paraId="6DF85E1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Z＜300</w:t>
            </w:r>
          </w:p>
        </w:tc>
      </w:tr>
      <w:tr w14:paraId="6C670CA9">
        <w:tblPrEx>
          <w:tblCellMar>
            <w:top w:w="0" w:type="dxa"/>
            <w:left w:w="108" w:type="dxa"/>
            <w:bottom w:w="0" w:type="dxa"/>
            <w:right w:w="108" w:type="dxa"/>
          </w:tblCellMar>
        </w:tblPrEx>
        <w:trPr>
          <w:trHeight w:val="339" w:hRule="atLeast"/>
        </w:trPr>
        <w:tc>
          <w:tcPr>
            <w:tcW w:w="1964" w:type="dxa"/>
            <w:vMerge w:val="restart"/>
            <w:tcBorders>
              <w:top w:val="nil"/>
              <w:left w:val="single" w:color="auto" w:sz="4" w:space="0"/>
              <w:bottom w:val="single" w:color="auto" w:sz="4" w:space="0"/>
              <w:right w:val="single" w:color="auto" w:sz="4" w:space="0"/>
            </w:tcBorders>
            <w:noWrap w:val="0"/>
            <w:vAlign w:val="bottom"/>
          </w:tcPr>
          <w:p w14:paraId="5519CD16">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批发业</w:t>
            </w:r>
          </w:p>
        </w:tc>
        <w:tc>
          <w:tcPr>
            <w:tcW w:w="1598" w:type="dxa"/>
            <w:tcBorders>
              <w:top w:val="nil"/>
              <w:left w:val="nil"/>
              <w:bottom w:val="single" w:color="auto" w:sz="4" w:space="0"/>
              <w:right w:val="single" w:color="auto" w:sz="4" w:space="0"/>
            </w:tcBorders>
            <w:noWrap w:val="0"/>
            <w:vAlign w:val="center"/>
          </w:tcPr>
          <w:p w14:paraId="7DC3A4F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54" w:type="dxa"/>
            <w:tcBorders>
              <w:top w:val="nil"/>
              <w:left w:val="nil"/>
              <w:bottom w:val="single" w:color="auto" w:sz="4" w:space="0"/>
              <w:right w:val="single" w:color="auto" w:sz="4" w:space="0"/>
            </w:tcBorders>
            <w:noWrap w:val="0"/>
            <w:vAlign w:val="center"/>
          </w:tcPr>
          <w:p w14:paraId="2E2D56D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71" w:type="dxa"/>
            <w:tcBorders>
              <w:top w:val="nil"/>
              <w:left w:val="nil"/>
              <w:bottom w:val="single" w:color="auto" w:sz="4" w:space="0"/>
              <w:right w:val="single" w:color="auto" w:sz="4" w:space="0"/>
            </w:tcBorders>
            <w:noWrap w:val="0"/>
            <w:vAlign w:val="center"/>
          </w:tcPr>
          <w:p w14:paraId="1922A5F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20≤X＜200</w:t>
            </w:r>
          </w:p>
        </w:tc>
        <w:tc>
          <w:tcPr>
            <w:tcW w:w="1663" w:type="dxa"/>
            <w:tcBorders>
              <w:top w:val="nil"/>
              <w:left w:val="nil"/>
              <w:bottom w:val="single" w:color="auto" w:sz="4" w:space="0"/>
              <w:right w:val="single" w:color="auto" w:sz="4" w:space="0"/>
            </w:tcBorders>
            <w:noWrap w:val="0"/>
            <w:vAlign w:val="center"/>
          </w:tcPr>
          <w:p w14:paraId="6A86152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5≤X＜20</w:t>
            </w:r>
          </w:p>
        </w:tc>
        <w:tc>
          <w:tcPr>
            <w:tcW w:w="1068" w:type="dxa"/>
            <w:tcBorders>
              <w:top w:val="nil"/>
              <w:left w:val="nil"/>
              <w:bottom w:val="single" w:color="auto" w:sz="4" w:space="0"/>
              <w:right w:val="single" w:color="auto" w:sz="4" w:space="0"/>
            </w:tcBorders>
            <w:noWrap w:val="0"/>
            <w:vAlign w:val="center"/>
          </w:tcPr>
          <w:p w14:paraId="368FE28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X＜5</w:t>
            </w:r>
          </w:p>
        </w:tc>
      </w:tr>
      <w:tr w14:paraId="27659827">
        <w:tblPrEx>
          <w:tblCellMar>
            <w:top w:w="0" w:type="dxa"/>
            <w:left w:w="108" w:type="dxa"/>
            <w:bottom w:w="0" w:type="dxa"/>
            <w:right w:w="108" w:type="dxa"/>
          </w:tblCellMar>
        </w:tblPrEx>
        <w:trPr>
          <w:trHeight w:val="339" w:hRule="atLeast"/>
        </w:trPr>
        <w:tc>
          <w:tcPr>
            <w:tcW w:w="1964" w:type="dxa"/>
            <w:vMerge w:val="continue"/>
            <w:tcBorders>
              <w:top w:val="nil"/>
              <w:left w:val="single" w:color="auto" w:sz="4" w:space="0"/>
              <w:bottom w:val="single" w:color="auto" w:sz="4" w:space="0"/>
              <w:right w:val="single" w:color="auto" w:sz="4" w:space="0"/>
            </w:tcBorders>
            <w:noWrap w:val="0"/>
            <w:vAlign w:val="center"/>
          </w:tcPr>
          <w:p w14:paraId="624F27D0">
            <w:pPr>
              <w:widowControl/>
              <w:jc w:val="left"/>
              <w:rPr>
                <w:rFonts w:ascii="仿宋_GB2312" w:hAnsi="仿宋" w:eastAsia="仿宋_GB2312" w:cs="宋体"/>
                <w:b/>
                <w:bCs/>
                <w:color w:val="auto"/>
                <w:kern w:val="0"/>
                <w:sz w:val="18"/>
                <w:szCs w:val="18"/>
                <w:highlight w:val="none"/>
              </w:rPr>
            </w:pPr>
          </w:p>
        </w:tc>
        <w:tc>
          <w:tcPr>
            <w:tcW w:w="1598" w:type="dxa"/>
            <w:tcBorders>
              <w:top w:val="nil"/>
              <w:left w:val="nil"/>
              <w:bottom w:val="single" w:color="auto" w:sz="4" w:space="0"/>
              <w:right w:val="single" w:color="auto" w:sz="4" w:space="0"/>
            </w:tcBorders>
            <w:noWrap w:val="0"/>
            <w:vAlign w:val="center"/>
          </w:tcPr>
          <w:p w14:paraId="23C3D5A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54" w:type="dxa"/>
            <w:tcBorders>
              <w:top w:val="nil"/>
              <w:left w:val="nil"/>
              <w:bottom w:val="single" w:color="auto" w:sz="4" w:space="0"/>
              <w:right w:val="single" w:color="auto" w:sz="4" w:space="0"/>
            </w:tcBorders>
            <w:noWrap w:val="0"/>
            <w:vAlign w:val="center"/>
          </w:tcPr>
          <w:p w14:paraId="1C65AAE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71" w:type="dxa"/>
            <w:tcBorders>
              <w:top w:val="nil"/>
              <w:left w:val="nil"/>
              <w:bottom w:val="single" w:color="auto" w:sz="4" w:space="0"/>
              <w:right w:val="single" w:color="auto" w:sz="4" w:space="0"/>
            </w:tcBorders>
            <w:noWrap w:val="0"/>
            <w:vAlign w:val="center"/>
          </w:tcPr>
          <w:p w14:paraId="57ED9BB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5000≤Y＜40000</w:t>
            </w:r>
          </w:p>
        </w:tc>
        <w:tc>
          <w:tcPr>
            <w:tcW w:w="1663" w:type="dxa"/>
            <w:tcBorders>
              <w:top w:val="nil"/>
              <w:left w:val="nil"/>
              <w:bottom w:val="single" w:color="auto" w:sz="4" w:space="0"/>
              <w:right w:val="single" w:color="auto" w:sz="4" w:space="0"/>
            </w:tcBorders>
            <w:noWrap w:val="0"/>
            <w:vAlign w:val="center"/>
          </w:tcPr>
          <w:p w14:paraId="4D037B8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1068" w:type="dxa"/>
            <w:tcBorders>
              <w:top w:val="nil"/>
              <w:left w:val="nil"/>
              <w:bottom w:val="single" w:color="auto" w:sz="4" w:space="0"/>
              <w:right w:val="single" w:color="auto" w:sz="4" w:space="0"/>
            </w:tcBorders>
            <w:noWrap w:val="0"/>
            <w:vAlign w:val="center"/>
          </w:tcPr>
          <w:p w14:paraId="0533C54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Y＜1000</w:t>
            </w:r>
          </w:p>
        </w:tc>
      </w:tr>
      <w:tr w14:paraId="00A68172">
        <w:tblPrEx>
          <w:tblCellMar>
            <w:top w:w="0" w:type="dxa"/>
            <w:left w:w="108" w:type="dxa"/>
            <w:bottom w:w="0" w:type="dxa"/>
            <w:right w:w="108" w:type="dxa"/>
          </w:tblCellMar>
        </w:tblPrEx>
        <w:trPr>
          <w:trHeight w:val="339" w:hRule="atLeast"/>
        </w:trPr>
        <w:tc>
          <w:tcPr>
            <w:tcW w:w="1964" w:type="dxa"/>
            <w:vMerge w:val="restart"/>
            <w:tcBorders>
              <w:top w:val="nil"/>
              <w:left w:val="single" w:color="auto" w:sz="4" w:space="0"/>
              <w:bottom w:val="single" w:color="auto" w:sz="4" w:space="0"/>
              <w:right w:val="single" w:color="auto" w:sz="4" w:space="0"/>
            </w:tcBorders>
            <w:noWrap w:val="0"/>
            <w:vAlign w:val="bottom"/>
          </w:tcPr>
          <w:p w14:paraId="54B6965D">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零售业</w:t>
            </w:r>
          </w:p>
        </w:tc>
        <w:tc>
          <w:tcPr>
            <w:tcW w:w="1598" w:type="dxa"/>
            <w:tcBorders>
              <w:top w:val="nil"/>
              <w:left w:val="nil"/>
              <w:bottom w:val="single" w:color="auto" w:sz="4" w:space="0"/>
              <w:right w:val="single" w:color="auto" w:sz="4" w:space="0"/>
            </w:tcBorders>
            <w:noWrap w:val="0"/>
            <w:vAlign w:val="center"/>
          </w:tcPr>
          <w:p w14:paraId="29E5580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54" w:type="dxa"/>
            <w:tcBorders>
              <w:top w:val="nil"/>
              <w:left w:val="nil"/>
              <w:bottom w:val="single" w:color="auto" w:sz="4" w:space="0"/>
              <w:right w:val="single" w:color="auto" w:sz="4" w:space="0"/>
            </w:tcBorders>
            <w:noWrap w:val="0"/>
            <w:vAlign w:val="center"/>
          </w:tcPr>
          <w:p w14:paraId="6CFAE1E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71" w:type="dxa"/>
            <w:tcBorders>
              <w:top w:val="nil"/>
              <w:left w:val="nil"/>
              <w:bottom w:val="single" w:color="auto" w:sz="4" w:space="0"/>
              <w:right w:val="single" w:color="auto" w:sz="4" w:space="0"/>
            </w:tcBorders>
            <w:noWrap w:val="0"/>
            <w:vAlign w:val="center"/>
          </w:tcPr>
          <w:p w14:paraId="027D267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50≤X＜300</w:t>
            </w:r>
          </w:p>
        </w:tc>
        <w:tc>
          <w:tcPr>
            <w:tcW w:w="1663" w:type="dxa"/>
            <w:tcBorders>
              <w:top w:val="nil"/>
              <w:left w:val="nil"/>
              <w:bottom w:val="single" w:color="auto" w:sz="4" w:space="0"/>
              <w:right w:val="single" w:color="auto" w:sz="4" w:space="0"/>
            </w:tcBorders>
            <w:noWrap w:val="0"/>
            <w:vAlign w:val="center"/>
          </w:tcPr>
          <w:p w14:paraId="2550387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10≤X＜50</w:t>
            </w:r>
          </w:p>
        </w:tc>
        <w:tc>
          <w:tcPr>
            <w:tcW w:w="1068" w:type="dxa"/>
            <w:tcBorders>
              <w:top w:val="nil"/>
              <w:left w:val="nil"/>
              <w:bottom w:val="single" w:color="auto" w:sz="4" w:space="0"/>
              <w:right w:val="single" w:color="auto" w:sz="4" w:space="0"/>
            </w:tcBorders>
            <w:noWrap w:val="0"/>
            <w:vAlign w:val="center"/>
          </w:tcPr>
          <w:p w14:paraId="4B7F601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62E7334A">
        <w:tblPrEx>
          <w:tblCellMar>
            <w:top w:w="0" w:type="dxa"/>
            <w:left w:w="108" w:type="dxa"/>
            <w:bottom w:w="0" w:type="dxa"/>
            <w:right w:w="108" w:type="dxa"/>
          </w:tblCellMar>
        </w:tblPrEx>
        <w:trPr>
          <w:trHeight w:val="339" w:hRule="atLeast"/>
        </w:trPr>
        <w:tc>
          <w:tcPr>
            <w:tcW w:w="1964" w:type="dxa"/>
            <w:vMerge w:val="continue"/>
            <w:tcBorders>
              <w:top w:val="nil"/>
              <w:left w:val="single" w:color="auto" w:sz="4" w:space="0"/>
              <w:bottom w:val="single" w:color="auto" w:sz="4" w:space="0"/>
              <w:right w:val="single" w:color="auto" w:sz="4" w:space="0"/>
            </w:tcBorders>
            <w:noWrap w:val="0"/>
            <w:vAlign w:val="center"/>
          </w:tcPr>
          <w:p w14:paraId="315ACDD4">
            <w:pPr>
              <w:widowControl/>
              <w:jc w:val="left"/>
              <w:rPr>
                <w:rFonts w:ascii="仿宋_GB2312" w:hAnsi="仿宋" w:eastAsia="仿宋_GB2312" w:cs="宋体"/>
                <w:b/>
                <w:bCs/>
                <w:color w:val="auto"/>
                <w:kern w:val="0"/>
                <w:sz w:val="18"/>
                <w:szCs w:val="18"/>
                <w:highlight w:val="none"/>
              </w:rPr>
            </w:pPr>
          </w:p>
        </w:tc>
        <w:tc>
          <w:tcPr>
            <w:tcW w:w="1598" w:type="dxa"/>
            <w:tcBorders>
              <w:top w:val="nil"/>
              <w:left w:val="nil"/>
              <w:bottom w:val="single" w:color="auto" w:sz="4" w:space="0"/>
              <w:right w:val="single" w:color="auto" w:sz="4" w:space="0"/>
            </w:tcBorders>
            <w:noWrap w:val="0"/>
            <w:vAlign w:val="center"/>
          </w:tcPr>
          <w:p w14:paraId="197DC44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54" w:type="dxa"/>
            <w:tcBorders>
              <w:top w:val="nil"/>
              <w:left w:val="nil"/>
              <w:bottom w:val="single" w:color="auto" w:sz="4" w:space="0"/>
              <w:right w:val="single" w:color="auto" w:sz="4" w:space="0"/>
            </w:tcBorders>
            <w:noWrap w:val="0"/>
            <w:vAlign w:val="center"/>
          </w:tcPr>
          <w:p w14:paraId="0A3812C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71" w:type="dxa"/>
            <w:tcBorders>
              <w:top w:val="nil"/>
              <w:left w:val="nil"/>
              <w:bottom w:val="single" w:color="auto" w:sz="4" w:space="0"/>
              <w:right w:val="single" w:color="auto" w:sz="4" w:space="0"/>
            </w:tcBorders>
            <w:noWrap w:val="0"/>
            <w:vAlign w:val="center"/>
          </w:tcPr>
          <w:p w14:paraId="6FC79D8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663" w:type="dxa"/>
            <w:tcBorders>
              <w:top w:val="nil"/>
              <w:left w:val="nil"/>
              <w:bottom w:val="single" w:color="auto" w:sz="4" w:space="0"/>
              <w:right w:val="single" w:color="auto" w:sz="4" w:space="0"/>
            </w:tcBorders>
            <w:noWrap w:val="0"/>
            <w:vAlign w:val="center"/>
          </w:tcPr>
          <w:p w14:paraId="2836EBB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100≤Y＜500</w:t>
            </w:r>
          </w:p>
        </w:tc>
        <w:tc>
          <w:tcPr>
            <w:tcW w:w="1068" w:type="dxa"/>
            <w:tcBorders>
              <w:top w:val="nil"/>
              <w:left w:val="nil"/>
              <w:bottom w:val="single" w:color="auto" w:sz="4" w:space="0"/>
              <w:right w:val="single" w:color="auto" w:sz="4" w:space="0"/>
            </w:tcBorders>
            <w:noWrap w:val="0"/>
            <w:vAlign w:val="center"/>
          </w:tcPr>
          <w:p w14:paraId="79355CB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723CA92C">
        <w:tblPrEx>
          <w:tblCellMar>
            <w:top w:w="0" w:type="dxa"/>
            <w:left w:w="108" w:type="dxa"/>
            <w:bottom w:w="0" w:type="dxa"/>
            <w:right w:w="108" w:type="dxa"/>
          </w:tblCellMar>
        </w:tblPrEx>
        <w:trPr>
          <w:trHeight w:val="339" w:hRule="atLeast"/>
        </w:trPr>
        <w:tc>
          <w:tcPr>
            <w:tcW w:w="1964" w:type="dxa"/>
            <w:vMerge w:val="restart"/>
            <w:tcBorders>
              <w:top w:val="nil"/>
              <w:left w:val="single" w:color="auto" w:sz="4" w:space="0"/>
              <w:bottom w:val="single" w:color="auto" w:sz="4" w:space="0"/>
              <w:right w:val="single" w:color="auto" w:sz="4" w:space="0"/>
            </w:tcBorders>
            <w:noWrap w:val="0"/>
            <w:vAlign w:val="bottom"/>
          </w:tcPr>
          <w:p w14:paraId="2B23F682">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交通运输业</w:t>
            </w:r>
          </w:p>
        </w:tc>
        <w:tc>
          <w:tcPr>
            <w:tcW w:w="1598" w:type="dxa"/>
            <w:tcBorders>
              <w:top w:val="nil"/>
              <w:left w:val="nil"/>
              <w:bottom w:val="single" w:color="auto" w:sz="4" w:space="0"/>
              <w:right w:val="single" w:color="auto" w:sz="4" w:space="0"/>
            </w:tcBorders>
            <w:noWrap w:val="0"/>
            <w:vAlign w:val="center"/>
          </w:tcPr>
          <w:p w14:paraId="493639D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54" w:type="dxa"/>
            <w:tcBorders>
              <w:top w:val="nil"/>
              <w:left w:val="nil"/>
              <w:bottom w:val="single" w:color="auto" w:sz="4" w:space="0"/>
              <w:right w:val="single" w:color="auto" w:sz="4" w:space="0"/>
            </w:tcBorders>
            <w:noWrap w:val="0"/>
            <w:vAlign w:val="center"/>
          </w:tcPr>
          <w:p w14:paraId="497DC07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71" w:type="dxa"/>
            <w:tcBorders>
              <w:top w:val="nil"/>
              <w:left w:val="nil"/>
              <w:bottom w:val="single" w:color="auto" w:sz="4" w:space="0"/>
              <w:right w:val="single" w:color="auto" w:sz="4" w:space="0"/>
            </w:tcBorders>
            <w:noWrap w:val="0"/>
            <w:vAlign w:val="center"/>
          </w:tcPr>
          <w:p w14:paraId="62785C6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663" w:type="dxa"/>
            <w:tcBorders>
              <w:top w:val="nil"/>
              <w:left w:val="nil"/>
              <w:bottom w:val="single" w:color="auto" w:sz="4" w:space="0"/>
              <w:right w:val="single" w:color="auto" w:sz="4" w:space="0"/>
            </w:tcBorders>
            <w:noWrap w:val="0"/>
            <w:vAlign w:val="center"/>
          </w:tcPr>
          <w:p w14:paraId="4DF3DC5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068" w:type="dxa"/>
            <w:tcBorders>
              <w:top w:val="nil"/>
              <w:left w:val="nil"/>
              <w:bottom w:val="single" w:color="auto" w:sz="4" w:space="0"/>
              <w:right w:val="single" w:color="auto" w:sz="4" w:space="0"/>
            </w:tcBorders>
            <w:noWrap w:val="0"/>
            <w:vAlign w:val="center"/>
          </w:tcPr>
          <w:p w14:paraId="01A2083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02D09342">
        <w:tblPrEx>
          <w:tblCellMar>
            <w:top w:w="0" w:type="dxa"/>
            <w:left w:w="108" w:type="dxa"/>
            <w:bottom w:w="0" w:type="dxa"/>
            <w:right w:w="108" w:type="dxa"/>
          </w:tblCellMar>
        </w:tblPrEx>
        <w:trPr>
          <w:trHeight w:val="339" w:hRule="atLeast"/>
        </w:trPr>
        <w:tc>
          <w:tcPr>
            <w:tcW w:w="1964" w:type="dxa"/>
            <w:vMerge w:val="continue"/>
            <w:tcBorders>
              <w:top w:val="nil"/>
              <w:left w:val="single" w:color="auto" w:sz="4" w:space="0"/>
              <w:bottom w:val="single" w:color="auto" w:sz="4" w:space="0"/>
              <w:right w:val="single" w:color="auto" w:sz="4" w:space="0"/>
            </w:tcBorders>
            <w:noWrap w:val="0"/>
            <w:vAlign w:val="center"/>
          </w:tcPr>
          <w:p w14:paraId="37FA6F37">
            <w:pPr>
              <w:widowControl/>
              <w:jc w:val="left"/>
              <w:rPr>
                <w:rFonts w:ascii="仿宋_GB2312" w:hAnsi="仿宋" w:eastAsia="仿宋_GB2312" w:cs="宋体"/>
                <w:b/>
                <w:bCs/>
                <w:color w:val="auto"/>
                <w:kern w:val="0"/>
                <w:sz w:val="18"/>
                <w:szCs w:val="18"/>
                <w:highlight w:val="none"/>
              </w:rPr>
            </w:pPr>
          </w:p>
        </w:tc>
        <w:tc>
          <w:tcPr>
            <w:tcW w:w="1598" w:type="dxa"/>
            <w:tcBorders>
              <w:top w:val="nil"/>
              <w:left w:val="nil"/>
              <w:bottom w:val="single" w:color="auto" w:sz="4" w:space="0"/>
              <w:right w:val="single" w:color="auto" w:sz="4" w:space="0"/>
            </w:tcBorders>
            <w:noWrap w:val="0"/>
            <w:vAlign w:val="center"/>
          </w:tcPr>
          <w:p w14:paraId="600E01A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54" w:type="dxa"/>
            <w:tcBorders>
              <w:top w:val="nil"/>
              <w:left w:val="nil"/>
              <w:bottom w:val="single" w:color="auto" w:sz="4" w:space="0"/>
              <w:right w:val="single" w:color="auto" w:sz="4" w:space="0"/>
            </w:tcBorders>
            <w:noWrap w:val="0"/>
            <w:vAlign w:val="center"/>
          </w:tcPr>
          <w:p w14:paraId="6972606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71" w:type="dxa"/>
            <w:tcBorders>
              <w:top w:val="nil"/>
              <w:left w:val="nil"/>
              <w:bottom w:val="single" w:color="auto" w:sz="4" w:space="0"/>
              <w:right w:val="single" w:color="auto" w:sz="4" w:space="0"/>
            </w:tcBorders>
            <w:noWrap w:val="0"/>
            <w:vAlign w:val="center"/>
          </w:tcPr>
          <w:p w14:paraId="5D39CAE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3000≤Y＜30000</w:t>
            </w:r>
          </w:p>
        </w:tc>
        <w:tc>
          <w:tcPr>
            <w:tcW w:w="1663" w:type="dxa"/>
            <w:tcBorders>
              <w:top w:val="nil"/>
              <w:left w:val="nil"/>
              <w:bottom w:val="single" w:color="auto" w:sz="4" w:space="0"/>
              <w:right w:val="single" w:color="auto" w:sz="4" w:space="0"/>
            </w:tcBorders>
            <w:noWrap w:val="0"/>
            <w:vAlign w:val="center"/>
          </w:tcPr>
          <w:p w14:paraId="397673C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200≤Y＜3000</w:t>
            </w:r>
          </w:p>
        </w:tc>
        <w:tc>
          <w:tcPr>
            <w:tcW w:w="1068" w:type="dxa"/>
            <w:tcBorders>
              <w:top w:val="nil"/>
              <w:left w:val="nil"/>
              <w:bottom w:val="single" w:color="auto" w:sz="4" w:space="0"/>
              <w:right w:val="single" w:color="auto" w:sz="4" w:space="0"/>
            </w:tcBorders>
            <w:noWrap w:val="0"/>
            <w:vAlign w:val="center"/>
          </w:tcPr>
          <w:p w14:paraId="7619C92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w:t>
            </w:r>
          </w:p>
        </w:tc>
      </w:tr>
      <w:tr w14:paraId="52472734">
        <w:tblPrEx>
          <w:tblCellMar>
            <w:top w:w="0" w:type="dxa"/>
            <w:left w:w="108" w:type="dxa"/>
            <w:bottom w:w="0" w:type="dxa"/>
            <w:right w:w="108" w:type="dxa"/>
          </w:tblCellMar>
        </w:tblPrEx>
        <w:trPr>
          <w:trHeight w:val="339" w:hRule="atLeast"/>
        </w:trPr>
        <w:tc>
          <w:tcPr>
            <w:tcW w:w="1964" w:type="dxa"/>
            <w:vMerge w:val="restart"/>
            <w:tcBorders>
              <w:top w:val="nil"/>
              <w:left w:val="single" w:color="auto" w:sz="4" w:space="0"/>
              <w:bottom w:val="single" w:color="auto" w:sz="4" w:space="0"/>
              <w:right w:val="single" w:color="auto" w:sz="4" w:space="0"/>
            </w:tcBorders>
            <w:noWrap w:val="0"/>
            <w:vAlign w:val="bottom"/>
          </w:tcPr>
          <w:p w14:paraId="695F9394">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仓储业</w:t>
            </w:r>
          </w:p>
        </w:tc>
        <w:tc>
          <w:tcPr>
            <w:tcW w:w="1598" w:type="dxa"/>
            <w:tcBorders>
              <w:top w:val="nil"/>
              <w:left w:val="nil"/>
              <w:bottom w:val="single" w:color="auto" w:sz="4" w:space="0"/>
              <w:right w:val="single" w:color="auto" w:sz="4" w:space="0"/>
            </w:tcBorders>
            <w:noWrap w:val="0"/>
            <w:vAlign w:val="center"/>
          </w:tcPr>
          <w:p w14:paraId="4EF90BF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54" w:type="dxa"/>
            <w:tcBorders>
              <w:top w:val="nil"/>
              <w:left w:val="nil"/>
              <w:bottom w:val="single" w:color="auto" w:sz="4" w:space="0"/>
              <w:right w:val="single" w:color="auto" w:sz="4" w:space="0"/>
            </w:tcBorders>
            <w:noWrap w:val="0"/>
            <w:vAlign w:val="center"/>
          </w:tcPr>
          <w:p w14:paraId="5EF9350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71" w:type="dxa"/>
            <w:tcBorders>
              <w:top w:val="nil"/>
              <w:left w:val="nil"/>
              <w:bottom w:val="single" w:color="auto" w:sz="4" w:space="0"/>
              <w:right w:val="single" w:color="auto" w:sz="4" w:space="0"/>
            </w:tcBorders>
            <w:noWrap w:val="0"/>
            <w:vAlign w:val="center"/>
          </w:tcPr>
          <w:p w14:paraId="04F615D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w:t>
            </w:r>
          </w:p>
        </w:tc>
        <w:tc>
          <w:tcPr>
            <w:tcW w:w="1663" w:type="dxa"/>
            <w:tcBorders>
              <w:top w:val="nil"/>
              <w:left w:val="nil"/>
              <w:bottom w:val="single" w:color="auto" w:sz="4" w:space="0"/>
              <w:right w:val="single" w:color="auto" w:sz="4" w:space="0"/>
            </w:tcBorders>
            <w:noWrap w:val="0"/>
            <w:vAlign w:val="center"/>
          </w:tcPr>
          <w:p w14:paraId="7BFC944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20≤X＜100</w:t>
            </w:r>
          </w:p>
        </w:tc>
        <w:tc>
          <w:tcPr>
            <w:tcW w:w="1068" w:type="dxa"/>
            <w:tcBorders>
              <w:top w:val="nil"/>
              <w:left w:val="nil"/>
              <w:bottom w:val="single" w:color="auto" w:sz="4" w:space="0"/>
              <w:right w:val="single" w:color="auto" w:sz="4" w:space="0"/>
            </w:tcBorders>
            <w:noWrap w:val="0"/>
            <w:vAlign w:val="center"/>
          </w:tcPr>
          <w:p w14:paraId="5CD72CC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06228616">
        <w:tblPrEx>
          <w:tblCellMar>
            <w:top w:w="0" w:type="dxa"/>
            <w:left w:w="108" w:type="dxa"/>
            <w:bottom w:w="0" w:type="dxa"/>
            <w:right w:w="108" w:type="dxa"/>
          </w:tblCellMar>
        </w:tblPrEx>
        <w:trPr>
          <w:trHeight w:val="339" w:hRule="atLeast"/>
        </w:trPr>
        <w:tc>
          <w:tcPr>
            <w:tcW w:w="1964" w:type="dxa"/>
            <w:vMerge w:val="continue"/>
            <w:tcBorders>
              <w:top w:val="nil"/>
              <w:left w:val="single" w:color="auto" w:sz="4" w:space="0"/>
              <w:bottom w:val="single" w:color="auto" w:sz="4" w:space="0"/>
              <w:right w:val="single" w:color="auto" w:sz="4" w:space="0"/>
            </w:tcBorders>
            <w:noWrap w:val="0"/>
            <w:vAlign w:val="center"/>
          </w:tcPr>
          <w:p w14:paraId="16770698">
            <w:pPr>
              <w:widowControl/>
              <w:jc w:val="left"/>
              <w:rPr>
                <w:rFonts w:ascii="仿宋_GB2312" w:hAnsi="仿宋" w:eastAsia="仿宋_GB2312" w:cs="宋体"/>
                <w:b/>
                <w:bCs/>
                <w:color w:val="auto"/>
                <w:kern w:val="0"/>
                <w:sz w:val="18"/>
                <w:szCs w:val="18"/>
                <w:highlight w:val="none"/>
              </w:rPr>
            </w:pPr>
          </w:p>
        </w:tc>
        <w:tc>
          <w:tcPr>
            <w:tcW w:w="1598" w:type="dxa"/>
            <w:tcBorders>
              <w:top w:val="nil"/>
              <w:left w:val="nil"/>
              <w:bottom w:val="single" w:color="auto" w:sz="4" w:space="0"/>
              <w:right w:val="single" w:color="auto" w:sz="4" w:space="0"/>
            </w:tcBorders>
            <w:noWrap w:val="0"/>
            <w:vAlign w:val="center"/>
          </w:tcPr>
          <w:p w14:paraId="62D7C07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54" w:type="dxa"/>
            <w:tcBorders>
              <w:top w:val="nil"/>
              <w:left w:val="nil"/>
              <w:bottom w:val="single" w:color="auto" w:sz="4" w:space="0"/>
              <w:right w:val="single" w:color="auto" w:sz="4" w:space="0"/>
            </w:tcBorders>
            <w:noWrap w:val="0"/>
            <w:vAlign w:val="center"/>
          </w:tcPr>
          <w:p w14:paraId="21BEC11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71" w:type="dxa"/>
            <w:tcBorders>
              <w:top w:val="nil"/>
              <w:left w:val="nil"/>
              <w:bottom w:val="single" w:color="auto" w:sz="4" w:space="0"/>
              <w:right w:val="single" w:color="auto" w:sz="4" w:space="0"/>
            </w:tcBorders>
            <w:noWrap w:val="0"/>
            <w:vAlign w:val="center"/>
          </w:tcPr>
          <w:p w14:paraId="788CEC1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1000≤Y＜30000</w:t>
            </w:r>
          </w:p>
        </w:tc>
        <w:tc>
          <w:tcPr>
            <w:tcW w:w="1663" w:type="dxa"/>
            <w:tcBorders>
              <w:top w:val="nil"/>
              <w:left w:val="nil"/>
              <w:bottom w:val="single" w:color="auto" w:sz="4" w:space="0"/>
              <w:right w:val="single" w:color="auto" w:sz="4" w:space="0"/>
            </w:tcBorders>
            <w:noWrap w:val="0"/>
            <w:vAlign w:val="center"/>
          </w:tcPr>
          <w:p w14:paraId="3DE49CB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1068" w:type="dxa"/>
            <w:tcBorders>
              <w:top w:val="nil"/>
              <w:left w:val="nil"/>
              <w:bottom w:val="single" w:color="auto" w:sz="4" w:space="0"/>
              <w:right w:val="single" w:color="auto" w:sz="4" w:space="0"/>
            </w:tcBorders>
            <w:noWrap w:val="0"/>
            <w:vAlign w:val="center"/>
          </w:tcPr>
          <w:p w14:paraId="443C960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154C048D">
        <w:tblPrEx>
          <w:tblCellMar>
            <w:top w:w="0" w:type="dxa"/>
            <w:left w:w="108" w:type="dxa"/>
            <w:bottom w:w="0" w:type="dxa"/>
            <w:right w:w="108" w:type="dxa"/>
          </w:tblCellMar>
        </w:tblPrEx>
        <w:trPr>
          <w:trHeight w:val="339" w:hRule="atLeast"/>
        </w:trPr>
        <w:tc>
          <w:tcPr>
            <w:tcW w:w="1964" w:type="dxa"/>
            <w:vMerge w:val="restart"/>
            <w:tcBorders>
              <w:top w:val="nil"/>
              <w:left w:val="single" w:color="auto" w:sz="4" w:space="0"/>
              <w:bottom w:val="single" w:color="auto" w:sz="4" w:space="0"/>
              <w:right w:val="single" w:color="auto" w:sz="4" w:space="0"/>
            </w:tcBorders>
            <w:noWrap w:val="0"/>
            <w:vAlign w:val="bottom"/>
          </w:tcPr>
          <w:p w14:paraId="7FB0F942">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邮政业</w:t>
            </w:r>
          </w:p>
        </w:tc>
        <w:tc>
          <w:tcPr>
            <w:tcW w:w="1598" w:type="dxa"/>
            <w:tcBorders>
              <w:top w:val="nil"/>
              <w:left w:val="nil"/>
              <w:bottom w:val="single" w:color="auto" w:sz="4" w:space="0"/>
              <w:right w:val="single" w:color="auto" w:sz="4" w:space="0"/>
            </w:tcBorders>
            <w:noWrap w:val="0"/>
            <w:vAlign w:val="center"/>
          </w:tcPr>
          <w:p w14:paraId="0C4684A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54" w:type="dxa"/>
            <w:tcBorders>
              <w:top w:val="nil"/>
              <w:left w:val="nil"/>
              <w:bottom w:val="single" w:color="auto" w:sz="4" w:space="0"/>
              <w:right w:val="single" w:color="auto" w:sz="4" w:space="0"/>
            </w:tcBorders>
            <w:noWrap w:val="0"/>
            <w:vAlign w:val="center"/>
          </w:tcPr>
          <w:p w14:paraId="0D71C93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71" w:type="dxa"/>
            <w:tcBorders>
              <w:top w:val="nil"/>
              <w:left w:val="nil"/>
              <w:bottom w:val="single" w:color="auto" w:sz="4" w:space="0"/>
              <w:right w:val="single" w:color="auto" w:sz="4" w:space="0"/>
            </w:tcBorders>
            <w:noWrap w:val="0"/>
            <w:vAlign w:val="center"/>
          </w:tcPr>
          <w:p w14:paraId="4774CB9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663" w:type="dxa"/>
            <w:tcBorders>
              <w:top w:val="nil"/>
              <w:left w:val="nil"/>
              <w:bottom w:val="single" w:color="auto" w:sz="4" w:space="0"/>
              <w:right w:val="single" w:color="auto" w:sz="4" w:space="0"/>
            </w:tcBorders>
            <w:noWrap w:val="0"/>
            <w:vAlign w:val="center"/>
          </w:tcPr>
          <w:p w14:paraId="2C26868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068" w:type="dxa"/>
            <w:tcBorders>
              <w:top w:val="nil"/>
              <w:left w:val="nil"/>
              <w:bottom w:val="single" w:color="auto" w:sz="4" w:space="0"/>
              <w:right w:val="single" w:color="auto" w:sz="4" w:space="0"/>
            </w:tcBorders>
            <w:noWrap w:val="0"/>
            <w:vAlign w:val="center"/>
          </w:tcPr>
          <w:p w14:paraId="74C8AFF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47137B99">
        <w:tblPrEx>
          <w:tblCellMar>
            <w:top w:w="0" w:type="dxa"/>
            <w:left w:w="108" w:type="dxa"/>
            <w:bottom w:w="0" w:type="dxa"/>
            <w:right w:w="108" w:type="dxa"/>
          </w:tblCellMar>
        </w:tblPrEx>
        <w:trPr>
          <w:trHeight w:val="339" w:hRule="atLeast"/>
        </w:trPr>
        <w:tc>
          <w:tcPr>
            <w:tcW w:w="1964" w:type="dxa"/>
            <w:vMerge w:val="continue"/>
            <w:tcBorders>
              <w:top w:val="nil"/>
              <w:left w:val="single" w:color="auto" w:sz="4" w:space="0"/>
              <w:bottom w:val="single" w:color="auto" w:sz="4" w:space="0"/>
              <w:right w:val="single" w:color="auto" w:sz="4" w:space="0"/>
            </w:tcBorders>
            <w:noWrap w:val="0"/>
            <w:vAlign w:val="center"/>
          </w:tcPr>
          <w:p w14:paraId="77F81D6F">
            <w:pPr>
              <w:widowControl/>
              <w:jc w:val="left"/>
              <w:rPr>
                <w:rFonts w:ascii="仿宋_GB2312" w:hAnsi="仿宋" w:eastAsia="仿宋_GB2312" w:cs="宋体"/>
                <w:b/>
                <w:bCs/>
                <w:color w:val="auto"/>
                <w:kern w:val="0"/>
                <w:sz w:val="18"/>
                <w:szCs w:val="18"/>
                <w:highlight w:val="none"/>
              </w:rPr>
            </w:pPr>
          </w:p>
        </w:tc>
        <w:tc>
          <w:tcPr>
            <w:tcW w:w="1598" w:type="dxa"/>
            <w:tcBorders>
              <w:top w:val="nil"/>
              <w:left w:val="nil"/>
              <w:bottom w:val="single" w:color="auto" w:sz="4" w:space="0"/>
              <w:right w:val="single" w:color="auto" w:sz="4" w:space="0"/>
            </w:tcBorders>
            <w:noWrap w:val="0"/>
            <w:vAlign w:val="center"/>
          </w:tcPr>
          <w:p w14:paraId="577D290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54" w:type="dxa"/>
            <w:tcBorders>
              <w:top w:val="nil"/>
              <w:left w:val="nil"/>
              <w:bottom w:val="single" w:color="auto" w:sz="4" w:space="0"/>
              <w:right w:val="single" w:color="auto" w:sz="4" w:space="0"/>
            </w:tcBorders>
            <w:noWrap w:val="0"/>
            <w:vAlign w:val="center"/>
          </w:tcPr>
          <w:p w14:paraId="5F70858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71" w:type="dxa"/>
            <w:tcBorders>
              <w:top w:val="nil"/>
              <w:left w:val="nil"/>
              <w:bottom w:val="single" w:color="auto" w:sz="4" w:space="0"/>
              <w:right w:val="single" w:color="auto" w:sz="4" w:space="0"/>
            </w:tcBorders>
            <w:noWrap w:val="0"/>
            <w:vAlign w:val="center"/>
          </w:tcPr>
          <w:p w14:paraId="13C82E0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2000≤Y＜30000</w:t>
            </w:r>
          </w:p>
        </w:tc>
        <w:tc>
          <w:tcPr>
            <w:tcW w:w="1663" w:type="dxa"/>
            <w:tcBorders>
              <w:top w:val="nil"/>
              <w:left w:val="nil"/>
              <w:bottom w:val="single" w:color="auto" w:sz="4" w:space="0"/>
              <w:right w:val="single" w:color="auto" w:sz="4" w:space="0"/>
            </w:tcBorders>
            <w:noWrap w:val="0"/>
            <w:vAlign w:val="center"/>
          </w:tcPr>
          <w:p w14:paraId="13881FB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068" w:type="dxa"/>
            <w:tcBorders>
              <w:top w:val="nil"/>
              <w:left w:val="nil"/>
              <w:bottom w:val="single" w:color="auto" w:sz="4" w:space="0"/>
              <w:right w:val="single" w:color="auto" w:sz="4" w:space="0"/>
            </w:tcBorders>
            <w:noWrap w:val="0"/>
            <w:vAlign w:val="center"/>
          </w:tcPr>
          <w:p w14:paraId="2323E47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23D32444">
        <w:tblPrEx>
          <w:tblCellMar>
            <w:top w:w="0" w:type="dxa"/>
            <w:left w:w="108" w:type="dxa"/>
            <w:bottom w:w="0" w:type="dxa"/>
            <w:right w:w="108" w:type="dxa"/>
          </w:tblCellMar>
        </w:tblPrEx>
        <w:trPr>
          <w:trHeight w:val="339" w:hRule="atLeast"/>
        </w:trPr>
        <w:tc>
          <w:tcPr>
            <w:tcW w:w="1964" w:type="dxa"/>
            <w:vMerge w:val="restart"/>
            <w:tcBorders>
              <w:top w:val="nil"/>
              <w:left w:val="single" w:color="auto" w:sz="4" w:space="0"/>
              <w:bottom w:val="single" w:color="auto" w:sz="4" w:space="0"/>
              <w:right w:val="single" w:color="auto" w:sz="4" w:space="0"/>
            </w:tcBorders>
            <w:noWrap w:val="0"/>
            <w:vAlign w:val="bottom"/>
          </w:tcPr>
          <w:p w14:paraId="7494C1E8">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住宿业</w:t>
            </w:r>
          </w:p>
        </w:tc>
        <w:tc>
          <w:tcPr>
            <w:tcW w:w="1598" w:type="dxa"/>
            <w:tcBorders>
              <w:top w:val="nil"/>
              <w:left w:val="nil"/>
              <w:bottom w:val="single" w:color="auto" w:sz="4" w:space="0"/>
              <w:right w:val="single" w:color="auto" w:sz="4" w:space="0"/>
            </w:tcBorders>
            <w:noWrap w:val="0"/>
            <w:vAlign w:val="center"/>
          </w:tcPr>
          <w:p w14:paraId="07BE882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54" w:type="dxa"/>
            <w:tcBorders>
              <w:top w:val="nil"/>
              <w:left w:val="nil"/>
              <w:bottom w:val="single" w:color="auto" w:sz="4" w:space="0"/>
              <w:right w:val="single" w:color="auto" w:sz="4" w:space="0"/>
            </w:tcBorders>
            <w:noWrap w:val="0"/>
            <w:vAlign w:val="center"/>
          </w:tcPr>
          <w:p w14:paraId="1EADF60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71" w:type="dxa"/>
            <w:tcBorders>
              <w:top w:val="nil"/>
              <w:left w:val="nil"/>
              <w:bottom w:val="single" w:color="auto" w:sz="4" w:space="0"/>
              <w:right w:val="single" w:color="auto" w:sz="4" w:space="0"/>
            </w:tcBorders>
            <w:noWrap w:val="0"/>
            <w:vAlign w:val="center"/>
          </w:tcPr>
          <w:p w14:paraId="39C5C8A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663" w:type="dxa"/>
            <w:tcBorders>
              <w:top w:val="nil"/>
              <w:left w:val="nil"/>
              <w:bottom w:val="single" w:color="auto" w:sz="4" w:space="0"/>
              <w:right w:val="single" w:color="auto" w:sz="4" w:space="0"/>
            </w:tcBorders>
            <w:noWrap w:val="0"/>
            <w:vAlign w:val="center"/>
          </w:tcPr>
          <w:p w14:paraId="28100DE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068" w:type="dxa"/>
            <w:tcBorders>
              <w:top w:val="nil"/>
              <w:left w:val="nil"/>
              <w:bottom w:val="single" w:color="auto" w:sz="4" w:space="0"/>
              <w:right w:val="single" w:color="auto" w:sz="4" w:space="0"/>
            </w:tcBorders>
            <w:noWrap w:val="0"/>
            <w:vAlign w:val="center"/>
          </w:tcPr>
          <w:p w14:paraId="4ACE259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4E9FDC88">
        <w:tblPrEx>
          <w:tblCellMar>
            <w:top w:w="0" w:type="dxa"/>
            <w:left w:w="108" w:type="dxa"/>
            <w:bottom w:w="0" w:type="dxa"/>
            <w:right w:w="108" w:type="dxa"/>
          </w:tblCellMar>
        </w:tblPrEx>
        <w:trPr>
          <w:trHeight w:val="339" w:hRule="atLeast"/>
        </w:trPr>
        <w:tc>
          <w:tcPr>
            <w:tcW w:w="1964" w:type="dxa"/>
            <w:vMerge w:val="continue"/>
            <w:tcBorders>
              <w:top w:val="nil"/>
              <w:left w:val="single" w:color="auto" w:sz="4" w:space="0"/>
              <w:bottom w:val="single" w:color="auto" w:sz="4" w:space="0"/>
              <w:right w:val="single" w:color="auto" w:sz="4" w:space="0"/>
            </w:tcBorders>
            <w:noWrap w:val="0"/>
            <w:vAlign w:val="center"/>
          </w:tcPr>
          <w:p w14:paraId="4468464A">
            <w:pPr>
              <w:widowControl/>
              <w:jc w:val="left"/>
              <w:rPr>
                <w:rFonts w:ascii="仿宋_GB2312" w:hAnsi="仿宋" w:eastAsia="仿宋_GB2312" w:cs="宋体"/>
                <w:b/>
                <w:bCs/>
                <w:color w:val="auto"/>
                <w:kern w:val="0"/>
                <w:sz w:val="18"/>
                <w:szCs w:val="18"/>
                <w:highlight w:val="none"/>
              </w:rPr>
            </w:pPr>
          </w:p>
        </w:tc>
        <w:tc>
          <w:tcPr>
            <w:tcW w:w="1598" w:type="dxa"/>
            <w:tcBorders>
              <w:top w:val="nil"/>
              <w:left w:val="nil"/>
              <w:bottom w:val="single" w:color="auto" w:sz="4" w:space="0"/>
              <w:right w:val="single" w:color="auto" w:sz="4" w:space="0"/>
            </w:tcBorders>
            <w:noWrap w:val="0"/>
            <w:vAlign w:val="center"/>
          </w:tcPr>
          <w:p w14:paraId="0E53AAA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54" w:type="dxa"/>
            <w:tcBorders>
              <w:top w:val="nil"/>
              <w:left w:val="nil"/>
              <w:bottom w:val="single" w:color="auto" w:sz="4" w:space="0"/>
              <w:right w:val="single" w:color="auto" w:sz="4" w:space="0"/>
            </w:tcBorders>
            <w:noWrap w:val="0"/>
            <w:vAlign w:val="center"/>
          </w:tcPr>
          <w:p w14:paraId="0EB3590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71" w:type="dxa"/>
            <w:tcBorders>
              <w:top w:val="nil"/>
              <w:left w:val="nil"/>
              <w:bottom w:val="single" w:color="auto" w:sz="4" w:space="0"/>
              <w:right w:val="single" w:color="auto" w:sz="4" w:space="0"/>
            </w:tcBorders>
            <w:noWrap w:val="0"/>
            <w:vAlign w:val="center"/>
          </w:tcPr>
          <w:p w14:paraId="6CA6127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663" w:type="dxa"/>
            <w:tcBorders>
              <w:top w:val="nil"/>
              <w:left w:val="nil"/>
              <w:bottom w:val="single" w:color="auto" w:sz="4" w:space="0"/>
              <w:right w:val="single" w:color="auto" w:sz="4" w:space="0"/>
            </w:tcBorders>
            <w:noWrap w:val="0"/>
            <w:vAlign w:val="center"/>
          </w:tcPr>
          <w:p w14:paraId="3CFA63A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068" w:type="dxa"/>
            <w:tcBorders>
              <w:top w:val="nil"/>
              <w:left w:val="nil"/>
              <w:bottom w:val="single" w:color="auto" w:sz="4" w:space="0"/>
              <w:right w:val="single" w:color="auto" w:sz="4" w:space="0"/>
            </w:tcBorders>
            <w:noWrap w:val="0"/>
            <w:vAlign w:val="center"/>
          </w:tcPr>
          <w:p w14:paraId="1D3E67D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2B82E734">
        <w:tblPrEx>
          <w:tblCellMar>
            <w:top w:w="0" w:type="dxa"/>
            <w:left w:w="108" w:type="dxa"/>
            <w:bottom w:w="0" w:type="dxa"/>
            <w:right w:w="108" w:type="dxa"/>
          </w:tblCellMar>
        </w:tblPrEx>
        <w:trPr>
          <w:trHeight w:val="339" w:hRule="atLeast"/>
        </w:trPr>
        <w:tc>
          <w:tcPr>
            <w:tcW w:w="1964" w:type="dxa"/>
            <w:vMerge w:val="restart"/>
            <w:tcBorders>
              <w:top w:val="nil"/>
              <w:left w:val="single" w:color="auto" w:sz="4" w:space="0"/>
              <w:bottom w:val="single" w:color="auto" w:sz="4" w:space="0"/>
              <w:right w:val="single" w:color="auto" w:sz="4" w:space="0"/>
            </w:tcBorders>
            <w:noWrap w:val="0"/>
            <w:vAlign w:val="bottom"/>
          </w:tcPr>
          <w:p w14:paraId="4FA8845E">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餐饮业</w:t>
            </w:r>
          </w:p>
        </w:tc>
        <w:tc>
          <w:tcPr>
            <w:tcW w:w="1598" w:type="dxa"/>
            <w:tcBorders>
              <w:top w:val="nil"/>
              <w:left w:val="nil"/>
              <w:bottom w:val="single" w:color="auto" w:sz="4" w:space="0"/>
              <w:right w:val="single" w:color="auto" w:sz="4" w:space="0"/>
            </w:tcBorders>
            <w:noWrap w:val="0"/>
            <w:vAlign w:val="center"/>
          </w:tcPr>
          <w:p w14:paraId="6337C4A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54" w:type="dxa"/>
            <w:tcBorders>
              <w:top w:val="nil"/>
              <w:left w:val="nil"/>
              <w:bottom w:val="single" w:color="auto" w:sz="4" w:space="0"/>
              <w:right w:val="single" w:color="auto" w:sz="4" w:space="0"/>
            </w:tcBorders>
            <w:noWrap w:val="0"/>
            <w:vAlign w:val="center"/>
          </w:tcPr>
          <w:p w14:paraId="24AF5ED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71" w:type="dxa"/>
            <w:tcBorders>
              <w:top w:val="nil"/>
              <w:left w:val="nil"/>
              <w:bottom w:val="single" w:color="auto" w:sz="4" w:space="0"/>
              <w:right w:val="single" w:color="auto" w:sz="4" w:space="0"/>
            </w:tcBorders>
            <w:noWrap w:val="0"/>
            <w:vAlign w:val="center"/>
          </w:tcPr>
          <w:p w14:paraId="05266CF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663" w:type="dxa"/>
            <w:tcBorders>
              <w:top w:val="nil"/>
              <w:left w:val="nil"/>
              <w:bottom w:val="single" w:color="auto" w:sz="4" w:space="0"/>
              <w:right w:val="single" w:color="auto" w:sz="4" w:space="0"/>
            </w:tcBorders>
            <w:noWrap w:val="0"/>
            <w:vAlign w:val="center"/>
          </w:tcPr>
          <w:p w14:paraId="650EDFA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068" w:type="dxa"/>
            <w:tcBorders>
              <w:top w:val="nil"/>
              <w:left w:val="nil"/>
              <w:bottom w:val="single" w:color="auto" w:sz="4" w:space="0"/>
              <w:right w:val="single" w:color="auto" w:sz="4" w:space="0"/>
            </w:tcBorders>
            <w:noWrap w:val="0"/>
            <w:vAlign w:val="center"/>
          </w:tcPr>
          <w:p w14:paraId="6D445FA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0E296F2B">
        <w:tblPrEx>
          <w:tblCellMar>
            <w:top w:w="0" w:type="dxa"/>
            <w:left w:w="108" w:type="dxa"/>
            <w:bottom w:w="0" w:type="dxa"/>
            <w:right w:w="108" w:type="dxa"/>
          </w:tblCellMar>
        </w:tblPrEx>
        <w:trPr>
          <w:trHeight w:val="339" w:hRule="atLeast"/>
        </w:trPr>
        <w:tc>
          <w:tcPr>
            <w:tcW w:w="1964" w:type="dxa"/>
            <w:vMerge w:val="continue"/>
            <w:tcBorders>
              <w:top w:val="nil"/>
              <w:left w:val="single" w:color="auto" w:sz="4" w:space="0"/>
              <w:bottom w:val="single" w:color="auto" w:sz="4" w:space="0"/>
              <w:right w:val="single" w:color="auto" w:sz="4" w:space="0"/>
            </w:tcBorders>
            <w:noWrap w:val="0"/>
            <w:vAlign w:val="center"/>
          </w:tcPr>
          <w:p w14:paraId="2AE0BFB9">
            <w:pPr>
              <w:widowControl/>
              <w:jc w:val="left"/>
              <w:rPr>
                <w:rFonts w:ascii="仿宋_GB2312" w:hAnsi="仿宋" w:eastAsia="仿宋_GB2312" w:cs="宋体"/>
                <w:b/>
                <w:bCs/>
                <w:color w:val="auto"/>
                <w:kern w:val="0"/>
                <w:sz w:val="18"/>
                <w:szCs w:val="18"/>
                <w:highlight w:val="none"/>
              </w:rPr>
            </w:pPr>
          </w:p>
        </w:tc>
        <w:tc>
          <w:tcPr>
            <w:tcW w:w="1598" w:type="dxa"/>
            <w:tcBorders>
              <w:top w:val="nil"/>
              <w:left w:val="nil"/>
              <w:bottom w:val="single" w:color="auto" w:sz="4" w:space="0"/>
              <w:right w:val="single" w:color="auto" w:sz="4" w:space="0"/>
            </w:tcBorders>
            <w:noWrap w:val="0"/>
            <w:vAlign w:val="center"/>
          </w:tcPr>
          <w:p w14:paraId="644DB6E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54" w:type="dxa"/>
            <w:tcBorders>
              <w:top w:val="nil"/>
              <w:left w:val="nil"/>
              <w:bottom w:val="single" w:color="auto" w:sz="4" w:space="0"/>
              <w:right w:val="single" w:color="auto" w:sz="4" w:space="0"/>
            </w:tcBorders>
            <w:noWrap w:val="0"/>
            <w:vAlign w:val="center"/>
          </w:tcPr>
          <w:p w14:paraId="53B8AC9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71" w:type="dxa"/>
            <w:tcBorders>
              <w:top w:val="nil"/>
              <w:left w:val="nil"/>
              <w:bottom w:val="single" w:color="auto" w:sz="4" w:space="0"/>
              <w:right w:val="single" w:color="auto" w:sz="4" w:space="0"/>
            </w:tcBorders>
            <w:noWrap w:val="0"/>
            <w:vAlign w:val="center"/>
          </w:tcPr>
          <w:p w14:paraId="54DD19A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663" w:type="dxa"/>
            <w:tcBorders>
              <w:top w:val="nil"/>
              <w:left w:val="nil"/>
              <w:bottom w:val="single" w:color="auto" w:sz="4" w:space="0"/>
              <w:right w:val="single" w:color="auto" w:sz="4" w:space="0"/>
            </w:tcBorders>
            <w:noWrap w:val="0"/>
            <w:vAlign w:val="center"/>
          </w:tcPr>
          <w:p w14:paraId="3B8FCEA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068" w:type="dxa"/>
            <w:tcBorders>
              <w:top w:val="nil"/>
              <w:left w:val="nil"/>
              <w:bottom w:val="single" w:color="auto" w:sz="4" w:space="0"/>
              <w:right w:val="single" w:color="auto" w:sz="4" w:space="0"/>
            </w:tcBorders>
            <w:noWrap w:val="0"/>
            <w:vAlign w:val="center"/>
          </w:tcPr>
          <w:p w14:paraId="7473E3D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28022393">
        <w:tblPrEx>
          <w:tblCellMar>
            <w:top w:w="0" w:type="dxa"/>
            <w:left w:w="108" w:type="dxa"/>
            <w:bottom w:w="0" w:type="dxa"/>
            <w:right w:w="108" w:type="dxa"/>
          </w:tblCellMar>
        </w:tblPrEx>
        <w:trPr>
          <w:trHeight w:val="339" w:hRule="atLeast"/>
        </w:trPr>
        <w:tc>
          <w:tcPr>
            <w:tcW w:w="1964" w:type="dxa"/>
            <w:vMerge w:val="restart"/>
            <w:tcBorders>
              <w:top w:val="nil"/>
              <w:left w:val="single" w:color="auto" w:sz="4" w:space="0"/>
              <w:bottom w:val="single" w:color="auto" w:sz="4" w:space="0"/>
              <w:right w:val="single" w:color="auto" w:sz="4" w:space="0"/>
            </w:tcBorders>
            <w:noWrap w:val="0"/>
            <w:vAlign w:val="bottom"/>
          </w:tcPr>
          <w:p w14:paraId="257A6D6C">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信息传输业</w:t>
            </w:r>
          </w:p>
        </w:tc>
        <w:tc>
          <w:tcPr>
            <w:tcW w:w="1598" w:type="dxa"/>
            <w:tcBorders>
              <w:top w:val="nil"/>
              <w:left w:val="nil"/>
              <w:bottom w:val="single" w:color="auto" w:sz="4" w:space="0"/>
              <w:right w:val="single" w:color="auto" w:sz="4" w:space="0"/>
            </w:tcBorders>
            <w:noWrap w:val="0"/>
            <w:vAlign w:val="center"/>
          </w:tcPr>
          <w:p w14:paraId="40CA484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54" w:type="dxa"/>
            <w:tcBorders>
              <w:top w:val="nil"/>
              <w:left w:val="nil"/>
              <w:bottom w:val="single" w:color="auto" w:sz="4" w:space="0"/>
              <w:right w:val="single" w:color="auto" w:sz="4" w:space="0"/>
            </w:tcBorders>
            <w:noWrap w:val="0"/>
            <w:vAlign w:val="center"/>
          </w:tcPr>
          <w:p w14:paraId="23CAA77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71" w:type="dxa"/>
            <w:tcBorders>
              <w:top w:val="nil"/>
              <w:left w:val="nil"/>
              <w:bottom w:val="single" w:color="auto" w:sz="4" w:space="0"/>
              <w:right w:val="single" w:color="auto" w:sz="4" w:space="0"/>
            </w:tcBorders>
            <w:noWrap w:val="0"/>
            <w:vAlign w:val="center"/>
          </w:tcPr>
          <w:p w14:paraId="1697EF7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100≤X＜2000</w:t>
            </w:r>
          </w:p>
        </w:tc>
        <w:tc>
          <w:tcPr>
            <w:tcW w:w="1663" w:type="dxa"/>
            <w:tcBorders>
              <w:top w:val="nil"/>
              <w:left w:val="nil"/>
              <w:bottom w:val="single" w:color="auto" w:sz="4" w:space="0"/>
              <w:right w:val="single" w:color="auto" w:sz="4" w:space="0"/>
            </w:tcBorders>
            <w:noWrap w:val="0"/>
            <w:vAlign w:val="center"/>
          </w:tcPr>
          <w:p w14:paraId="58E6613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068" w:type="dxa"/>
            <w:tcBorders>
              <w:top w:val="nil"/>
              <w:left w:val="nil"/>
              <w:bottom w:val="single" w:color="auto" w:sz="4" w:space="0"/>
              <w:right w:val="single" w:color="auto" w:sz="4" w:space="0"/>
            </w:tcBorders>
            <w:noWrap w:val="0"/>
            <w:vAlign w:val="center"/>
          </w:tcPr>
          <w:p w14:paraId="4DB1BF6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6BCAD343">
        <w:tblPrEx>
          <w:tblCellMar>
            <w:top w:w="0" w:type="dxa"/>
            <w:left w:w="108" w:type="dxa"/>
            <w:bottom w:w="0" w:type="dxa"/>
            <w:right w:w="108" w:type="dxa"/>
          </w:tblCellMar>
        </w:tblPrEx>
        <w:trPr>
          <w:trHeight w:val="339" w:hRule="atLeast"/>
        </w:trPr>
        <w:tc>
          <w:tcPr>
            <w:tcW w:w="1964" w:type="dxa"/>
            <w:vMerge w:val="continue"/>
            <w:tcBorders>
              <w:top w:val="nil"/>
              <w:left w:val="single" w:color="auto" w:sz="4" w:space="0"/>
              <w:bottom w:val="single" w:color="auto" w:sz="4" w:space="0"/>
              <w:right w:val="single" w:color="auto" w:sz="4" w:space="0"/>
            </w:tcBorders>
            <w:noWrap w:val="0"/>
            <w:vAlign w:val="center"/>
          </w:tcPr>
          <w:p w14:paraId="2D67A327">
            <w:pPr>
              <w:widowControl/>
              <w:jc w:val="left"/>
              <w:rPr>
                <w:rFonts w:ascii="仿宋_GB2312" w:hAnsi="仿宋" w:eastAsia="仿宋_GB2312" w:cs="宋体"/>
                <w:b/>
                <w:bCs/>
                <w:color w:val="auto"/>
                <w:kern w:val="0"/>
                <w:sz w:val="18"/>
                <w:szCs w:val="18"/>
                <w:highlight w:val="none"/>
              </w:rPr>
            </w:pPr>
          </w:p>
        </w:tc>
        <w:tc>
          <w:tcPr>
            <w:tcW w:w="1598" w:type="dxa"/>
            <w:tcBorders>
              <w:top w:val="nil"/>
              <w:left w:val="nil"/>
              <w:bottom w:val="single" w:color="auto" w:sz="4" w:space="0"/>
              <w:right w:val="single" w:color="auto" w:sz="4" w:space="0"/>
            </w:tcBorders>
            <w:noWrap w:val="0"/>
            <w:vAlign w:val="center"/>
          </w:tcPr>
          <w:p w14:paraId="226CD3E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54" w:type="dxa"/>
            <w:tcBorders>
              <w:top w:val="nil"/>
              <w:left w:val="nil"/>
              <w:bottom w:val="single" w:color="auto" w:sz="4" w:space="0"/>
              <w:right w:val="single" w:color="auto" w:sz="4" w:space="0"/>
            </w:tcBorders>
            <w:noWrap w:val="0"/>
            <w:vAlign w:val="center"/>
          </w:tcPr>
          <w:p w14:paraId="58109D9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71" w:type="dxa"/>
            <w:tcBorders>
              <w:top w:val="nil"/>
              <w:left w:val="nil"/>
              <w:bottom w:val="single" w:color="auto" w:sz="4" w:space="0"/>
              <w:right w:val="single" w:color="auto" w:sz="4" w:space="0"/>
            </w:tcBorders>
            <w:noWrap w:val="0"/>
            <w:vAlign w:val="center"/>
          </w:tcPr>
          <w:p w14:paraId="7A23343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1000≤Y＜100000</w:t>
            </w:r>
          </w:p>
        </w:tc>
        <w:tc>
          <w:tcPr>
            <w:tcW w:w="1663" w:type="dxa"/>
            <w:tcBorders>
              <w:top w:val="nil"/>
              <w:left w:val="nil"/>
              <w:bottom w:val="single" w:color="auto" w:sz="4" w:space="0"/>
              <w:right w:val="single" w:color="auto" w:sz="4" w:space="0"/>
            </w:tcBorders>
            <w:noWrap w:val="0"/>
            <w:vAlign w:val="center"/>
          </w:tcPr>
          <w:p w14:paraId="67FEA9E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1068" w:type="dxa"/>
            <w:tcBorders>
              <w:top w:val="nil"/>
              <w:left w:val="nil"/>
              <w:bottom w:val="single" w:color="auto" w:sz="4" w:space="0"/>
              <w:right w:val="single" w:color="auto" w:sz="4" w:space="0"/>
            </w:tcBorders>
            <w:noWrap w:val="0"/>
            <w:vAlign w:val="center"/>
          </w:tcPr>
          <w:p w14:paraId="33EECD8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72EBC9F2">
        <w:tblPrEx>
          <w:tblCellMar>
            <w:top w:w="0" w:type="dxa"/>
            <w:left w:w="108" w:type="dxa"/>
            <w:bottom w:w="0" w:type="dxa"/>
            <w:right w:w="108" w:type="dxa"/>
          </w:tblCellMar>
        </w:tblPrEx>
        <w:trPr>
          <w:trHeight w:val="339" w:hRule="atLeast"/>
        </w:trPr>
        <w:tc>
          <w:tcPr>
            <w:tcW w:w="1964" w:type="dxa"/>
            <w:vMerge w:val="restart"/>
            <w:tcBorders>
              <w:top w:val="nil"/>
              <w:left w:val="single" w:color="auto" w:sz="4" w:space="0"/>
              <w:bottom w:val="single" w:color="auto" w:sz="4" w:space="0"/>
              <w:right w:val="single" w:color="auto" w:sz="4" w:space="0"/>
            </w:tcBorders>
            <w:noWrap w:val="0"/>
            <w:vAlign w:val="bottom"/>
          </w:tcPr>
          <w:p w14:paraId="1106662E">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软件和信息技术服务业</w:t>
            </w:r>
          </w:p>
        </w:tc>
        <w:tc>
          <w:tcPr>
            <w:tcW w:w="1598" w:type="dxa"/>
            <w:tcBorders>
              <w:top w:val="nil"/>
              <w:left w:val="nil"/>
              <w:bottom w:val="single" w:color="auto" w:sz="4" w:space="0"/>
              <w:right w:val="single" w:color="auto" w:sz="4" w:space="0"/>
            </w:tcBorders>
            <w:noWrap w:val="0"/>
            <w:vAlign w:val="center"/>
          </w:tcPr>
          <w:p w14:paraId="7542206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54" w:type="dxa"/>
            <w:tcBorders>
              <w:top w:val="nil"/>
              <w:left w:val="nil"/>
              <w:bottom w:val="single" w:color="auto" w:sz="4" w:space="0"/>
              <w:right w:val="single" w:color="auto" w:sz="4" w:space="0"/>
            </w:tcBorders>
            <w:noWrap w:val="0"/>
            <w:vAlign w:val="center"/>
          </w:tcPr>
          <w:p w14:paraId="59D456F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71" w:type="dxa"/>
            <w:tcBorders>
              <w:top w:val="nil"/>
              <w:left w:val="nil"/>
              <w:bottom w:val="single" w:color="auto" w:sz="4" w:space="0"/>
              <w:right w:val="single" w:color="auto" w:sz="4" w:space="0"/>
            </w:tcBorders>
            <w:noWrap w:val="0"/>
            <w:vAlign w:val="center"/>
          </w:tcPr>
          <w:p w14:paraId="69F1CE3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663" w:type="dxa"/>
            <w:tcBorders>
              <w:top w:val="nil"/>
              <w:left w:val="nil"/>
              <w:bottom w:val="single" w:color="auto" w:sz="4" w:space="0"/>
              <w:right w:val="single" w:color="auto" w:sz="4" w:space="0"/>
            </w:tcBorders>
            <w:noWrap w:val="0"/>
            <w:vAlign w:val="center"/>
          </w:tcPr>
          <w:p w14:paraId="5F4D7AE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068" w:type="dxa"/>
            <w:tcBorders>
              <w:top w:val="nil"/>
              <w:left w:val="nil"/>
              <w:bottom w:val="single" w:color="auto" w:sz="4" w:space="0"/>
              <w:right w:val="single" w:color="auto" w:sz="4" w:space="0"/>
            </w:tcBorders>
            <w:noWrap w:val="0"/>
            <w:vAlign w:val="center"/>
          </w:tcPr>
          <w:p w14:paraId="7E184B3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3DC3BF09">
        <w:tblPrEx>
          <w:tblCellMar>
            <w:top w:w="0" w:type="dxa"/>
            <w:left w:w="108" w:type="dxa"/>
            <w:bottom w:w="0" w:type="dxa"/>
            <w:right w:w="108" w:type="dxa"/>
          </w:tblCellMar>
        </w:tblPrEx>
        <w:trPr>
          <w:trHeight w:val="339" w:hRule="atLeast"/>
        </w:trPr>
        <w:tc>
          <w:tcPr>
            <w:tcW w:w="1964" w:type="dxa"/>
            <w:vMerge w:val="continue"/>
            <w:tcBorders>
              <w:top w:val="nil"/>
              <w:left w:val="single" w:color="auto" w:sz="4" w:space="0"/>
              <w:bottom w:val="single" w:color="auto" w:sz="4" w:space="0"/>
              <w:right w:val="single" w:color="auto" w:sz="4" w:space="0"/>
            </w:tcBorders>
            <w:noWrap w:val="0"/>
            <w:vAlign w:val="center"/>
          </w:tcPr>
          <w:p w14:paraId="03707F3B">
            <w:pPr>
              <w:widowControl/>
              <w:jc w:val="left"/>
              <w:rPr>
                <w:rFonts w:ascii="仿宋_GB2312" w:hAnsi="仿宋" w:eastAsia="仿宋_GB2312" w:cs="宋体"/>
                <w:b/>
                <w:bCs/>
                <w:color w:val="auto"/>
                <w:kern w:val="0"/>
                <w:sz w:val="18"/>
                <w:szCs w:val="18"/>
                <w:highlight w:val="none"/>
              </w:rPr>
            </w:pPr>
          </w:p>
        </w:tc>
        <w:tc>
          <w:tcPr>
            <w:tcW w:w="1598" w:type="dxa"/>
            <w:tcBorders>
              <w:top w:val="nil"/>
              <w:left w:val="nil"/>
              <w:bottom w:val="single" w:color="auto" w:sz="4" w:space="0"/>
              <w:right w:val="single" w:color="auto" w:sz="4" w:space="0"/>
            </w:tcBorders>
            <w:noWrap w:val="0"/>
            <w:vAlign w:val="center"/>
          </w:tcPr>
          <w:p w14:paraId="2E27DEE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54" w:type="dxa"/>
            <w:tcBorders>
              <w:top w:val="nil"/>
              <w:left w:val="nil"/>
              <w:bottom w:val="single" w:color="auto" w:sz="4" w:space="0"/>
              <w:right w:val="single" w:color="auto" w:sz="4" w:space="0"/>
            </w:tcBorders>
            <w:noWrap w:val="0"/>
            <w:vAlign w:val="center"/>
          </w:tcPr>
          <w:p w14:paraId="2E16F1E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71" w:type="dxa"/>
            <w:tcBorders>
              <w:top w:val="nil"/>
              <w:left w:val="nil"/>
              <w:bottom w:val="single" w:color="auto" w:sz="4" w:space="0"/>
              <w:right w:val="single" w:color="auto" w:sz="4" w:space="0"/>
            </w:tcBorders>
            <w:noWrap w:val="0"/>
            <w:vAlign w:val="center"/>
          </w:tcPr>
          <w:p w14:paraId="767665B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w:t>
            </w:r>
          </w:p>
        </w:tc>
        <w:tc>
          <w:tcPr>
            <w:tcW w:w="1663" w:type="dxa"/>
            <w:tcBorders>
              <w:top w:val="nil"/>
              <w:left w:val="nil"/>
              <w:bottom w:val="single" w:color="auto" w:sz="4" w:space="0"/>
              <w:right w:val="single" w:color="auto" w:sz="4" w:space="0"/>
            </w:tcBorders>
            <w:noWrap w:val="0"/>
            <w:vAlign w:val="center"/>
          </w:tcPr>
          <w:p w14:paraId="78BA405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50≤Y＜1000</w:t>
            </w:r>
          </w:p>
        </w:tc>
        <w:tc>
          <w:tcPr>
            <w:tcW w:w="1068" w:type="dxa"/>
            <w:tcBorders>
              <w:top w:val="nil"/>
              <w:left w:val="nil"/>
              <w:bottom w:val="single" w:color="auto" w:sz="4" w:space="0"/>
              <w:right w:val="single" w:color="auto" w:sz="4" w:space="0"/>
            </w:tcBorders>
            <w:noWrap w:val="0"/>
            <w:vAlign w:val="center"/>
          </w:tcPr>
          <w:p w14:paraId="4BB91DA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611D34D9">
        <w:tblPrEx>
          <w:tblCellMar>
            <w:top w:w="0" w:type="dxa"/>
            <w:left w:w="108" w:type="dxa"/>
            <w:bottom w:w="0" w:type="dxa"/>
            <w:right w:w="108" w:type="dxa"/>
          </w:tblCellMar>
        </w:tblPrEx>
        <w:trPr>
          <w:trHeight w:val="339" w:hRule="atLeast"/>
        </w:trPr>
        <w:tc>
          <w:tcPr>
            <w:tcW w:w="1964" w:type="dxa"/>
            <w:vMerge w:val="restart"/>
            <w:tcBorders>
              <w:top w:val="nil"/>
              <w:left w:val="single" w:color="auto" w:sz="4" w:space="0"/>
              <w:bottom w:val="single" w:color="auto" w:sz="4" w:space="0"/>
              <w:right w:val="single" w:color="auto" w:sz="4" w:space="0"/>
            </w:tcBorders>
            <w:noWrap w:val="0"/>
            <w:vAlign w:val="bottom"/>
          </w:tcPr>
          <w:p w14:paraId="382DA160">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房地产开发经营</w:t>
            </w:r>
          </w:p>
        </w:tc>
        <w:tc>
          <w:tcPr>
            <w:tcW w:w="1598" w:type="dxa"/>
            <w:tcBorders>
              <w:top w:val="nil"/>
              <w:left w:val="nil"/>
              <w:bottom w:val="single" w:color="auto" w:sz="4" w:space="0"/>
              <w:right w:val="single" w:color="auto" w:sz="4" w:space="0"/>
            </w:tcBorders>
            <w:noWrap w:val="0"/>
            <w:vAlign w:val="center"/>
          </w:tcPr>
          <w:p w14:paraId="565F084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54" w:type="dxa"/>
            <w:tcBorders>
              <w:top w:val="nil"/>
              <w:left w:val="nil"/>
              <w:bottom w:val="single" w:color="auto" w:sz="4" w:space="0"/>
              <w:right w:val="single" w:color="auto" w:sz="4" w:space="0"/>
            </w:tcBorders>
            <w:noWrap w:val="0"/>
            <w:vAlign w:val="center"/>
          </w:tcPr>
          <w:p w14:paraId="1CF57E3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71" w:type="dxa"/>
            <w:tcBorders>
              <w:top w:val="nil"/>
              <w:left w:val="nil"/>
              <w:bottom w:val="single" w:color="auto" w:sz="4" w:space="0"/>
              <w:right w:val="single" w:color="auto" w:sz="4" w:space="0"/>
            </w:tcBorders>
            <w:noWrap w:val="0"/>
            <w:vAlign w:val="center"/>
          </w:tcPr>
          <w:p w14:paraId="3C5A37F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1000≤Y＜200000</w:t>
            </w:r>
          </w:p>
        </w:tc>
        <w:tc>
          <w:tcPr>
            <w:tcW w:w="1663" w:type="dxa"/>
            <w:tcBorders>
              <w:top w:val="nil"/>
              <w:left w:val="nil"/>
              <w:bottom w:val="single" w:color="auto" w:sz="4" w:space="0"/>
              <w:right w:val="single" w:color="auto" w:sz="4" w:space="0"/>
            </w:tcBorders>
            <w:noWrap w:val="0"/>
            <w:vAlign w:val="center"/>
          </w:tcPr>
          <w:p w14:paraId="228EF9B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100≤X＜1000</w:t>
            </w:r>
          </w:p>
        </w:tc>
        <w:tc>
          <w:tcPr>
            <w:tcW w:w="1068" w:type="dxa"/>
            <w:tcBorders>
              <w:top w:val="nil"/>
              <w:left w:val="nil"/>
              <w:bottom w:val="single" w:color="auto" w:sz="4" w:space="0"/>
              <w:right w:val="single" w:color="auto" w:sz="4" w:space="0"/>
            </w:tcBorders>
            <w:noWrap w:val="0"/>
            <w:vAlign w:val="center"/>
          </w:tcPr>
          <w:p w14:paraId="6A13C5F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56A2C4A5">
        <w:tblPrEx>
          <w:tblCellMar>
            <w:top w:w="0" w:type="dxa"/>
            <w:left w:w="108" w:type="dxa"/>
            <w:bottom w:w="0" w:type="dxa"/>
            <w:right w:w="108" w:type="dxa"/>
          </w:tblCellMar>
        </w:tblPrEx>
        <w:trPr>
          <w:trHeight w:val="339" w:hRule="atLeast"/>
        </w:trPr>
        <w:tc>
          <w:tcPr>
            <w:tcW w:w="1964" w:type="dxa"/>
            <w:vMerge w:val="continue"/>
            <w:tcBorders>
              <w:top w:val="nil"/>
              <w:left w:val="single" w:color="auto" w:sz="4" w:space="0"/>
              <w:bottom w:val="single" w:color="auto" w:sz="4" w:space="0"/>
              <w:right w:val="single" w:color="auto" w:sz="4" w:space="0"/>
            </w:tcBorders>
            <w:noWrap w:val="0"/>
            <w:vAlign w:val="center"/>
          </w:tcPr>
          <w:p w14:paraId="1429CF42">
            <w:pPr>
              <w:widowControl/>
              <w:jc w:val="left"/>
              <w:rPr>
                <w:rFonts w:ascii="仿宋_GB2312" w:hAnsi="仿宋" w:eastAsia="仿宋_GB2312" w:cs="宋体"/>
                <w:b/>
                <w:bCs/>
                <w:color w:val="auto"/>
                <w:kern w:val="0"/>
                <w:sz w:val="18"/>
                <w:szCs w:val="18"/>
                <w:highlight w:val="none"/>
              </w:rPr>
            </w:pPr>
          </w:p>
        </w:tc>
        <w:tc>
          <w:tcPr>
            <w:tcW w:w="1598" w:type="dxa"/>
            <w:tcBorders>
              <w:top w:val="nil"/>
              <w:left w:val="nil"/>
              <w:bottom w:val="single" w:color="auto" w:sz="4" w:space="0"/>
              <w:right w:val="single" w:color="auto" w:sz="4" w:space="0"/>
            </w:tcBorders>
            <w:noWrap w:val="0"/>
            <w:vAlign w:val="center"/>
          </w:tcPr>
          <w:p w14:paraId="3E9C029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1054" w:type="dxa"/>
            <w:tcBorders>
              <w:top w:val="nil"/>
              <w:left w:val="nil"/>
              <w:bottom w:val="single" w:color="auto" w:sz="4" w:space="0"/>
              <w:right w:val="single" w:color="auto" w:sz="4" w:space="0"/>
            </w:tcBorders>
            <w:noWrap w:val="0"/>
            <w:vAlign w:val="center"/>
          </w:tcPr>
          <w:p w14:paraId="69F4187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71" w:type="dxa"/>
            <w:tcBorders>
              <w:top w:val="nil"/>
              <w:left w:val="nil"/>
              <w:bottom w:val="single" w:color="auto" w:sz="4" w:space="0"/>
              <w:right w:val="single" w:color="auto" w:sz="4" w:space="0"/>
            </w:tcBorders>
            <w:noWrap w:val="0"/>
            <w:vAlign w:val="center"/>
          </w:tcPr>
          <w:p w14:paraId="4F56E3A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5000≤Z＜10000</w:t>
            </w:r>
          </w:p>
        </w:tc>
        <w:tc>
          <w:tcPr>
            <w:tcW w:w="1663" w:type="dxa"/>
            <w:tcBorders>
              <w:top w:val="nil"/>
              <w:left w:val="nil"/>
              <w:bottom w:val="single" w:color="auto" w:sz="4" w:space="0"/>
              <w:right w:val="single" w:color="auto" w:sz="4" w:space="0"/>
            </w:tcBorders>
            <w:noWrap w:val="0"/>
            <w:vAlign w:val="center"/>
          </w:tcPr>
          <w:p w14:paraId="28F01BB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2000≤Y＜5000</w:t>
            </w:r>
          </w:p>
        </w:tc>
        <w:tc>
          <w:tcPr>
            <w:tcW w:w="1068" w:type="dxa"/>
            <w:tcBorders>
              <w:top w:val="nil"/>
              <w:left w:val="nil"/>
              <w:bottom w:val="single" w:color="auto" w:sz="4" w:space="0"/>
              <w:right w:val="single" w:color="auto" w:sz="4" w:space="0"/>
            </w:tcBorders>
            <w:noWrap w:val="0"/>
            <w:vAlign w:val="center"/>
          </w:tcPr>
          <w:p w14:paraId="1C1EB49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Y＜2000</w:t>
            </w:r>
          </w:p>
        </w:tc>
      </w:tr>
      <w:tr w14:paraId="627E41D4">
        <w:tblPrEx>
          <w:tblCellMar>
            <w:top w:w="0" w:type="dxa"/>
            <w:left w:w="108" w:type="dxa"/>
            <w:bottom w:w="0" w:type="dxa"/>
            <w:right w:w="108" w:type="dxa"/>
          </w:tblCellMar>
        </w:tblPrEx>
        <w:trPr>
          <w:trHeight w:val="339" w:hRule="atLeast"/>
        </w:trPr>
        <w:tc>
          <w:tcPr>
            <w:tcW w:w="1964" w:type="dxa"/>
            <w:vMerge w:val="restart"/>
            <w:tcBorders>
              <w:top w:val="nil"/>
              <w:left w:val="single" w:color="auto" w:sz="4" w:space="0"/>
              <w:bottom w:val="single" w:color="auto" w:sz="4" w:space="0"/>
              <w:right w:val="single" w:color="auto" w:sz="4" w:space="0"/>
            </w:tcBorders>
            <w:noWrap w:val="0"/>
            <w:vAlign w:val="bottom"/>
          </w:tcPr>
          <w:p w14:paraId="5BDA4493">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物业管理</w:t>
            </w:r>
          </w:p>
        </w:tc>
        <w:tc>
          <w:tcPr>
            <w:tcW w:w="1598" w:type="dxa"/>
            <w:tcBorders>
              <w:top w:val="nil"/>
              <w:left w:val="nil"/>
              <w:bottom w:val="single" w:color="auto" w:sz="4" w:space="0"/>
              <w:right w:val="single" w:color="auto" w:sz="4" w:space="0"/>
            </w:tcBorders>
            <w:noWrap w:val="0"/>
            <w:vAlign w:val="center"/>
          </w:tcPr>
          <w:p w14:paraId="1EA48F2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54" w:type="dxa"/>
            <w:tcBorders>
              <w:top w:val="nil"/>
              <w:left w:val="nil"/>
              <w:bottom w:val="single" w:color="auto" w:sz="4" w:space="0"/>
              <w:right w:val="single" w:color="auto" w:sz="4" w:space="0"/>
            </w:tcBorders>
            <w:noWrap w:val="0"/>
            <w:vAlign w:val="center"/>
          </w:tcPr>
          <w:p w14:paraId="79C5DBF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71" w:type="dxa"/>
            <w:tcBorders>
              <w:top w:val="nil"/>
              <w:left w:val="nil"/>
              <w:bottom w:val="single" w:color="auto" w:sz="4" w:space="0"/>
              <w:right w:val="single" w:color="auto" w:sz="4" w:space="0"/>
            </w:tcBorders>
            <w:noWrap w:val="0"/>
            <w:vAlign w:val="center"/>
          </w:tcPr>
          <w:p w14:paraId="24B825F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663" w:type="dxa"/>
            <w:tcBorders>
              <w:top w:val="nil"/>
              <w:left w:val="nil"/>
              <w:bottom w:val="single" w:color="auto" w:sz="4" w:space="0"/>
              <w:right w:val="single" w:color="auto" w:sz="4" w:space="0"/>
            </w:tcBorders>
            <w:noWrap w:val="0"/>
            <w:vAlign w:val="center"/>
          </w:tcPr>
          <w:p w14:paraId="3886EBD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068" w:type="dxa"/>
            <w:tcBorders>
              <w:top w:val="nil"/>
              <w:left w:val="nil"/>
              <w:bottom w:val="single" w:color="auto" w:sz="4" w:space="0"/>
              <w:right w:val="single" w:color="auto" w:sz="4" w:space="0"/>
            </w:tcBorders>
            <w:noWrap w:val="0"/>
            <w:vAlign w:val="center"/>
          </w:tcPr>
          <w:p w14:paraId="14328C1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12B89FE7">
        <w:tblPrEx>
          <w:tblCellMar>
            <w:top w:w="0" w:type="dxa"/>
            <w:left w:w="108" w:type="dxa"/>
            <w:bottom w:w="0" w:type="dxa"/>
            <w:right w:w="108" w:type="dxa"/>
          </w:tblCellMar>
        </w:tblPrEx>
        <w:trPr>
          <w:trHeight w:val="339" w:hRule="atLeast"/>
        </w:trPr>
        <w:tc>
          <w:tcPr>
            <w:tcW w:w="1964" w:type="dxa"/>
            <w:vMerge w:val="continue"/>
            <w:tcBorders>
              <w:top w:val="nil"/>
              <w:left w:val="single" w:color="auto" w:sz="4" w:space="0"/>
              <w:bottom w:val="single" w:color="auto" w:sz="4" w:space="0"/>
              <w:right w:val="single" w:color="auto" w:sz="4" w:space="0"/>
            </w:tcBorders>
            <w:noWrap w:val="0"/>
            <w:vAlign w:val="center"/>
          </w:tcPr>
          <w:p w14:paraId="16F8368F">
            <w:pPr>
              <w:widowControl/>
              <w:jc w:val="left"/>
              <w:rPr>
                <w:rFonts w:ascii="仿宋_GB2312" w:hAnsi="仿宋" w:eastAsia="仿宋_GB2312" w:cs="宋体"/>
                <w:b/>
                <w:bCs/>
                <w:color w:val="auto"/>
                <w:kern w:val="0"/>
                <w:sz w:val="18"/>
                <w:szCs w:val="18"/>
                <w:highlight w:val="none"/>
              </w:rPr>
            </w:pPr>
          </w:p>
        </w:tc>
        <w:tc>
          <w:tcPr>
            <w:tcW w:w="1598" w:type="dxa"/>
            <w:tcBorders>
              <w:top w:val="nil"/>
              <w:left w:val="nil"/>
              <w:bottom w:val="single" w:color="auto" w:sz="4" w:space="0"/>
              <w:right w:val="single" w:color="auto" w:sz="4" w:space="0"/>
            </w:tcBorders>
            <w:noWrap w:val="0"/>
            <w:vAlign w:val="center"/>
          </w:tcPr>
          <w:p w14:paraId="7ACDEDF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54" w:type="dxa"/>
            <w:tcBorders>
              <w:top w:val="nil"/>
              <w:left w:val="nil"/>
              <w:bottom w:val="single" w:color="auto" w:sz="4" w:space="0"/>
              <w:right w:val="single" w:color="auto" w:sz="4" w:space="0"/>
            </w:tcBorders>
            <w:noWrap w:val="0"/>
            <w:vAlign w:val="center"/>
          </w:tcPr>
          <w:p w14:paraId="4DDABAC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71" w:type="dxa"/>
            <w:tcBorders>
              <w:top w:val="nil"/>
              <w:left w:val="nil"/>
              <w:bottom w:val="single" w:color="auto" w:sz="4" w:space="0"/>
              <w:right w:val="single" w:color="auto" w:sz="4" w:space="0"/>
            </w:tcBorders>
            <w:noWrap w:val="0"/>
            <w:vAlign w:val="center"/>
          </w:tcPr>
          <w:p w14:paraId="3A94C64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1663" w:type="dxa"/>
            <w:tcBorders>
              <w:top w:val="nil"/>
              <w:left w:val="nil"/>
              <w:bottom w:val="single" w:color="auto" w:sz="4" w:space="0"/>
              <w:right w:val="single" w:color="auto" w:sz="4" w:space="0"/>
            </w:tcBorders>
            <w:noWrap w:val="0"/>
            <w:vAlign w:val="center"/>
          </w:tcPr>
          <w:p w14:paraId="32AA16D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500≤Y＜1000</w:t>
            </w:r>
          </w:p>
        </w:tc>
        <w:tc>
          <w:tcPr>
            <w:tcW w:w="1068" w:type="dxa"/>
            <w:tcBorders>
              <w:top w:val="nil"/>
              <w:left w:val="nil"/>
              <w:bottom w:val="single" w:color="auto" w:sz="4" w:space="0"/>
              <w:right w:val="single" w:color="auto" w:sz="4" w:space="0"/>
            </w:tcBorders>
            <w:noWrap w:val="0"/>
            <w:vAlign w:val="center"/>
          </w:tcPr>
          <w:p w14:paraId="2E573F9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Y＜500</w:t>
            </w:r>
          </w:p>
        </w:tc>
      </w:tr>
      <w:tr w14:paraId="789EAB75">
        <w:tblPrEx>
          <w:tblCellMar>
            <w:top w:w="0" w:type="dxa"/>
            <w:left w:w="108" w:type="dxa"/>
            <w:bottom w:w="0" w:type="dxa"/>
            <w:right w:w="108" w:type="dxa"/>
          </w:tblCellMar>
        </w:tblPrEx>
        <w:trPr>
          <w:trHeight w:val="339" w:hRule="atLeast"/>
        </w:trPr>
        <w:tc>
          <w:tcPr>
            <w:tcW w:w="1964" w:type="dxa"/>
            <w:vMerge w:val="restart"/>
            <w:tcBorders>
              <w:top w:val="nil"/>
              <w:left w:val="single" w:color="auto" w:sz="4" w:space="0"/>
              <w:bottom w:val="single" w:color="auto" w:sz="4" w:space="0"/>
              <w:right w:val="single" w:color="auto" w:sz="4" w:space="0"/>
            </w:tcBorders>
            <w:noWrap w:val="0"/>
            <w:vAlign w:val="bottom"/>
          </w:tcPr>
          <w:p w14:paraId="6C215F16">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租赁和商务服务业</w:t>
            </w:r>
          </w:p>
        </w:tc>
        <w:tc>
          <w:tcPr>
            <w:tcW w:w="1598" w:type="dxa"/>
            <w:tcBorders>
              <w:top w:val="nil"/>
              <w:left w:val="nil"/>
              <w:bottom w:val="single" w:color="auto" w:sz="4" w:space="0"/>
              <w:right w:val="single" w:color="auto" w:sz="4" w:space="0"/>
            </w:tcBorders>
            <w:noWrap w:val="0"/>
            <w:vAlign w:val="center"/>
          </w:tcPr>
          <w:p w14:paraId="1070D3C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54" w:type="dxa"/>
            <w:tcBorders>
              <w:top w:val="nil"/>
              <w:left w:val="nil"/>
              <w:bottom w:val="single" w:color="auto" w:sz="4" w:space="0"/>
              <w:right w:val="single" w:color="auto" w:sz="4" w:space="0"/>
            </w:tcBorders>
            <w:noWrap w:val="0"/>
            <w:vAlign w:val="center"/>
          </w:tcPr>
          <w:p w14:paraId="5A84AD4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71" w:type="dxa"/>
            <w:tcBorders>
              <w:top w:val="nil"/>
              <w:left w:val="nil"/>
              <w:bottom w:val="single" w:color="auto" w:sz="4" w:space="0"/>
              <w:right w:val="single" w:color="auto" w:sz="4" w:space="0"/>
            </w:tcBorders>
            <w:noWrap w:val="0"/>
            <w:vAlign w:val="center"/>
          </w:tcPr>
          <w:p w14:paraId="2589EF1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663" w:type="dxa"/>
            <w:tcBorders>
              <w:top w:val="nil"/>
              <w:left w:val="nil"/>
              <w:bottom w:val="single" w:color="auto" w:sz="4" w:space="0"/>
              <w:right w:val="single" w:color="auto" w:sz="4" w:space="0"/>
            </w:tcBorders>
            <w:noWrap w:val="0"/>
            <w:vAlign w:val="center"/>
          </w:tcPr>
          <w:p w14:paraId="6E5A28F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068" w:type="dxa"/>
            <w:tcBorders>
              <w:top w:val="nil"/>
              <w:left w:val="nil"/>
              <w:bottom w:val="single" w:color="auto" w:sz="4" w:space="0"/>
              <w:right w:val="single" w:color="auto" w:sz="4" w:space="0"/>
            </w:tcBorders>
            <w:noWrap w:val="0"/>
            <w:vAlign w:val="center"/>
          </w:tcPr>
          <w:p w14:paraId="5A43AB4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4657007F">
        <w:tblPrEx>
          <w:tblCellMar>
            <w:top w:w="0" w:type="dxa"/>
            <w:left w:w="108" w:type="dxa"/>
            <w:bottom w:w="0" w:type="dxa"/>
            <w:right w:w="108" w:type="dxa"/>
          </w:tblCellMar>
        </w:tblPrEx>
        <w:trPr>
          <w:trHeight w:val="339" w:hRule="atLeast"/>
        </w:trPr>
        <w:tc>
          <w:tcPr>
            <w:tcW w:w="1964" w:type="dxa"/>
            <w:vMerge w:val="continue"/>
            <w:tcBorders>
              <w:top w:val="nil"/>
              <w:left w:val="single" w:color="auto" w:sz="4" w:space="0"/>
              <w:bottom w:val="single" w:color="auto" w:sz="4" w:space="0"/>
              <w:right w:val="single" w:color="auto" w:sz="4" w:space="0"/>
            </w:tcBorders>
            <w:noWrap w:val="0"/>
            <w:vAlign w:val="center"/>
          </w:tcPr>
          <w:p w14:paraId="7DFF5F0F">
            <w:pPr>
              <w:widowControl/>
              <w:jc w:val="left"/>
              <w:rPr>
                <w:rFonts w:ascii="仿宋_GB2312" w:hAnsi="仿宋" w:eastAsia="仿宋_GB2312" w:cs="宋体"/>
                <w:b/>
                <w:bCs/>
                <w:color w:val="auto"/>
                <w:kern w:val="0"/>
                <w:sz w:val="18"/>
                <w:szCs w:val="18"/>
                <w:highlight w:val="none"/>
              </w:rPr>
            </w:pPr>
          </w:p>
        </w:tc>
        <w:tc>
          <w:tcPr>
            <w:tcW w:w="1598" w:type="dxa"/>
            <w:tcBorders>
              <w:top w:val="nil"/>
              <w:left w:val="nil"/>
              <w:bottom w:val="single" w:color="auto" w:sz="4" w:space="0"/>
              <w:right w:val="single" w:color="auto" w:sz="4" w:space="0"/>
            </w:tcBorders>
            <w:noWrap w:val="0"/>
            <w:vAlign w:val="center"/>
          </w:tcPr>
          <w:p w14:paraId="35A9EE5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1054" w:type="dxa"/>
            <w:tcBorders>
              <w:top w:val="nil"/>
              <w:left w:val="nil"/>
              <w:bottom w:val="single" w:color="auto" w:sz="4" w:space="0"/>
              <w:right w:val="single" w:color="auto" w:sz="4" w:space="0"/>
            </w:tcBorders>
            <w:noWrap w:val="0"/>
            <w:vAlign w:val="center"/>
          </w:tcPr>
          <w:p w14:paraId="708514C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71" w:type="dxa"/>
            <w:tcBorders>
              <w:top w:val="nil"/>
              <w:left w:val="nil"/>
              <w:bottom w:val="single" w:color="auto" w:sz="4" w:space="0"/>
              <w:right w:val="single" w:color="auto" w:sz="4" w:space="0"/>
            </w:tcBorders>
            <w:noWrap w:val="0"/>
            <w:vAlign w:val="center"/>
          </w:tcPr>
          <w:p w14:paraId="0388C64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8000≤Z＜120000</w:t>
            </w:r>
          </w:p>
        </w:tc>
        <w:tc>
          <w:tcPr>
            <w:tcW w:w="1663" w:type="dxa"/>
            <w:tcBorders>
              <w:top w:val="nil"/>
              <w:left w:val="nil"/>
              <w:bottom w:val="single" w:color="auto" w:sz="4" w:space="0"/>
              <w:right w:val="single" w:color="auto" w:sz="4" w:space="0"/>
            </w:tcBorders>
            <w:noWrap w:val="0"/>
            <w:vAlign w:val="center"/>
          </w:tcPr>
          <w:p w14:paraId="5B896D7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100≤Z＜8000</w:t>
            </w:r>
          </w:p>
        </w:tc>
        <w:tc>
          <w:tcPr>
            <w:tcW w:w="1068" w:type="dxa"/>
            <w:tcBorders>
              <w:top w:val="nil"/>
              <w:left w:val="nil"/>
              <w:bottom w:val="single" w:color="auto" w:sz="4" w:space="0"/>
              <w:right w:val="single" w:color="auto" w:sz="4" w:space="0"/>
            </w:tcBorders>
            <w:noWrap w:val="0"/>
            <w:vAlign w:val="center"/>
          </w:tcPr>
          <w:p w14:paraId="6DA4945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77D47F26">
        <w:tblPrEx>
          <w:tblCellMar>
            <w:top w:w="0" w:type="dxa"/>
            <w:left w:w="108" w:type="dxa"/>
            <w:bottom w:w="0" w:type="dxa"/>
            <w:right w:w="108" w:type="dxa"/>
          </w:tblCellMar>
        </w:tblPrEx>
        <w:trPr>
          <w:trHeight w:val="349" w:hRule="atLeast"/>
        </w:trPr>
        <w:tc>
          <w:tcPr>
            <w:tcW w:w="1964" w:type="dxa"/>
            <w:tcBorders>
              <w:top w:val="nil"/>
              <w:left w:val="single" w:color="auto" w:sz="4" w:space="0"/>
              <w:bottom w:val="single" w:color="auto" w:sz="4" w:space="0"/>
              <w:right w:val="single" w:color="auto" w:sz="4" w:space="0"/>
            </w:tcBorders>
            <w:noWrap w:val="0"/>
            <w:vAlign w:val="bottom"/>
          </w:tcPr>
          <w:p w14:paraId="4CCB3410">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其他未列明行业</w:t>
            </w:r>
          </w:p>
        </w:tc>
        <w:tc>
          <w:tcPr>
            <w:tcW w:w="1598" w:type="dxa"/>
            <w:tcBorders>
              <w:top w:val="nil"/>
              <w:left w:val="nil"/>
              <w:bottom w:val="single" w:color="auto" w:sz="4" w:space="0"/>
              <w:right w:val="single" w:color="auto" w:sz="4" w:space="0"/>
            </w:tcBorders>
            <w:noWrap w:val="0"/>
            <w:vAlign w:val="center"/>
          </w:tcPr>
          <w:p w14:paraId="1A0D51A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54" w:type="dxa"/>
            <w:tcBorders>
              <w:top w:val="nil"/>
              <w:left w:val="nil"/>
              <w:bottom w:val="single" w:color="auto" w:sz="4" w:space="0"/>
              <w:right w:val="single" w:color="auto" w:sz="4" w:space="0"/>
            </w:tcBorders>
            <w:noWrap w:val="0"/>
            <w:vAlign w:val="center"/>
          </w:tcPr>
          <w:p w14:paraId="4553379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71" w:type="dxa"/>
            <w:tcBorders>
              <w:top w:val="nil"/>
              <w:left w:val="nil"/>
              <w:bottom w:val="single" w:color="auto" w:sz="4" w:space="0"/>
              <w:right w:val="single" w:color="auto" w:sz="4" w:space="0"/>
            </w:tcBorders>
            <w:noWrap w:val="0"/>
            <w:vAlign w:val="center"/>
          </w:tcPr>
          <w:p w14:paraId="1CE76B1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663" w:type="dxa"/>
            <w:tcBorders>
              <w:top w:val="nil"/>
              <w:left w:val="nil"/>
              <w:bottom w:val="single" w:color="auto" w:sz="4" w:space="0"/>
              <w:right w:val="single" w:color="auto" w:sz="4" w:space="0"/>
            </w:tcBorders>
            <w:noWrap w:val="0"/>
            <w:vAlign w:val="center"/>
          </w:tcPr>
          <w:p w14:paraId="7D71366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068" w:type="dxa"/>
            <w:tcBorders>
              <w:top w:val="nil"/>
              <w:left w:val="nil"/>
              <w:bottom w:val="single" w:color="auto" w:sz="4" w:space="0"/>
              <w:right w:val="single" w:color="auto" w:sz="4" w:space="0"/>
            </w:tcBorders>
            <w:noWrap w:val="0"/>
            <w:vAlign w:val="center"/>
          </w:tcPr>
          <w:p w14:paraId="76F8AB4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bl>
    <w:p w14:paraId="235B0AC3">
      <w:pPr>
        <w:spacing w:line="360" w:lineRule="auto"/>
        <w:ind w:firstLine="525" w:firstLineChars="250"/>
        <w:rPr>
          <w:rFonts w:ascii="仿宋_GB2312" w:hAnsi="仿宋" w:eastAsia="仿宋_GB2312"/>
          <w:color w:val="auto"/>
          <w:szCs w:val="21"/>
          <w:highlight w:val="none"/>
        </w:rPr>
      </w:pPr>
      <w:r>
        <w:rPr>
          <w:rFonts w:hint="eastAsia" w:ascii="仿宋_GB2312" w:hAnsi="仿宋" w:eastAsia="仿宋_GB2312"/>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42A9A4BB">
      <w:pPr>
        <w:pStyle w:val="18"/>
        <w:jc w:val="center"/>
        <w:rPr>
          <w:rFonts w:hAnsi="宋体"/>
          <w:color w:val="auto"/>
          <w:highlight w:val="none"/>
        </w:rPr>
        <w:sectPr>
          <w:pgSz w:w="11906" w:h="16838"/>
          <w:pgMar w:top="1134" w:right="1134" w:bottom="1134" w:left="1134" w:header="720" w:footer="720" w:gutter="0"/>
          <w:pgNumType w:fmt="decimal"/>
          <w:cols w:space="720" w:num="1"/>
          <w:docGrid w:type="lines" w:linePitch="331" w:charSpace="0"/>
        </w:sectPr>
      </w:pPr>
    </w:p>
    <w:p w14:paraId="143E1014">
      <w:pPr>
        <w:pStyle w:val="18"/>
        <w:jc w:val="center"/>
        <w:outlineLvl w:val="0"/>
        <w:rPr>
          <w:rFonts w:hint="eastAsia" w:hAnsi="宋体"/>
          <w:b/>
          <w:color w:val="auto"/>
          <w:sz w:val="36"/>
          <w:szCs w:val="36"/>
          <w:highlight w:val="none"/>
        </w:rPr>
      </w:pPr>
      <w:bookmarkStart w:id="30" w:name="_Toc20602"/>
      <w:bookmarkStart w:id="31" w:name="_Toc532545044"/>
      <w:bookmarkStart w:id="32" w:name="_Toc80092992"/>
      <w:r>
        <w:rPr>
          <w:rFonts w:hint="eastAsia" w:ascii="Times New Roman" w:hAnsi="Times New Roman"/>
          <w:b/>
          <w:color w:val="auto"/>
          <w:sz w:val="36"/>
          <w:highlight w:val="none"/>
        </w:rPr>
        <w:t>第三章</w:t>
      </w:r>
      <w:r>
        <w:rPr>
          <w:rFonts w:ascii="Times New Roman" w:hAnsi="Times New Roman"/>
          <w:b/>
          <w:color w:val="auto"/>
          <w:sz w:val="36"/>
          <w:highlight w:val="none"/>
        </w:rPr>
        <w:t xml:space="preserve">  </w:t>
      </w:r>
      <w:r>
        <w:rPr>
          <w:rFonts w:hint="eastAsia" w:ascii="Times New Roman" w:hAnsi="Times New Roman"/>
          <w:b/>
          <w:color w:val="auto"/>
          <w:sz w:val="36"/>
          <w:highlight w:val="none"/>
        </w:rPr>
        <w:t>投标人须知</w:t>
      </w:r>
      <w:bookmarkEnd w:id="30"/>
      <w:bookmarkEnd w:id="31"/>
      <w:bookmarkEnd w:id="32"/>
    </w:p>
    <w:p w14:paraId="0E7BDBEB">
      <w:pPr>
        <w:pStyle w:val="18"/>
        <w:spacing w:line="720" w:lineRule="auto"/>
        <w:jc w:val="center"/>
        <w:outlineLvl w:val="1"/>
        <w:rPr>
          <w:rFonts w:hint="eastAsia" w:ascii="Times New Roman" w:hAnsi="Times New Roman"/>
          <w:b/>
          <w:color w:val="auto"/>
          <w:sz w:val="30"/>
          <w:szCs w:val="30"/>
          <w:highlight w:val="none"/>
        </w:rPr>
      </w:pPr>
      <w:bookmarkStart w:id="33" w:name="_Toc80092993"/>
      <w:r>
        <w:rPr>
          <w:rFonts w:hint="eastAsia" w:ascii="Times New Roman" w:hAnsi="Times New Roman"/>
          <w:b/>
          <w:color w:val="auto"/>
          <w:sz w:val="30"/>
          <w:szCs w:val="30"/>
          <w:highlight w:val="none"/>
        </w:rPr>
        <w:t>第一节 投标人须知前附表</w:t>
      </w:r>
      <w:bookmarkEnd w:id="33"/>
    </w:p>
    <w:tbl>
      <w:tblPr>
        <w:tblStyle w:val="35"/>
        <w:tblW w:w="960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30"/>
        <w:gridCol w:w="8573"/>
      </w:tblGrid>
      <w:tr w14:paraId="51CDAA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30" w:type="dxa"/>
            <w:tcBorders>
              <w:top w:val="single" w:color="auto" w:sz="4" w:space="0"/>
              <w:left w:val="single" w:color="auto" w:sz="4" w:space="0"/>
              <w:bottom w:val="single" w:color="auto" w:sz="4" w:space="0"/>
              <w:right w:val="single" w:color="auto" w:sz="4" w:space="0"/>
            </w:tcBorders>
            <w:noWrap w:val="0"/>
            <w:vAlign w:val="center"/>
          </w:tcPr>
          <w:p w14:paraId="48520E3A">
            <w:pPr>
              <w:topLinePunct/>
              <w:spacing w:after="0"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条款号</w:t>
            </w:r>
          </w:p>
        </w:tc>
        <w:tc>
          <w:tcPr>
            <w:tcW w:w="8573" w:type="dxa"/>
            <w:tcBorders>
              <w:top w:val="single" w:color="auto" w:sz="4" w:space="0"/>
              <w:left w:val="single" w:color="auto" w:sz="4" w:space="0"/>
              <w:bottom w:val="single" w:color="auto" w:sz="4" w:space="0"/>
              <w:right w:val="single" w:color="auto" w:sz="4" w:space="0"/>
            </w:tcBorders>
            <w:noWrap w:val="0"/>
            <w:vAlign w:val="center"/>
          </w:tcPr>
          <w:p w14:paraId="0A86CBD3">
            <w:pPr>
              <w:topLinePunct/>
              <w:spacing w:after="0"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编列内容</w:t>
            </w:r>
          </w:p>
        </w:tc>
      </w:tr>
      <w:tr w14:paraId="547701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30" w:type="dxa"/>
            <w:tcBorders>
              <w:top w:val="single" w:color="auto" w:sz="4" w:space="0"/>
              <w:left w:val="single" w:color="auto" w:sz="4" w:space="0"/>
              <w:bottom w:val="single" w:color="auto" w:sz="4" w:space="0"/>
              <w:right w:val="single" w:color="auto" w:sz="4" w:space="0"/>
            </w:tcBorders>
            <w:noWrap w:val="0"/>
            <w:vAlign w:val="center"/>
          </w:tcPr>
          <w:p w14:paraId="46084BA9">
            <w:pPr>
              <w:topLinePunct/>
              <w:spacing w:after="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8573" w:type="dxa"/>
            <w:tcBorders>
              <w:top w:val="single" w:color="auto" w:sz="4" w:space="0"/>
              <w:left w:val="single" w:color="auto" w:sz="4" w:space="0"/>
              <w:bottom w:val="single" w:color="auto" w:sz="4" w:space="0"/>
              <w:right w:val="single" w:color="auto" w:sz="4" w:space="0"/>
            </w:tcBorders>
            <w:noWrap w:val="0"/>
            <w:vAlign w:val="center"/>
          </w:tcPr>
          <w:p w14:paraId="1314BAE0">
            <w:pPr>
              <w:topLinePunct/>
              <w:spacing w:after="0"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投标人的资格要求：详见招标公告。</w:t>
            </w:r>
          </w:p>
        </w:tc>
      </w:tr>
      <w:tr w14:paraId="049CEA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30" w:type="dxa"/>
            <w:tcBorders>
              <w:top w:val="single" w:color="auto" w:sz="4" w:space="0"/>
              <w:left w:val="single" w:color="auto" w:sz="4" w:space="0"/>
              <w:bottom w:val="single" w:color="auto" w:sz="4" w:space="0"/>
              <w:right w:val="single" w:color="auto" w:sz="4" w:space="0"/>
            </w:tcBorders>
            <w:noWrap w:val="0"/>
            <w:vAlign w:val="center"/>
          </w:tcPr>
          <w:p w14:paraId="360D9917">
            <w:pPr>
              <w:topLinePunct/>
              <w:spacing w:after="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w:t>
            </w:r>
          </w:p>
        </w:tc>
        <w:tc>
          <w:tcPr>
            <w:tcW w:w="8573" w:type="dxa"/>
            <w:tcBorders>
              <w:top w:val="single" w:color="auto" w:sz="4" w:space="0"/>
              <w:left w:val="single" w:color="auto" w:sz="4" w:space="0"/>
              <w:bottom w:val="single" w:color="auto" w:sz="4" w:space="0"/>
              <w:right w:val="single" w:color="auto" w:sz="4" w:space="0"/>
            </w:tcBorders>
            <w:noWrap w:val="0"/>
            <w:vAlign w:val="center"/>
          </w:tcPr>
          <w:p w14:paraId="0978538C">
            <w:pPr>
              <w:pStyle w:val="13"/>
              <w:topLinePunct/>
              <w:spacing w:after="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本项目是否接受联合体投标：不允许联合体投标。</w:t>
            </w:r>
          </w:p>
        </w:tc>
      </w:tr>
      <w:tr w14:paraId="270EAB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30" w:type="dxa"/>
            <w:tcBorders>
              <w:top w:val="single" w:color="auto" w:sz="4" w:space="0"/>
              <w:left w:val="single" w:color="auto" w:sz="4" w:space="0"/>
              <w:bottom w:val="single" w:color="auto" w:sz="4" w:space="0"/>
              <w:right w:val="single" w:color="auto" w:sz="4" w:space="0"/>
            </w:tcBorders>
            <w:noWrap w:val="0"/>
            <w:vAlign w:val="center"/>
          </w:tcPr>
          <w:p w14:paraId="57AB8F22">
            <w:pPr>
              <w:topLinePunct/>
              <w:spacing w:after="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6.2</w:t>
            </w:r>
          </w:p>
        </w:tc>
        <w:tc>
          <w:tcPr>
            <w:tcW w:w="8573" w:type="dxa"/>
            <w:tcBorders>
              <w:top w:val="single" w:color="auto" w:sz="4" w:space="0"/>
              <w:left w:val="single" w:color="auto" w:sz="4" w:space="0"/>
              <w:bottom w:val="single" w:color="auto" w:sz="4" w:space="0"/>
              <w:right w:val="single" w:color="auto" w:sz="4" w:space="0"/>
            </w:tcBorders>
            <w:noWrap w:val="0"/>
            <w:vAlign w:val="center"/>
          </w:tcPr>
          <w:p w14:paraId="628406ED">
            <w:pPr>
              <w:topLinePunct/>
              <w:autoSpaceDN w:val="0"/>
              <w:spacing w:after="0" w:line="360" w:lineRule="auto"/>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无 </w:t>
            </w:r>
          </w:p>
        </w:tc>
      </w:tr>
      <w:tr w14:paraId="603987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30" w:type="dxa"/>
            <w:tcBorders>
              <w:top w:val="single" w:color="auto" w:sz="4" w:space="0"/>
              <w:left w:val="single" w:color="auto" w:sz="4" w:space="0"/>
              <w:bottom w:val="single" w:color="auto" w:sz="4" w:space="0"/>
              <w:right w:val="single" w:color="auto" w:sz="4" w:space="0"/>
            </w:tcBorders>
            <w:noWrap w:val="0"/>
            <w:vAlign w:val="center"/>
          </w:tcPr>
          <w:p w14:paraId="00D643C9">
            <w:pPr>
              <w:topLinePunct/>
              <w:spacing w:after="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w:t>
            </w:r>
          </w:p>
        </w:tc>
        <w:tc>
          <w:tcPr>
            <w:tcW w:w="8573" w:type="dxa"/>
            <w:tcBorders>
              <w:top w:val="single" w:color="auto" w:sz="4" w:space="0"/>
              <w:left w:val="single" w:color="auto" w:sz="4" w:space="0"/>
              <w:bottom w:val="single" w:color="auto" w:sz="4" w:space="0"/>
              <w:right w:val="single" w:color="auto" w:sz="4" w:space="0"/>
            </w:tcBorders>
            <w:noWrap w:val="0"/>
            <w:vAlign w:val="center"/>
          </w:tcPr>
          <w:p w14:paraId="7C984859">
            <w:pPr>
              <w:pStyle w:val="13"/>
              <w:topLinePunct/>
              <w:spacing w:after="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☑不允许分包</w:t>
            </w:r>
          </w:p>
          <w:p w14:paraId="4B8A82A2">
            <w:pPr>
              <w:pStyle w:val="13"/>
              <w:topLinePunct/>
              <w:spacing w:after="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□允许分包</w:t>
            </w:r>
          </w:p>
          <w:p w14:paraId="2B989975">
            <w:pPr>
              <w:pStyle w:val="13"/>
              <w:topLinePunct/>
              <w:spacing w:after="0"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分包内容：</w:t>
            </w:r>
            <w:r>
              <w:rPr>
                <w:rFonts w:hint="eastAsia" w:ascii="宋体" w:hAnsi="宋体" w:eastAsia="宋体" w:cs="宋体"/>
                <w:color w:val="auto"/>
                <w:sz w:val="21"/>
                <w:szCs w:val="21"/>
                <w:highlight w:val="none"/>
                <w:u w:val="single"/>
              </w:rPr>
              <w:t xml:space="preserve">                                     。</w:t>
            </w:r>
          </w:p>
          <w:p w14:paraId="40FC341A">
            <w:pPr>
              <w:pStyle w:val="13"/>
              <w:topLinePunct/>
              <w:spacing w:after="0" w:line="360" w:lineRule="auto"/>
              <w:jc w:val="both"/>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分包金额或者比例：</w:t>
            </w:r>
            <w:r>
              <w:rPr>
                <w:rFonts w:hint="eastAsia" w:ascii="宋体" w:hAnsi="宋体" w:eastAsia="宋体" w:cs="宋体"/>
                <w:color w:val="auto"/>
                <w:sz w:val="21"/>
                <w:szCs w:val="21"/>
                <w:highlight w:val="none"/>
                <w:u w:val="single"/>
              </w:rPr>
              <w:t xml:space="preserve">                                     。</w:t>
            </w:r>
          </w:p>
        </w:tc>
      </w:tr>
      <w:tr w14:paraId="337C90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30" w:type="dxa"/>
            <w:vMerge w:val="restart"/>
            <w:tcBorders>
              <w:top w:val="single" w:color="auto" w:sz="4" w:space="0"/>
              <w:left w:val="single" w:color="auto" w:sz="4" w:space="0"/>
              <w:right w:val="single" w:color="auto" w:sz="4" w:space="0"/>
            </w:tcBorders>
            <w:noWrap w:val="0"/>
            <w:vAlign w:val="center"/>
          </w:tcPr>
          <w:p w14:paraId="72394FD1">
            <w:pPr>
              <w:topLinePunct/>
              <w:spacing w:after="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11.5</w:t>
            </w:r>
          </w:p>
        </w:tc>
        <w:tc>
          <w:tcPr>
            <w:tcW w:w="8573" w:type="dxa"/>
            <w:tcBorders>
              <w:top w:val="single" w:color="auto" w:sz="4" w:space="0"/>
              <w:left w:val="single" w:color="auto" w:sz="4" w:space="0"/>
              <w:bottom w:val="single" w:color="auto" w:sz="4" w:space="0"/>
              <w:right w:val="single" w:color="auto" w:sz="4" w:space="0"/>
            </w:tcBorders>
            <w:noWrap w:val="0"/>
            <w:vAlign w:val="center"/>
          </w:tcPr>
          <w:p w14:paraId="02D4B93C">
            <w:pPr>
              <w:topLinePunct/>
              <w:spacing w:after="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☑不组织现场考察</w:t>
            </w:r>
          </w:p>
          <w:p w14:paraId="02316B0E">
            <w:pPr>
              <w:topLinePunct/>
              <w:spacing w:after="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□组织现场考察：</w:t>
            </w:r>
          </w:p>
          <w:p w14:paraId="5C98CADA">
            <w:pPr>
              <w:topLinePunct/>
              <w:spacing w:after="0"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集中时间：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日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none"/>
              </w:rPr>
              <w:t>分</w:t>
            </w:r>
            <w:r>
              <w:rPr>
                <w:rFonts w:hint="eastAsia" w:ascii="宋体" w:hAnsi="宋体" w:eastAsia="宋体" w:cs="宋体"/>
                <w:color w:val="auto"/>
                <w:sz w:val="21"/>
                <w:szCs w:val="21"/>
                <w:highlight w:val="none"/>
              </w:rPr>
              <w:t>，逾期后果自负。集中地点：</w:t>
            </w:r>
            <w:r>
              <w:rPr>
                <w:rFonts w:hint="eastAsia" w:ascii="宋体" w:hAnsi="宋体" w:eastAsia="宋体" w:cs="宋体"/>
                <w:color w:val="auto"/>
                <w:sz w:val="21"/>
                <w:szCs w:val="21"/>
                <w:highlight w:val="none"/>
                <w:u w:val="single"/>
              </w:rPr>
              <w:t xml:space="preserve">              </w:t>
            </w:r>
          </w:p>
          <w:p w14:paraId="796D029A">
            <w:pPr>
              <w:topLinePunct/>
              <w:spacing w:after="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xml:space="preserve">                </w:t>
            </w:r>
          </w:p>
        </w:tc>
      </w:tr>
      <w:tr w14:paraId="7DD221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30" w:type="dxa"/>
            <w:vMerge w:val="continue"/>
            <w:tcBorders>
              <w:left w:val="single" w:color="auto" w:sz="4" w:space="0"/>
              <w:bottom w:val="single" w:color="auto" w:sz="4" w:space="0"/>
              <w:right w:val="single" w:color="auto" w:sz="4" w:space="0"/>
            </w:tcBorders>
            <w:noWrap w:val="0"/>
            <w:vAlign w:val="center"/>
          </w:tcPr>
          <w:p w14:paraId="5215D611">
            <w:pPr>
              <w:topLinePunct/>
              <w:spacing w:after="0" w:line="360" w:lineRule="auto"/>
              <w:jc w:val="center"/>
              <w:rPr>
                <w:rFonts w:hint="eastAsia" w:ascii="宋体" w:hAnsi="宋体" w:eastAsia="宋体" w:cs="宋体"/>
                <w:color w:val="auto"/>
                <w:sz w:val="21"/>
                <w:szCs w:val="21"/>
                <w:highlight w:val="none"/>
              </w:rPr>
            </w:pPr>
          </w:p>
        </w:tc>
        <w:tc>
          <w:tcPr>
            <w:tcW w:w="8573" w:type="dxa"/>
            <w:tcBorders>
              <w:top w:val="single" w:color="auto" w:sz="4" w:space="0"/>
              <w:left w:val="single" w:color="auto" w:sz="4" w:space="0"/>
              <w:bottom w:val="single" w:color="auto" w:sz="4" w:space="0"/>
              <w:right w:val="single" w:color="auto" w:sz="4" w:space="0"/>
            </w:tcBorders>
            <w:noWrap w:val="0"/>
            <w:vAlign w:val="center"/>
          </w:tcPr>
          <w:p w14:paraId="075A046A">
            <w:pPr>
              <w:topLinePunct/>
              <w:spacing w:after="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☑不组织召开开标前答疑会</w:t>
            </w:r>
          </w:p>
          <w:p w14:paraId="5E340784">
            <w:pPr>
              <w:topLinePunct/>
              <w:spacing w:after="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□组织召开开标前答疑会</w:t>
            </w:r>
          </w:p>
          <w:p w14:paraId="49366662">
            <w:pPr>
              <w:topLinePunct/>
              <w:spacing w:after="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会议开始时间：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日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rPr>
              <w:t xml:space="preserve">  分</w:t>
            </w:r>
            <w:r>
              <w:rPr>
                <w:rFonts w:hint="eastAsia" w:ascii="宋体" w:hAnsi="宋体" w:eastAsia="宋体" w:cs="宋体"/>
                <w:color w:val="auto"/>
                <w:sz w:val="21"/>
                <w:szCs w:val="21"/>
                <w:highlight w:val="none"/>
              </w:rPr>
              <w:t>，逾期后果自负。会议地点：</w:t>
            </w:r>
            <w:r>
              <w:rPr>
                <w:rFonts w:hint="eastAsia" w:ascii="宋体" w:hAnsi="宋体" w:eastAsia="宋体" w:cs="宋体"/>
                <w:color w:val="auto"/>
                <w:sz w:val="21"/>
                <w:szCs w:val="21"/>
                <w:highlight w:val="none"/>
                <w:u w:val="single"/>
              </w:rPr>
              <w:t xml:space="preserve">              </w:t>
            </w:r>
          </w:p>
        </w:tc>
      </w:tr>
      <w:tr w14:paraId="1FA5B0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30" w:type="dxa"/>
            <w:vMerge w:val="restart"/>
            <w:tcBorders>
              <w:top w:val="single" w:color="auto" w:sz="4" w:space="0"/>
              <w:left w:val="single" w:color="auto" w:sz="4" w:space="0"/>
              <w:right w:val="single" w:color="auto" w:sz="4" w:space="0"/>
            </w:tcBorders>
            <w:noWrap w:val="0"/>
            <w:vAlign w:val="center"/>
          </w:tcPr>
          <w:p w14:paraId="61AC35A8">
            <w:pPr>
              <w:topLinePunct/>
              <w:spacing w:after="0" w:line="360" w:lineRule="auto"/>
              <w:jc w:val="center"/>
              <w:rPr>
                <w:rFonts w:hint="eastAsia" w:ascii="宋体" w:hAnsi="宋体" w:eastAsia="宋体" w:cs="宋体"/>
                <w:color w:val="auto"/>
                <w:sz w:val="21"/>
                <w:szCs w:val="21"/>
                <w:highlight w:val="none"/>
              </w:rPr>
            </w:pPr>
            <w:bookmarkStart w:id="34" w:name="_13.1"/>
            <w:bookmarkEnd w:id="34"/>
            <w:r>
              <w:rPr>
                <w:rFonts w:hint="eastAsia" w:ascii="宋体" w:hAnsi="宋体" w:eastAsia="宋体" w:cs="宋体"/>
                <w:color w:val="auto"/>
                <w:sz w:val="21"/>
                <w:szCs w:val="21"/>
                <w:highlight w:val="none"/>
              </w:rPr>
              <w:t>13.</w:t>
            </w:r>
            <w:bookmarkStart w:id="35" w:name="_Hlt19632543"/>
            <w:r>
              <w:rPr>
                <w:rFonts w:hint="eastAsia" w:ascii="宋体" w:hAnsi="宋体" w:eastAsia="宋体" w:cs="宋体"/>
                <w:color w:val="auto"/>
                <w:sz w:val="21"/>
                <w:szCs w:val="21"/>
                <w:highlight w:val="none"/>
              </w:rPr>
              <w:t>1</w:t>
            </w:r>
            <w:bookmarkEnd w:id="35"/>
          </w:p>
        </w:tc>
        <w:tc>
          <w:tcPr>
            <w:tcW w:w="8573" w:type="dxa"/>
            <w:tcBorders>
              <w:top w:val="single" w:color="auto" w:sz="4" w:space="0"/>
              <w:left w:val="single" w:color="auto" w:sz="4" w:space="0"/>
              <w:bottom w:val="single" w:color="auto" w:sz="4" w:space="0"/>
              <w:right w:val="single" w:color="auto" w:sz="4" w:space="0"/>
            </w:tcBorders>
            <w:noWrap w:val="0"/>
            <w:vAlign w:val="center"/>
          </w:tcPr>
          <w:p w14:paraId="17BBFF8A">
            <w:pPr>
              <w:topLinePunct/>
              <w:spacing w:after="0" w:line="36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报价文件:</w:t>
            </w:r>
          </w:p>
          <w:p w14:paraId="42986259">
            <w:pPr>
              <w:numPr>
                <w:ilvl w:val="0"/>
                <w:numId w:val="2"/>
              </w:numPr>
              <w:tabs>
                <w:tab w:val="left" w:pos="459"/>
              </w:tabs>
              <w:topLinePunct/>
              <w:spacing w:after="0" w:line="360" w:lineRule="auto"/>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投标函（格式后附）；</w:t>
            </w:r>
            <w:r>
              <w:rPr>
                <w:rFonts w:hint="eastAsia" w:ascii="宋体" w:hAnsi="宋体" w:eastAsia="宋体" w:cs="宋体"/>
                <w:b/>
                <w:color w:val="auto"/>
                <w:sz w:val="21"/>
                <w:szCs w:val="21"/>
                <w:highlight w:val="none"/>
              </w:rPr>
              <w:t>（必须提供，否则按无效投标处理）</w:t>
            </w:r>
            <w:bookmarkStart w:id="36" w:name="_Hlk71299233"/>
          </w:p>
          <w:p w14:paraId="3506C977">
            <w:pPr>
              <w:numPr>
                <w:ilvl w:val="0"/>
                <w:numId w:val="2"/>
              </w:numPr>
              <w:tabs>
                <w:tab w:val="left" w:pos="459"/>
              </w:tabs>
              <w:topLinePunct/>
              <w:spacing w:after="0" w:line="360" w:lineRule="auto"/>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开标一览表</w:t>
            </w:r>
            <w:bookmarkEnd w:id="36"/>
            <w:r>
              <w:rPr>
                <w:rFonts w:hint="eastAsia" w:ascii="宋体" w:hAnsi="宋体" w:eastAsia="宋体" w:cs="宋体"/>
                <w:color w:val="auto"/>
                <w:sz w:val="21"/>
                <w:szCs w:val="21"/>
                <w:highlight w:val="none"/>
              </w:rPr>
              <w:t>（格式后附）； （</w:t>
            </w:r>
            <w:r>
              <w:rPr>
                <w:rFonts w:hint="eastAsia" w:ascii="宋体" w:hAnsi="宋体" w:eastAsia="宋体" w:cs="宋体"/>
                <w:b/>
                <w:color w:val="auto"/>
                <w:sz w:val="21"/>
                <w:szCs w:val="21"/>
                <w:highlight w:val="none"/>
              </w:rPr>
              <w:t>必须提供，否则按无效投标处理</w:t>
            </w:r>
            <w:r>
              <w:rPr>
                <w:rFonts w:hint="eastAsia" w:ascii="宋体" w:hAnsi="宋体" w:eastAsia="宋体" w:cs="宋体"/>
                <w:color w:val="auto"/>
                <w:sz w:val="21"/>
                <w:szCs w:val="21"/>
                <w:highlight w:val="none"/>
              </w:rPr>
              <w:t>）</w:t>
            </w:r>
          </w:p>
          <w:p w14:paraId="156B8B12">
            <w:pPr>
              <w:numPr>
                <w:ilvl w:val="0"/>
                <w:numId w:val="2"/>
              </w:numPr>
              <w:tabs>
                <w:tab w:val="left" w:pos="459"/>
              </w:tabs>
              <w:topLinePunct/>
              <w:spacing w:after="0" w:line="360" w:lineRule="auto"/>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投标人针对报价需要说明的其他文件和说明（格式自拟）。</w:t>
            </w:r>
          </w:p>
          <w:p w14:paraId="0A4AC7F1">
            <w:pPr>
              <w:numPr>
                <w:ilvl w:val="0"/>
                <w:numId w:val="2"/>
              </w:numPr>
              <w:tabs>
                <w:tab w:val="left" w:pos="459"/>
              </w:tabs>
              <w:topLinePunct/>
              <w:spacing w:after="0" w:line="360" w:lineRule="auto"/>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t>中小企业声明函（格式后附）；</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必须提供，否则按无效投标处理</w:t>
            </w:r>
            <w:r>
              <w:rPr>
                <w:rFonts w:hint="eastAsia" w:ascii="宋体" w:hAnsi="宋体" w:eastAsia="宋体" w:cs="宋体"/>
                <w:color w:val="auto"/>
                <w:sz w:val="21"/>
                <w:szCs w:val="21"/>
                <w:highlight w:val="none"/>
              </w:rPr>
              <w:t>）</w:t>
            </w:r>
          </w:p>
          <w:p w14:paraId="3E79104F">
            <w:pPr>
              <w:topLinePunct/>
              <w:spacing w:after="0"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注：投标函、开标一览表必须由法定代表人或者委托代理人在规定签章处逐页签字并加盖投标人公章，否则按无效投标</w:t>
            </w:r>
            <w:r>
              <w:rPr>
                <w:rFonts w:hint="eastAsia" w:ascii="宋体" w:hAnsi="宋体" w:eastAsia="宋体" w:cs="宋体"/>
                <w:b/>
                <w:color w:val="auto"/>
                <w:sz w:val="21"/>
                <w:szCs w:val="21"/>
                <w:highlight w:val="none"/>
              </w:rPr>
              <w:t>处理</w:t>
            </w:r>
            <w:r>
              <w:rPr>
                <w:rFonts w:hint="eastAsia" w:ascii="宋体" w:hAnsi="宋体" w:eastAsia="宋体" w:cs="宋体"/>
                <w:b/>
                <w:bCs/>
                <w:color w:val="auto"/>
                <w:sz w:val="21"/>
                <w:szCs w:val="21"/>
                <w:highlight w:val="none"/>
              </w:rPr>
              <w:t>。</w:t>
            </w:r>
          </w:p>
        </w:tc>
      </w:tr>
      <w:tr w14:paraId="22B4A6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30" w:type="dxa"/>
            <w:vMerge w:val="continue"/>
            <w:tcBorders>
              <w:left w:val="single" w:color="auto" w:sz="4" w:space="0"/>
              <w:right w:val="single" w:color="auto" w:sz="4" w:space="0"/>
            </w:tcBorders>
            <w:noWrap w:val="0"/>
            <w:vAlign w:val="center"/>
          </w:tcPr>
          <w:p w14:paraId="438244DD">
            <w:pPr>
              <w:topLinePunct/>
              <w:spacing w:after="0" w:line="360" w:lineRule="auto"/>
              <w:rPr>
                <w:rFonts w:hint="eastAsia" w:ascii="宋体" w:hAnsi="宋体" w:eastAsia="宋体" w:cs="宋体"/>
                <w:color w:val="auto"/>
                <w:sz w:val="21"/>
                <w:szCs w:val="21"/>
                <w:highlight w:val="none"/>
              </w:rPr>
            </w:pPr>
          </w:p>
        </w:tc>
        <w:tc>
          <w:tcPr>
            <w:tcW w:w="8573" w:type="dxa"/>
            <w:tcBorders>
              <w:top w:val="single" w:color="auto" w:sz="4" w:space="0"/>
              <w:left w:val="single" w:color="auto" w:sz="4" w:space="0"/>
              <w:bottom w:val="single" w:color="auto" w:sz="4" w:space="0"/>
              <w:right w:val="single" w:color="auto" w:sz="4" w:space="0"/>
            </w:tcBorders>
            <w:noWrap w:val="0"/>
            <w:vAlign w:val="center"/>
          </w:tcPr>
          <w:p w14:paraId="21D59267">
            <w:pPr>
              <w:topLinePunct/>
              <w:spacing w:after="0" w:line="36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资格证明文件:</w:t>
            </w:r>
          </w:p>
          <w:p w14:paraId="510B0AB4">
            <w:pPr>
              <w:snapToGrid w:val="0"/>
              <w:spacing w:line="360" w:lineRule="auto"/>
              <w:jc w:val="left"/>
              <w:rPr>
                <w:rFonts w:hint="eastAsia"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eastAsia="宋体" w:cs="宋体"/>
                <w:color w:val="auto"/>
                <w:sz w:val="21"/>
                <w:szCs w:val="21"/>
                <w:highlight w:val="none"/>
              </w:rPr>
              <w:t>有效的营业执照副本（副本复印件）</w:t>
            </w:r>
            <w:r>
              <w:rPr>
                <w:rFonts w:hint="eastAsia" w:ascii="宋体" w:hAnsi="宋体"/>
                <w:color w:val="auto"/>
                <w:sz w:val="21"/>
                <w:szCs w:val="21"/>
                <w:highlight w:val="none"/>
              </w:rPr>
              <w:t>；（</w:t>
            </w:r>
            <w:r>
              <w:rPr>
                <w:rFonts w:hint="eastAsia" w:ascii="宋体" w:hAnsi="宋体"/>
                <w:b/>
                <w:color w:val="auto"/>
                <w:sz w:val="21"/>
                <w:szCs w:val="21"/>
                <w:highlight w:val="none"/>
              </w:rPr>
              <w:t>必须提供，否则作无效投标处理</w:t>
            </w:r>
            <w:r>
              <w:rPr>
                <w:rFonts w:hint="eastAsia" w:ascii="宋体" w:hAnsi="宋体"/>
                <w:color w:val="auto"/>
                <w:sz w:val="21"/>
                <w:szCs w:val="21"/>
                <w:highlight w:val="none"/>
              </w:rPr>
              <w:t>）</w:t>
            </w:r>
          </w:p>
          <w:p w14:paraId="264F592E">
            <w:pPr>
              <w:snapToGrid w:val="0"/>
              <w:spacing w:line="360" w:lineRule="auto"/>
              <w:jc w:val="left"/>
              <w:rPr>
                <w:rFonts w:hint="eastAsia" w:ascii="宋体" w:hAnsi="宋体"/>
                <w:color w:val="auto"/>
                <w:sz w:val="21"/>
                <w:szCs w:val="21"/>
                <w:highlight w:val="none"/>
              </w:rPr>
            </w:pPr>
            <w:r>
              <w:rPr>
                <w:rFonts w:hint="eastAsia" w:ascii="宋体" w:hAnsi="宋体" w:cs="宋体"/>
                <w:color w:val="auto"/>
                <w:sz w:val="21"/>
                <w:szCs w:val="21"/>
                <w:highlight w:val="none"/>
              </w:rPr>
              <w:t>2、</w:t>
            </w:r>
            <w:r>
              <w:rPr>
                <w:rFonts w:hint="eastAsia" w:ascii="宋体" w:hAnsi="宋体" w:cs="宋体"/>
                <w:color w:val="auto"/>
                <w:sz w:val="21"/>
                <w:szCs w:val="21"/>
                <w:highlight w:val="none"/>
              </w:rPr>
              <w:t>有效的《食品经营许可证》</w:t>
            </w:r>
            <w:r>
              <w:rPr>
                <w:rFonts w:hint="eastAsia" w:ascii="宋体" w:hAnsi="宋体"/>
                <w:color w:val="auto"/>
                <w:sz w:val="21"/>
                <w:szCs w:val="21"/>
                <w:highlight w:val="none"/>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必须提供，否则作无效投标处理</w:t>
            </w:r>
            <w:r>
              <w:rPr>
                <w:rFonts w:hint="eastAsia" w:ascii="宋体" w:hAnsi="宋体"/>
                <w:color w:val="auto"/>
                <w:sz w:val="21"/>
                <w:szCs w:val="21"/>
                <w:highlight w:val="none"/>
              </w:rPr>
              <w:t>）</w:t>
            </w:r>
          </w:p>
          <w:p w14:paraId="221B39D4">
            <w:pPr>
              <w:snapToGrid w:val="0"/>
              <w:spacing w:line="360" w:lineRule="auto"/>
              <w:jc w:val="left"/>
              <w:rPr>
                <w:rFonts w:hint="eastAsia" w:ascii="宋体" w:hAnsi="宋体"/>
                <w:color w:val="auto"/>
                <w:sz w:val="21"/>
                <w:szCs w:val="21"/>
                <w:highlight w:val="none"/>
              </w:rPr>
            </w:pPr>
            <w:r>
              <w:rPr>
                <w:rFonts w:hint="eastAsia" w:ascii="宋体" w:hAnsi="宋体" w:cs="宋体"/>
                <w:color w:val="auto"/>
                <w:sz w:val="21"/>
                <w:szCs w:val="21"/>
                <w:highlight w:val="none"/>
              </w:rPr>
              <w:t>3、</w:t>
            </w:r>
            <w:r>
              <w:rPr>
                <w:rFonts w:hint="eastAsia" w:ascii="宋体" w:hAnsi="宋体" w:cs="宋体"/>
                <w:color w:val="auto"/>
                <w:sz w:val="21"/>
                <w:szCs w:val="21"/>
                <w:highlight w:val="none"/>
              </w:rPr>
              <w:t>法定代表人资格证明书及身份证复印件</w:t>
            </w:r>
            <w:r>
              <w:rPr>
                <w:rFonts w:hint="eastAsia" w:ascii="宋体" w:hAnsi="宋体"/>
                <w:color w:val="auto"/>
                <w:sz w:val="21"/>
                <w:szCs w:val="21"/>
                <w:highlight w:val="none"/>
              </w:rPr>
              <w:t>；（详见附件）（</w:t>
            </w:r>
            <w:r>
              <w:rPr>
                <w:rFonts w:hint="eastAsia" w:ascii="宋体" w:hAnsi="宋体" w:cs="宋体"/>
                <w:b/>
                <w:bCs/>
                <w:color w:val="auto"/>
                <w:sz w:val="21"/>
                <w:szCs w:val="21"/>
                <w:highlight w:val="none"/>
              </w:rPr>
              <w:t>除自然人投标外</w:t>
            </w:r>
            <w:r>
              <w:rPr>
                <w:rFonts w:hint="eastAsia" w:ascii="宋体" w:hAnsi="宋体"/>
                <w:b/>
                <w:color w:val="auto"/>
                <w:sz w:val="21"/>
                <w:szCs w:val="21"/>
                <w:highlight w:val="none"/>
              </w:rPr>
              <w:t>必须提供，否则作无效投标处理</w:t>
            </w:r>
            <w:r>
              <w:rPr>
                <w:rFonts w:hint="eastAsia" w:ascii="宋体" w:hAnsi="宋体"/>
                <w:color w:val="auto"/>
                <w:sz w:val="21"/>
                <w:szCs w:val="21"/>
                <w:highlight w:val="none"/>
              </w:rPr>
              <w:t>）</w:t>
            </w:r>
          </w:p>
          <w:p w14:paraId="734E4130">
            <w:pPr>
              <w:snapToGrid w:val="0"/>
              <w:spacing w:line="360" w:lineRule="auto"/>
              <w:jc w:val="left"/>
              <w:rPr>
                <w:rFonts w:hint="eastAsia" w:ascii="宋体" w:hAnsi="宋体"/>
                <w:color w:val="auto"/>
                <w:sz w:val="21"/>
                <w:szCs w:val="21"/>
                <w:highlight w:val="none"/>
              </w:rPr>
            </w:pPr>
            <w:r>
              <w:rPr>
                <w:rFonts w:hint="eastAsia" w:ascii="宋体" w:hAnsi="宋体" w:cs="宋体"/>
                <w:color w:val="auto"/>
                <w:sz w:val="21"/>
                <w:szCs w:val="21"/>
                <w:highlight w:val="none"/>
              </w:rPr>
              <w:t>4、</w:t>
            </w:r>
            <w:r>
              <w:rPr>
                <w:rFonts w:hint="eastAsia" w:ascii="宋体" w:hAnsi="宋体" w:cs="宋体"/>
                <w:color w:val="auto"/>
                <w:sz w:val="21"/>
                <w:szCs w:val="21"/>
                <w:highlight w:val="none"/>
              </w:rPr>
              <w:t>法定代表人（企业负责人）授权委托书及被授权人的身份证复印件</w:t>
            </w:r>
            <w:r>
              <w:rPr>
                <w:rFonts w:hint="eastAsia" w:ascii="宋体" w:hAnsi="宋体"/>
                <w:color w:val="auto"/>
                <w:sz w:val="21"/>
                <w:szCs w:val="21"/>
                <w:highlight w:val="none"/>
              </w:rPr>
              <w:t>；（详见附件）（</w:t>
            </w:r>
            <w:r>
              <w:rPr>
                <w:rFonts w:hint="eastAsia" w:ascii="宋体" w:hAnsi="宋体" w:cs="宋体"/>
                <w:b/>
                <w:color w:val="auto"/>
                <w:sz w:val="21"/>
                <w:szCs w:val="21"/>
                <w:highlight w:val="none"/>
              </w:rPr>
              <w:t>委托代理时</w:t>
            </w:r>
            <w:r>
              <w:rPr>
                <w:rFonts w:hint="eastAsia" w:ascii="宋体" w:hAnsi="宋体"/>
                <w:b/>
                <w:color w:val="auto"/>
                <w:sz w:val="21"/>
                <w:szCs w:val="21"/>
                <w:highlight w:val="none"/>
              </w:rPr>
              <w:t>必须提供，否则作无效投标处理</w:t>
            </w:r>
            <w:r>
              <w:rPr>
                <w:rFonts w:hint="eastAsia" w:ascii="宋体" w:hAnsi="宋体"/>
                <w:color w:val="auto"/>
                <w:sz w:val="21"/>
                <w:szCs w:val="21"/>
                <w:highlight w:val="none"/>
              </w:rPr>
              <w:t>）</w:t>
            </w:r>
          </w:p>
          <w:p w14:paraId="20E3889B">
            <w:pPr>
              <w:pStyle w:val="2"/>
              <w:spacing w:line="360" w:lineRule="auto"/>
              <w:rPr>
                <w:rFonts w:hint="eastAsia" w:ascii="宋体" w:hAnsi="宋体"/>
                <w:color w:val="auto"/>
                <w:sz w:val="21"/>
                <w:szCs w:val="21"/>
                <w:highlight w:val="none"/>
              </w:rPr>
            </w:pP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、投标人直接控股股东信息表；（详见附件）（</w:t>
            </w:r>
            <w:r>
              <w:rPr>
                <w:rFonts w:hint="eastAsia" w:ascii="宋体" w:hAnsi="宋体"/>
                <w:b/>
                <w:color w:val="auto"/>
                <w:sz w:val="21"/>
                <w:szCs w:val="21"/>
                <w:highlight w:val="none"/>
              </w:rPr>
              <w:t>必须提供，否则作无效投标处理</w:t>
            </w:r>
            <w:r>
              <w:rPr>
                <w:rFonts w:hint="eastAsia" w:ascii="宋体" w:hAnsi="宋体"/>
                <w:color w:val="auto"/>
                <w:sz w:val="21"/>
                <w:szCs w:val="21"/>
                <w:highlight w:val="none"/>
              </w:rPr>
              <w:t>）</w:t>
            </w:r>
          </w:p>
          <w:p w14:paraId="02DCB23F">
            <w:pPr>
              <w:pStyle w:val="3"/>
              <w:spacing w:line="360" w:lineRule="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6、投标人依法缴纳税收的相关材料[</w:t>
            </w:r>
            <w:r>
              <w:rPr>
                <w:rStyle w:val="37"/>
                <w:rFonts w:hint="eastAsia" w:ascii="宋体" w:hAnsi="宋体" w:eastAsia="宋体" w:cs="宋体"/>
                <w:b w:val="0"/>
                <w:color w:val="auto"/>
                <w:sz w:val="21"/>
                <w:szCs w:val="21"/>
                <w:highlight w:val="none"/>
                <w:lang w:eastAsia="zh-CN"/>
              </w:rPr>
              <w:t>需提供</w:t>
            </w:r>
            <w:r>
              <w:rPr>
                <w:rStyle w:val="37"/>
                <w:rFonts w:hint="eastAsia" w:ascii="宋体" w:hAnsi="宋体" w:eastAsia="宋体" w:cs="宋体"/>
                <w:b w:val="0"/>
                <w:color w:val="auto"/>
                <w:sz w:val="21"/>
                <w:szCs w:val="21"/>
                <w:highlight w:val="none"/>
              </w:rPr>
              <w:t>至投标截止时间止</w:t>
            </w:r>
            <w:r>
              <w:rPr>
                <w:rFonts w:hint="eastAsia"/>
                <w:color w:val="auto"/>
                <w:sz w:val="21"/>
                <w:szCs w:val="21"/>
                <w:highlight w:val="none"/>
                <w:lang w:eastAsia="zh-CN"/>
              </w:rPr>
              <w:t>近半年</w:t>
            </w:r>
            <w:r>
              <w:rPr>
                <w:rFonts w:hint="eastAsia"/>
                <w:color w:val="auto"/>
                <w:sz w:val="21"/>
                <w:szCs w:val="21"/>
                <w:highlight w:val="none"/>
              </w:rPr>
              <w:t>内</w:t>
            </w:r>
            <w:r>
              <w:rPr>
                <w:rFonts w:hint="eastAsia"/>
                <w:color w:val="auto"/>
                <w:sz w:val="21"/>
                <w:szCs w:val="21"/>
                <w:highlight w:val="none"/>
                <w:lang w:eastAsia="zh-CN"/>
              </w:rPr>
              <w:t>任意连续</w:t>
            </w:r>
            <w:r>
              <w:rPr>
                <w:rFonts w:hint="eastAsia"/>
                <w:color w:val="auto"/>
                <w:sz w:val="21"/>
                <w:szCs w:val="21"/>
                <w:highlight w:val="none"/>
                <w:lang w:val="en-US" w:eastAsia="zh-CN"/>
              </w:rPr>
              <w:t>3</w:t>
            </w:r>
            <w:r>
              <w:rPr>
                <w:rFonts w:hint="eastAsia"/>
                <w:color w:val="auto"/>
                <w:sz w:val="21"/>
                <w:szCs w:val="21"/>
                <w:highlight w:val="none"/>
              </w:rPr>
              <w:t>个月</w:t>
            </w:r>
            <w:r>
              <w:rPr>
                <w:rFonts w:hint="eastAsia" w:ascii="宋体" w:hAnsi="宋体"/>
                <w:color w:val="auto"/>
                <w:sz w:val="21"/>
                <w:szCs w:val="21"/>
                <w:highlight w:val="none"/>
                <w:lang w:val="en-US" w:eastAsia="zh-CN"/>
              </w:rPr>
              <w:t>的依法缴纳税收的凭据复印件；依法免税的供应商，必须提供相应文件证明其依法免税；</w:t>
            </w:r>
            <w:r>
              <w:rPr>
                <w:rFonts w:hint="eastAsia" w:ascii="宋体" w:hAnsi="宋体" w:cs="宋体"/>
                <w:color w:val="auto"/>
                <w:highlight w:val="none"/>
              </w:rPr>
              <w:t>无纳税记录的，应提供由供应商所在地主管国税、地税部门出具的《依法纳税或依法免税或无欠税证明》</w:t>
            </w:r>
            <w:r>
              <w:rPr>
                <w:rFonts w:hint="eastAsia" w:ascii="宋体" w:hAnsi="宋体"/>
                <w:color w:val="auto"/>
                <w:sz w:val="21"/>
                <w:szCs w:val="21"/>
                <w:highlight w:val="none"/>
                <w:lang w:val="en-US" w:eastAsia="zh-CN"/>
              </w:rPr>
              <w:t>。从取得营业执照时间起到投标文件提交截止时间为止不足要求月数的，只需提供从取得营业执照起的依法缴纳税收相应证明文件）（</w:t>
            </w:r>
            <w:r>
              <w:rPr>
                <w:rFonts w:hint="eastAsia" w:ascii="宋体" w:hAnsi="宋体"/>
                <w:b/>
                <w:color w:val="auto"/>
                <w:sz w:val="21"/>
                <w:szCs w:val="21"/>
                <w:highlight w:val="none"/>
                <w:lang w:val="en-US" w:eastAsia="zh-CN"/>
              </w:rPr>
              <w:t>必须提供，否则作无效投标处理</w:t>
            </w:r>
            <w:r>
              <w:rPr>
                <w:rFonts w:hint="eastAsia" w:ascii="宋体" w:hAnsi="宋体"/>
                <w:color w:val="auto"/>
                <w:sz w:val="21"/>
                <w:szCs w:val="21"/>
                <w:highlight w:val="none"/>
                <w:lang w:val="en-US" w:eastAsia="zh-CN"/>
              </w:rPr>
              <w:t>）</w:t>
            </w:r>
          </w:p>
          <w:p w14:paraId="78910CFF">
            <w:pPr>
              <w:pStyle w:val="3"/>
              <w:spacing w:line="360" w:lineRule="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7、</w:t>
            </w:r>
            <w:r>
              <w:rPr>
                <w:rFonts w:hint="eastAsia" w:ascii="宋体" w:hAnsi="宋体" w:cs="宋体"/>
                <w:bCs/>
                <w:color w:val="auto"/>
                <w:sz w:val="21"/>
                <w:szCs w:val="21"/>
                <w:highlight w:val="none"/>
                <w:lang w:val="en-US" w:eastAsia="zh-CN"/>
              </w:rPr>
              <w:t>投标人依法缴纳社会保障资金的相关材料</w:t>
            </w:r>
            <w:r>
              <w:rPr>
                <w:rFonts w:hint="eastAsia"/>
                <w:color w:val="auto"/>
                <w:sz w:val="21"/>
                <w:szCs w:val="21"/>
                <w:highlight w:val="none"/>
              </w:rPr>
              <w:t>[</w:t>
            </w:r>
            <w:r>
              <w:rPr>
                <w:rStyle w:val="37"/>
                <w:rFonts w:hint="eastAsia" w:ascii="宋体" w:hAnsi="宋体" w:eastAsia="宋体" w:cs="宋体"/>
                <w:b w:val="0"/>
                <w:color w:val="auto"/>
                <w:sz w:val="21"/>
                <w:szCs w:val="21"/>
                <w:highlight w:val="none"/>
                <w:lang w:eastAsia="zh-CN"/>
              </w:rPr>
              <w:t>需提供</w:t>
            </w:r>
            <w:r>
              <w:rPr>
                <w:rStyle w:val="37"/>
                <w:rFonts w:hint="eastAsia" w:ascii="宋体" w:hAnsi="宋体" w:eastAsia="宋体" w:cs="宋体"/>
                <w:b w:val="0"/>
                <w:color w:val="auto"/>
                <w:sz w:val="21"/>
                <w:szCs w:val="21"/>
                <w:highlight w:val="none"/>
              </w:rPr>
              <w:t>至投标截止时间止</w:t>
            </w:r>
            <w:r>
              <w:rPr>
                <w:rFonts w:hint="eastAsia"/>
                <w:color w:val="auto"/>
                <w:sz w:val="21"/>
                <w:szCs w:val="21"/>
                <w:highlight w:val="none"/>
                <w:lang w:eastAsia="zh-CN"/>
              </w:rPr>
              <w:t>近半年</w:t>
            </w:r>
            <w:r>
              <w:rPr>
                <w:rFonts w:hint="eastAsia"/>
                <w:color w:val="auto"/>
                <w:sz w:val="21"/>
                <w:szCs w:val="21"/>
                <w:highlight w:val="none"/>
              </w:rPr>
              <w:t>内</w:t>
            </w:r>
            <w:r>
              <w:rPr>
                <w:rFonts w:hint="eastAsia"/>
                <w:color w:val="auto"/>
                <w:sz w:val="21"/>
                <w:szCs w:val="21"/>
                <w:highlight w:val="none"/>
                <w:lang w:eastAsia="zh-CN"/>
              </w:rPr>
              <w:t>任意连续</w:t>
            </w:r>
            <w:r>
              <w:rPr>
                <w:rFonts w:hint="eastAsia"/>
                <w:color w:val="auto"/>
                <w:sz w:val="21"/>
                <w:szCs w:val="21"/>
                <w:highlight w:val="none"/>
                <w:lang w:val="en-US" w:eastAsia="zh-CN"/>
              </w:rPr>
              <w:t>3</w:t>
            </w:r>
            <w:r>
              <w:rPr>
                <w:rFonts w:hint="eastAsia"/>
                <w:color w:val="auto"/>
                <w:sz w:val="21"/>
                <w:szCs w:val="21"/>
                <w:highlight w:val="none"/>
              </w:rPr>
              <w:t>个月的依法缴纳社会保障资金的缴费凭证（专用收据或社会保险缴纳清单）复印件；依法不需要缴纳社会保障资金的供应商，必须提供相应文件证明不需要缴纳社会保障资金。</w:t>
            </w:r>
            <w:r>
              <w:rPr>
                <w:rFonts w:hint="eastAsia" w:ascii="宋体" w:hAnsi="宋体" w:cs="宋体"/>
                <w:bCs/>
                <w:color w:val="auto"/>
                <w:sz w:val="21"/>
                <w:szCs w:val="21"/>
                <w:highlight w:val="none"/>
                <w:lang w:val="en-US" w:eastAsia="zh-CN"/>
              </w:rPr>
              <w:t>从取得营业执照时间起到投标文件提交截止时间为止不足要求月数的，只需提供从取得营业执照起的依法缴纳税收相应证明文件）；</w:t>
            </w:r>
            <w:r>
              <w:rPr>
                <w:rFonts w:hint="eastAsia" w:ascii="宋体" w:hAnsi="宋体"/>
                <w:color w:val="auto"/>
                <w:sz w:val="21"/>
                <w:szCs w:val="21"/>
                <w:highlight w:val="none"/>
                <w:lang w:val="en-US" w:eastAsia="zh-CN"/>
              </w:rPr>
              <w:t>（</w:t>
            </w:r>
            <w:r>
              <w:rPr>
                <w:rFonts w:hint="eastAsia" w:ascii="宋体" w:hAnsi="宋体"/>
                <w:b/>
                <w:color w:val="auto"/>
                <w:sz w:val="21"/>
                <w:szCs w:val="21"/>
                <w:highlight w:val="none"/>
                <w:lang w:val="en-US" w:eastAsia="zh-CN"/>
              </w:rPr>
              <w:t>必须提供，否则作无效投标处理</w:t>
            </w:r>
            <w:r>
              <w:rPr>
                <w:rFonts w:hint="eastAsia" w:ascii="宋体" w:hAnsi="宋体"/>
                <w:color w:val="auto"/>
                <w:sz w:val="21"/>
                <w:szCs w:val="21"/>
                <w:highlight w:val="none"/>
                <w:lang w:val="en-US" w:eastAsia="zh-CN"/>
              </w:rPr>
              <w:t>）</w:t>
            </w:r>
          </w:p>
          <w:p w14:paraId="21004812">
            <w:pPr>
              <w:pStyle w:val="3"/>
              <w:spacing w:line="360" w:lineRule="auto"/>
              <w:rPr>
                <w:rFonts w:ascii="宋体" w:hAnsi="宋体"/>
                <w:color w:val="auto"/>
                <w:sz w:val="21"/>
                <w:szCs w:val="21"/>
                <w:highlight w:val="none"/>
                <w:lang w:val="en-US" w:eastAsia="zh-CN"/>
              </w:rPr>
            </w:pPr>
            <w:r>
              <w:rPr>
                <w:rFonts w:hint="eastAsia" w:ascii="宋体" w:hAnsi="宋体"/>
                <w:color w:val="auto"/>
                <w:sz w:val="21"/>
                <w:szCs w:val="21"/>
                <w:highlight w:val="none"/>
                <w:lang w:val="en-US" w:eastAsia="zh-CN"/>
              </w:rPr>
              <w:t>8、</w:t>
            </w:r>
            <w:r>
              <w:rPr>
                <w:rFonts w:hint="eastAsia" w:ascii="宋体" w:hAnsi="宋体" w:cs="宋体"/>
                <w:color w:val="auto"/>
                <w:highlight w:val="none"/>
                <w:lang w:val="en-US" w:eastAsia="zh-CN"/>
              </w:rPr>
              <w:t>投标人</w:t>
            </w:r>
            <w:r>
              <w:rPr>
                <w:rFonts w:hint="eastAsia" w:ascii="宋体" w:hAnsi="宋体" w:cs="宋体"/>
                <w:color w:val="auto"/>
                <w:highlight w:val="none"/>
              </w:rPr>
              <w:t>提供2025年度财务报表</w:t>
            </w:r>
            <w:r>
              <w:rPr>
                <w:rFonts w:hint="eastAsia" w:ascii="宋体" w:hAnsi="宋体" w:cs="Times New Roman"/>
                <w:color w:val="auto"/>
                <w:szCs w:val="21"/>
                <w:highlight w:val="none"/>
              </w:rPr>
              <w:t>或经审计的财务报告</w:t>
            </w:r>
            <w:r>
              <w:rPr>
                <w:rFonts w:hint="eastAsia" w:ascii="宋体" w:hAnsi="宋体" w:cs="宋体"/>
                <w:color w:val="auto"/>
                <w:highlight w:val="none"/>
              </w:rPr>
              <w:t>，</w:t>
            </w:r>
            <w:r>
              <w:rPr>
                <w:rFonts w:hint="eastAsia" w:ascii="宋体" w:hAnsi="宋体" w:cs="Times New Roman"/>
                <w:color w:val="auto"/>
                <w:szCs w:val="21"/>
                <w:highlight w:val="none"/>
              </w:rPr>
              <w:t>成立不满一年的提供工商注册之月起至首次响应文件提交截止时间上一个月的财务报表复印件。（上述财务报表包括：须包含资产负债表、利润表、现金流量表)</w:t>
            </w:r>
            <w:r>
              <w:rPr>
                <w:rFonts w:hint="eastAsia" w:ascii="宋体" w:hAnsi="宋体" w:cs="宋体"/>
                <w:color w:val="auto"/>
                <w:highlight w:val="none"/>
              </w:rPr>
              <w:t>；</w:t>
            </w:r>
            <w:r>
              <w:rPr>
                <w:rFonts w:hint="eastAsia" w:ascii="宋体" w:hAnsi="宋体"/>
                <w:color w:val="auto"/>
                <w:sz w:val="21"/>
                <w:szCs w:val="21"/>
                <w:highlight w:val="none"/>
                <w:lang w:val="en-US" w:eastAsia="zh-CN"/>
              </w:rPr>
              <w:t>（</w:t>
            </w:r>
            <w:r>
              <w:rPr>
                <w:rFonts w:hint="eastAsia" w:ascii="宋体" w:hAnsi="宋体"/>
                <w:b/>
                <w:color w:val="auto"/>
                <w:sz w:val="21"/>
                <w:szCs w:val="21"/>
                <w:highlight w:val="none"/>
                <w:lang w:val="en-US" w:eastAsia="zh-CN"/>
              </w:rPr>
              <w:t>必须提供，否则作无效投标处理</w:t>
            </w:r>
            <w:r>
              <w:rPr>
                <w:rFonts w:hint="eastAsia" w:ascii="宋体" w:hAnsi="宋体"/>
                <w:color w:val="auto"/>
                <w:sz w:val="21"/>
                <w:szCs w:val="21"/>
                <w:highlight w:val="none"/>
                <w:lang w:val="en-US" w:eastAsia="zh-CN"/>
              </w:rPr>
              <w:t>）</w:t>
            </w:r>
          </w:p>
          <w:p w14:paraId="0E817DAA">
            <w:pPr>
              <w:snapToGrid w:val="0"/>
              <w:spacing w:line="360" w:lineRule="auto"/>
              <w:jc w:val="left"/>
              <w:rPr>
                <w:rFonts w:hint="eastAsia" w:ascii="宋体" w:hAnsi="宋体"/>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、投标资格声明函；（详见附件）（</w:t>
            </w:r>
            <w:r>
              <w:rPr>
                <w:rFonts w:hint="eastAsia" w:ascii="宋体" w:hAnsi="宋体"/>
                <w:b/>
                <w:color w:val="auto"/>
                <w:sz w:val="21"/>
                <w:szCs w:val="21"/>
                <w:highlight w:val="none"/>
              </w:rPr>
              <w:t>必须提供，否则作无效投标处理</w:t>
            </w:r>
            <w:r>
              <w:rPr>
                <w:rFonts w:hint="eastAsia" w:ascii="宋体" w:hAnsi="宋体"/>
                <w:color w:val="auto"/>
                <w:sz w:val="21"/>
                <w:szCs w:val="21"/>
                <w:highlight w:val="none"/>
              </w:rPr>
              <w:t>）</w:t>
            </w:r>
          </w:p>
          <w:p w14:paraId="7B22A272">
            <w:pPr>
              <w:snapToGrid w:val="0"/>
              <w:spacing w:line="360" w:lineRule="auto"/>
              <w:jc w:val="left"/>
              <w:rPr>
                <w:rFonts w:hint="eastAsia" w:ascii="宋体" w:hAnsi="宋体"/>
                <w:color w:val="auto"/>
                <w:sz w:val="21"/>
                <w:szCs w:val="21"/>
                <w:highlight w:val="none"/>
              </w:rPr>
            </w:pPr>
            <w:r>
              <w:rPr>
                <w:rFonts w:hint="eastAsia" w:ascii="宋体" w:hAnsi="宋体"/>
                <w:color w:val="auto"/>
                <w:sz w:val="21"/>
                <w:szCs w:val="21"/>
                <w:highlight w:val="none"/>
                <w:lang w:val="en-US" w:eastAsia="zh-CN"/>
              </w:rPr>
              <w:t>10、中小微型企业声明函或残疾人福利性单位声明函或属于监狱企业的证明文件复印件；</w:t>
            </w:r>
            <w:r>
              <w:rPr>
                <w:rFonts w:hint="eastAsia" w:ascii="宋体" w:hAnsi="宋体"/>
                <w:color w:val="auto"/>
                <w:sz w:val="21"/>
                <w:szCs w:val="21"/>
                <w:highlight w:val="none"/>
              </w:rPr>
              <w:t>（</w:t>
            </w:r>
            <w:r>
              <w:rPr>
                <w:rFonts w:hint="eastAsia" w:ascii="宋体" w:hAnsi="宋体"/>
                <w:b/>
                <w:color w:val="auto"/>
                <w:sz w:val="21"/>
                <w:szCs w:val="21"/>
                <w:highlight w:val="none"/>
              </w:rPr>
              <w:t>必须提供，否则作无效投标处理</w:t>
            </w:r>
            <w:r>
              <w:rPr>
                <w:rFonts w:hint="eastAsia" w:ascii="宋体" w:hAnsi="宋体"/>
                <w:color w:val="auto"/>
                <w:sz w:val="21"/>
                <w:szCs w:val="21"/>
                <w:highlight w:val="none"/>
              </w:rPr>
              <w:t>）</w:t>
            </w:r>
          </w:p>
          <w:p w14:paraId="2AB987A4">
            <w:pPr>
              <w:topLinePunct/>
              <w:spacing w:after="0" w:line="360" w:lineRule="auto"/>
              <w:ind w:firstLine="422" w:firstLineChars="200"/>
              <w:jc w:val="left"/>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注：1、以上标明“必须提供”的材料属于复印件的，必须加盖投标人公章，否则按无效投标</w:t>
            </w:r>
            <w:r>
              <w:rPr>
                <w:rFonts w:hint="eastAsia" w:ascii="宋体" w:hAnsi="宋体" w:eastAsia="宋体" w:cs="宋体"/>
                <w:b/>
                <w:color w:val="auto"/>
                <w:sz w:val="21"/>
                <w:szCs w:val="21"/>
                <w:highlight w:val="none"/>
              </w:rPr>
              <w:t>处理。</w:t>
            </w:r>
          </w:p>
          <w:p w14:paraId="702B946F">
            <w:pPr>
              <w:topLinePunct/>
              <w:spacing w:after="0" w:line="360" w:lineRule="auto"/>
              <w:ind w:firstLine="422" w:firstLineChars="200"/>
              <w:jc w:val="left"/>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2、</w:t>
            </w:r>
            <w:r>
              <w:rPr>
                <w:rFonts w:hint="eastAsia" w:ascii="宋体" w:hAnsi="宋体" w:eastAsia="宋体" w:cs="宋体"/>
                <w:b/>
                <w:bCs/>
                <w:color w:val="auto"/>
                <w:sz w:val="21"/>
                <w:szCs w:val="21"/>
                <w:highlight w:val="none"/>
              </w:rPr>
              <w:t>投标声明必须由法定代表人在规定签章处签字并加盖投标人公章，否则按无效投标处理。</w:t>
            </w:r>
          </w:p>
          <w:p w14:paraId="5AFC59F8">
            <w:pPr>
              <w:topLinePunct/>
              <w:spacing w:after="0" w:line="360" w:lineRule="auto"/>
              <w:ind w:firstLine="422" w:firstLineChars="200"/>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3、投标人直接控股、管理关系信息表必须由法定代表人或者委托代理人在规定签章处签字并加盖投标人公章，否则按无效投标</w:t>
            </w:r>
            <w:r>
              <w:rPr>
                <w:rFonts w:hint="eastAsia" w:ascii="宋体" w:hAnsi="宋体" w:eastAsia="宋体" w:cs="宋体"/>
                <w:b/>
                <w:color w:val="auto"/>
                <w:sz w:val="21"/>
                <w:szCs w:val="21"/>
                <w:highlight w:val="none"/>
              </w:rPr>
              <w:t>处理</w:t>
            </w:r>
            <w:r>
              <w:rPr>
                <w:rFonts w:hint="eastAsia" w:ascii="宋体" w:hAnsi="宋体" w:eastAsia="宋体" w:cs="宋体"/>
                <w:b/>
                <w:bCs/>
                <w:color w:val="auto"/>
                <w:sz w:val="21"/>
                <w:szCs w:val="21"/>
                <w:highlight w:val="none"/>
              </w:rPr>
              <w:t>。</w:t>
            </w:r>
          </w:p>
          <w:p w14:paraId="39FE5988">
            <w:pPr>
              <w:numPr>
                <w:ilvl w:val="0"/>
                <w:numId w:val="0"/>
              </w:numPr>
              <w:topLinePunct/>
              <w:spacing w:after="0" w:line="360" w:lineRule="auto"/>
              <w:ind w:left="400" w:leftChars="0"/>
              <w:jc w:val="left"/>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4、分公司参加投标的，应当取得总公司授权，否则按无效投标</w:t>
            </w:r>
            <w:r>
              <w:rPr>
                <w:rFonts w:hint="eastAsia" w:ascii="宋体" w:hAnsi="宋体" w:eastAsia="宋体" w:cs="宋体"/>
                <w:b/>
                <w:color w:val="auto"/>
                <w:sz w:val="21"/>
                <w:szCs w:val="21"/>
                <w:highlight w:val="none"/>
              </w:rPr>
              <w:t>处理</w:t>
            </w:r>
            <w:r>
              <w:rPr>
                <w:rFonts w:hint="eastAsia" w:ascii="宋体" w:hAnsi="宋体" w:eastAsia="宋体" w:cs="宋体"/>
                <w:b/>
                <w:color w:val="auto"/>
                <w:sz w:val="21"/>
                <w:szCs w:val="21"/>
                <w:highlight w:val="none"/>
                <w:lang w:eastAsia="zh-CN"/>
              </w:rPr>
              <w:t>。</w:t>
            </w:r>
          </w:p>
        </w:tc>
      </w:tr>
      <w:tr w14:paraId="6AE111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30" w:type="dxa"/>
            <w:vMerge w:val="continue"/>
            <w:tcBorders>
              <w:left w:val="single" w:color="auto" w:sz="4" w:space="0"/>
              <w:right w:val="single" w:color="auto" w:sz="4" w:space="0"/>
            </w:tcBorders>
            <w:noWrap w:val="0"/>
            <w:vAlign w:val="center"/>
          </w:tcPr>
          <w:p w14:paraId="389DCA2D">
            <w:pPr>
              <w:topLinePunct/>
              <w:spacing w:after="0" w:line="360" w:lineRule="auto"/>
              <w:rPr>
                <w:rFonts w:hint="eastAsia" w:ascii="宋体" w:hAnsi="宋体" w:eastAsia="宋体" w:cs="宋体"/>
                <w:color w:val="auto"/>
                <w:sz w:val="21"/>
                <w:szCs w:val="21"/>
                <w:highlight w:val="none"/>
              </w:rPr>
            </w:pPr>
            <w:bookmarkStart w:id="37" w:name="_13.3"/>
            <w:bookmarkEnd w:id="37"/>
          </w:p>
        </w:tc>
        <w:tc>
          <w:tcPr>
            <w:tcW w:w="8573" w:type="dxa"/>
            <w:tcBorders>
              <w:top w:val="single" w:color="auto" w:sz="4" w:space="0"/>
              <w:left w:val="single" w:color="auto" w:sz="4" w:space="0"/>
              <w:bottom w:val="single" w:color="auto" w:sz="4" w:space="0"/>
              <w:right w:val="single" w:color="auto" w:sz="4" w:space="0"/>
            </w:tcBorders>
            <w:noWrap w:val="0"/>
            <w:vAlign w:val="center"/>
          </w:tcPr>
          <w:p w14:paraId="1E592FAB">
            <w:pPr>
              <w:topLinePunct/>
              <w:spacing w:after="0" w:line="36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商务文件：</w:t>
            </w:r>
          </w:p>
          <w:p w14:paraId="447F4DFF">
            <w:pPr>
              <w:numPr>
                <w:ilvl w:val="0"/>
                <w:numId w:val="3"/>
              </w:numPr>
              <w:topLinePunct/>
              <w:spacing w:after="0" w:line="360" w:lineRule="auto"/>
              <w:ind w:left="0" w:leftChars="0" w:firstLine="40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无串通投标行为的承诺函（格式后附）；（</w:t>
            </w:r>
            <w:r>
              <w:rPr>
                <w:rFonts w:hint="eastAsia" w:ascii="宋体" w:hAnsi="宋体" w:eastAsia="宋体" w:cs="宋体"/>
                <w:b/>
                <w:color w:val="auto"/>
                <w:sz w:val="21"/>
                <w:szCs w:val="21"/>
                <w:highlight w:val="none"/>
              </w:rPr>
              <w:t>必须提供，否则按无效投标处理</w:t>
            </w:r>
            <w:r>
              <w:rPr>
                <w:rFonts w:hint="eastAsia" w:ascii="宋体" w:hAnsi="宋体" w:eastAsia="宋体" w:cs="宋体"/>
                <w:color w:val="auto"/>
                <w:sz w:val="21"/>
                <w:szCs w:val="21"/>
                <w:highlight w:val="none"/>
              </w:rPr>
              <w:t>）</w:t>
            </w:r>
          </w:p>
          <w:p w14:paraId="61C84CE4">
            <w:pPr>
              <w:numPr>
                <w:ilvl w:val="0"/>
                <w:numId w:val="3"/>
              </w:numPr>
              <w:topLinePunct/>
              <w:spacing w:after="0" w:line="360" w:lineRule="auto"/>
              <w:ind w:left="0" w:leftChars="0" w:firstLine="40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投标保证金提交凭证；（</w:t>
            </w:r>
            <w:r>
              <w:rPr>
                <w:rFonts w:hint="eastAsia" w:ascii="宋体" w:hAnsi="宋体" w:eastAsia="宋体" w:cs="宋体"/>
                <w:b/>
                <w:bCs/>
                <w:color w:val="auto"/>
                <w:sz w:val="21"/>
                <w:szCs w:val="21"/>
                <w:highlight w:val="none"/>
              </w:rPr>
              <w:t>如要求提交投标保证金的则必须提供</w:t>
            </w:r>
            <w:r>
              <w:rPr>
                <w:rFonts w:hint="eastAsia" w:ascii="宋体" w:hAnsi="宋体" w:eastAsia="宋体" w:cs="宋体"/>
                <w:b/>
                <w:color w:val="auto"/>
                <w:sz w:val="21"/>
                <w:szCs w:val="21"/>
                <w:highlight w:val="none"/>
              </w:rPr>
              <w:t>，同时附开户许可证或基本账户信息复印件，否则按无效投标处理</w:t>
            </w:r>
            <w:r>
              <w:rPr>
                <w:rFonts w:hint="eastAsia" w:ascii="宋体" w:hAnsi="宋体" w:eastAsia="宋体" w:cs="宋体"/>
                <w:color w:val="auto"/>
                <w:sz w:val="21"/>
                <w:szCs w:val="21"/>
                <w:highlight w:val="none"/>
              </w:rPr>
              <w:t>）</w:t>
            </w:r>
          </w:p>
          <w:p w14:paraId="7420EC37">
            <w:pPr>
              <w:numPr>
                <w:ilvl w:val="0"/>
                <w:numId w:val="3"/>
              </w:numPr>
              <w:topLinePunct/>
              <w:spacing w:after="0" w:line="360" w:lineRule="auto"/>
              <w:ind w:left="0" w:leftChars="0" w:firstLine="40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法定代表人身份证明及法定代表人有效身份证正反面复印件（格式后附）；（</w:t>
            </w:r>
            <w:r>
              <w:rPr>
                <w:rFonts w:hint="eastAsia" w:ascii="宋体" w:hAnsi="宋体" w:eastAsia="宋体" w:cs="宋体"/>
                <w:b/>
                <w:bCs/>
                <w:color w:val="auto"/>
                <w:sz w:val="21"/>
                <w:szCs w:val="21"/>
                <w:highlight w:val="none"/>
              </w:rPr>
              <w:t>除自然人投标外</w:t>
            </w:r>
            <w:r>
              <w:rPr>
                <w:rFonts w:hint="eastAsia" w:ascii="宋体" w:hAnsi="宋体" w:eastAsia="宋体" w:cs="宋体"/>
                <w:b/>
                <w:color w:val="auto"/>
                <w:sz w:val="21"/>
                <w:szCs w:val="21"/>
                <w:highlight w:val="none"/>
              </w:rPr>
              <w:t>必须提供，否则按无效投标处理</w:t>
            </w:r>
            <w:r>
              <w:rPr>
                <w:rFonts w:hint="eastAsia" w:ascii="宋体" w:hAnsi="宋体" w:eastAsia="宋体" w:cs="宋体"/>
                <w:color w:val="auto"/>
                <w:sz w:val="21"/>
                <w:szCs w:val="21"/>
                <w:highlight w:val="none"/>
              </w:rPr>
              <w:t>）</w:t>
            </w:r>
          </w:p>
          <w:p w14:paraId="3B231309">
            <w:pPr>
              <w:numPr>
                <w:ilvl w:val="0"/>
                <w:numId w:val="3"/>
              </w:numPr>
              <w:topLinePunct/>
              <w:spacing w:after="0" w:line="360" w:lineRule="auto"/>
              <w:ind w:left="0" w:leftChars="0" w:firstLine="40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授权委托书及委托代理人有效身份证正反面复印件（格式后附）；（</w:t>
            </w:r>
            <w:r>
              <w:rPr>
                <w:rFonts w:hint="eastAsia" w:ascii="宋体" w:hAnsi="宋体" w:eastAsia="宋体" w:cs="宋体"/>
                <w:b/>
                <w:color w:val="auto"/>
                <w:sz w:val="21"/>
                <w:szCs w:val="21"/>
                <w:highlight w:val="none"/>
              </w:rPr>
              <w:t>委托时必须提供，否则按无效投标处理</w:t>
            </w:r>
            <w:r>
              <w:rPr>
                <w:rFonts w:hint="eastAsia" w:ascii="宋体" w:hAnsi="宋体" w:eastAsia="宋体" w:cs="宋体"/>
                <w:color w:val="auto"/>
                <w:sz w:val="21"/>
                <w:szCs w:val="21"/>
                <w:highlight w:val="none"/>
              </w:rPr>
              <w:t>）</w:t>
            </w:r>
          </w:p>
          <w:p w14:paraId="3DB11765">
            <w:pPr>
              <w:numPr>
                <w:ilvl w:val="0"/>
                <w:numId w:val="3"/>
              </w:numPr>
              <w:topLinePunct/>
              <w:spacing w:after="0" w:line="360" w:lineRule="auto"/>
              <w:ind w:left="0" w:leftChars="0" w:firstLine="40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商务要求偏离表（格式后附）；（</w:t>
            </w:r>
            <w:r>
              <w:rPr>
                <w:rFonts w:hint="eastAsia" w:ascii="宋体" w:hAnsi="宋体" w:eastAsia="宋体" w:cs="宋体"/>
                <w:b/>
                <w:color w:val="auto"/>
                <w:sz w:val="21"/>
                <w:szCs w:val="21"/>
                <w:highlight w:val="none"/>
              </w:rPr>
              <w:t>必须提供，否则按无效投标处理</w:t>
            </w:r>
            <w:r>
              <w:rPr>
                <w:rFonts w:hint="eastAsia" w:ascii="宋体" w:hAnsi="宋体" w:eastAsia="宋体" w:cs="宋体"/>
                <w:color w:val="auto"/>
                <w:sz w:val="21"/>
                <w:szCs w:val="21"/>
                <w:highlight w:val="none"/>
              </w:rPr>
              <w:t>）</w:t>
            </w:r>
          </w:p>
          <w:p w14:paraId="455FC94B">
            <w:pPr>
              <w:numPr>
                <w:ilvl w:val="0"/>
                <w:numId w:val="3"/>
              </w:numPr>
              <w:topLinePunct/>
              <w:spacing w:after="0" w:line="360" w:lineRule="auto"/>
              <w:ind w:left="0" w:leftChars="0" w:firstLine="40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售后服务承诺（格式自拟）；（</w:t>
            </w:r>
            <w:r>
              <w:rPr>
                <w:rFonts w:hint="eastAsia" w:ascii="宋体" w:hAnsi="宋体" w:eastAsia="宋体" w:cs="宋体"/>
                <w:b/>
                <w:color w:val="auto"/>
                <w:sz w:val="21"/>
                <w:szCs w:val="21"/>
                <w:highlight w:val="none"/>
              </w:rPr>
              <w:t>必须提供，否则按无效投标处理</w:t>
            </w:r>
            <w:r>
              <w:rPr>
                <w:rFonts w:hint="eastAsia" w:ascii="宋体" w:hAnsi="宋体" w:eastAsia="宋体" w:cs="宋体"/>
                <w:color w:val="auto"/>
                <w:sz w:val="21"/>
                <w:szCs w:val="21"/>
                <w:highlight w:val="none"/>
              </w:rPr>
              <w:t>）</w:t>
            </w:r>
          </w:p>
          <w:p w14:paraId="5FCFEDCC">
            <w:pPr>
              <w:numPr>
                <w:ilvl w:val="0"/>
                <w:numId w:val="3"/>
              </w:numPr>
              <w:topLinePunct/>
              <w:spacing w:after="0" w:line="360" w:lineRule="auto"/>
              <w:ind w:left="0" w:leftChars="0" w:firstLine="400" w:firstLineChars="0"/>
              <w:jc w:val="left"/>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投标人情况介绍（格式自拟）；</w:t>
            </w:r>
          </w:p>
          <w:p w14:paraId="7F7D7A7B">
            <w:pPr>
              <w:numPr>
                <w:ilvl w:val="0"/>
                <w:numId w:val="3"/>
              </w:numPr>
              <w:topLinePunct/>
              <w:spacing w:after="0" w:line="360" w:lineRule="auto"/>
              <w:ind w:left="0" w:leftChars="0" w:firstLine="400" w:firstLineChars="0"/>
              <w:jc w:val="left"/>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除招标文件规定必须提供以外，投标人认为需要提供的其他证明材料（格式自拟）。（投标人根据“第二章 采购需求”及“第四章 评标方法及评标标准”提供有关证明材料）。</w:t>
            </w:r>
          </w:p>
          <w:p w14:paraId="4FE13072">
            <w:pPr>
              <w:topLinePunct/>
              <w:spacing w:after="0" w:line="360" w:lineRule="auto"/>
              <w:ind w:firstLine="422" w:firstLineChars="200"/>
              <w:jc w:val="left"/>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注：以上标明“必须提供”的材料属于复印件的，必须加盖投标人公章，否则按无效投标</w:t>
            </w:r>
            <w:r>
              <w:rPr>
                <w:rFonts w:hint="eastAsia" w:ascii="宋体" w:hAnsi="宋体" w:eastAsia="宋体" w:cs="宋体"/>
                <w:b/>
                <w:color w:val="auto"/>
                <w:sz w:val="21"/>
                <w:szCs w:val="21"/>
                <w:highlight w:val="none"/>
              </w:rPr>
              <w:t>处理</w:t>
            </w:r>
            <w:r>
              <w:rPr>
                <w:rFonts w:hint="eastAsia" w:ascii="宋体" w:hAnsi="宋体" w:eastAsia="宋体" w:cs="宋体"/>
                <w:b/>
                <w:bCs/>
                <w:color w:val="auto"/>
                <w:sz w:val="21"/>
                <w:szCs w:val="21"/>
                <w:highlight w:val="none"/>
              </w:rPr>
              <w:t>。</w:t>
            </w:r>
          </w:p>
        </w:tc>
      </w:tr>
      <w:tr w14:paraId="009904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30" w:type="dxa"/>
            <w:vMerge w:val="continue"/>
            <w:tcBorders>
              <w:left w:val="single" w:color="auto" w:sz="4" w:space="0"/>
              <w:bottom w:val="single" w:color="auto" w:sz="4" w:space="0"/>
              <w:right w:val="single" w:color="auto" w:sz="4" w:space="0"/>
            </w:tcBorders>
            <w:noWrap w:val="0"/>
            <w:vAlign w:val="center"/>
          </w:tcPr>
          <w:p w14:paraId="2B6F3047">
            <w:pPr>
              <w:topLinePunct/>
              <w:spacing w:after="0" w:line="360" w:lineRule="auto"/>
              <w:rPr>
                <w:rFonts w:hint="eastAsia" w:ascii="宋体" w:hAnsi="宋体" w:eastAsia="宋体" w:cs="宋体"/>
                <w:color w:val="auto"/>
                <w:sz w:val="21"/>
                <w:szCs w:val="21"/>
                <w:highlight w:val="none"/>
              </w:rPr>
            </w:pPr>
          </w:p>
        </w:tc>
        <w:tc>
          <w:tcPr>
            <w:tcW w:w="8573" w:type="dxa"/>
            <w:tcBorders>
              <w:top w:val="single" w:color="auto" w:sz="4" w:space="0"/>
              <w:left w:val="single" w:color="auto" w:sz="4" w:space="0"/>
              <w:bottom w:val="single" w:color="auto" w:sz="4" w:space="0"/>
              <w:right w:val="single" w:color="auto" w:sz="4" w:space="0"/>
            </w:tcBorders>
            <w:noWrap w:val="0"/>
            <w:vAlign w:val="center"/>
          </w:tcPr>
          <w:p w14:paraId="390AE072">
            <w:pPr>
              <w:topLinePunct/>
              <w:spacing w:after="0" w:line="36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技术文件：</w:t>
            </w:r>
          </w:p>
          <w:p w14:paraId="6D38F8E5">
            <w:pPr>
              <w:numPr>
                <w:ilvl w:val="0"/>
                <w:numId w:val="4"/>
              </w:numPr>
              <w:topLinePunct/>
              <w:spacing w:after="0" w:line="360" w:lineRule="auto"/>
              <w:ind w:left="0" w:leftChars="0" w:firstLine="400" w:firstLineChars="0"/>
              <w:jc w:val="left"/>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技术要求偏离表（格式后附）；</w:t>
            </w:r>
            <w:r>
              <w:rPr>
                <w:rFonts w:hint="eastAsia" w:ascii="宋体" w:hAnsi="宋体" w:eastAsia="宋体" w:cs="宋体"/>
                <w:b/>
                <w:bCs/>
                <w:color w:val="auto"/>
                <w:sz w:val="21"/>
                <w:szCs w:val="21"/>
                <w:highlight w:val="none"/>
              </w:rPr>
              <w:t>（必须提供，否则按无效投标处理）</w:t>
            </w:r>
          </w:p>
          <w:p w14:paraId="7DB9F306">
            <w:pPr>
              <w:numPr>
                <w:ilvl w:val="0"/>
                <w:numId w:val="4"/>
              </w:numPr>
              <w:topLinePunct/>
              <w:spacing w:after="0" w:line="360" w:lineRule="auto"/>
              <w:ind w:left="0" w:leftChars="0" w:firstLine="40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项目实施方案（格式自拟）【项目前期准备、项目实施计划（人员构成、技术服务、技术培训）】；</w:t>
            </w:r>
            <w:r>
              <w:rPr>
                <w:rFonts w:hint="eastAsia" w:ascii="宋体" w:hAnsi="宋体" w:eastAsia="宋体" w:cs="宋体"/>
                <w:b/>
                <w:bCs/>
                <w:color w:val="auto"/>
                <w:sz w:val="21"/>
                <w:szCs w:val="21"/>
                <w:highlight w:val="none"/>
              </w:rPr>
              <w:t>（必须提供，否则按无效投标处理）</w:t>
            </w:r>
          </w:p>
          <w:p w14:paraId="23C07BAF">
            <w:pPr>
              <w:numPr>
                <w:ilvl w:val="0"/>
                <w:numId w:val="4"/>
              </w:numPr>
              <w:topLinePunct/>
              <w:spacing w:after="0" w:line="360" w:lineRule="auto"/>
              <w:ind w:left="0" w:leftChars="0" w:firstLine="40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项目实施人员一览表（格式后附）；</w:t>
            </w:r>
            <w:r>
              <w:rPr>
                <w:rFonts w:hint="eastAsia" w:ascii="宋体" w:hAnsi="宋体" w:eastAsia="宋体" w:cs="宋体"/>
                <w:b/>
                <w:bCs/>
                <w:color w:val="auto"/>
                <w:sz w:val="21"/>
                <w:szCs w:val="21"/>
                <w:highlight w:val="none"/>
              </w:rPr>
              <w:t>（如有请提供）</w:t>
            </w:r>
          </w:p>
          <w:p w14:paraId="7779A09C">
            <w:pPr>
              <w:numPr>
                <w:ilvl w:val="0"/>
                <w:numId w:val="4"/>
              </w:numPr>
              <w:topLinePunct/>
              <w:spacing w:after="0" w:line="360" w:lineRule="auto"/>
              <w:ind w:left="0" w:leftChars="0" w:firstLine="40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投标人对本项目的合理化建议和改进措施；</w:t>
            </w:r>
            <w:r>
              <w:rPr>
                <w:rFonts w:hint="eastAsia" w:ascii="宋体" w:hAnsi="宋体" w:eastAsia="宋体" w:cs="宋体"/>
                <w:b/>
                <w:bCs/>
                <w:color w:val="auto"/>
                <w:sz w:val="21"/>
                <w:szCs w:val="21"/>
                <w:highlight w:val="none"/>
              </w:rPr>
              <w:t>（有请提供，自拟格式）</w:t>
            </w:r>
          </w:p>
          <w:p w14:paraId="4A1EF11C">
            <w:pPr>
              <w:numPr>
                <w:ilvl w:val="0"/>
                <w:numId w:val="4"/>
              </w:numPr>
              <w:topLinePunct/>
              <w:spacing w:after="0" w:line="360" w:lineRule="auto"/>
              <w:ind w:left="0" w:leftChars="0" w:firstLine="40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除招标文件规定必须提供以外，投标人需要说明的其他文件和说明（格式自拟）。</w:t>
            </w:r>
          </w:p>
          <w:p w14:paraId="76E43506">
            <w:pPr>
              <w:topLinePunct/>
              <w:spacing w:after="0" w:line="360" w:lineRule="auto"/>
              <w:ind w:firstLine="316" w:firstLineChars="150"/>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注：以上标明“必须提供”的材料属于复印件的，必须加盖投标人公章，否则按无效投标</w:t>
            </w:r>
            <w:r>
              <w:rPr>
                <w:rFonts w:hint="eastAsia" w:ascii="宋体" w:hAnsi="宋体" w:eastAsia="宋体" w:cs="宋体"/>
                <w:b/>
                <w:color w:val="auto"/>
                <w:sz w:val="21"/>
                <w:szCs w:val="21"/>
                <w:highlight w:val="none"/>
              </w:rPr>
              <w:t>处理</w:t>
            </w:r>
            <w:r>
              <w:rPr>
                <w:rFonts w:hint="eastAsia" w:ascii="宋体" w:hAnsi="宋体" w:eastAsia="宋体" w:cs="宋体"/>
                <w:b/>
                <w:bCs/>
                <w:color w:val="auto"/>
                <w:sz w:val="21"/>
                <w:szCs w:val="21"/>
                <w:highlight w:val="none"/>
              </w:rPr>
              <w:t>。</w:t>
            </w:r>
          </w:p>
        </w:tc>
      </w:tr>
      <w:tr w14:paraId="4BB927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30" w:type="dxa"/>
            <w:tcBorders>
              <w:top w:val="single" w:color="auto" w:sz="4" w:space="0"/>
              <w:left w:val="single" w:color="auto" w:sz="4" w:space="0"/>
              <w:bottom w:val="single" w:color="auto" w:sz="4" w:space="0"/>
              <w:right w:val="single" w:color="auto" w:sz="4" w:space="0"/>
            </w:tcBorders>
            <w:noWrap w:val="0"/>
            <w:vAlign w:val="center"/>
          </w:tcPr>
          <w:p w14:paraId="17858714">
            <w:pPr>
              <w:topLinePunct/>
              <w:spacing w:after="0" w:line="360" w:lineRule="auto"/>
              <w:jc w:val="center"/>
              <w:rPr>
                <w:rFonts w:hint="eastAsia" w:ascii="宋体" w:hAnsi="宋体" w:eastAsia="宋体" w:cs="宋体"/>
                <w:color w:val="auto"/>
                <w:sz w:val="21"/>
                <w:szCs w:val="21"/>
                <w:highlight w:val="none"/>
              </w:rPr>
            </w:pPr>
            <w:bookmarkStart w:id="38" w:name="_13.5"/>
            <w:bookmarkEnd w:id="38"/>
            <w:r>
              <w:rPr>
                <w:rFonts w:hint="eastAsia" w:ascii="宋体" w:hAnsi="宋体" w:eastAsia="宋体" w:cs="宋体"/>
                <w:color w:val="auto"/>
                <w:sz w:val="21"/>
                <w:szCs w:val="21"/>
                <w:highlight w:val="none"/>
              </w:rPr>
              <w:t>16</w:t>
            </w:r>
            <w:bookmarkStart w:id="39" w:name="_Hlt19194066"/>
            <w:bookmarkStart w:id="40" w:name="_Hlt19693758"/>
            <w:bookmarkStart w:id="41" w:name="_Hlt19693759"/>
            <w:bookmarkStart w:id="42" w:name="_Hlt19194067"/>
            <w:r>
              <w:rPr>
                <w:rFonts w:hint="eastAsia" w:ascii="宋体" w:hAnsi="宋体" w:eastAsia="宋体" w:cs="宋体"/>
                <w:color w:val="auto"/>
                <w:sz w:val="21"/>
                <w:szCs w:val="21"/>
                <w:highlight w:val="none"/>
              </w:rPr>
              <w:t>.</w:t>
            </w:r>
            <w:bookmarkEnd w:id="39"/>
            <w:bookmarkEnd w:id="40"/>
            <w:bookmarkEnd w:id="41"/>
            <w:bookmarkEnd w:id="42"/>
            <w:r>
              <w:rPr>
                <w:rFonts w:hint="eastAsia" w:ascii="宋体" w:hAnsi="宋体" w:eastAsia="宋体" w:cs="宋体"/>
                <w:color w:val="auto"/>
                <w:sz w:val="21"/>
                <w:szCs w:val="21"/>
                <w:highlight w:val="none"/>
              </w:rPr>
              <w:t>2</w:t>
            </w:r>
          </w:p>
        </w:tc>
        <w:tc>
          <w:tcPr>
            <w:tcW w:w="8573" w:type="dxa"/>
            <w:tcBorders>
              <w:top w:val="single" w:color="auto" w:sz="4" w:space="0"/>
              <w:left w:val="single" w:color="auto" w:sz="4" w:space="0"/>
              <w:bottom w:val="single" w:color="auto" w:sz="4" w:space="0"/>
              <w:right w:val="single" w:color="auto" w:sz="4" w:space="0"/>
            </w:tcBorders>
            <w:noWrap w:val="0"/>
            <w:vAlign w:val="center"/>
          </w:tcPr>
          <w:p w14:paraId="2948D3EF">
            <w:pPr>
              <w:topLinePunct/>
              <w:spacing w:after="0" w:line="360" w:lineRule="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投标报价是履行合同的最终价格，即满足全部采购需求所应提供的服务的价格；包括投标服务的成本、运输（含保险）（如有）、技术服务、培训、税费等所有费用。</w:t>
            </w:r>
            <w:r>
              <w:rPr>
                <w:rFonts w:hint="eastAsia" w:ascii="宋体" w:hAnsi="宋体" w:eastAsia="宋体" w:cs="宋体"/>
                <w:b/>
                <w:color w:val="auto"/>
                <w:sz w:val="21"/>
                <w:szCs w:val="21"/>
                <w:highlight w:val="none"/>
              </w:rPr>
              <w:t>（采购需求另有约定的，从其约定。）</w:t>
            </w:r>
          </w:p>
        </w:tc>
      </w:tr>
      <w:tr w14:paraId="72CB29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30" w:type="dxa"/>
            <w:tcBorders>
              <w:top w:val="single" w:color="auto" w:sz="4" w:space="0"/>
              <w:left w:val="single" w:color="auto" w:sz="4" w:space="0"/>
              <w:bottom w:val="single" w:color="auto" w:sz="4" w:space="0"/>
              <w:right w:val="single" w:color="auto" w:sz="4" w:space="0"/>
            </w:tcBorders>
            <w:noWrap w:val="0"/>
            <w:vAlign w:val="center"/>
          </w:tcPr>
          <w:p w14:paraId="0FD7EE0B">
            <w:pPr>
              <w:topLinePunct/>
              <w:spacing w:after="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17.2</w:t>
            </w:r>
          </w:p>
        </w:tc>
        <w:tc>
          <w:tcPr>
            <w:tcW w:w="8573" w:type="dxa"/>
            <w:tcBorders>
              <w:top w:val="single" w:color="auto" w:sz="4" w:space="0"/>
              <w:left w:val="single" w:color="auto" w:sz="4" w:space="0"/>
              <w:bottom w:val="single" w:color="auto" w:sz="4" w:space="0"/>
              <w:right w:val="single" w:color="auto" w:sz="4" w:space="0"/>
            </w:tcBorders>
            <w:noWrap w:val="0"/>
            <w:vAlign w:val="center"/>
          </w:tcPr>
          <w:p w14:paraId="612286BF">
            <w:pPr>
              <w:topLinePunct/>
              <w:spacing w:after="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投标有效期：投标截止之日起60日历日。</w:t>
            </w:r>
          </w:p>
        </w:tc>
      </w:tr>
      <w:tr w14:paraId="45FA5D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30" w:type="dxa"/>
            <w:tcBorders>
              <w:top w:val="single" w:color="auto" w:sz="4" w:space="0"/>
              <w:left w:val="single" w:color="auto" w:sz="4" w:space="0"/>
              <w:bottom w:val="single" w:color="auto" w:sz="4" w:space="0"/>
              <w:right w:val="single" w:color="auto" w:sz="4" w:space="0"/>
            </w:tcBorders>
            <w:noWrap w:val="0"/>
            <w:vAlign w:val="center"/>
          </w:tcPr>
          <w:p w14:paraId="0DFD99B9">
            <w:pPr>
              <w:topLinePunct/>
              <w:spacing w:after="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18.1</w:t>
            </w:r>
          </w:p>
        </w:tc>
        <w:tc>
          <w:tcPr>
            <w:tcW w:w="8573" w:type="dxa"/>
            <w:tcBorders>
              <w:top w:val="single" w:color="auto" w:sz="4" w:space="0"/>
              <w:left w:val="single" w:color="auto" w:sz="4" w:space="0"/>
              <w:bottom w:val="single" w:color="auto" w:sz="4" w:space="0"/>
              <w:right w:val="single" w:color="auto" w:sz="4" w:space="0"/>
            </w:tcBorders>
            <w:noWrap w:val="0"/>
            <w:vAlign w:val="center"/>
          </w:tcPr>
          <w:p w14:paraId="65FD7FB0">
            <w:pPr>
              <w:topLinePunct/>
              <w:spacing w:after="0" w:line="36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本项目</w:t>
            </w:r>
            <w:r>
              <w:rPr>
                <w:rFonts w:hint="eastAsia" w:ascii="宋体" w:hAnsi="宋体" w:eastAsia="宋体" w:cs="宋体"/>
                <w:color w:val="auto"/>
                <w:sz w:val="21"/>
                <w:szCs w:val="21"/>
                <w:highlight w:val="none"/>
                <w:lang w:val="en-US" w:eastAsia="zh-CN"/>
              </w:rPr>
              <w:t>不</w:t>
            </w:r>
            <w:r>
              <w:rPr>
                <w:rFonts w:hint="eastAsia" w:ascii="宋体" w:hAnsi="宋体" w:eastAsia="宋体" w:cs="宋体"/>
                <w:color w:val="auto"/>
                <w:sz w:val="21"/>
                <w:szCs w:val="21"/>
                <w:highlight w:val="none"/>
              </w:rPr>
              <w:t>收取投标保证金，具体规定</w:t>
            </w:r>
            <w:r>
              <w:rPr>
                <w:rFonts w:hint="eastAsia" w:ascii="宋体" w:hAnsi="宋体" w:eastAsia="宋体" w:cs="宋体"/>
                <w:color w:val="auto"/>
                <w:sz w:val="21"/>
                <w:szCs w:val="21"/>
                <w:highlight w:val="none"/>
                <w:lang w:eastAsia="zh-CN"/>
              </w:rPr>
              <w:t>详见招标公告。</w:t>
            </w:r>
          </w:p>
          <w:p w14:paraId="61E44348">
            <w:pPr>
              <w:topLinePunct/>
              <w:spacing w:after="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相关要求：</w:t>
            </w:r>
          </w:p>
          <w:p w14:paraId="7BB41DBA">
            <w:pPr>
              <w:numPr>
                <w:ilvl w:val="0"/>
                <w:numId w:val="5"/>
              </w:numPr>
              <w:topLinePunct/>
              <w:spacing w:after="0" w:line="360" w:lineRule="auto"/>
              <w:ind w:left="0" w:leftChars="0" w:firstLine="40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投标保证金采用银行转账交纳方式的，在投标截止时间前交至指定账户并且到账，投标人应将银行转账底单的复印件作为投标保证金提交凭证，放置于商务文件中，否则投标无效。</w:t>
            </w:r>
          </w:p>
          <w:p w14:paraId="45717E80">
            <w:pPr>
              <w:numPr>
                <w:ilvl w:val="0"/>
                <w:numId w:val="5"/>
              </w:numPr>
              <w:topLinePunct/>
              <w:spacing w:after="0" w:line="360" w:lineRule="auto"/>
              <w:ind w:left="0" w:leftChars="0" w:firstLine="400" w:firstLineChars="0"/>
              <w:jc w:val="left"/>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投标保证金采用支票、汇票、本票或者金融、担保机构出具的保函交纳方式的，投标人应将支票、汇票、本票或者金融、担保机构出具的保函的复印件作为投标保证金提交凭证，放置于商务文件中，否则投标无效。投标人必须在投标截止时间前将支票、汇票、本票或者金融、担保机构出具的保函原件</w:t>
            </w:r>
            <w:r>
              <w:rPr>
                <w:rFonts w:hint="eastAsia" w:ascii="宋体" w:hAnsi="宋体" w:eastAsia="宋体" w:cs="宋体"/>
                <w:b/>
                <w:bCs/>
                <w:color w:val="auto"/>
                <w:sz w:val="21"/>
                <w:szCs w:val="21"/>
                <w:highlight w:val="none"/>
              </w:rPr>
              <w:t>提交给采购代理机构，由采购代理机构向投标人出具回执，并妥善保管。</w:t>
            </w:r>
          </w:p>
          <w:p w14:paraId="1C3AD4EC">
            <w:pPr>
              <w:numPr>
                <w:ilvl w:val="0"/>
                <w:numId w:val="5"/>
              </w:numPr>
              <w:topLinePunct/>
              <w:spacing w:after="0" w:line="360" w:lineRule="auto"/>
              <w:ind w:left="0" w:leftChars="0" w:firstLine="40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投标人为联合体的，可以由联合体中的一方或者多方共同交纳投标保证金，其交纳的保证金对联合体各方均具有约束力。</w:t>
            </w:r>
          </w:p>
          <w:p w14:paraId="34932188">
            <w:pPr>
              <w:topLinePunct/>
              <w:spacing w:after="0" w:line="360" w:lineRule="auto"/>
              <w:ind w:firstLine="420"/>
              <w:jc w:val="left"/>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备注</w:t>
            </w:r>
            <w:r>
              <w:rPr>
                <w:rFonts w:hint="eastAsia" w:ascii="宋体" w:hAnsi="宋体" w:eastAsia="宋体" w:cs="宋体"/>
                <w:b/>
                <w:color w:val="auto"/>
                <w:sz w:val="21"/>
                <w:szCs w:val="21"/>
                <w:highlight w:val="none"/>
              </w:rPr>
              <w:t xml:space="preserve">： </w:t>
            </w:r>
          </w:p>
          <w:p w14:paraId="1ACE6BAF">
            <w:pPr>
              <w:numPr>
                <w:ilvl w:val="0"/>
                <w:numId w:val="6"/>
              </w:numPr>
              <w:topLinePunct/>
              <w:spacing w:after="0" w:line="360" w:lineRule="auto"/>
              <w:ind w:left="20" w:leftChars="0" w:firstLine="400" w:firstLineChars="0"/>
              <w:jc w:val="left"/>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投标</w:t>
            </w:r>
            <w:r>
              <w:rPr>
                <w:rFonts w:hint="eastAsia" w:ascii="宋体" w:hAnsi="宋体" w:eastAsia="宋体" w:cs="宋体"/>
                <w:b/>
                <w:color w:val="auto"/>
                <w:sz w:val="21"/>
                <w:szCs w:val="21"/>
                <w:highlight w:val="none"/>
              </w:rPr>
              <w:t>保证金在投标截止时间后提交的，或者不按规定交纳方式交纳的，或者未足额交纳的（包含保函额度不足的），视为无效投标保证金。</w:t>
            </w:r>
          </w:p>
          <w:p w14:paraId="77226CA9">
            <w:pPr>
              <w:numPr>
                <w:ilvl w:val="0"/>
                <w:numId w:val="6"/>
              </w:numPr>
              <w:topLinePunct/>
              <w:spacing w:after="0" w:line="360" w:lineRule="auto"/>
              <w:ind w:left="20" w:leftChars="0" w:firstLine="400" w:firstLineChars="0"/>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投标人采用现钞方式或者从个人账户（自然人投标除外）转出的投标保证金，视为无效投标保证金。</w:t>
            </w:r>
          </w:p>
          <w:p w14:paraId="36C34D44">
            <w:pPr>
              <w:numPr>
                <w:ilvl w:val="0"/>
                <w:numId w:val="6"/>
              </w:numPr>
              <w:topLinePunct/>
              <w:spacing w:after="0" w:line="360" w:lineRule="auto"/>
              <w:ind w:left="20" w:leftChars="0" w:firstLine="400" w:firstLineChars="0"/>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支票、汇票或者本票出现无效或者背书情形的，视为无效投标保证金。</w:t>
            </w:r>
          </w:p>
          <w:p w14:paraId="6A2302B5">
            <w:pPr>
              <w:numPr>
                <w:ilvl w:val="0"/>
                <w:numId w:val="6"/>
              </w:numPr>
              <w:topLinePunct/>
              <w:spacing w:after="0" w:line="360" w:lineRule="auto"/>
              <w:ind w:left="20" w:leftChars="0" w:firstLine="400" w:firstLineChars="0"/>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保函有效期低于投标有效期的，视为无效投标保证金。</w:t>
            </w:r>
          </w:p>
          <w:p w14:paraId="7D25695F">
            <w:pPr>
              <w:numPr>
                <w:ilvl w:val="0"/>
                <w:numId w:val="6"/>
              </w:numPr>
              <w:topLinePunct/>
              <w:spacing w:after="0" w:line="360" w:lineRule="auto"/>
              <w:ind w:left="20" w:leftChars="0" w:firstLine="400" w:firstLineChars="0"/>
              <w:jc w:val="left"/>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采用</w:t>
            </w:r>
            <w:r>
              <w:rPr>
                <w:rFonts w:hint="eastAsia" w:ascii="宋体" w:hAnsi="宋体" w:eastAsia="宋体" w:cs="宋体"/>
                <w:b/>
                <w:color w:val="auto"/>
                <w:sz w:val="21"/>
                <w:szCs w:val="21"/>
                <w:highlight w:val="none"/>
              </w:rPr>
              <w:t>金融、担保机构出具保函的，必须为无条件保函，否则视为无效投标保证金。</w:t>
            </w:r>
          </w:p>
          <w:p w14:paraId="3D9C683F">
            <w:pPr>
              <w:numPr>
                <w:ilvl w:val="0"/>
                <w:numId w:val="6"/>
              </w:numPr>
              <w:topLinePunct/>
              <w:spacing w:after="0" w:line="360" w:lineRule="auto"/>
              <w:ind w:left="20" w:leftChars="0" w:firstLine="400" w:firstLineChars="0"/>
              <w:jc w:val="left"/>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保证金</w:t>
            </w:r>
            <w:r>
              <w:rPr>
                <w:rFonts w:hint="eastAsia" w:ascii="宋体" w:hAnsi="宋体" w:eastAsia="宋体" w:cs="宋体"/>
                <w:b/>
                <w:color w:val="auto"/>
                <w:sz w:val="21"/>
                <w:szCs w:val="21"/>
                <w:highlight w:val="none"/>
              </w:rPr>
              <w:t>凭证应注明正确的项目编号、分标号（如有）等信息，否则，信息不明确或有误的将可能被视为无效投标保证金，并有可能影响保证金的及时退付。</w:t>
            </w:r>
          </w:p>
        </w:tc>
      </w:tr>
      <w:tr w14:paraId="1EE9DD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30" w:type="dxa"/>
            <w:tcBorders>
              <w:top w:val="single" w:color="auto" w:sz="4" w:space="0"/>
              <w:left w:val="single" w:color="auto" w:sz="4" w:space="0"/>
              <w:bottom w:val="single" w:color="auto" w:sz="4" w:space="0"/>
              <w:right w:val="single" w:color="auto" w:sz="4" w:space="0"/>
            </w:tcBorders>
            <w:noWrap w:val="0"/>
            <w:vAlign w:val="center"/>
          </w:tcPr>
          <w:p w14:paraId="1916BE68">
            <w:pPr>
              <w:topLinePunct/>
              <w:spacing w:after="0" w:line="360" w:lineRule="auto"/>
              <w:jc w:val="center"/>
              <w:rPr>
                <w:rFonts w:hint="eastAsia" w:ascii="宋体" w:hAnsi="宋体" w:eastAsia="宋体" w:cs="宋体"/>
                <w:color w:val="auto"/>
                <w:sz w:val="21"/>
                <w:szCs w:val="21"/>
                <w:highlight w:val="none"/>
              </w:rPr>
            </w:pPr>
            <w:bookmarkStart w:id="43" w:name="_19.2"/>
            <w:bookmarkEnd w:id="43"/>
            <w:r>
              <w:rPr>
                <w:rFonts w:hint="eastAsia" w:ascii="宋体" w:hAnsi="宋体" w:eastAsia="宋体" w:cs="宋体"/>
                <w:color w:val="auto"/>
                <w:sz w:val="21"/>
                <w:szCs w:val="21"/>
                <w:highlight w:val="none"/>
              </w:rPr>
              <w:t>19.2</w:t>
            </w:r>
          </w:p>
        </w:tc>
        <w:tc>
          <w:tcPr>
            <w:tcW w:w="8573" w:type="dxa"/>
            <w:tcBorders>
              <w:top w:val="single" w:color="auto" w:sz="4" w:space="0"/>
              <w:left w:val="single" w:color="auto" w:sz="4" w:space="0"/>
              <w:bottom w:val="single" w:color="auto" w:sz="4" w:space="0"/>
              <w:right w:val="single" w:color="auto" w:sz="4" w:space="0"/>
            </w:tcBorders>
            <w:noWrap w:val="0"/>
            <w:vAlign w:val="center"/>
          </w:tcPr>
          <w:p w14:paraId="25B87805">
            <w:pPr>
              <w:topLinePunct/>
              <w:autoSpaceDN w:val="0"/>
              <w:spacing w:after="0" w:line="360" w:lineRule="auto"/>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投标文件应按报价文件、资格证明文件、商务文件、技术文件分别编制，</w:t>
            </w:r>
            <w:r>
              <w:rPr>
                <w:rFonts w:hint="eastAsia" w:ascii="宋体" w:hAnsi="宋体" w:eastAsia="宋体" w:cs="宋体"/>
                <w:color w:val="auto"/>
                <w:sz w:val="21"/>
                <w:szCs w:val="21"/>
                <w:highlight w:val="none"/>
                <w:lang w:bidi="ar"/>
              </w:rPr>
              <w:t>并按“广西政府采购云”平台的要求编制、加密、上传。</w:t>
            </w:r>
          </w:p>
        </w:tc>
      </w:tr>
      <w:tr w14:paraId="145826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30" w:type="dxa"/>
            <w:tcBorders>
              <w:top w:val="single" w:color="auto" w:sz="4" w:space="0"/>
              <w:left w:val="single" w:color="auto" w:sz="4" w:space="0"/>
              <w:bottom w:val="single" w:color="auto" w:sz="4" w:space="0"/>
              <w:right w:val="single" w:color="auto" w:sz="4" w:space="0"/>
            </w:tcBorders>
            <w:noWrap w:val="0"/>
            <w:vAlign w:val="center"/>
          </w:tcPr>
          <w:p w14:paraId="381850E9">
            <w:pPr>
              <w:topLinePunct/>
              <w:spacing w:after="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20.1</w:t>
            </w:r>
          </w:p>
        </w:tc>
        <w:tc>
          <w:tcPr>
            <w:tcW w:w="8573" w:type="dxa"/>
            <w:tcBorders>
              <w:top w:val="single" w:color="auto" w:sz="4" w:space="0"/>
              <w:left w:val="single" w:color="auto" w:sz="4" w:space="0"/>
              <w:bottom w:val="single" w:color="auto" w:sz="4" w:space="0"/>
              <w:right w:val="single" w:color="auto" w:sz="4" w:space="0"/>
            </w:tcBorders>
            <w:noWrap w:val="0"/>
            <w:vAlign w:val="center"/>
          </w:tcPr>
          <w:p w14:paraId="4FFB17B9">
            <w:pPr>
              <w:topLinePunct/>
              <w:autoSpaceDN w:val="0"/>
              <w:spacing w:after="0" w:line="360" w:lineRule="auto"/>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电子投标文件应在制作完成后，投标人应按“广西政府采购云”平台的要求进行加密，并在规定时间内解密，否则，由此产生的后果由投标人自行负责。</w:t>
            </w:r>
          </w:p>
        </w:tc>
      </w:tr>
      <w:tr w14:paraId="4EB396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30" w:type="dxa"/>
            <w:tcBorders>
              <w:top w:val="single" w:color="auto" w:sz="4" w:space="0"/>
              <w:left w:val="single" w:color="auto" w:sz="4" w:space="0"/>
              <w:bottom w:val="single" w:color="auto" w:sz="4" w:space="0"/>
              <w:right w:val="single" w:color="auto" w:sz="4" w:space="0"/>
            </w:tcBorders>
            <w:noWrap w:val="0"/>
            <w:vAlign w:val="center"/>
          </w:tcPr>
          <w:p w14:paraId="4CCD29D2">
            <w:pPr>
              <w:topLinePunct/>
              <w:spacing w:after="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w:t>
            </w:r>
          </w:p>
        </w:tc>
        <w:tc>
          <w:tcPr>
            <w:tcW w:w="8573" w:type="dxa"/>
            <w:tcBorders>
              <w:top w:val="single" w:color="auto" w:sz="4" w:space="0"/>
              <w:left w:val="single" w:color="auto" w:sz="4" w:space="0"/>
              <w:bottom w:val="single" w:color="auto" w:sz="4" w:space="0"/>
              <w:right w:val="single" w:color="auto" w:sz="4" w:space="0"/>
            </w:tcBorders>
            <w:noWrap w:val="0"/>
            <w:vAlign w:val="center"/>
          </w:tcPr>
          <w:p w14:paraId="6CFFFBE3">
            <w:pPr>
              <w:numPr>
                <w:ilvl w:val="0"/>
                <w:numId w:val="0"/>
              </w:numPr>
              <w:topLinePunct/>
              <w:spacing w:after="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投标截止时间：详见招标公告</w:t>
            </w:r>
            <w:r>
              <w:rPr>
                <w:rFonts w:hint="eastAsia" w:ascii="宋体" w:hAnsi="宋体" w:eastAsia="宋体" w:cs="宋体"/>
                <w:color w:val="auto"/>
                <w:sz w:val="21"/>
                <w:szCs w:val="21"/>
                <w:highlight w:val="none"/>
                <w:lang w:eastAsia="zh-CN"/>
              </w:rPr>
              <w:t>；</w:t>
            </w:r>
          </w:p>
          <w:p w14:paraId="092C96DB">
            <w:pPr>
              <w:numPr>
                <w:ilvl w:val="0"/>
                <w:numId w:val="0"/>
              </w:numPr>
              <w:topLinePunct/>
              <w:spacing w:after="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投标地点：详见招标公告</w:t>
            </w:r>
            <w:r>
              <w:rPr>
                <w:rFonts w:hint="eastAsia" w:ascii="宋体" w:hAnsi="宋体" w:eastAsia="宋体" w:cs="宋体"/>
                <w:color w:val="auto"/>
                <w:sz w:val="21"/>
                <w:szCs w:val="21"/>
                <w:highlight w:val="none"/>
                <w:lang w:eastAsia="zh-CN"/>
              </w:rPr>
              <w:t>。</w:t>
            </w:r>
          </w:p>
        </w:tc>
      </w:tr>
      <w:tr w14:paraId="7C8EEF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30" w:type="dxa"/>
            <w:tcBorders>
              <w:top w:val="single" w:color="auto" w:sz="4" w:space="0"/>
              <w:left w:val="single" w:color="auto" w:sz="4" w:space="0"/>
              <w:bottom w:val="single" w:color="auto" w:sz="4" w:space="0"/>
              <w:right w:val="single" w:color="auto" w:sz="4" w:space="0"/>
            </w:tcBorders>
            <w:noWrap w:val="0"/>
            <w:vAlign w:val="center"/>
          </w:tcPr>
          <w:p w14:paraId="57980E7D">
            <w:pPr>
              <w:topLinePunct/>
              <w:spacing w:after="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w:t>
            </w:r>
          </w:p>
        </w:tc>
        <w:tc>
          <w:tcPr>
            <w:tcW w:w="8573" w:type="dxa"/>
            <w:tcBorders>
              <w:top w:val="single" w:color="auto" w:sz="4" w:space="0"/>
              <w:left w:val="single" w:color="auto" w:sz="4" w:space="0"/>
              <w:bottom w:val="single" w:color="auto" w:sz="4" w:space="0"/>
              <w:right w:val="single" w:color="auto" w:sz="4" w:space="0"/>
            </w:tcBorders>
            <w:noWrap w:val="0"/>
            <w:vAlign w:val="center"/>
          </w:tcPr>
          <w:p w14:paraId="4593339E">
            <w:pPr>
              <w:numPr>
                <w:ilvl w:val="0"/>
                <w:numId w:val="0"/>
              </w:numPr>
              <w:topLinePunct/>
              <w:spacing w:after="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开标时间：详见招标公告</w:t>
            </w:r>
            <w:r>
              <w:rPr>
                <w:rFonts w:hint="eastAsia" w:ascii="宋体" w:hAnsi="宋体" w:eastAsia="宋体" w:cs="宋体"/>
                <w:color w:val="auto"/>
                <w:sz w:val="21"/>
                <w:szCs w:val="21"/>
                <w:highlight w:val="none"/>
                <w:lang w:eastAsia="zh-CN"/>
              </w:rPr>
              <w:t>；</w:t>
            </w:r>
          </w:p>
          <w:p w14:paraId="6ECD62FA">
            <w:pPr>
              <w:numPr>
                <w:ilvl w:val="0"/>
                <w:numId w:val="0"/>
              </w:numPr>
              <w:topLinePunct/>
              <w:spacing w:after="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开标地点：详见招标公告</w:t>
            </w:r>
            <w:r>
              <w:rPr>
                <w:rFonts w:hint="eastAsia" w:ascii="宋体" w:hAnsi="宋体" w:eastAsia="宋体" w:cs="宋体"/>
                <w:color w:val="auto"/>
                <w:sz w:val="21"/>
                <w:szCs w:val="21"/>
                <w:highlight w:val="none"/>
                <w:lang w:eastAsia="zh-CN"/>
              </w:rPr>
              <w:t>。</w:t>
            </w:r>
          </w:p>
        </w:tc>
      </w:tr>
      <w:tr w14:paraId="40BAC5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30" w:type="dxa"/>
            <w:tcBorders>
              <w:top w:val="single" w:color="auto" w:sz="4" w:space="0"/>
              <w:left w:val="single" w:color="auto" w:sz="4" w:space="0"/>
              <w:bottom w:val="single" w:color="auto" w:sz="4" w:space="0"/>
              <w:right w:val="single" w:color="auto" w:sz="4" w:space="0"/>
            </w:tcBorders>
            <w:noWrap w:val="0"/>
            <w:vAlign w:val="center"/>
          </w:tcPr>
          <w:p w14:paraId="62803EF6">
            <w:pPr>
              <w:topLinePunct/>
              <w:spacing w:after="0" w:line="360" w:lineRule="auto"/>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24.2</w:t>
            </w:r>
          </w:p>
        </w:tc>
        <w:tc>
          <w:tcPr>
            <w:tcW w:w="8573" w:type="dxa"/>
            <w:tcBorders>
              <w:top w:val="single" w:color="auto" w:sz="4" w:space="0"/>
              <w:left w:val="single" w:color="auto" w:sz="4" w:space="0"/>
              <w:bottom w:val="single" w:color="auto" w:sz="4" w:space="0"/>
              <w:right w:val="single" w:color="auto" w:sz="4" w:space="0"/>
            </w:tcBorders>
            <w:noWrap w:val="0"/>
            <w:vAlign w:val="center"/>
          </w:tcPr>
          <w:p w14:paraId="4578F2FD">
            <w:pPr>
              <w:topLinePunct/>
              <w:spacing w:after="0" w:line="360" w:lineRule="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“广西政府采购云”平台按开标时间自动提取所有投标文件。采购代理机构依托“广西政府采购云”平台向各投标人发出电子加密投标文件【开始解密】通知，由投标人进行投标文件解密。</w:t>
            </w:r>
            <w:r>
              <w:rPr>
                <w:rFonts w:hint="eastAsia" w:ascii="宋体" w:hAnsi="宋体" w:eastAsia="宋体" w:cs="宋体"/>
                <w:b/>
                <w:bCs/>
                <w:color w:val="auto"/>
                <w:sz w:val="21"/>
                <w:szCs w:val="21"/>
                <w:highlight w:val="none"/>
              </w:rPr>
              <w:t>投标人的法定代表人或其委托代理人须携带加密时所用的CA锁准时登录到“广西政府采购云”平台电子开标大厅签到</w:t>
            </w:r>
            <w:r>
              <w:rPr>
                <w:rFonts w:hint="eastAsia" w:ascii="宋体" w:hAnsi="宋体" w:eastAsia="宋体" w:cs="宋体"/>
                <w:b/>
                <w:color w:val="auto"/>
                <w:sz w:val="21"/>
                <w:szCs w:val="21"/>
                <w:highlight w:val="none"/>
              </w:rPr>
              <w:t>并在发起解密</w:t>
            </w:r>
            <w:r>
              <w:rPr>
                <w:rFonts w:hint="eastAsia" w:ascii="宋体" w:hAnsi="宋体" w:eastAsia="宋体" w:cs="宋体"/>
                <w:b/>
                <w:bCs/>
                <w:color w:val="auto"/>
                <w:sz w:val="21"/>
                <w:szCs w:val="21"/>
                <w:highlight w:val="none"/>
              </w:rPr>
              <w:t>通知</w:t>
            </w:r>
            <w:r>
              <w:rPr>
                <w:rFonts w:hint="eastAsia" w:ascii="宋体" w:hAnsi="宋体" w:eastAsia="宋体" w:cs="宋体"/>
                <w:b/>
                <w:color w:val="auto"/>
                <w:sz w:val="21"/>
                <w:szCs w:val="21"/>
                <w:highlight w:val="none"/>
              </w:rPr>
              <w:t>之时起30分钟内完成</w:t>
            </w:r>
            <w:r>
              <w:rPr>
                <w:rFonts w:hint="eastAsia" w:ascii="宋体" w:hAnsi="宋体" w:eastAsia="宋体" w:cs="宋体"/>
                <w:b/>
                <w:bCs/>
                <w:color w:val="auto"/>
                <w:sz w:val="21"/>
                <w:szCs w:val="21"/>
                <w:highlight w:val="none"/>
              </w:rPr>
              <w:t>对电子投标文件解密。投标文件未按时解密的，视为无效投标。</w:t>
            </w:r>
          </w:p>
        </w:tc>
      </w:tr>
      <w:tr w14:paraId="1D69CE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30" w:type="dxa"/>
            <w:tcBorders>
              <w:top w:val="single" w:color="auto" w:sz="4" w:space="0"/>
              <w:left w:val="single" w:color="auto" w:sz="4" w:space="0"/>
              <w:bottom w:val="single" w:color="auto" w:sz="4" w:space="0"/>
              <w:right w:val="single" w:color="auto" w:sz="4" w:space="0"/>
            </w:tcBorders>
            <w:noWrap w:val="0"/>
            <w:vAlign w:val="center"/>
          </w:tcPr>
          <w:p w14:paraId="16886B1F">
            <w:pPr>
              <w:topLinePunct/>
              <w:spacing w:after="0" w:line="360" w:lineRule="auto"/>
              <w:jc w:val="center"/>
              <w:rPr>
                <w:rFonts w:hint="eastAsia" w:ascii="宋体" w:hAnsi="宋体" w:eastAsia="宋体" w:cs="宋体"/>
                <w:color w:val="auto"/>
                <w:sz w:val="21"/>
                <w:szCs w:val="21"/>
                <w:highlight w:val="none"/>
              </w:rPr>
            </w:pPr>
            <w:bookmarkStart w:id="44" w:name="_25.3"/>
            <w:bookmarkEnd w:id="44"/>
            <w:r>
              <w:rPr>
                <w:rFonts w:hint="eastAsia" w:ascii="宋体" w:hAnsi="宋体" w:eastAsia="宋体" w:cs="宋体"/>
                <w:color w:val="auto"/>
                <w:sz w:val="21"/>
                <w:szCs w:val="21"/>
                <w:highlight w:val="none"/>
              </w:rPr>
              <w:t>25.3（3）</w:t>
            </w:r>
          </w:p>
        </w:tc>
        <w:tc>
          <w:tcPr>
            <w:tcW w:w="8573" w:type="dxa"/>
            <w:tcBorders>
              <w:top w:val="single" w:color="auto" w:sz="4" w:space="0"/>
              <w:left w:val="single" w:color="auto" w:sz="4" w:space="0"/>
              <w:bottom w:val="single" w:color="auto" w:sz="4" w:space="0"/>
              <w:right w:val="single" w:color="auto" w:sz="4" w:space="0"/>
            </w:tcBorders>
            <w:noWrap w:val="0"/>
            <w:vAlign w:val="center"/>
          </w:tcPr>
          <w:p w14:paraId="0F4839FE">
            <w:pPr>
              <w:topLinePunct/>
              <w:spacing w:after="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采购人或者采购代理机构在资格审查结束前，对投标人进行信用查询。</w:t>
            </w:r>
          </w:p>
          <w:p w14:paraId="07DEBB07">
            <w:pPr>
              <w:topLinePunct/>
              <w:spacing w:after="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查询渠道：“信用中国”网站（www.creditchina.gov.cn）、中国政府采购网（</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"http://www.ccgp.gov.cn" </w:instrText>
            </w:r>
            <w:r>
              <w:rPr>
                <w:rFonts w:hint="eastAsia" w:ascii="宋体" w:hAnsi="宋体" w:eastAsia="宋体" w:cs="宋体"/>
                <w:color w:val="auto"/>
                <w:sz w:val="21"/>
                <w:szCs w:val="21"/>
                <w:highlight w:val="none"/>
              </w:rPr>
              <w:fldChar w:fldCharType="separate"/>
            </w:r>
            <w:r>
              <w:rPr>
                <w:rStyle w:val="46"/>
                <w:rFonts w:hint="eastAsia" w:ascii="宋体" w:hAnsi="宋体" w:eastAsia="宋体" w:cs="宋体"/>
                <w:color w:val="auto"/>
                <w:sz w:val="21"/>
                <w:szCs w:val="21"/>
                <w:highlight w:val="none"/>
              </w:rPr>
              <w:t>www.ccgp.gov.cn</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w:t>
            </w:r>
          </w:p>
          <w:p w14:paraId="50CFCCD3">
            <w:pPr>
              <w:topLinePunct/>
              <w:spacing w:after="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信用查询截止时点：资格审查结束前。</w:t>
            </w:r>
          </w:p>
          <w:p w14:paraId="4F8976E2">
            <w:pPr>
              <w:topLinePunct/>
              <w:spacing w:after="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查询记录和证据留存方式：将查询网站中的查询记录截图并作为评审资料保存。</w:t>
            </w:r>
          </w:p>
          <w:p w14:paraId="22D6E87E">
            <w:pPr>
              <w:topLinePunct/>
              <w:spacing w:after="0" w:line="360" w:lineRule="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信用信息使用规则：根据财政部《关于在政府采购活动中查询及使用信用记录有关问题的通知》（财库〔2016〕125号）的规定，</w:t>
            </w:r>
            <w:r>
              <w:rPr>
                <w:rFonts w:hint="eastAsia" w:ascii="宋体" w:hAnsi="宋体" w:eastAsia="宋体" w:cs="宋体"/>
                <w:color w:val="auto"/>
                <w:sz w:val="21"/>
                <w:szCs w:val="21"/>
                <w:highlight w:val="none"/>
                <w:lang w:bidi="ar"/>
              </w:rPr>
              <w:t>对在“中国执行信息公开网（https://zxgk.court.gov.cn/）、信用中国”网站(www.creditchina.gov.cn) 、中国政府采购网(www.ccgp.gov.cn)被列入失信被执行人、</w:t>
            </w:r>
            <w:r>
              <w:rPr>
                <w:rFonts w:hint="eastAsia" w:ascii="宋体" w:hAnsi="宋体" w:eastAsia="宋体" w:cs="宋体"/>
                <w:color w:val="auto"/>
                <w:sz w:val="21"/>
                <w:szCs w:val="21"/>
                <w:highlight w:val="none"/>
                <w:lang w:eastAsia="zh-CN" w:bidi="ar"/>
              </w:rPr>
              <w:t>重大税收违法失信主体</w:t>
            </w:r>
            <w:r>
              <w:rPr>
                <w:rFonts w:hint="eastAsia" w:ascii="宋体" w:hAnsi="宋体" w:eastAsia="宋体" w:cs="宋体"/>
                <w:color w:val="auto"/>
                <w:sz w:val="21"/>
                <w:szCs w:val="21"/>
                <w:highlight w:val="none"/>
                <w:lang w:bidi="ar"/>
              </w:rPr>
              <w:t>、政府采购严重违法失信行为记录名单及其他不符合《中华人民共和国政府采购法》第二十二条规定条件的供应商，不得参与政府采购活动。</w:t>
            </w:r>
          </w:p>
        </w:tc>
      </w:tr>
      <w:tr w14:paraId="51C0E4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30" w:type="dxa"/>
            <w:tcBorders>
              <w:top w:val="single" w:color="auto" w:sz="4" w:space="0"/>
              <w:left w:val="single" w:color="auto" w:sz="4" w:space="0"/>
              <w:bottom w:val="single" w:color="auto" w:sz="4" w:space="0"/>
              <w:right w:val="single" w:color="auto" w:sz="4" w:space="0"/>
            </w:tcBorders>
            <w:noWrap w:val="0"/>
            <w:vAlign w:val="center"/>
          </w:tcPr>
          <w:p w14:paraId="1DAEAFBE">
            <w:pPr>
              <w:topLinePunct/>
              <w:spacing w:after="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w:t>
            </w:r>
          </w:p>
        </w:tc>
        <w:tc>
          <w:tcPr>
            <w:tcW w:w="8573" w:type="dxa"/>
            <w:tcBorders>
              <w:top w:val="single" w:color="auto" w:sz="4" w:space="0"/>
              <w:left w:val="single" w:color="auto" w:sz="4" w:space="0"/>
              <w:bottom w:val="single" w:color="auto" w:sz="4" w:space="0"/>
              <w:right w:val="single" w:color="auto" w:sz="4" w:space="0"/>
            </w:tcBorders>
            <w:noWrap w:val="0"/>
            <w:vAlign w:val="center"/>
          </w:tcPr>
          <w:p w14:paraId="2B699313">
            <w:pPr>
              <w:topLinePunct/>
              <w:spacing w:after="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评标委员会的人数：5人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其中采购人代表1人，有关技术、经济等方面的专家4人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0989CF1A">
            <w:pPr>
              <w:topLinePunct/>
              <w:spacing w:after="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评审专家确定方式：随机抽取。</w:t>
            </w:r>
          </w:p>
        </w:tc>
      </w:tr>
      <w:tr w14:paraId="59197F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30" w:type="dxa"/>
            <w:tcBorders>
              <w:top w:val="single" w:color="auto" w:sz="4" w:space="0"/>
              <w:left w:val="single" w:color="auto" w:sz="4" w:space="0"/>
              <w:bottom w:val="single" w:color="auto" w:sz="4" w:space="0"/>
              <w:right w:val="single" w:color="auto" w:sz="4" w:space="0"/>
            </w:tcBorders>
            <w:noWrap w:val="0"/>
            <w:vAlign w:val="center"/>
          </w:tcPr>
          <w:p w14:paraId="5C57F373">
            <w:pPr>
              <w:topLinePunct/>
              <w:spacing w:after="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29.1</w:t>
            </w:r>
          </w:p>
        </w:tc>
        <w:tc>
          <w:tcPr>
            <w:tcW w:w="8573" w:type="dxa"/>
            <w:tcBorders>
              <w:top w:val="single" w:color="auto" w:sz="4" w:space="0"/>
              <w:left w:val="single" w:color="auto" w:sz="4" w:space="0"/>
              <w:bottom w:val="single" w:color="auto" w:sz="4" w:space="0"/>
              <w:right w:val="single" w:color="auto" w:sz="4" w:space="0"/>
            </w:tcBorders>
            <w:noWrap w:val="0"/>
            <w:vAlign w:val="center"/>
          </w:tcPr>
          <w:p w14:paraId="7115A867">
            <w:pPr>
              <w:topLinePunct/>
              <w:autoSpaceDN w:val="0"/>
              <w:spacing w:after="0" w:line="360" w:lineRule="auto"/>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评标方法：综合评分法</w:t>
            </w:r>
          </w:p>
        </w:tc>
      </w:tr>
      <w:tr w14:paraId="342169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30" w:type="dxa"/>
            <w:vMerge w:val="restart"/>
            <w:tcBorders>
              <w:top w:val="single" w:color="auto" w:sz="4" w:space="0"/>
              <w:left w:val="single" w:color="auto" w:sz="4" w:space="0"/>
              <w:right w:val="single" w:color="auto" w:sz="4" w:space="0"/>
            </w:tcBorders>
            <w:noWrap w:val="0"/>
            <w:vAlign w:val="center"/>
          </w:tcPr>
          <w:p w14:paraId="292138A8">
            <w:pPr>
              <w:topLinePunct/>
              <w:spacing w:after="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29.2</w:t>
            </w:r>
          </w:p>
        </w:tc>
        <w:tc>
          <w:tcPr>
            <w:tcW w:w="8573" w:type="dxa"/>
            <w:tcBorders>
              <w:top w:val="single" w:color="auto" w:sz="4" w:space="0"/>
              <w:left w:val="single" w:color="auto" w:sz="4" w:space="0"/>
              <w:right w:val="single" w:color="auto" w:sz="4" w:space="0"/>
            </w:tcBorders>
            <w:noWrap w:val="0"/>
            <w:vAlign w:val="center"/>
          </w:tcPr>
          <w:p w14:paraId="6D6B4888">
            <w:pPr>
              <w:topLinePunct/>
              <w:spacing w:after="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商务要求评审中允许负偏离的条款数为</w:t>
            </w:r>
            <w:r>
              <w:rPr>
                <w:rFonts w:hint="eastAsia" w:ascii="宋体" w:hAnsi="宋体" w:eastAsia="宋体" w:cs="宋体"/>
                <w:color w:val="auto"/>
                <w:sz w:val="21"/>
                <w:szCs w:val="21"/>
                <w:highlight w:val="none"/>
                <w:u w:val="single"/>
              </w:rPr>
              <w:t>0项</w:t>
            </w:r>
            <w:r>
              <w:rPr>
                <w:rFonts w:hint="eastAsia" w:ascii="宋体" w:hAnsi="宋体" w:eastAsia="宋体" w:cs="宋体"/>
                <w:color w:val="auto"/>
                <w:sz w:val="21"/>
                <w:szCs w:val="21"/>
                <w:highlight w:val="none"/>
              </w:rPr>
              <w:t>。</w:t>
            </w:r>
          </w:p>
          <w:p w14:paraId="5575888B">
            <w:pPr>
              <w:topLinePunct/>
              <w:spacing w:after="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技术要求评审详见采购需求商务条款。</w:t>
            </w:r>
          </w:p>
        </w:tc>
      </w:tr>
      <w:tr w14:paraId="1D585A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30" w:type="dxa"/>
            <w:vMerge w:val="continue"/>
            <w:tcBorders>
              <w:left w:val="single" w:color="auto" w:sz="4" w:space="0"/>
              <w:right w:val="single" w:color="auto" w:sz="4" w:space="0"/>
            </w:tcBorders>
            <w:noWrap w:val="0"/>
            <w:vAlign w:val="center"/>
          </w:tcPr>
          <w:p w14:paraId="634A6CE0">
            <w:pPr>
              <w:topLinePunct/>
              <w:spacing w:after="0" w:line="360" w:lineRule="auto"/>
              <w:jc w:val="center"/>
              <w:rPr>
                <w:rFonts w:hint="eastAsia" w:ascii="宋体" w:hAnsi="宋体" w:eastAsia="宋体" w:cs="宋体"/>
                <w:color w:val="auto"/>
                <w:sz w:val="21"/>
                <w:szCs w:val="21"/>
                <w:highlight w:val="none"/>
              </w:rPr>
            </w:pPr>
          </w:p>
        </w:tc>
        <w:tc>
          <w:tcPr>
            <w:tcW w:w="8573" w:type="dxa"/>
            <w:tcBorders>
              <w:top w:val="single" w:color="auto" w:sz="4" w:space="0"/>
              <w:left w:val="single" w:color="auto" w:sz="4" w:space="0"/>
              <w:right w:val="single" w:color="auto" w:sz="4" w:space="0"/>
            </w:tcBorders>
            <w:noWrap w:val="0"/>
            <w:vAlign w:val="center"/>
          </w:tcPr>
          <w:p w14:paraId="799C176A">
            <w:pPr>
              <w:topLinePunct/>
              <w:spacing w:after="0"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中标候选人推荐数量：3家</w:t>
            </w:r>
          </w:p>
        </w:tc>
      </w:tr>
      <w:tr w14:paraId="2340BC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30" w:type="dxa"/>
            <w:tcBorders>
              <w:top w:val="single" w:color="auto" w:sz="4" w:space="0"/>
              <w:left w:val="single" w:color="auto" w:sz="4" w:space="0"/>
              <w:bottom w:val="single" w:color="auto" w:sz="4" w:space="0"/>
              <w:right w:val="single" w:color="auto" w:sz="4" w:space="0"/>
            </w:tcBorders>
            <w:noWrap w:val="0"/>
            <w:vAlign w:val="center"/>
          </w:tcPr>
          <w:p w14:paraId="1C6E4CB7">
            <w:pPr>
              <w:topLinePunct/>
              <w:spacing w:after="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30.1</w:t>
            </w:r>
          </w:p>
        </w:tc>
        <w:tc>
          <w:tcPr>
            <w:tcW w:w="8573" w:type="dxa"/>
            <w:tcBorders>
              <w:top w:val="single" w:color="auto" w:sz="4" w:space="0"/>
              <w:left w:val="single" w:color="auto" w:sz="4" w:space="0"/>
              <w:bottom w:val="single" w:color="auto" w:sz="4" w:space="0"/>
              <w:right w:val="single" w:color="auto" w:sz="4" w:space="0"/>
            </w:tcBorders>
            <w:noWrap w:val="0"/>
            <w:vAlign w:val="center"/>
          </w:tcPr>
          <w:p w14:paraId="466361B3">
            <w:pPr>
              <w:topLinePunct/>
              <w:autoSpaceDN w:val="0"/>
              <w:spacing w:after="0" w:line="360" w:lineRule="auto"/>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采用综合评分法的采购项目，采购人确定中标人时，出现中标候选人并列的情形，采购人按以下的方式确定中标人：</w:t>
            </w:r>
          </w:p>
          <w:p w14:paraId="106225D6">
            <w:pPr>
              <w:topLinePunct/>
              <w:autoSpaceDN w:val="0"/>
              <w:spacing w:after="0" w:line="360" w:lineRule="auto"/>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依次按投标报价低的优先、技术评分高的优先、商务评分高的优先、保修期长优先、交货期短优先、故障响应时间短优先的顺序确定；</w:t>
            </w:r>
          </w:p>
        </w:tc>
      </w:tr>
      <w:tr w14:paraId="63564F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30" w:type="dxa"/>
            <w:tcBorders>
              <w:top w:val="single" w:color="auto" w:sz="4" w:space="0"/>
              <w:left w:val="single" w:color="auto" w:sz="4" w:space="0"/>
              <w:bottom w:val="single" w:color="auto" w:sz="4" w:space="0"/>
              <w:right w:val="single" w:color="auto" w:sz="4" w:space="0"/>
            </w:tcBorders>
            <w:noWrap w:val="0"/>
            <w:vAlign w:val="center"/>
          </w:tcPr>
          <w:p w14:paraId="157BC7DA">
            <w:pPr>
              <w:topLinePunct/>
              <w:spacing w:after="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35.1</w:t>
            </w:r>
          </w:p>
        </w:tc>
        <w:tc>
          <w:tcPr>
            <w:tcW w:w="8573" w:type="dxa"/>
            <w:tcBorders>
              <w:top w:val="single" w:color="auto" w:sz="4" w:space="0"/>
              <w:left w:val="single" w:color="auto" w:sz="4" w:space="0"/>
              <w:bottom w:val="single" w:color="auto" w:sz="4" w:space="0"/>
              <w:right w:val="single" w:color="auto" w:sz="4" w:space="0"/>
            </w:tcBorders>
            <w:noWrap w:val="0"/>
            <w:vAlign w:val="center"/>
          </w:tcPr>
          <w:p w14:paraId="5139DFE8">
            <w:pPr>
              <w:topLinePunct/>
              <w:autoSpaceDN w:val="0"/>
              <w:spacing w:after="0" w:line="360" w:lineRule="auto"/>
              <w:textAlignment w:val="bottom"/>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本项目不收取履约保证金。</w:t>
            </w:r>
          </w:p>
        </w:tc>
      </w:tr>
      <w:tr w14:paraId="3C86D9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30" w:type="dxa"/>
            <w:tcBorders>
              <w:top w:val="single" w:color="auto" w:sz="4" w:space="0"/>
              <w:left w:val="single" w:color="auto" w:sz="4" w:space="0"/>
              <w:bottom w:val="single" w:color="auto" w:sz="4" w:space="0"/>
              <w:right w:val="single" w:color="auto" w:sz="4" w:space="0"/>
            </w:tcBorders>
            <w:noWrap w:val="0"/>
            <w:vAlign w:val="center"/>
          </w:tcPr>
          <w:p w14:paraId="5B9D75DE">
            <w:pPr>
              <w:topLinePunct/>
              <w:spacing w:after="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36.1</w:t>
            </w:r>
          </w:p>
        </w:tc>
        <w:tc>
          <w:tcPr>
            <w:tcW w:w="8573" w:type="dxa"/>
            <w:tcBorders>
              <w:top w:val="single" w:color="auto" w:sz="4" w:space="0"/>
              <w:left w:val="single" w:color="auto" w:sz="4" w:space="0"/>
              <w:bottom w:val="single" w:color="auto" w:sz="4" w:space="0"/>
              <w:right w:val="single" w:color="auto" w:sz="4" w:space="0"/>
            </w:tcBorders>
            <w:noWrap w:val="0"/>
            <w:vAlign w:val="center"/>
          </w:tcPr>
          <w:p w14:paraId="4BAF76D6">
            <w:pPr>
              <w:topLinePunct/>
              <w:autoSpaceDN w:val="0"/>
              <w:spacing w:after="0" w:line="360" w:lineRule="auto"/>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签订合同携带的证明材料： </w:t>
            </w:r>
          </w:p>
          <w:p w14:paraId="1C0B2047">
            <w:pPr>
              <w:numPr>
                <w:ilvl w:val="0"/>
                <w:numId w:val="7"/>
              </w:numPr>
              <w:topLinePunct/>
              <w:autoSpaceDN w:val="0"/>
              <w:spacing w:after="0" w:line="360" w:lineRule="auto"/>
              <w:ind w:left="0" w:leftChars="0" w:firstLine="420" w:firstLineChars="200"/>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委托代理人负责签订合同的，须携带授权委托书及委托代理人身份证原件等其他资格证件。</w:t>
            </w:r>
          </w:p>
          <w:p w14:paraId="02E43636">
            <w:pPr>
              <w:numPr>
                <w:ilvl w:val="0"/>
                <w:numId w:val="7"/>
              </w:numPr>
              <w:topLinePunct/>
              <w:autoSpaceDN w:val="0"/>
              <w:spacing w:after="0" w:line="360" w:lineRule="auto"/>
              <w:ind w:left="0" w:leftChars="0" w:firstLine="420" w:firstLineChars="200"/>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法定代表人负责签订合同的，须携带法定代表人身份证明原件及身份证原件等其他证明材料。</w:t>
            </w:r>
          </w:p>
        </w:tc>
      </w:tr>
      <w:tr w14:paraId="23797D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30" w:type="dxa"/>
            <w:tcBorders>
              <w:top w:val="single" w:color="auto" w:sz="4" w:space="0"/>
              <w:left w:val="single" w:color="auto" w:sz="4" w:space="0"/>
              <w:bottom w:val="single" w:color="auto" w:sz="4" w:space="0"/>
              <w:right w:val="single" w:color="auto" w:sz="4" w:space="0"/>
            </w:tcBorders>
            <w:noWrap w:val="0"/>
            <w:vAlign w:val="center"/>
          </w:tcPr>
          <w:p w14:paraId="7CF7AE8F">
            <w:pPr>
              <w:topLinePunct/>
              <w:spacing w:after="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38.2</w:t>
            </w:r>
          </w:p>
        </w:tc>
        <w:tc>
          <w:tcPr>
            <w:tcW w:w="8573" w:type="dxa"/>
            <w:tcBorders>
              <w:top w:val="single" w:color="auto" w:sz="4" w:space="0"/>
              <w:left w:val="single" w:color="auto" w:sz="4" w:space="0"/>
              <w:bottom w:val="single" w:color="auto" w:sz="4" w:space="0"/>
              <w:right w:val="single" w:color="auto" w:sz="4" w:space="0"/>
            </w:tcBorders>
            <w:noWrap w:val="0"/>
            <w:vAlign w:val="center"/>
          </w:tcPr>
          <w:p w14:paraId="290E8CD4">
            <w:pPr>
              <w:topLinePunct/>
              <w:spacing w:after="0"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接收质疑函方式：以纸质书面形式</w:t>
            </w:r>
            <w:r>
              <w:rPr>
                <w:rFonts w:hint="eastAsia" w:ascii="宋体" w:hAnsi="宋体" w:eastAsia="宋体" w:cs="宋体"/>
                <w:color w:val="auto"/>
                <w:sz w:val="21"/>
                <w:szCs w:val="21"/>
                <w:highlight w:val="none"/>
                <w:lang w:eastAsia="zh-CN"/>
              </w:rPr>
              <w:t>。</w:t>
            </w:r>
          </w:p>
          <w:p w14:paraId="2D179222">
            <w:pPr>
              <w:topLinePunct/>
              <w:autoSpaceDN w:val="0"/>
              <w:spacing w:after="0" w:line="360" w:lineRule="auto"/>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质疑联系部门及联系方式：</w:t>
            </w:r>
            <w:r>
              <w:rPr>
                <w:rFonts w:hint="eastAsia" w:ascii="宋体" w:hAnsi="宋体" w:eastAsia="宋体" w:cs="宋体"/>
                <w:color w:val="auto"/>
                <w:sz w:val="21"/>
                <w:szCs w:val="21"/>
                <w:highlight w:val="none"/>
                <w:u w:val="none"/>
                <w:lang w:val="en-US" w:eastAsia="zh-CN"/>
              </w:rPr>
              <w:t>广西华扬工程项目管理有限公司</w:t>
            </w:r>
            <w:r>
              <w:rPr>
                <w:rFonts w:hint="eastAsia" w:ascii="宋体" w:hAnsi="宋体" w:eastAsia="宋体" w:cs="宋体"/>
                <w:color w:val="auto"/>
                <w:sz w:val="21"/>
                <w:szCs w:val="21"/>
                <w:highlight w:val="none"/>
              </w:rPr>
              <w:t>，质疑联系人</w:t>
            </w:r>
            <w:r>
              <w:rPr>
                <w:rFonts w:hint="eastAsia" w:ascii="宋体" w:hAnsi="宋体" w:eastAsia="宋体" w:cs="宋体"/>
                <w:color w:val="auto"/>
                <w:sz w:val="21"/>
                <w:szCs w:val="21"/>
                <w:highlight w:val="none"/>
                <w:lang w:val="en-US" w:eastAsia="zh-CN"/>
              </w:rPr>
              <w:t>何凤娇</w:t>
            </w:r>
            <w:r>
              <w:rPr>
                <w:rFonts w:hint="eastAsia" w:ascii="宋体" w:hAnsi="宋体" w:eastAsia="宋体" w:cs="宋体"/>
                <w:color w:val="auto"/>
                <w:sz w:val="21"/>
                <w:szCs w:val="21"/>
                <w:highlight w:val="none"/>
              </w:rPr>
              <w:t xml:space="preserve"> ，联系电话：0777-3</w:t>
            </w:r>
            <w:r>
              <w:rPr>
                <w:rFonts w:hint="eastAsia" w:ascii="宋体" w:hAnsi="宋体" w:eastAsia="宋体" w:cs="宋体"/>
                <w:color w:val="auto"/>
                <w:sz w:val="21"/>
                <w:szCs w:val="21"/>
                <w:highlight w:val="none"/>
                <w:lang w:val="en-US" w:eastAsia="zh-CN"/>
              </w:rPr>
              <w:t>608985</w:t>
            </w:r>
            <w:r>
              <w:rPr>
                <w:rFonts w:hint="eastAsia" w:ascii="宋体" w:hAnsi="宋体" w:eastAsia="宋体" w:cs="宋体"/>
                <w:color w:val="auto"/>
                <w:sz w:val="21"/>
                <w:szCs w:val="21"/>
                <w:highlight w:val="none"/>
              </w:rPr>
              <w:t>，通</w:t>
            </w:r>
            <w:r>
              <w:rPr>
                <w:rFonts w:hint="eastAsia" w:ascii="宋体" w:hAnsi="宋体" w:eastAsia="宋体" w:cs="宋体"/>
                <w:color w:val="auto"/>
                <w:sz w:val="21"/>
                <w:szCs w:val="21"/>
                <w:highlight w:val="none"/>
                <w:u w:val="none"/>
                <w:lang w:val="en-US" w:eastAsia="zh-CN"/>
              </w:rPr>
              <w:t>讯地址：钦州市钦北区子材东大街15-163号。</w:t>
            </w:r>
          </w:p>
          <w:p w14:paraId="46EB335C">
            <w:pPr>
              <w:topLinePunct/>
              <w:autoSpaceDN w:val="0"/>
              <w:spacing w:after="0" w:line="360" w:lineRule="auto"/>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现场提交质疑办理业务时间：工作日，上午8:30-12:00；下午15:00-17:30（北京时间）</w:t>
            </w:r>
          </w:p>
        </w:tc>
      </w:tr>
      <w:tr w14:paraId="4EE3D3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30" w:type="dxa"/>
            <w:tcBorders>
              <w:top w:val="single" w:color="auto" w:sz="4" w:space="0"/>
              <w:left w:val="single" w:color="auto" w:sz="4" w:space="0"/>
              <w:bottom w:val="single" w:color="auto" w:sz="4" w:space="0"/>
              <w:right w:val="single" w:color="auto" w:sz="4" w:space="0"/>
            </w:tcBorders>
            <w:noWrap w:val="0"/>
            <w:vAlign w:val="center"/>
          </w:tcPr>
          <w:p w14:paraId="5A5D7689">
            <w:pPr>
              <w:topLinePunct/>
              <w:spacing w:after="0" w:line="360" w:lineRule="auto"/>
              <w:jc w:val="center"/>
              <w:rPr>
                <w:rFonts w:hint="eastAsia" w:ascii="宋体" w:hAnsi="宋体" w:eastAsia="宋体" w:cs="宋体"/>
                <w:color w:val="auto"/>
                <w:sz w:val="21"/>
                <w:szCs w:val="21"/>
                <w:highlight w:val="none"/>
              </w:rPr>
            </w:pPr>
            <w:bookmarkStart w:id="45" w:name="_Hlt17709148"/>
            <w:r>
              <w:rPr>
                <w:rFonts w:hint="eastAsia" w:ascii="宋体" w:hAnsi="宋体" w:eastAsia="宋体" w:cs="宋体"/>
                <w:color w:val="auto"/>
                <w:sz w:val="21"/>
                <w:szCs w:val="21"/>
                <w:highlight w:val="none"/>
              </w:rPr>
              <w:t>3</w:t>
            </w:r>
            <w:bookmarkEnd w:id="45"/>
            <w:r>
              <w:rPr>
                <w:rFonts w:hint="eastAsia" w:ascii="宋体" w:hAnsi="宋体" w:eastAsia="宋体" w:cs="宋体"/>
                <w:color w:val="auto"/>
                <w:sz w:val="21"/>
                <w:szCs w:val="21"/>
                <w:highlight w:val="none"/>
              </w:rPr>
              <w:t>9.1</w:t>
            </w:r>
          </w:p>
        </w:tc>
        <w:tc>
          <w:tcPr>
            <w:tcW w:w="8573" w:type="dxa"/>
            <w:tcBorders>
              <w:top w:val="single" w:color="auto" w:sz="4" w:space="0"/>
              <w:left w:val="single" w:color="auto" w:sz="4" w:space="0"/>
              <w:bottom w:val="single" w:color="auto" w:sz="4" w:space="0"/>
              <w:right w:val="single" w:color="auto" w:sz="4" w:space="0"/>
            </w:tcBorders>
            <w:noWrap w:val="0"/>
            <w:vAlign w:val="center"/>
          </w:tcPr>
          <w:p w14:paraId="1B0FD746">
            <w:pPr>
              <w:pStyle w:val="18"/>
              <w:numPr>
                <w:ilvl w:val="0"/>
                <w:numId w:val="8"/>
              </w:numPr>
              <w:topLinePunct/>
              <w:spacing w:after="0" w:line="360" w:lineRule="auto"/>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采购代理服务费支付方式：本项目的招标代理服务费按</w:t>
            </w:r>
            <w:r>
              <w:rPr>
                <w:rFonts w:hint="eastAsia" w:ascii="宋体" w:hAnsi="宋体" w:eastAsia="宋体" w:cs="宋体"/>
                <w:color w:val="auto"/>
                <w:sz w:val="21"/>
                <w:szCs w:val="21"/>
                <w:highlight w:val="none"/>
                <w:lang w:val="en-US" w:eastAsia="zh-CN"/>
              </w:rPr>
              <w:t>合同约定由采购</w:t>
            </w:r>
            <w:r>
              <w:rPr>
                <w:rFonts w:hint="eastAsia" w:ascii="宋体" w:hAnsi="宋体" w:eastAsia="宋体" w:cs="宋体"/>
                <w:color w:val="auto"/>
                <w:sz w:val="21"/>
                <w:szCs w:val="21"/>
                <w:highlight w:val="none"/>
              </w:rPr>
              <w:t>人</w:t>
            </w:r>
            <w:r>
              <w:rPr>
                <w:rFonts w:hint="eastAsia" w:ascii="宋体" w:hAnsi="宋体" w:eastAsia="宋体" w:cs="宋体"/>
                <w:color w:val="auto"/>
                <w:sz w:val="21"/>
                <w:szCs w:val="21"/>
                <w:highlight w:val="none"/>
                <w:lang w:val="en-US" w:eastAsia="zh-CN"/>
              </w:rPr>
              <w:t>支付</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发出</w:t>
            </w:r>
            <w:r>
              <w:rPr>
                <w:rFonts w:hint="eastAsia" w:ascii="宋体" w:hAnsi="宋体" w:eastAsia="宋体" w:cs="宋体"/>
                <w:color w:val="auto"/>
                <w:sz w:val="21"/>
                <w:szCs w:val="21"/>
                <w:highlight w:val="none"/>
              </w:rPr>
              <w:t>中标通知书前，</w:t>
            </w:r>
            <w:r>
              <w:rPr>
                <w:rFonts w:hint="eastAsia" w:ascii="宋体" w:hAnsi="宋体" w:eastAsia="宋体" w:cs="宋体"/>
                <w:color w:val="auto"/>
                <w:sz w:val="21"/>
                <w:szCs w:val="21"/>
                <w:highlight w:val="none"/>
                <w:lang w:val="en-US" w:eastAsia="zh-CN"/>
              </w:rPr>
              <w:t>采购</w:t>
            </w:r>
            <w:r>
              <w:rPr>
                <w:rFonts w:hint="eastAsia" w:ascii="宋体" w:hAnsi="宋体" w:eastAsia="宋体" w:cs="宋体"/>
                <w:color w:val="auto"/>
                <w:sz w:val="21"/>
                <w:szCs w:val="21"/>
                <w:highlight w:val="none"/>
              </w:rPr>
              <w:t>人应向采购代理机构一次付清招标代理服务费，否则采购代理机构有权不予以办理。</w:t>
            </w:r>
          </w:p>
          <w:p w14:paraId="204550BD">
            <w:pPr>
              <w:pStyle w:val="18"/>
              <w:numPr>
                <w:ilvl w:val="0"/>
                <w:numId w:val="8"/>
              </w:numPr>
              <w:topLinePunct/>
              <w:spacing w:after="0" w:line="360" w:lineRule="auto"/>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采购代理服务费收取标准：以（</w:t>
            </w:r>
            <w:r>
              <w:rPr>
                <w:rFonts w:hint="eastAsia" w:ascii="宋体" w:hAnsi="宋体" w:eastAsia="宋体" w:cs="宋体"/>
                <w:color w:val="auto"/>
                <w:sz w:val="21"/>
                <w:szCs w:val="21"/>
                <w:highlight w:val="none"/>
              </w:rPr>
              <w:sym w:font="Wingdings 2" w:char="0052"/>
            </w:r>
            <w:r>
              <w:rPr>
                <w:rFonts w:hint="eastAsia" w:ascii="宋体" w:hAnsi="宋体" w:eastAsia="宋体" w:cs="宋体"/>
                <w:color w:val="auto"/>
                <w:sz w:val="21"/>
                <w:szCs w:val="21"/>
                <w:highlight w:val="none"/>
              </w:rPr>
              <w:t>中标金额/</w:t>
            </w:r>
            <w:r>
              <w:rPr>
                <w:rFonts w:hint="eastAsia" w:ascii="宋体" w:hAnsi="宋体" w:eastAsia="宋体" w:cs="宋体"/>
                <w:color w:val="auto"/>
                <w:sz w:val="21"/>
                <w:szCs w:val="21"/>
                <w:highlight w:val="none"/>
              </w:rPr>
              <w:sym w:font="Wingdings 2" w:char="00A3"/>
            </w:r>
            <w:r>
              <w:rPr>
                <w:rFonts w:hint="eastAsia" w:ascii="宋体" w:hAnsi="宋体" w:eastAsia="宋体" w:cs="宋体"/>
                <w:color w:val="auto"/>
                <w:sz w:val="21"/>
                <w:szCs w:val="21"/>
                <w:highlight w:val="none"/>
              </w:rPr>
              <w:t>采购预算/□暂定中标金额/□其他）为计费额，按本须知正文第39.2条规定的收费计算标准（☑货物招标/□服务招标/□工程招标）采用差额定率累进法计算出收费基准价格，采购代理收费以（</w:t>
            </w:r>
            <w:r>
              <w:rPr>
                <w:rFonts w:hint="eastAsia" w:ascii="宋体" w:hAnsi="宋体" w:eastAsia="宋体" w:cs="宋体"/>
                <w:color w:val="auto"/>
                <w:sz w:val="21"/>
                <w:szCs w:val="21"/>
                <w:highlight w:val="none"/>
              </w:rPr>
              <w:sym w:font="Wingdings 2" w:char="0052"/>
            </w:r>
            <w:r>
              <w:rPr>
                <w:rFonts w:hint="eastAsia" w:ascii="宋体" w:hAnsi="宋体" w:eastAsia="宋体" w:cs="宋体"/>
                <w:color w:val="auto"/>
                <w:sz w:val="21"/>
                <w:szCs w:val="21"/>
                <w:highlight w:val="none"/>
              </w:rPr>
              <w:t>收费基准价格/</w:t>
            </w:r>
            <w:r>
              <w:rPr>
                <w:rFonts w:hint="eastAsia" w:ascii="宋体" w:hAnsi="宋体" w:eastAsia="宋体" w:cs="宋体"/>
                <w:color w:val="auto"/>
                <w:sz w:val="21"/>
                <w:szCs w:val="21"/>
                <w:highlight w:val="none"/>
              </w:rPr>
              <w:sym w:font="Wingdings 2" w:char="00A3"/>
            </w:r>
            <w:r>
              <w:rPr>
                <w:rFonts w:hint="eastAsia" w:ascii="宋体" w:hAnsi="宋体" w:eastAsia="宋体" w:cs="宋体"/>
                <w:color w:val="auto"/>
                <w:sz w:val="21"/>
                <w:szCs w:val="21"/>
                <w:highlight w:val="none"/>
              </w:rPr>
              <w:t>收费基准价格下浮</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/□收费基准价格上浮</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%）收取。</w:t>
            </w:r>
          </w:p>
          <w:p w14:paraId="32DFB757">
            <w:pPr>
              <w:pStyle w:val="18"/>
              <w:topLinePunct/>
              <w:spacing w:after="0"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□固定采购代理收费</w:t>
            </w:r>
            <w:r>
              <w:rPr>
                <w:rFonts w:hint="eastAsia" w:ascii="宋体" w:hAnsi="宋体" w:eastAsia="宋体" w:cs="宋体"/>
                <w:color w:val="auto"/>
                <w:sz w:val="21"/>
                <w:szCs w:val="21"/>
                <w:highlight w:val="none"/>
                <w:lang w:eastAsia="zh-CN"/>
              </w:rPr>
              <w:t>。</w:t>
            </w:r>
          </w:p>
          <w:p w14:paraId="61634953">
            <w:pPr>
              <w:pStyle w:val="18"/>
              <w:numPr>
                <w:ilvl w:val="0"/>
                <w:numId w:val="8"/>
              </w:numPr>
              <w:topLinePunct/>
              <w:spacing w:after="0" w:line="360" w:lineRule="auto"/>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开户名称：广西华扬工程项目管理有限公司钦州分公司</w:t>
            </w:r>
            <w:r>
              <w:rPr>
                <w:rFonts w:hint="eastAsia" w:ascii="宋体" w:hAnsi="宋体" w:eastAsia="宋体" w:cs="宋体"/>
                <w:color w:val="auto"/>
                <w:sz w:val="21"/>
                <w:szCs w:val="21"/>
                <w:highlight w:val="none"/>
                <w:lang w:eastAsia="zh-CN"/>
              </w:rPr>
              <w:t>；</w:t>
            </w:r>
          </w:p>
          <w:p w14:paraId="3A2ADB38">
            <w:pPr>
              <w:pStyle w:val="18"/>
              <w:topLinePunct/>
              <w:spacing w:after="0" w:line="360" w:lineRule="auto"/>
              <w:ind w:firstLine="630" w:firstLineChars="3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开户银行：中国建设银行钦州永福东大街支行</w:t>
            </w:r>
            <w:r>
              <w:rPr>
                <w:rFonts w:hint="eastAsia" w:ascii="宋体" w:hAnsi="宋体" w:eastAsia="宋体" w:cs="宋体"/>
                <w:color w:val="auto"/>
                <w:sz w:val="21"/>
                <w:szCs w:val="21"/>
                <w:highlight w:val="none"/>
                <w:lang w:eastAsia="zh-CN"/>
              </w:rPr>
              <w:t>；</w:t>
            </w:r>
          </w:p>
          <w:p w14:paraId="000FC0BE">
            <w:pPr>
              <w:pStyle w:val="18"/>
              <w:topLinePunct/>
              <w:spacing w:after="0" w:line="360" w:lineRule="auto"/>
              <w:ind w:firstLine="630" w:firstLineChars="3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银行账号：45050165986200000484</w:t>
            </w:r>
            <w:r>
              <w:rPr>
                <w:rFonts w:hint="eastAsia" w:ascii="宋体" w:hAnsi="宋体" w:eastAsia="宋体" w:cs="宋体"/>
                <w:color w:val="auto"/>
                <w:sz w:val="21"/>
                <w:szCs w:val="21"/>
                <w:highlight w:val="none"/>
                <w:lang w:eastAsia="zh-CN"/>
              </w:rPr>
              <w:t>。</w:t>
            </w:r>
          </w:p>
        </w:tc>
      </w:tr>
      <w:tr w14:paraId="699315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30" w:type="dxa"/>
            <w:tcBorders>
              <w:top w:val="single" w:color="auto" w:sz="4" w:space="0"/>
              <w:left w:val="single" w:color="auto" w:sz="4" w:space="0"/>
              <w:bottom w:val="single" w:color="auto" w:sz="4" w:space="0"/>
              <w:right w:val="single" w:color="auto" w:sz="4" w:space="0"/>
            </w:tcBorders>
            <w:noWrap w:val="0"/>
            <w:vAlign w:val="center"/>
          </w:tcPr>
          <w:p w14:paraId="50699627">
            <w:pPr>
              <w:topLinePunct/>
              <w:spacing w:after="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40.1</w:t>
            </w:r>
          </w:p>
        </w:tc>
        <w:tc>
          <w:tcPr>
            <w:tcW w:w="8573" w:type="dxa"/>
            <w:tcBorders>
              <w:top w:val="single" w:color="auto" w:sz="4" w:space="0"/>
              <w:left w:val="single" w:color="auto" w:sz="4" w:space="0"/>
              <w:bottom w:val="single" w:color="auto" w:sz="4" w:space="0"/>
              <w:right w:val="single" w:color="auto" w:sz="4" w:space="0"/>
            </w:tcBorders>
            <w:noWrap w:val="0"/>
            <w:vAlign w:val="center"/>
          </w:tcPr>
          <w:p w14:paraId="179A8F81">
            <w:pPr>
              <w:topLinePunct/>
              <w:spacing w:after="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解释：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14:paraId="6181DC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30" w:type="dxa"/>
            <w:tcBorders>
              <w:top w:val="single" w:color="auto" w:sz="4" w:space="0"/>
              <w:left w:val="single" w:color="auto" w:sz="4" w:space="0"/>
              <w:bottom w:val="single" w:color="auto" w:sz="4" w:space="0"/>
              <w:right w:val="single" w:color="auto" w:sz="4" w:space="0"/>
            </w:tcBorders>
            <w:noWrap w:val="0"/>
            <w:vAlign w:val="center"/>
          </w:tcPr>
          <w:p w14:paraId="4CD865D1">
            <w:pPr>
              <w:topLinePunct/>
              <w:spacing w:after="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40.2</w:t>
            </w:r>
          </w:p>
        </w:tc>
        <w:tc>
          <w:tcPr>
            <w:tcW w:w="8573" w:type="dxa"/>
            <w:tcBorders>
              <w:top w:val="single" w:color="auto" w:sz="4" w:space="0"/>
              <w:left w:val="single" w:color="auto" w:sz="4" w:space="0"/>
              <w:bottom w:val="single" w:color="auto" w:sz="4" w:space="0"/>
              <w:right w:val="single" w:color="auto" w:sz="4" w:space="0"/>
            </w:tcBorders>
            <w:noWrap w:val="0"/>
            <w:vAlign w:val="center"/>
          </w:tcPr>
          <w:p w14:paraId="478D24FE">
            <w:pPr>
              <w:pStyle w:val="18"/>
              <w:numPr>
                <w:ilvl w:val="0"/>
                <w:numId w:val="9"/>
              </w:numPr>
              <w:topLinePunct/>
              <w:spacing w:after="0" w:line="360" w:lineRule="auto"/>
              <w:ind w:left="0" w:leftChars="0"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本招标文件中描述投标人的“公章”是指根据我国对公章的管理规定，用投标人法定主体行为名称制作的印章</w:t>
            </w:r>
            <w:r>
              <w:rPr>
                <w:rFonts w:hint="eastAsia" w:ascii="宋体" w:hAnsi="宋体" w:eastAsia="宋体" w:cs="宋体"/>
                <w:color w:val="auto"/>
                <w:sz w:val="21"/>
                <w:szCs w:val="21"/>
                <w:highlight w:val="none"/>
              </w:rPr>
              <w:t>（含电子印章）</w:t>
            </w:r>
            <w:r>
              <w:rPr>
                <w:rFonts w:hint="eastAsia" w:ascii="宋体" w:hAnsi="宋体" w:eastAsia="宋体" w:cs="宋体"/>
                <w:bCs/>
                <w:color w:val="auto"/>
                <w:sz w:val="21"/>
                <w:szCs w:val="21"/>
                <w:highlight w:val="none"/>
              </w:rPr>
              <w:t>，除本招标文件有特殊规定外，投标人的财务章、部门章、分公司章、工会章、合同章、投标专用章、业务专用章及银行的转账章、现金收讫章、现金付讫章等其他形式印章均不能代替公章。</w:t>
            </w:r>
          </w:p>
          <w:p w14:paraId="40AE0BDC">
            <w:pPr>
              <w:pStyle w:val="18"/>
              <w:numPr>
                <w:ilvl w:val="0"/>
                <w:numId w:val="9"/>
              </w:numPr>
              <w:topLinePunct/>
              <w:spacing w:after="0" w:line="360" w:lineRule="auto"/>
              <w:ind w:left="0" w:leftChars="0"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1D367F7C">
            <w:pPr>
              <w:pStyle w:val="18"/>
              <w:numPr>
                <w:ilvl w:val="0"/>
                <w:numId w:val="9"/>
              </w:numPr>
              <w:topLinePunct/>
              <w:spacing w:after="0" w:line="360" w:lineRule="auto"/>
              <w:ind w:left="0" w:leftChars="0"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本招标文件中描述投标人的“签字”是指投标人的法定代表人或者委托代理人</w:t>
            </w:r>
            <w:r>
              <w:rPr>
                <w:rFonts w:hint="eastAsia" w:ascii="宋体" w:hAnsi="宋体" w:eastAsia="宋体" w:cs="宋体"/>
                <w:color w:val="auto"/>
                <w:sz w:val="21"/>
                <w:szCs w:val="21"/>
                <w:highlight w:val="none"/>
              </w:rPr>
              <w:t>在文件规定签署处签名（含电子签名）的行为，私章、印鉴等其他形式均不能代替签字</w:t>
            </w:r>
            <w:r>
              <w:rPr>
                <w:rFonts w:hint="eastAsia" w:ascii="宋体" w:hAnsi="宋体" w:eastAsia="宋体" w:cs="宋体"/>
                <w:bCs/>
                <w:color w:val="auto"/>
                <w:sz w:val="21"/>
                <w:szCs w:val="21"/>
                <w:highlight w:val="none"/>
              </w:rPr>
              <w:t>。</w:t>
            </w:r>
          </w:p>
          <w:p w14:paraId="6756F2CF">
            <w:pPr>
              <w:pStyle w:val="18"/>
              <w:numPr>
                <w:ilvl w:val="0"/>
                <w:numId w:val="9"/>
              </w:numPr>
              <w:topLinePunct/>
              <w:spacing w:after="0" w:line="360" w:lineRule="auto"/>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自然人投标的，招标文件规定盖公章处由自然人摁手指指印。</w:t>
            </w:r>
          </w:p>
          <w:p w14:paraId="1C88DB47">
            <w:pPr>
              <w:pStyle w:val="18"/>
              <w:numPr>
                <w:ilvl w:val="0"/>
                <w:numId w:val="9"/>
              </w:numPr>
              <w:topLinePunct/>
              <w:spacing w:after="0" w:line="360" w:lineRule="auto"/>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本招标文件所称的“以上”“以下”“以内”“届满”，包括本数；所称的“不满”“超过”“以外”，不包括本数。</w:t>
            </w:r>
          </w:p>
        </w:tc>
      </w:tr>
      <w:tr w14:paraId="4A8DDD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30" w:type="dxa"/>
            <w:tcBorders>
              <w:top w:val="single" w:color="auto" w:sz="4" w:space="0"/>
              <w:left w:val="single" w:color="auto" w:sz="4" w:space="0"/>
              <w:bottom w:val="single" w:color="auto" w:sz="4" w:space="0"/>
              <w:right w:val="single" w:color="auto" w:sz="4" w:space="0"/>
            </w:tcBorders>
            <w:noWrap w:val="0"/>
            <w:vAlign w:val="center"/>
          </w:tcPr>
          <w:p w14:paraId="77162009">
            <w:pPr>
              <w:topLinePunct/>
              <w:spacing w:after="0" w:line="360" w:lineRule="auto"/>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政采贷</w:t>
            </w:r>
          </w:p>
        </w:tc>
        <w:tc>
          <w:tcPr>
            <w:tcW w:w="8573" w:type="dxa"/>
            <w:tcBorders>
              <w:top w:val="single" w:color="auto" w:sz="4" w:space="0"/>
              <w:left w:val="single" w:color="auto" w:sz="4" w:space="0"/>
              <w:bottom w:val="single" w:color="auto" w:sz="4" w:space="0"/>
              <w:right w:val="single" w:color="auto" w:sz="4" w:space="0"/>
            </w:tcBorders>
            <w:noWrap w:val="0"/>
            <w:vAlign w:val="center"/>
          </w:tcPr>
          <w:p w14:paraId="100E1267">
            <w:pPr>
              <w:topLinePunct/>
              <w:spacing w:after="0" w:line="360" w:lineRule="auto"/>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供应商可凭中标（成交）通知书或政府采购合同等在内的相关材料、信息，通过中征应收账款融资服务平台向银行业金融机构在线申请“政采贷”融资。</w:t>
            </w:r>
          </w:p>
        </w:tc>
      </w:tr>
      <w:tr w14:paraId="44E1C5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30" w:type="dxa"/>
            <w:tcBorders>
              <w:top w:val="single" w:color="auto" w:sz="4" w:space="0"/>
              <w:left w:val="single" w:color="auto" w:sz="4" w:space="0"/>
              <w:bottom w:val="single" w:color="auto" w:sz="4" w:space="0"/>
              <w:right w:val="single" w:color="auto" w:sz="4" w:space="0"/>
            </w:tcBorders>
            <w:noWrap w:val="0"/>
            <w:vAlign w:val="center"/>
          </w:tcPr>
          <w:p w14:paraId="255CF597">
            <w:pPr>
              <w:topLinePunct/>
              <w:spacing w:after="0" w:line="360" w:lineRule="auto"/>
              <w:jc w:val="left"/>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lang w:eastAsia="zh-CN"/>
              </w:rPr>
              <w:t>关于响应文件的其他要求</w:t>
            </w:r>
          </w:p>
        </w:tc>
        <w:tc>
          <w:tcPr>
            <w:tcW w:w="8573" w:type="dxa"/>
            <w:tcBorders>
              <w:top w:val="single" w:color="auto" w:sz="4" w:space="0"/>
              <w:left w:val="single" w:color="auto" w:sz="4" w:space="0"/>
              <w:bottom w:val="single" w:color="auto" w:sz="4" w:space="0"/>
              <w:right w:val="single" w:color="auto" w:sz="4" w:space="0"/>
            </w:tcBorders>
            <w:noWrap w:val="0"/>
            <w:vAlign w:val="center"/>
          </w:tcPr>
          <w:p w14:paraId="5F0CC4D6">
            <w:pPr>
              <w:topLinePunct/>
              <w:spacing w:after="0" w:line="360" w:lineRule="auto"/>
              <w:jc w:val="left"/>
              <w:rPr>
                <w:rFonts w:hint="eastAsia" w:ascii="宋体" w:hAnsi="宋体" w:eastAsia="宋体" w:cs="宋体"/>
                <w:b/>
                <w:bCs w:val="0"/>
                <w:color w:val="auto"/>
                <w:sz w:val="21"/>
                <w:szCs w:val="21"/>
                <w:highlight w:val="none"/>
                <w:lang w:eastAsia="zh-CN"/>
              </w:rPr>
            </w:pPr>
            <w:r>
              <w:rPr>
                <w:rFonts w:hint="eastAsia" w:ascii="宋体" w:hAnsi="宋体" w:eastAsia="宋体" w:cs="宋体"/>
                <w:b/>
                <w:bCs w:val="0"/>
                <w:color w:val="auto"/>
                <w:sz w:val="21"/>
                <w:szCs w:val="21"/>
                <w:highlight w:val="none"/>
                <w:lang w:eastAsia="zh-CN"/>
              </w:rPr>
              <w:t>纸质响应文件：中标供应商在</w:t>
            </w:r>
            <w:r>
              <w:rPr>
                <w:rFonts w:hint="eastAsia" w:ascii="宋体" w:hAnsi="宋体" w:eastAsia="宋体" w:cs="宋体"/>
                <w:b/>
                <w:bCs w:val="0"/>
                <w:color w:val="auto"/>
                <w:sz w:val="21"/>
                <w:szCs w:val="21"/>
                <w:highlight w:val="none"/>
                <w:lang w:val="en-US" w:eastAsia="zh-CN"/>
              </w:rPr>
              <w:t>中标</w:t>
            </w:r>
            <w:r>
              <w:rPr>
                <w:rFonts w:hint="eastAsia" w:ascii="宋体" w:hAnsi="宋体" w:eastAsia="宋体" w:cs="宋体"/>
                <w:b/>
                <w:bCs w:val="0"/>
                <w:color w:val="auto"/>
                <w:sz w:val="21"/>
                <w:szCs w:val="21"/>
                <w:highlight w:val="none"/>
                <w:lang w:eastAsia="zh-CN"/>
              </w:rPr>
              <w:t>通知书发出后5天内须提交2套纸质版响应文件（含首次报价文件、资格证明文件、商务技术文件按照顺序装订成一册。</w:t>
            </w:r>
            <w:r>
              <w:rPr>
                <w:rFonts w:hint="eastAsia" w:ascii="宋体" w:hAnsi="宋体" w:eastAsia="宋体" w:cs="宋体"/>
                <w:b/>
                <w:bCs w:val="0"/>
                <w:color w:val="auto"/>
                <w:sz w:val="21"/>
                <w:szCs w:val="21"/>
                <w:highlight w:val="none"/>
              </w:rPr>
              <w:t>按要求加盖公章）给采购代理机构</w:t>
            </w:r>
            <w:r>
              <w:rPr>
                <w:rFonts w:hint="eastAsia" w:ascii="宋体" w:hAnsi="宋体" w:eastAsia="宋体" w:cs="宋体"/>
                <w:b/>
                <w:bCs w:val="0"/>
                <w:color w:val="auto"/>
                <w:sz w:val="21"/>
                <w:szCs w:val="21"/>
                <w:highlight w:val="none"/>
                <w:lang w:eastAsia="zh-CN"/>
              </w:rPr>
              <w:t>。</w:t>
            </w:r>
          </w:p>
          <w:p w14:paraId="36D8CB49">
            <w:pPr>
              <w:topLinePunct/>
              <w:spacing w:after="0" w:line="360" w:lineRule="auto"/>
              <w:jc w:val="left"/>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lang w:eastAsia="zh-CN"/>
              </w:rPr>
              <w:t xml:space="preserve">提交的纸质版响应文件文本必须与其上传到广西政府采购云系统的电子响应文件内容一致，不允许有篡改。如项目验收时因所提供的纸质响应文件与评审的响应文件不一致造成纠纷时，所有责任由成交供应商承担。 </w:t>
            </w:r>
          </w:p>
        </w:tc>
      </w:tr>
    </w:tbl>
    <w:p w14:paraId="0FF374F1">
      <w:pPr>
        <w:rPr>
          <w:color w:val="auto"/>
          <w:highlight w:val="none"/>
        </w:rPr>
        <w:sectPr>
          <w:pgSz w:w="11906" w:h="16838"/>
          <w:pgMar w:top="1134" w:right="1134" w:bottom="1134" w:left="1134" w:header="720" w:footer="720" w:gutter="0"/>
          <w:pgNumType w:fmt="decimal"/>
          <w:cols w:space="720" w:num="1"/>
          <w:docGrid w:type="lines" w:linePitch="331" w:charSpace="0"/>
        </w:sectPr>
      </w:pPr>
    </w:p>
    <w:p w14:paraId="2082D6EA">
      <w:pPr>
        <w:pStyle w:val="5"/>
        <w:jc w:val="center"/>
        <w:rPr>
          <w:rFonts w:hint="eastAsia"/>
          <w:color w:val="auto"/>
          <w:highlight w:val="none"/>
        </w:rPr>
      </w:pPr>
      <w:bookmarkStart w:id="46" w:name="_Toc80092994"/>
      <w:r>
        <w:rPr>
          <w:rFonts w:hint="eastAsia"/>
          <w:color w:val="auto"/>
          <w:highlight w:val="none"/>
        </w:rPr>
        <w:t>第二节 投标人须知正文</w:t>
      </w:r>
      <w:bookmarkEnd w:id="46"/>
    </w:p>
    <w:p w14:paraId="41FF6596">
      <w:pPr>
        <w:pStyle w:val="6"/>
        <w:keepNext w:val="0"/>
        <w:keepLines w:val="0"/>
        <w:spacing w:line="400" w:lineRule="exact"/>
        <w:jc w:val="center"/>
        <w:rPr>
          <w:rFonts w:hint="eastAsia"/>
          <w:color w:val="auto"/>
          <w:highlight w:val="none"/>
        </w:rPr>
      </w:pPr>
      <w:bookmarkStart w:id="47" w:name="_Toc80092995"/>
      <w:r>
        <w:rPr>
          <w:rFonts w:hint="eastAsia"/>
          <w:color w:val="auto"/>
          <w:highlight w:val="none"/>
        </w:rPr>
        <w:t>一、总  则</w:t>
      </w:r>
      <w:bookmarkEnd w:id="47"/>
    </w:p>
    <w:p w14:paraId="0DBDDB8A">
      <w:pPr>
        <w:spacing w:line="360" w:lineRule="auto"/>
        <w:ind w:firstLine="480" w:firstLineChars="200"/>
        <w:rPr>
          <w:rFonts w:hint="eastAsia" w:ascii="黑体" w:hAnsi="黑体" w:eastAsia="黑体"/>
          <w:color w:val="auto"/>
          <w:sz w:val="24"/>
          <w:highlight w:val="none"/>
        </w:rPr>
      </w:pPr>
      <w:bookmarkStart w:id="48" w:name="_Toc254970668"/>
      <w:bookmarkStart w:id="49" w:name="_Toc254970527"/>
      <w:r>
        <w:rPr>
          <w:rFonts w:hint="eastAsia" w:ascii="黑体" w:hAnsi="黑体" w:eastAsia="黑体"/>
          <w:color w:val="auto"/>
          <w:sz w:val="24"/>
          <w:highlight w:val="none"/>
        </w:rPr>
        <w:t>1.适用范围</w:t>
      </w:r>
      <w:bookmarkEnd w:id="48"/>
      <w:bookmarkEnd w:id="49"/>
    </w:p>
    <w:p w14:paraId="0E053F2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444561E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1.2本招标文件</w:t>
      </w:r>
      <w:r>
        <w:rPr>
          <w:rFonts w:hint="eastAsia" w:ascii="宋体" w:hAnsi="宋体" w:cs="宋体"/>
          <w:color w:val="auto"/>
          <w:spacing w:val="-6"/>
          <w:szCs w:val="21"/>
          <w:highlight w:val="none"/>
        </w:rPr>
        <w:t>适用于本项目的所有采购程序和环节（法律、法规另有规定的，从其规定）。</w:t>
      </w:r>
    </w:p>
    <w:p w14:paraId="4087A5A9">
      <w:pPr>
        <w:spacing w:line="360" w:lineRule="auto"/>
        <w:ind w:firstLine="480" w:firstLineChars="200"/>
        <w:rPr>
          <w:rFonts w:hint="eastAsia" w:ascii="黑体" w:hAnsi="黑体" w:eastAsia="黑体"/>
          <w:color w:val="auto"/>
          <w:sz w:val="24"/>
          <w:highlight w:val="none"/>
        </w:rPr>
      </w:pPr>
      <w:bookmarkStart w:id="50" w:name="_Toc254970669"/>
      <w:bookmarkStart w:id="51" w:name="_Toc254970528"/>
      <w:r>
        <w:rPr>
          <w:rFonts w:hint="eastAsia" w:ascii="黑体" w:hAnsi="黑体" w:eastAsia="黑体"/>
          <w:color w:val="auto"/>
          <w:sz w:val="24"/>
          <w:highlight w:val="none"/>
        </w:rPr>
        <w:t>2.定义</w:t>
      </w:r>
      <w:bookmarkEnd w:id="50"/>
      <w:bookmarkEnd w:id="51"/>
    </w:p>
    <w:p w14:paraId="5DD41482">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2.1“采购人”是指依法进行政府采购的国家机关、事业单位、团体组织。</w:t>
      </w:r>
    </w:p>
    <w:p w14:paraId="41B4578E">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2.2“采购代理机构” 指政府采购集中采购机构和集中采购机构以外的采购代理机构。</w:t>
      </w:r>
    </w:p>
    <w:p w14:paraId="60314AF9">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2.3“供应商”是指向采购人提供货物、工程或者服务的法人、其他组织或者自然人。</w:t>
      </w:r>
    </w:p>
    <w:p w14:paraId="612581E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2.4“投标人”是指响应招标、参加投标竞争的法人、非法人组织或者自然人。</w:t>
      </w:r>
    </w:p>
    <w:p w14:paraId="7C03671F">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2.5“服务”是指除货物和工程以外的其他政府采购对象。</w:t>
      </w:r>
    </w:p>
    <w:p w14:paraId="78ECC6BF">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2.</w:t>
      </w:r>
      <w:r>
        <w:rPr>
          <w:rFonts w:ascii="宋体" w:hAnsi="宋体"/>
          <w:b/>
          <w:color w:val="auto"/>
          <w:szCs w:val="21"/>
          <w:highlight w:val="none"/>
        </w:rPr>
        <w:t>6</w:t>
      </w:r>
      <w:r>
        <w:rPr>
          <w:rFonts w:hint="eastAsia" w:ascii="宋体" w:hAnsi="宋体"/>
          <w:b/>
          <w:color w:val="auto"/>
          <w:szCs w:val="21"/>
          <w:highlight w:val="none"/>
        </w:rPr>
        <w:t>“书面形式”是指合同书、信件和数据电文（包括电报、电传、传真、短信、电子数据交换和电子邮件）等可以有形地表现所载内容的形式。</w:t>
      </w:r>
    </w:p>
    <w:p w14:paraId="504D8EC3">
      <w:pPr>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2.7</w:t>
      </w:r>
      <w:r>
        <w:rPr>
          <w:rFonts w:hint="eastAsia" w:ascii="宋体" w:hAnsi="宋体" w:cs="宋体"/>
          <w:color w:val="auto"/>
          <w:szCs w:val="21"/>
          <w:highlight w:val="none"/>
        </w:rPr>
        <w:t>“正偏离”，是指投标文件对招标文件“采购需求”中有关条款作出的响应优于条款要求并有利于采购人的情形。</w:t>
      </w:r>
    </w:p>
    <w:p w14:paraId="736C9A1E">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8“负偏离”，是指投标文件对招标文件“采购需求”中有关条款作出的响应不满足条款要求，导致采购人要求不能得到满足的情形。</w:t>
      </w:r>
    </w:p>
    <w:p w14:paraId="45016353">
      <w:pPr>
        <w:spacing w:line="360" w:lineRule="auto"/>
        <w:ind w:firstLine="480" w:firstLineChars="200"/>
        <w:rPr>
          <w:rFonts w:hint="eastAsia" w:ascii="黑体" w:hAnsi="黑体" w:eastAsia="黑体"/>
          <w:color w:val="auto"/>
          <w:sz w:val="24"/>
          <w:highlight w:val="none"/>
        </w:rPr>
      </w:pPr>
      <w:bookmarkStart w:id="52" w:name="_Toc254970670"/>
      <w:bookmarkStart w:id="53" w:name="_Toc254970529"/>
      <w:r>
        <w:rPr>
          <w:rFonts w:hint="eastAsia" w:ascii="黑体" w:hAnsi="黑体" w:eastAsia="黑体"/>
          <w:color w:val="auto"/>
          <w:sz w:val="24"/>
          <w:highlight w:val="none"/>
        </w:rPr>
        <w:t>3.</w:t>
      </w:r>
      <w:bookmarkEnd w:id="52"/>
      <w:bookmarkEnd w:id="53"/>
      <w:r>
        <w:rPr>
          <w:rFonts w:hint="eastAsia" w:ascii="黑体" w:hAnsi="黑体" w:eastAsia="黑体"/>
          <w:color w:val="auto"/>
          <w:sz w:val="24"/>
          <w:highlight w:val="none"/>
        </w:rPr>
        <w:t>投标人的资格要求</w:t>
      </w:r>
    </w:p>
    <w:p w14:paraId="6F4EF40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投标人的资格要求详见“招标公告”。</w:t>
      </w:r>
    </w:p>
    <w:p w14:paraId="03642FFA">
      <w:pPr>
        <w:spacing w:line="360" w:lineRule="auto"/>
        <w:ind w:firstLine="480" w:firstLineChars="200"/>
        <w:rPr>
          <w:rFonts w:hint="eastAsia" w:ascii="黑体" w:hAnsi="黑体" w:eastAsia="黑体"/>
          <w:color w:val="auto"/>
          <w:sz w:val="24"/>
          <w:highlight w:val="none"/>
        </w:rPr>
      </w:pPr>
      <w:bookmarkStart w:id="54" w:name="_Toc254970530"/>
      <w:bookmarkStart w:id="55" w:name="_Toc254970671"/>
      <w:r>
        <w:rPr>
          <w:rFonts w:hint="eastAsia" w:ascii="黑体" w:hAnsi="黑体" w:eastAsia="黑体"/>
          <w:color w:val="auto"/>
          <w:sz w:val="24"/>
          <w:highlight w:val="none"/>
        </w:rPr>
        <w:t>4.投标委托</w:t>
      </w:r>
      <w:bookmarkEnd w:id="54"/>
      <w:bookmarkEnd w:id="55"/>
    </w:p>
    <w:p w14:paraId="2590F7B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投标人代表参加投标活动过程中必须携带个人有效身份证件。如投标人代表不是法定代表人，须持有法定代表人授权委托书（按第六章要求格式填写）。</w:t>
      </w:r>
    </w:p>
    <w:p w14:paraId="10B221EB">
      <w:pPr>
        <w:spacing w:line="360" w:lineRule="auto"/>
        <w:ind w:firstLine="480" w:firstLineChars="200"/>
        <w:rPr>
          <w:rFonts w:hint="eastAsia" w:ascii="黑体" w:hAnsi="黑体" w:eastAsia="黑体"/>
          <w:color w:val="auto"/>
          <w:sz w:val="24"/>
          <w:highlight w:val="none"/>
        </w:rPr>
      </w:pPr>
      <w:bookmarkStart w:id="56" w:name="_5.投标费用"/>
      <w:bookmarkEnd w:id="56"/>
      <w:bookmarkStart w:id="57" w:name="_Toc254970531"/>
      <w:bookmarkStart w:id="58" w:name="_Toc254970672"/>
      <w:r>
        <w:rPr>
          <w:rFonts w:hint="eastAsia" w:ascii="黑体" w:hAnsi="黑体" w:eastAsia="黑体"/>
          <w:color w:val="auto"/>
          <w:sz w:val="24"/>
          <w:highlight w:val="none"/>
        </w:rPr>
        <w:t>5.投标费用</w:t>
      </w:r>
      <w:bookmarkEnd w:id="57"/>
      <w:bookmarkEnd w:id="58"/>
    </w:p>
    <w:p w14:paraId="289A3EB0">
      <w:pPr>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投标费用：投标人应承担参与本次采购活动有关的所有费用，包括但不限于勘查现场、编制投标文件、参加澄清说明、签订合同等，不论投标结果如何，均应自行承担。</w:t>
      </w:r>
    </w:p>
    <w:p w14:paraId="412292D5">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6.联合体投标</w:t>
      </w:r>
    </w:p>
    <w:p w14:paraId="3C2A5C3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6.1本项目是否接受联合体投标，详见“投标人须知前附表”。</w:t>
      </w:r>
    </w:p>
    <w:p w14:paraId="7909BADD">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6.2如接受联合体投标，联合体投标要求详见“投标人须知前附表”。</w:t>
      </w:r>
    </w:p>
    <w:p w14:paraId="600A3493">
      <w:pPr>
        <w:spacing w:line="360" w:lineRule="auto"/>
        <w:ind w:firstLine="420" w:firstLineChars="200"/>
        <w:rPr>
          <w:rFonts w:hint="eastAsia" w:ascii="Helvetica Neue"/>
          <w:color w:val="auto"/>
          <w:sz w:val="24"/>
          <w:highlight w:val="none"/>
          <w:shd w:val="clear" w:color="auto" w:fill="FFFFFF"/>
        </w:rPr>
      </w:pPr>
      <w:r>
        <w:rPr>
          <w:rFonts w:hint="eastAsia" w:ascii="宋体" w:hAnsi="宋体"/>
          <w:bCs/>
          <w:color w:val="auto"/>
          <w:szCs w:val="21"/>
          <w:highlight w:val="none"/>
        </w:rPr>
        <w:t>6.3根据《政府采购促进中小企业发展管理办法》(财库[2020]46 号) 第九条规定，接受大中型企业与小微企业组成联合体的采购项目，对于联合协议约定小微企业的合同份额占到合同总金额30%以上的，采购人、采购代理机构应当对联合体的报价给予4%-6%的扣除， 用扣除后的价格参加评审。组成联合体的小微企业与联合体内其他企业、分包企业之间存在直接控股、管理关系的，不享受价格扣除优惠政策。</w:t>
      </w:r>
    </w:p>
    <w:p w14:paraId="42D5E456">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 xml:space="preserve">7.转包与分包             </w:t>
      </w:r>
    </w:p>
    <w:p w14:paraId="59BAD1FF">
      <w:pPr>
        <w:spacing w:line="360" w:lineRule="auto"/>
        <w:ind w:firstLine="420" w:firstLineChars="200"/>
        <w:rPr>
          <w:rFonts w:hint="eastAsia" w:ascii="宋体" w:hAnsi="宋体"/>
          <w:b w:val="0"/>
          <w:bCs/>
          <w:color w:val="auto"/>
          <w:szCs w:val="21"/>
          <w:highlight w:val="none"/>
        </w:rPr>
      </w:pPr>
      <w:r>
        <w:rPr>
          <w:rFonts w:hint="eastAsia" w:ascii="宋体" w:hAnsi="宋体"/>
          <w:b w:val="0"/>
          <w:bCs/>
          <w:color w:val="auto"/>
          <w:szCs w:val="21"/>
          <w:highlight w:val="none"/>
        </w:rPr>
        <w:t>7.</w:t>
      </w:r>
      <w:r>
        <w:rPr>
          <w:rFonts w:ascii="宋体" w:hAnsi="宋体"/>
          <w:b w:val="0"/>
          <w:bCs/>
          <w:color w:val="auto"/>
          <w:szCs w:val="21"/>
          <w:highlight w:val="none"/>
        </w:rPr>
        <w:t>1</w:t>
      </w:r>
      <w:r>
        <w:rPr>
          <w:rFonts w:hint="eastAsia" w:ascii="宋体" w:hAnsi="宋体"/>
          <w:b w:val="0"/>
          <w:bCs/>
          <w:color w:val="auto"/>
          <w:szCs w:val="21"/>
          <w:highlight w:val="none"/>
        </w:rPr>
        <w:t>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6F6B802E">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7.</w:t>
      </w:r>
      <w:r>
        <w:rPr>
          <w:rFonts w:ascii="宋体" w:hAnsi="宋体"/>
          <w:bCs/>
          <w:color w:val="auto"/>
          <w:szCs w:val="21"/>
          <w:highlight w:val="none"/>
        </w:rPr>
        <w:t>2</w:t>
      </w:r>
      <w:r>
        <w:rPr>
          <w:rFonts w:hint="eastAsia" w:ascii="宋体" w:hAnsi="宋体"/>
          <w:bCs/>
          <w:color w:val="auto"/>
          <w:szCs w:val="21"/>
          <w:highlight w:val="none"/>
        </w:rPr>
        <w:t>根据《政府采购促进中小企业发展管理办法》（财库[2020]46号）</w:t>
      </w:r>
      <w:r>
        <w:rPr>
          <w:rFonts w:ascii="宋体" w:hAnsi="宋体"/>
          <w:bCs/>
          <w:color w:val="auto"/>
          <w:szCs w:val="21"/>
          <w:highlight w:val="none"/>
        </w:rPr>
        <w:t>第九条</w:t>
      </w:r>
      <w:r>
        <w:rPr>
          <w:rFonts w:hint="eastAsia" w:ascii="宋体" w:hAnsi="宋体"/>
          <w:bCs/>
          <w:color w:val="auto"/>
          <w:szCs w:val="21"/>
          <w:highlight w:val="none"/>
        </w:rPr>
        <w:t>规定，</w:t>
      </w:r>
      <w:r>
        <w:rPr>
          <w:rFonts w:ascii="宋体" w:hAnsi="宋体"/>
          <w:bCs/>
          <w:color w:val="auto"/>
          <w:szCs w:val="21"/>
          <w:highlight w:val="none"/>
        </w:rPr>
        <w:t xml:space="preserve">允许大中型企业向一家或者多家小微企业分包的采购项目，对于分包意向协议约定小微企业的合同份额占到合同总金额 30%以上的，采购人、采购代理机构应当对大中型企业的报价给予 </w:t>
      </w:r>
      <w:r>
        <w:rPr>
          <w:rFonts w:hint="eastAsia" w:ascii="宋体" w:hAnsi="宋体"/>
          <w:bCs/>
          <w:color w:val="auto"/>
          <w:szCs w:val="21"/>
          <w:highlight w:val="none"/>
          <w:lang w:val="en-US" w:eastAsia="zh-CN"/>
        </w:rPr>
        <w:t>4</w:t>
      </w:r>
      <w:r>
        <w:rPr>
          <w:rFonts w:ascii="宋体" w:hAnsi="宋体"/>
          <w:bCs/>
          <w:color w:val="auto"/>
          <w:szCs w:val="21"/>
          <w:highlight w:val="none"/>
        </w:rPr>
        <w:t>%-</w:t>
      </w:r>
      <w:r>
        <w:rPr>
          <w:rFonts w:hint="eastAsia" w:ascii="宋体" w:hAnsi="宋体"/>
          <w:bCs/>
          <w:color w:val="auto"/>
          <w:szCs w:val="21"/>
          <w:highlight w:val="none"/>
          <w:lang w:val="en-US" w:eastAsia="zh-CN"/>
        </w:rPr>
        <w:t>6</w:t>
      </w:r>
      <w:r>
        <w:rPr>
          <w:rFonts w:ascii="宋体" w:hAnsi="宋体"/>
          <w:bCs/>
          <w:color w:val="auto"/>
          <w:szCs w:val="21"/>
          <w:highlight w:val="none"/>
        </w:rPr>
        <w:t>%的扣除，用扣除后的价格参加评审。接受分包的小微企业与分包企业之间存在直接控股、管理关系的，不享受价格扣除优惠政策。</w:t>
      </w:r>
    </w:p>
    <w:p w14:paraId="0442C88E">
      <w:pPr>
        <w:spacing w:line="360" w:lineRule="auto"/>
        <w:ind w:firstLine="480" w:firstLineChars="200"/>
        <w:rPr>
          <w:rFonts w:hint="eastAsia" w:ascii="黑体" w:hAnsi="黑体" w:eastAsia="黑体"/>
          <w:color w:val="auto"/>
          <w:sz w:val="24"/>
          <w:highlight w:val="none"/>
        </w:rPr>
      </w:pPr>
      <w:bookmarkStart w:id="59" w:name="_Toc254970673"/>
      <w:bookmarkStart w:id="60" w:name="_Toc254970532"/>
      <w:r>
        <w:rPr>
          <w:rFonts w:hint="eastAsia" w:ascii="黑体" w:hAnsi="黑体" w:eastAsia="黑体"/>
          <w:color w:val="auto"/>
          <w:sz w:val="24"/>
          <w:highlight w:val="none"/>
        </w:rPr>
        <w:t>8.特别说明：</w:t>
      </w:r>
      <w:bookmarkEnd w:id="59"/>
      <w:bookmarkEnd w:id="60"/>
      <w:bookmarkStart w:id="61" w:name="_8.1提供相同品牌产品且通过资格审查、符合性审查的不同投标人参加同一合"/>
      <w:bookmarkEnd w:id="61"/>
    </w:p>
    <w:p w14:paraId="2BD381A6">
      <w:pPr>
        <w:spacing w:line="360" w:lineRule="auto"/>
        <w:ind w:firstLine="420" w:firstLineChars="200"/>
        <w:rPr>
          <w:rFonts w:hint="eastAsia" w:ascii="宋体" w:hAnsi="宋体"/>
          <w:b w:val="0"/>
          <w:bCs/>
          <w:color w:val="auto"/>
          <w:szCs w:val="21"/>
          <w:highlight w:val="none"/>
        </w:rPr>
      </w:pPr>
      <w:r>
        <w:rPr>
          <w:rFonts w:hint="eastAsia" w:ascii="宋体" w:hAnsi="宋体"/>
          <w:b w:val="0"/>
          <w:bCs/>
          <w:color w:val="auto"/>
          <w:szCs w:val="21"/>
          <w:highlight w:val="none"/>
        </w:rPr>
        <w:t>8.</w:t>
      </w:r>
      <w:r>
        <w:rPr>
          <w:rFonts w:ascii="宋体" w:hAnsi="宋体"/>
          <w:b w:val="0"/>
          <w:bCs/>
          <w:color w:val="auto"/>
          <w:szCs w:val="21"/>
          <w:highlight w:val="none"/>
        </w:rPr>
        <w:t>1</w:t>
      </w:r>
      <w:r>
        <w:rPr>
          <w:rFonts w:hint="eastAsia" w:ascii="宋体" w:hAnsi="宋体"/>
          <w:b w:val="0"/>
          <w:bCs/>
          <w:color w:val="auto"/>
          <w:szCs w:val="21"/>
          <w:highlight w:val="none"/>
        </w:rPr>
        <w:t>如果本招标文件要求投标人提供资格、信誉、荣誉、业绩与企业认证等材料的，则投标人所提供的以上材料必须为投标人所拥有。</w:t>
      </w:r>
    </w:p>
    <w:p w14:paraId="2EFC6DA5">
      <w:pPr>
        <w:spacing w:line="360" w:lineRule="auto"/>
        <w:ind w:firstLine="420" w:firstLineChars="200"/>
        <w:rPr>
          <w:rFonts w:hint="eastAsia" w:ascii="宋体" w:hAnsi="宋体"/>
          <w:b w:val="0"/>
          <w:bCs/>
          <w:color w:val="auto"/>
          <w:szCs w:val="21"/>
          <w:highlight w:val="none"/>
        </w:rPr>
      </w:pPr>
      <w:r>
        <w:rPr>
          <w:rFonts w:hint="eastAsia" w:ascii="宋体" w:hAnsi="宋体"/>
          <w:b w:val="0"/>
          <w:bCs/>
          <w:color w:val="auto"/>
          <w:szCs w:val="21"/>
          <w:highlight w:val="none"/>
        </w:rPr>
        <w:t>8.</w:t>
      </w:r>
      <w:r>
        <w:rPr>
          <w:rFonts w:ascii="宋体" w:hAnsi="宋体"/>
          <w:b w:val="0"/>
          <w:bCs/>
          <w:color w:val="auto"/>
          <w:szCs w:val="21"/>
          <w:highlight w:val="none"/>
        </w:rPr>
        <w:t>2</w:t>
      </w:r>
      <w:r>
        <w:rPr>
          <w:rFonts w:hint="eastAsia" w:ascii="宋体" w:hAnsi="宋体"/>
          <w:b w:val="0"/>
          <w:bCs/>
          <w:color w:val="auto"/>
          <w:szCs w:val="21"/>
          <w:highlight w:val="none"/>
        </w:rPr>
        <w:t>投标人应仔细阅读招标文件的所有内容，按照招标文件的要求提交投标文件，并对所提供的全部资料的真实性承担法律责任。</w:t>
      </w:r>
    </w:p>
    <w:p w14:paraId="39A2326E">
      <w:pPr>
        <w:spacing w:line="360" w:lineRule="auto"/>
        <w:ind w:firstLine="420" w:firstLineChars="200"/>
        <w:rPr>
          <w:rFonts w:hint="eastAsia" w:ascii="宋体" w:hAnsi="宋体"/>
          <w:b w:val="0"/>
          <w:bCs/>
          <w:color w:val="auto"/>
          <w:szCs w:val="21"/>
          <w:highlight w:val="none"/>
        </w:rPr>
      </w:pPr>
      <w:r>
        <w:rPr>
          <w:rFonts w:hint="eastAsia" w:ascii="宋体" w:hAnsi="宋体"/>
          <w:b w:val="0"/>
          <w:bCs/>
          <w:color w:val="auto"/>
          <w:szCs w:val="21"/>
          <w:highlight w:val="none"/>
        </w:rPr>
        <w:t>8.</w:t>
      </w:r>
      <w:r>
        <w:rPr>
          <w:rFonts w:ascii="宋体" w:hAnsi="宋体"/>
          <w:b w:val="0"/>
          <w:bCs/>
          <w:color w:val="auto"/>
          <w:szCs w:val="21"/>
          <w:highlight w:val="none"/>
        </w:rPr>
        <w:t>3</w:t>
      </w:r>
      <w:r>
        <w:rPr>
          <w:rFonts w:hint="eastAsia" w:ascii="宋体" w:hAnsi="宋体"/>
          <w:b w:val="0"/>
          <w:bCs/>
          <w:color w:val="auto"/>
          <w:szCs w:val="21"/>
          <w:highlight w:val="none"/>
        </w:rPr>
        <w:t>投标人在投标活动中提供任何虚假材料，将报监管部门查处；中标后发现的，中标人须依照《中华人民共和国消费者权益保护法》规定赔偿采购人，且民事赔偿并不免除违法投标人的行政与刑事责任。</w:t>
      </w:r>
    </w:p>
    <w:p w14:paraId="392FEED2">
      <w:pPr>
        <w:pStyle w:val="2"/>
        <w:ind w:firstLine="420" w:firstLineChars="200"/>
        <w:rPr>
          <w:rFonts w:hint="eastAsia" w:ascii="宋体" w:hAnsi="宋体" w:eastAsia="宋体" w:cs="Times New Roman"/>
          <w:b w:val="0"/>
          <w:bCs/>
          <w:color w:val="auto"/>
          <w:kern w:val="2"/>
          <w:sz w:val="21"/>
          <w:szCs w:val="21"/>
          <w:highlight w:val="none"/>
          <w:lang w:val="en-US" w:eastAsia="zh-CN" w:bidi="ar-SA"/>
        </w:rPr>
      </w:pPr>
      <w:r>
        <w:rPr>
          <w:rFonts w:hint="eastAsia" w:ascii="宋体" w:hAnsi="宋体" w:eastAsia="宋体" w:cs="Times New Roman"/>
          <w:b w:val="0"/>
          <w:bCs/>
          <w:color w:val="auto"/>
          <w:kern w:val="2"/>
          <w:sz w:val="21"/>
          <w:szCs w:val="21"/>
          <w:highlight w:val="none"/>
          <w:lang w:val="en-US" w:eastAsia="zh-CN" w:bidi="ar-SA"/>
        </w:rPr>
        <w:t>8.4 采用最低评标价法的采购项目， 提供相同品牌产品的不同投标人参加同一合同项下投标的，以其中通过资格审查、符合性审查且报价最低的参加评标； 报价相同的， 由采购人或者采购人委托评标委员会按照招标文件“投标人须知前附表”规定的方式确定一个参加评标的投标人，招标文件未规定的采取随机抽取方式确定， 其他投标无效。</w:t>
      </w:r>
    </w:p>
    <w:p w14:paraId="04B0122A">
      <w:pPr>
        <w:pStyle w:val="2"/>
        <w:ind w:firstLine="420" w:firstLineChars="200"/>
        <w:rPr>
          <w:rFonts w:hint="eastAsia" w:ascii="宋体" w:hAnsi="宋体" w:eastAsia="宋体" w:cs="Times New Roman"/>
          <w:b w:val="0"/>
          <w:bCs/>
          <w:color w:val="auto"/>
          <w:kern w:val="2"/>
          <w:sz w:val="21"/>
          <w:szCs w:val="21"/>
          <w:highlight w:val="none"/>
          <w:lang w:val="en-US" w:eastAsia="zh-CN" w:bidi="ar-SA"/>
        </w:rPr>
      </w:pPr>
      <w:r>
        <w:rPr>
          <w:rFonts w:hint="eastAsia" w:ascii="宋体" w:hAnsi="宋体" w:eastAsia="宋体" w:cs="Times New Roman"/>
          <w:b w:val="0"/>
          <w:bCs/>
          <w:color w:val="auto"/>
          <w:kern w:val="2"/>
          <w:sz w:val="21"/>
          <w:szCs w:val="21"/>
          <w:highlight w:val="none"/>
          <w:lang w:val="en-US" w:eastAsia="zh-CN" w:bidi="ar-SA"/>
        </w:rPr>
        <w:t>8.5 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投标人须知前附表”规定的方式确定一个</w:t>
      </w:r>
    </w:p>
    <w:p w14:paraId="4306502D">
      <w:pPr>
        <w:pStyle w:val="2"/>
        <w:rPr>
          <w:rFonts w:hint="eastAsia" w:ascii="宋体" w:hAnsi="宋体" w:eastAsia="宋体" w:cs="Times New Roman"/>
          <w:b w:val="0"/>
          <w:bCs/>
          <w:color w:val="auto"/>
          <w:kern w:val="2"/>
          <w:sz w:val="21"/>
          <w:szCs w:val="21"/>
          <w:highlight w:val="none"/>
          <w:lang w:val="en-US" w:eastAsia="zh-CN" w:bidi="ar-SA"/>
        </w:rPr>
      </w:pPr>
      <w:r>
        <w:rPr>
          <w:rFonts w:hint="eastAsia" w:ascii="宋体" w:hAnsi="宋体" w:eastAsia="宋体" w:cs="Times New Roman"/>
          <w:b w:val="0"/>
          <w:bCs/>
          <w:color w:val="auto"/>
          <w:kern w:val="2"/>
          <w:sz w:val="21"/>
          <w:szCs w:val="21"/>
          <w:highlight w:val="none"/>
          <w:lang w:val="en-US" w:eastAsia="zh-CN" w:bidi="ar-SA"/>
        </w:rPr>
        <w:t>投标人获得中标人推荐资格， 招标文件未规定的采取随机抽取方式确定，其他同品牌投标人不作为中标候选人。</w:t>
      </w:r>
    </w:p>
    <w:p w14:paraId="33FDD5B0">
      <w:pPr>
        <w:pStyle w:val="2"/>
        <w:ind w:firstLine="420" w:firstLineChars="200"/>
        <w:rPr>
          <w:rFonts w:hint="eastAsia" w:ascii="宋体" w:hAnsi="宋体" w:eastAsia="宋体" w:cs="Times New Roman"/>
          <w:b w:val="0"/>
          <w:bCs/>
          <w:color w:val="auto"/>
          <w:kern w:val="2"/>
          <w:sz w:val="21"/>
          <w:szCs w:val="21"/>
          <w:highlight w:val="none"/>
          <w:lang w:val="en-US" w:eastAsia="zh-CN" w:bidi="ar-SA"/>
        </w:rPr>
      </w:pPr>
      <w:r>
        <w:rPr>
          <w:rFonts w:hint="eastAsia" w:ascii="宋体" w:hAnsi="宋体" w:eastAsia="宋体" w:cs="Times New Roman"/>
          <w:b w:val="0"/>
          <w:bCs/>
          <w:color w:val="auto"/>
          <w:kern w:val="2"/>
          <w:sz w:val="21"/>
          <w:szCs w:val="21"/>
          <w:highlight w:val="none"/>
          <w:lang w:val="en-US" w:eastAsia="zh-CN" w:bidi="ar-SA"/>
        </w:rPr>
        <w:t>8.6 非单一产品采购项目，采购人应当根据采购项目技术构成、产品价格比重等合理确定核心产品，并在招标文件中载明。多家投标人提供的核心产品品牌相同的，按前两款规定处理。</w:t>
      </w:r>
    </w:p>
    <w:p w14:paraId="3C4E009A">
      <w:pPr>
        <w:spacing w:line="360" w:lineRule="auto"/>
        <w:ind w:firstLine="480" w:firstLineChars="200"/>
        <w:rPr>
          <w:color w:val="auto"/>
          <w:highlight w:val="none"/>
        </w:rPr>
      </w:pPr>
      <w:r>
        <w:rPr>
          <w:rFonts w:ascii="黑体" w:hAnsi="黑体" w:eastAsia="黑体"/>
          <w:color w:val="auto"/>
          <w:sz w:val="24"/>
          <w:highlight w:val="none"/>
        </w:rPr>
        <w:t>9.</w:t>
      </w:r>
      <w:r>
        <w:rPr>
          <w:rFonts w:hint="eastAsia" w:ascii="黑体" w:hAnsi="黑体" w:eastAsia="黑体"/>
          <w:color w:val="auto"/>
          <w:sz w:val="24"/>
          <w:highlight w:val="none"/>
        </w:rPr>
        <w:t>回避与串通投标</w:t>
      </w:r>
    </w:p>
    <w:p w14:paraId="23A66939">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9</w:t>
      </w:r>
      <w:r>
        <w:rPr>
          <w:rFonts w:ascii="宋体" w:hAnsi="宋体"/>
          <w:b/>
          <w:color w:val="auto"/>
          <w:szCs w:val="21"/>
          <w:highlight w:val="none"/>
        </w:rPr>
        <w:t>.1在政府采购活动中，采购人员及相关人员与</w:t>
      </w:r>
      <w:r>
        <w:rPr>
          <w:rFonts w:hint="eastAsia" w:ascii="宋体" w:hAnsi="宋体"/>
          <w:b/>
          <w:color w:val="auto"/>
          <w:szCs w:val="21"/>
          <w:highlight w:val="none"/>
        </w:rPr>
        <w:t>供应商</w:t>
      </w:r>
      <w:r>
        <w:rPr>
          <w:rFonts w:ascii="宋体" w:hAnsi="宋体"/>
          <w:b/>
          <w:color w:val="auto"/>
          <w:szCs w:val="21"/>
          <w:highlight w:val="none"/>
        </w:rPr>
        <w:t>有下列利害关系之一的，应当回避：</w:t>
      </w:r>
    </w:p>
    <w:p w14:paraId="6659682F">
      <w:pPr>
        <w:spacing w:line="360" w:lineRule="auto"/>
        <w:ind w:firstLine="420" w:firstLineChars="200"/>
        <w:rPr>
          <w:rFonts w:hAnsi="宋体"/>
          <w:color w:val="auto"/>
          <w:highlight w:val="none"/>
        </w:rPr>
      </w:pPr>
      <w:r>
        <w:rPr>
          <w:rFonts w:hAnsi="宋体"/>
          <w:color w:val="auto"/>
          <w:highlight w:val="none"/>
        </w:rPr>
        <w:t>（</w:t>
      </w:r>
      <w:r>
        <w:rPr>
          <w:rFonts w:hint="eastAsia" w:hAnsi="宋体"/>
          <w:color w:val="auto"/>
          <w:highlight w:val="none"/>
        </w:rPr>
        <w:t>1</w:t>
      </w:r>
      <w:r>
        <w:rPr>
          <w:rFonts w:hAnsi="宋体"/>
          <w:color w:val="auto"/>
          <w:highlight w:val="none"/>
        </w:rPr>
        <w:t>）参加采购活动前3年内与</w:t>
      </w:r>
      <w:r>
        <w:rPr>
          <w:rFonts w:hint="eastAsia" w:hAnsi="宋体"/>
          <w:color w:val="auto"/>
          <w:highlight w:val="none"/>
        </w:rPr>
        <w:t>供应商</w:t>
      </w:r>
      <w:r>
        <w:rPr>
          <w:rFonts w:hAnsi="宋体"/>
          <w:color w:val="auto"/>
          <w:highlight w:val="none"/>
        </w:rPr>
        <w:t>存在劳动关系；</w:t>
      </w:r>
    </w:p>
    <w:p w14:paraId="275C73F5">
      <w:pPr>
        <w:spacing w:line="360" w:lineRule="auto"/>
        <w:ind w:firstLine="420" w:firstLineChars="200"/>
        <w:rPr>
          <w:rFonts w:hAnsi="宋体"/>
          <w:color w:val="auto"/>
          <w:highlight w:val="none"/>
        </w:rPr>
      </w:pPr>
      <w:r>
        <w:rPr>
          <w:rFonts w:hAnsi="宋体"/>
          <w:color w:val="auto"/>
          <w:highlight w:val="none"/>
        </w:rPr>
        <w:t>（</w:t>
      </w:r>
      <w:r>
        <w:rPr>
          <w:rFonts w:hint="eastAsia" w:hAnsi="宋体"/>
          <w:color w:val="auto"/>
          <w:highlight w:val="none"/>
        </w:rPr>
        <w:t>2</w:t>
      </w:r>
      <w:r>
        <w:rPr>
          <w:rFonts w:hAnsi="宋体"/>
          <w:color w:val="auto"/>
          <w:highlight w:val="none"/>
        </w:rPr>
        <w:t>）参加采购活动前3年内担任</w:t>
      </w:r>
      <w:r>
        <w:rPr>
          <w:rFonts w:hint="eastAsia" w:hAnsi="宋体"/>
          <w:color w:val="auto"/>
          <w:highlight w:val="none"/>
        </w:rPr>
        <w:t>供应商</w:t>
      </w:r>
      <w:r>
        <w:rPr>
          <w:rFonts w:hAnsi="宋体"/>
          <w:color w:val="auto"/>
          <w:highlight w:val="none"/>
        </w:rPr>
        <w:t>的董事、监事；</w:t>
      </w:r>
    </w:p>
    <w:p w14:paraId="65CD1965">
      <w:pPr>
        <w:spacing w:line="360" w:lineRule="auto"/>
        <w:ind w:firstLine="420" w:firstLineChars="200"/>
        <w:rPr>
          <w:rFonts w:hAnsi="宋体"/>
          <w:color w:val="auto"/>
          <w:highlight w:val="none"/>
        </w:rPr>
      </w:pPr>
      <w:r>
        <w:rPr>
          <w:rFonts w:hAnsi="宋体"/>
          <w:color w:val="auto"/>
          <w:highlight w:val="none"/>
        </w:rPr>
        <w:t>（</w:t>
      </w:r>
      <w:r>
        <w:rPr>
          <w:rFonts w:hint="eastAsia" w:hAnsi="宋体"/>
          <w:color w:val="auto"/>
          <w:highlight w:val="none"/>
        </w:rPr>
        <w:t>3</w:t>
      </w:r>
      <w:r>
        <w:rPr>
          <w:rFonts w:hAnsi="宋体"/>
          <w:color w:val="auto"/>
          <w:highlight w:val="none"/>
        </w:rPr>
        <w:t>）参加采购活动前3年内是</w:t>
      </w:r>
      <w:r>
        <w:rPr>
          <w:rFonts w:hint="eastAsia" w:hAnsi="宋体"/>
          <w:color w:val="auto"/>
          <w:highlight w:val="none"/>
        </w:rPr>
        <w:t>供应商</w:t>
      </w:r>
      <w:r>
        <w:rPr>
          <w:rFonts w:hAnsi="宋体"/>
          <w:color w:val="auto"/>
          <w:highlight w:val="none"/>
        </w:rPr>
        <w:t>的控股股东或者实际控制人；</w:t>
      </w:r>
    </w:p>
    <w:p w14:paraId="5D3D152E">
      <w:pPr>
        <w:spacing w:line="360" w:lineRule="auto"/>
        <w:ind w:firstLine="420" w:firstLineChars="200"/>
        <w:rPr>
          <w:rFonts w:hAnsi="宋体"/>
          <w:color w:val="auto"/>
          <w:highlight w:val="none"/>
        </w:rPr>
      </w:pPr>
      <w:r>
        <w:rPr>
          <w:rFonts w:hAnsi="宋体"/>
          <w:color w:val="auto"/>
          <w:highlight w:val="none"/>
        </w:rPr>
        <w:t>（</w:t>
      </w:r>
      <w:r>
        <w:rPr>
          <w:rFonts w:hint="eastAsia" w:hAnsi="宋体"/>
          <w:color w:val="auto"/>
          <w:highlight w:val="none"/>
        </w:rPr>
        <w:t>4</w:t>
      </w:r>
      <w:r>
        <w:rPr>
          <w:rFonts w:hAnsi="宋体"/>
          <w:color w:val="auto"/>
          <w:highlight w:val="none"/>
        </w:rPr>
        <w:t>）与</w:t>
      </w:r>
      <w:r>
        <w:rPr>
          <w:rFonts w:hint="eastAsia" w:hAnsi="宋体"/>
          <w:color w:val="auto"/>
          <w:highlight w:val="none"/>
        </w:rPr>
        <w:t>供应商</w:t>
      </w:r>
      <w:r>
        <w:rPr>
          <w:rFonts w:hAnsi="宋体"/>
          <w:color w:val="auto"/>
          <w:highlight w:val="none"/>
        </w:rPr>
        <w:t>的法定代表人或者负责人有夫妻、直系血亲、三代以内旁系血亲或者近姻亲关系；</w:t>
      </w:r>
    </w:p>
    <w:p w14:paraId="3316ACD4">
      <w:pPr>
        <w:spacing w:line="360" w:lineRule="auto"/>
        <w:ind w:firstLine="420" w:firstLineChars="200"/>
        <w:rPr>
          <w:rFonts w:hAnsi="宋体"/>
          <w:color w:val="auto"/>
          <w:highlight w:val="none"/>
        </w:rPr>
      </w:pPr>
      <w:r>
        <w:rPr>
          <w:rFonts w:hAnsi="宋体"/>
          <w:color w:val="auto"/>
          <w:highlight w:val="none"/>
        </w:rPr>
        <w:t>（</w:t>
      </w:r>
      <w:r>
        <w:rPr>
          <w:rFonts w:hint="eastAsia" w:hAnsi="宋体"/>
          <w:color w:val="auto"/>
          <w:highlight w:val="none"/>
        </w:rPr>
        <w:t>5</w:t>
      </w:r>
      <w:r>
        <w:rPr>
          <w:rFonts w:hAnsi="宋体"/>
          <w:color w:val="auto"/>
          <w:highlight w:val="none"/>
        </w:rPr>
        <w:t>）与</w:t>
      </w:r>
      <w:r>
        <w:rPr>
          <w:rFonts w:hint="eastAsia" w:hAnsi="宋体"/>
          <w:color w:val="auto"/>
          <w:highlight w:val="none"/>
        </w:rPr>
        <w:t>供应商</w:t>
      </w:r>
      <w:r>
        <w:rPr>
          <w:rFonts w:hAnsi="宋体"/>
          <w:color w:val="auto"/>
          <w:highlight w:val="none"/>
        </w:rPr>
        <w:t>有其他可能影响政府采购活动公平、公正进行的关系。</w:t>
      </w:r>
    </w:p>
    <w:p w14:paraId="3AF7AEA4">
      <w:pPr>
        <w:spacing w:line="360" w:lineRule="auto"/>
        <w:ind w:firstLine="420" w:firstLineChars="200"/>
        <w:rPr>
          <w:rFonts w:hint="eastAsia" w:hAnsi="宋体"/>
          <w:color w:val="auto"/>
          <w:highlight w:val="none"/>
        </w:rPr>
      </w:pPr>
      <w:r>
        <w:rPr>
          <w:rFonts w:hint="eastAsia" w:hAnsi="宋体"/>
          <w:color w:val="auto"/>
          <w:highlight w:val="none"/>
        </w:rPr>
        <w:t>供应商</w:t>
      </w:r>
      <w:r>
        <w:rPr>
          <w:rFonts w:hAnsi="宋体"/>
          <w:color w:val="auto"/>
          <w:highlight w:val="none"/>
        </w:rPr>
        <w:t>认为采购人员及相关人员与其他</w:t>
      </w:r>
      <w:r>
        <w:rPr>
          <w:rFonts w:hint="eastAsia" w:hAnsi="宋体"/>
          <w:color w:val="auto"/>
          <w:highlight w:val="none"/>
        </w:rPr>
        <w:t>供应商</w:t>
      </w:r>
      <w:r>
        <w:rPr>
          <w:rFonts w:hAnsi="宋体"/>
          <w:color w:val="auto"/>
          <w:highlight w:val="none"/>
        </w:rPr>
        <w:t>有利害关系的，可以向采购人或者采购代理机构书面提出回避申请，并说明理由。采购人或者采购代理机构应当及时询问被申请回避人员，有利害关系的被申请回避人员应当回避。</w:t>
      </w:r>
    </w:p>
    <w:p w14:paraId="7F9C98E3">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9.2</w:t>
      </w:r>
      <w:r>
        <w:rPr>
          <w:rFonts w:hint="eastAsia" w:ascii="宋体" w:hAnsi="宋体"/>
          <w:color w:val="auto"/>
          <w:szCs w:val="21"/>
          <w:highlight w:val="none"/>
        </w:rPr>
        <w:t>有下列情形之一的视为投标人相互串通投标，投标文件将被视为无效：</w:t>
      </w:r>
    </w:p>
    <w:p w14:paraId="2C43A18C">
      <w:pPr>
        <w:spacing w:line="360" w:lineRule="auto"/>
        <w:ind w:firstLine="422" w:firstLineChars="200"/>
        <w:rPr>
          <w:rFonts w:hint="eastAsia" w:hAnsi="宋体"/>
          <w:b/>
          <w:color w:val="auto"/>
          <w:highlight w:val="none"/>
        </w:rPr>
      </w:pPr>
      <w:r>
        <w:rPr>
          <w:rFonts w:hint="eastAsia" w:hAnsi="宋体"/>
          <w:b/>
          <w:color w:val="auto"/>
          <w:highlight w:val="none"/>
        </w:rPr>
        <w:t>（1）不同投标人的投标文件由同一单位或者个人编制；或者不同投标人报名的IP地址一致的；</w:t>
      </w:r>
    </w:p>
    <w:p w14:paraId="213F391F">
      <w:pPr>
        <w:spacing w:line="360" w:lineRule="auto"/>
        <w:ind w:firstLine="422" w:firstLineChars="200"/>
        <w:rPr>
          <w:rFonts w:hint="eastAsia" w:hAnsi="宋体"/>
          <w:b/>
          <w:color w:val="auto"/>
          <w:highlight w:val="none"/>
        </w:rPr>
      </w:pPr>
      <w:r>
        <w:rPr>
          <w:rFonts w:hint="eastAsia" w:hAnsi="宋体"/>
          <w:b/>
          <w:color w:val="auto"/>
          <w:highlight w:val="none"/>
        </w:rPr>
        <w:t>（2）不同投标人委托同一单位或者个人办理投标事宜；</w:t>
      </w:r>
    </w:p>
    <w:p w14:paraId="0F1D5907">
      <w:pPr>
        <w:spacing w:line="360" w:lineRule="auto"/>
        <w:ind w:firstLine="422" w:firstLineChars="200"/>
        <w:rPr>
          <w:rFonts w:hint="eastAsia" w:hAnsi="宋体"/>
          <w:b/>
          <w:color w:val="auto"/>
          <w:highlight w:val="none"/>
        </w:rPr>
      </w:pPr>
      <w:r>
        <w:rPr>
          <w:rFonts w:hint="eastAsia" w:hAnsi="宋体"/>
          <w:b/>
          <w:color w:val="auto"/>
          <w:highlight w:val="none"/>
        </w:rPr>
        <w:t>（3）不同的投标人的投标文件载明的项目管理员为同一个人；</w:t>
      </w:r>
    </w:p>
    <w:p w14:paraId="7ED5F8FC">
      <w:pPr>
        <w:spacing w:line="360" w:lineRule="auto"/>
        <w:ind w:firstLine="422" w:firstLineChars="200"/>
        <w:rPr>
          <w:rFonts w:hint="eastAsia" w:hAnsi="宋体"/>
          <w:b/>
          <w:color w:val="auto"/>
          <w:highlight w:val="none"/>
        </w:rPr>
      </w:pPr>
      <w:r>
        <w:rPr>
          <w:rFonts w:hint="eastAsia" w:hAnsi="宋体"/>
          <w:b/>
          <w:color w:val="auto"/>
          <w:highlight w:val="none"/>
        </w:rPr>
        <w:t>（4）不同投标人的电子或纸质投标文件异常一致或者投标报价呈规律性差异；</w:t>
      </w:r>
    </w:p>
    <w:p w14:paraId="4576FFD7">
      <w:pPr>
        <w:spacing w:line="360" w:lineRule="auto"/>
        <w:ind w:firstLine="422" w:firstLineChars="200"/>
        <w:rPr>
          <w:rFonts w:hint="eastAsia" w:hAnsi="宋体"/>
          <w:b/>
          <w:color w:val="auto"/>
          <w:highlight w:val="none"/>
        </w:rPr>
      </w:pPr>
      <w:r>
        <w:rPr>
          <w:rFonts w:hint="eastAsia" w:hAnsi="宋体"/>
          <w:b/>
          <w:color w:val="auto"/>
          <w:highlight w:val="none"/>
        </w:rPr>
        <w:t>（5）不同投标人的纸质投标文件相互混装；</w:t>
      </w:r>
    </w:p>
    <w:p w14:paraId="69599F3D">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9.3</w:t>
      </w:r>
      <w:r>
        <w:rPr>
          <w:rFonts w:hint="eastAsia" w:ascii="宋体" w:hAnsi="宋体"/>
          <w:color w:val="auto"/>
          <w:szCs w:val="21"/>
          <w:highlight w:val="none"/>
        </w:rPr>
        <w:t>供应商有下列情形之一的，属于恶意串通行为，将报同级监督管理部门：</w:t>
      </w:r>
    </w:p>
    <w:p w14:paraId="2062CBF5">
      <w:pPr>
        <w:spacing w:line="360" w:lineRule="auto"/>
        <w:ind w:firstLine="420" w:firstLineChars="200"/>
        <w:rPr>
          <w:rFonts w:hint="eastAsia" w:hAnsi="宋体"/>
          <w:color w:val="auto"/>
          <w:highlight w:val="none"/>
        </w:rPr>
      </w:pPr>
      <w:r>
        <w:rPr>
          <w:rFonts w:hint="eastAsia" w:hAnsi="宋体"/>
          <w:color w:val="auto"/>
          <w:highlight w:val="none"/>
        </w:rPr>
        <w:t>（1）供应商直接或者间接从采购人或者采购代理机构处获得其他供应商的相关信息并修改其投标文件或者投标文件；</w:t>
      </w:r>
    </w:p>
    <w:p w14:paraId="5279173A">
      <w:pPr>
        <w:spacing w:line="360" w:lineRule="auto"/>
        <w:ind w:firstLine="420" w:firstLineChars="200"/>
        <w:rPr>
          <w:rFonts w:hint="eastAsia" w:hAnsi="宋体"/>
          <w:color w:val="auto"/>
          <w:highlight w:val="none"/>
        </w:rPr>
      </w:pPr>
      <w:r>
        <w:rPr>
          <w:rFonts w:hint="eastAsia" w:hAnsi="宋体"/>
          <w:color w:val="auto"/>
          <w:highlight w:val="none"/>
        </w:rPr>
        <w:t>（2）供应商按照采购人或者采购代理机构的授意撤换、修改投标文件或者投标文件；</w:t>
      </w:r>
    </w:p>
    <w:p w14:paraId="5D603531">
      <w:pPr>
        <w:spacing w:line="360" w:lineRule="auto"/>
        <w:ind w:firstLine="420" w:firstLineChars="200"/>
        <w:rPr>
          <w:rFonts w:hint="eastAsia" w:hAnsi="宋体"/>
          <w:color w:val="auto"/>
          <w:highlight w:val="none"/>
        </w:rPr>
      </w:pPr>
      <w:r>
        <w:rPr>
          <w:rFonts w:hint="eastAsia" w:hAnsi="宋体"/>
          <w:color w:val="auto"/>
          <w:highlight w:val="none"/>
        </w:rPr>
        <w:t>（3）供应商之间协商报价、技术方案等投标文件或者投标文件的实质性内容；</w:t>
      </w:r>
    </w:p>
    <w:p w14:paraId="0F166DD6">
      <w:pPr>
        <w:spacing w:line="360" w:lineRule="auto"/>
        <w:ind w:firstLine="420" w:firstLineChars="200"/>
        <w:rPr>
          <w:rFonts w:hint="eastAsia" w:hAnsi="宋体"/>
          <w:color w:val="auto"/>
          <w:highlight w:val="none"/>
        </w:rPr>
      </w:pPr>
      <w:r>
        <w:rPr>
          <w:rFonts w:hint="eastAsia" w:hAnsi="宋体"/>
          <w:color w:val="auto"/>
          <w:highlight w:val="none"/>
        </w:rPr>
        <w:t>（4）属于同一集团、协会、商会等组织成员的供应商按照该组织要求协同参加政府采购活动；</w:t>
      </w:r>
    </w:p>
    <w:p w14:paraId="4216040F">
      <w:pPr>
        <w:spacing w:line="360" w:lineRule="auto"/>
        <w:ind w:firstLine="420" w:firstLineChars="200"/>
        <w:rPr>
          <w:rFonts w:hint="eastAsia" w:hAnsi="宋体"/>
          <w:color w:val="auto"/>
          <w:highlight w:val="none"/>
        </w:rPr>
      </w:pPr>
      <w:r>
        <w:rPr>
          <w:rFonts w:hint="eastAsia" w:hAnsi="宋体"/>
          <w:color w:val="auto"/>
          <w:highlight w:val="none"/>
        </w:rPr>
        <w:t>（5）供应商之间事先约定一致抬高或者压低投标报价，或者在招标项目中事先约定轮流以高价位或者低价位中标，或者事先约定由某一特定供应商中标，然后再参加投标；</w:t>
      </w:r>
    </w:p>
    <w:p w14:paraId="2DB33018">
      <w:pPr>
        <w:spacing w:line="360" w:lineRule="auto"/>
        <w:ind w:firstLine="420" w:firstLineChars="200"/>
        <w:rPr>
          <w:rFonts w:hint="eastAsia" w:hAnsi="宋体"/>
          <w:color w:val="auto"/>
          <w:highlight w:val="none"/>
        </w:rPr>
      </w:pPr>
      <w:r>
        <w:rPr>
          <w:rFonts w:hint="eastAsia" w:hAnsi="宋体"/>
          <w:color w:val="auto"/>
          <w:highlight w:val="none"/>
        </w:rPr>
        <w:t>（6）供应商之间商定部分供应商放弃参加政府采购活动或者放弃中标；</w:t>
      </w:r>
    </w:p>
    <w:p w14:paraId="7638A7F9">
      <w:pPr>
        <w:spacing w:line="360" w:lineRule="auto"/>
        <w:ind w:firstLine="420" w:firstLineChars="200"/>
        <w:rPr>
          <w:rFonts w:hAnsi="宋体"/>
          <w:color w:val="auto"/>
          <w:highlight w:val="none"/>
        </w:rPr>
      </w:pPr>
      <w:r>
        <w:rPr>
          <w:rFonts w:hint="eastAsia" w:hAnsi="宋体"/>
          <w:color w:val="auto"/>
          <w:highlight w:val="none"/>
        </w:rPr>
        <w:t>（7）供应商与采购人或者采购代理机构之间、供应商相互之间，为谋求特定供应商中标或者排斥其他供应商的其他串通行为。</w:t>
      </w:r>
    </w:p>
    <w:p w14:paraId="0071F3A4">
      <w:pPr>
        <w:pStyle w:val="18"/>
        <w:snapToGrid w:val="0"/>
        <w:spacing w:line="360" w:lineRule="auto"/>
        <w:ind w:left="2" w:leftChars="1" w:firstLine="422" w:firstLineChars="200"/>
        <w:rPr>
          <w:rFonts w:hint="eastAsia" w:hAnsi="宋体"/>
          <w:b/>
          <w:color w:val="auto"/>
          <w:highlight w:val="none"/>
        </w:rPr>
      </w:pPr>
    </w:p>
    <w:p w14:paraId="3C0F2B54">
      <w:pPr>
        <w:pStyle w:val="6"/>
        <w:keepNext w:val="0"/>
        <w:keepLines w:val="0"/>
        <w:spacing w:line="400" w:lineRule="exact"/>
        <w:jc w:val="center"/>
        <w:rPr>
          <w:rFonts w:hint="eastAsia"/>
          <w:color w:val="auto"/>
          <w:highlight w:val="none"/>
        </w:rPr>
      </w:pPr>
      <w:bookmarkStart w:id="62" w:name="_Toc80092996"/>
      <w:bookmarkStart w:id="63" w:name="_Toc254970675"/>
      <w:bookmarkStart w:id="64" w:name="_Toc254970534"/>
      <w:r>
        <w:rPr>
          <w:rFonts w:hint="eastAsia"/>
          <w:color w:val="auto"/>
          <w:highlight w:val="none"/>
        </w:rPr>
        <w:t>二、招标文件</w:t>
      </w:r>
      <w:bookmarkEnd w:id="62"/>
      <w:bookmarkEnd w:id="63"/>
      <w:bookmarkEnd w:id="64"/>
    </w:p>
    <w:p w14:paraId="760A1724">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10.招标文件的组成</w:t>
      </w:r>
    </w:p>
    <w:p w14:paraId="423551B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第一章 招标公告；</w:t>
      </w:r>
    </w:p>
    <w:p w14:paraId="2EA6F27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第二章 采购需求； </w:t>
      </w:r>
    </w:p>
    <w:p w14:paraId="5996F45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第三章 投标人须知；</w:t>
      </w:r>
    </w:p>
    <w:p w14:paraId="02D382B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第四章 评标方法及评标标准；</w:t>
      </w:r>
    </w:p>
    <w:p w14:paraId="62C35A6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第五章 拟签订的合同文本；</w:t>
      </w:r>
    </w:p>
    <w:p w14:paraId="5907850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第六章 投标文件格式；</w:t>
      </w:r>
    </w:p>
    <w:p w14:paraId="32356C7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第七章 质疑、投诉材料格式</w:t>
      </w:r>
    </w:p>
    <w:p w14:paraId="526129E9">
      <w:pPr>
        <w:spacing w:line="360" w:lineRule="auto"/>
        <w:ind w:firstLine="420" w:firstLineChars="200"/>
        <w:rPr>
          <w:rFonts w:hint="eastAsia" w:hAnsi="宋体"/>
          <w:color w:val="auto"/>
          <w:highlight w:val="none"/>
        </w:rPr>
      </w:pPr>
      <w:r>
        <w:rPr>
          <w:rFonts w:hint="eastAsia" w:hAnsi="宋体"/>
          <w:color w:val="auto"/>
          <w:highlight w:val="none"/>
        </w:rPr>
        <w:t>根据本章第11.1项的规定对公开招标文件所做的澄清、修改，构成招标文件的组成部分。当公开招标文件与招标文件的澄清和修改就同一内容的表述不一致时，</w:t>
      </w:r>
      <w:r>
        <w:rPr>
          <w:rFonts w:hint="eastAsia"/>
          <w:color w:val="auto"/>
          <w:highlight w:val="none"/>
        </w:rPr>
        <w:t>以最后澄清或修改公告为准。</w:t>
      </w:r>
    </w:p>
    <w:p w14:paraId="27422FF4">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11.招标文件的澄清、修改 、现场考察和答疑会</w:t>
      </w:r>
    </w:p>
    <w:p w14:paraId="18DD4289">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705EA51E">
      <w:pPr>
        <w:spacing w:line="360" w:lineRule="auto"/>
        <w:ind w:firstLine="420" w:firstLineChars="200"/>
        <w:rPr>
          <w:rFonts w:hint="eastAsia" w:hAnsi="宋体"/>
          <w:color w:val="auto"/>
          <w:highlight w:val="none"/>
        </w:rPr>
      </w:pPr>
      <w:r>
        <w:rPr>
          <w:rFonts w:hint="eastAsia" w:hAnsi="宋体"/>
          <w:color w:val="auto"/>
          <w:highlight w:val="none"/>
        </w:rPr>
        <w:t>11.2 投标人应认真审阅本公开招标文件，如有疑问，或发现其中有误或有要求不合理的，应在投标人须知前附表规定的</w:t>
      </w:r>
      <w:r>
        <w:rPr>
          <w:rFonts w:hint="eastAsia" w:cs="宋体"/>
          <w:color w:val="auto"/>
          <w:kern w:val="0"/>
          <w:szCs w:val="21"/>
          <w:highlight w:val="none"/>
        </w:rPr>
        <w:t>投标截止时间</w:t>
      </w:r>
      <w:r>
        <w:rPr>
          <w:rFonts w:hint="eastAsia" w:hAnsi="宋体"/>
          <w:color w:val="auto"/>
          <w:highlight w:val="none"/>
        </w:rPr>
        <w:t>前以书面形式要求采购人或采购代理机构对招标文件予以澄清；否则，由此产生的后果由投标人自行负责。</w:t>
      </w:r>
    </w:p>
    <w:p w14:paraId="03A34C68">
      <w:pPr>
        <w:spacing w:line="360" w:lineRule="auto"/>
        <w:ind w:firstLine="420" w:firstLineChars="200"/>
        <w:rPr>
          <w:rFonts w:hint="eastAsia"/>
          <w:color w:val="auto"/>
          <w:highlight w:val="none"/>
        </w:rPr>
      </w:pPr>
      <w:r>
        <w:rPr>
          <w:rFonts w:hint="eastAsia" w:hAnsi="宋体"/>
          <w:color w:val="auto"/>
          <w:highlight w:val="none"/>
        </w:rPr>
        <w:t>11.3 采购人或者采购代理机构可以对已发出的招标文件进行必要的澄清或者修改。澄清或者修改的内容可能影响投标文件编制的，采购人或者采购代理机构应当在投标截止时间至少15日前，以书面形式通知(在规定的政府采购信息发布媒体上发布更正公告及平台短信通知)所有获取招标文件的潜在投标人；不足15日的，采购人或者采购代理机构应当顺延提交投标文件的截止时间。发出的澄清或者修改不影响投标文件编制的也应在截标前3日发出。澄清或者更正公告在招标公告发布媒体上发布，一经发布，视作已以书面形式通知所有获取招标文件的潜在投标人，不再另行通知，所有潜在投标人应密切关注招标公告发布媒体，因未能及时获知，由此产生的后果均应自行承担。</w:t>
      </w:r>
    </w:p>
    <w:p w14:paraId="5AC1BA4C">
      <w:pPr>
        <w:spacing w:line="360" w:lineRule="auto"/>
        <w:ind w:firstLine="420" w:firstLineChars="200"/>
        <w:rPr>
          <w:rFonts w:hint="eastAsia"/>
          <w:color w:val="auto"/>
          <w:highlight w:val="none"/>
        </w:rPr>
      </w:pPr>
      <w:r>
        <w:rPr>
          <w:rFonts w:hint="eastAsia" w:hAnsi="宋体"/>
          <w:color w:val="auto"/>
          <w:highlight w:val="none"/>
        </w:rPr>
        <w:t xml:space="preserve">11.4 </w:t>
      </w:r>
      <w:r>
        <w:rPr>
          <w:rFonts w:hint="eastAsia"/>
          <w:color w:val="auto"/>
          <w:highlight w:val="none"/>
        </w:rPr>
        <w:t>采购人和采购代理机构可以视采购具体情况，变更投标截止时间和开标时间，将变更时间将在</w:t>
      </w:r>
      <w:r>
        <w:rPr>
          <w:rFonts w:hint="eastAsia" w:cs="宋体"/>
          <w:color w:val="auto"/>
          <w:kern w:val="0"/>
          <w:szCs w:val="21"/>
          <w:highlight w:val="none"/>
        </w:rPr>
        <w:t>规定的政府采购信息发布媒体上</w:t>
      </w:r>
      <w:r>
        <w:rPr>
          <w:rFonts w:hint="eastAsia"/>
          <w:color w:val="auto"/>
          <w:highlight w:val="none"/>
        </w:rPr>
        <w:t>发布更正公告。</w:t>
      </w:r>
    </w:p>
    <w:p w14:paraId="59FBE171">
      <w:pPr>
        <w:spacing w:line="360" w:lineRule="auto"/>
        <w:ind w:firstLine="420" w:firstLineChars="200"/>
        <w:rPr>
          <w:rFonts w:hint="eastAsia" w:hAnsi="宋体"/>
          <w:color w:val="auto"/>
          <w:highlight w:val="none"/>
        </w:rPr>
      </w:pPr>
      <w:r>
        <w:rPr>
          <w:rFonts w:hint="eastAsia" w:hAnsi="宋体"/>
          <w:color w:val="auto"/>
          <w:highlight w:val="none"/>
        </w:rPr>
        <w:t>1</w:t>
      </w:r>
      <w:r>
        <w:rPr>
          <w:rFonts w:hAnsi="宋体"/>
          <w:color w:val="auto"/>
          <w:highlight w:val="none"/>
        </w:rPr>
        <w:t>1.</w:t>
      </w:r>
      <w:bookmarkStart w:id="65" w:name="_Hlk53134511"/>
      <w:r>
        <w:rPr>
          <w:rFonts w:hint="eastAsia" w:hAnsi="宋体"/>
          <w:color w:val="auto"/>
          <w:highlight w:val="none"/>
        </w:rPr>
        <w:t>5采购人或者采购代理机构可以在招标文件提供期限截止后，组织已获取招标文件的潜在投标人现场考察或者召开开标前答疑会，具体详见“投标人须知前附表”。</w:t>
      </w:r>
    </w:p>
    <w:bookmarkEnd w:id="65"/>
    <w:p w14:paraId="749F0A58">
      <w:pPr>
        <w:pStyle w:val="6"/>
        <w:keepNext w:val="0"/>
        <w:keepLines w:val="0"/>
        <w:spacing w:line="400" w:lineRule="exact"/>
        <w:jc w:val="center"/>
        <w:rPr>
          <w:rFonts w:hint="eastAsia"/>
          <w:color w:val="auto"/>
          <w:highlight w:val="none"/>
        </w:rPr>
      </w:pPr>
      <w:bookmarkStart w:id="66" w:name="_Toc254970535"/>
      <w:bookmarkStart w:id="67" w:name="_Toc80092997"/>
      <w:bookmarkStart w:id="68" w:name="_Toc254970676"/>
    </w:p>
    <w:p w14:paraId="3BB881F4">
      <w:pPr>
        <w:pStyle w:val="6"/>
        <w:keepNext w:val="0"/>
        <w:keepLines w:val="0"/>
        <w:spacing w:line="400" w:lineRule="exact"/>
        <w:jc w:val="center"/>
        <w:rPr>
          <w:rFonts w:hint="eastAsia"/>
          <w:color w:val="auto"/>
          <w:highlight w:val="none"/>
        </w:rPr>
      </w:pPr>
      <w:r>
        <w:rPr>
          <w:rFonts w:hint="eastAsia"/>
          <w:color w:val="auto"/>
          <w:highlight w:val="none"/>
        </w:rPr>
        <w:t>三、投标文件的编制</w:t>
      </w:r>
      <w:bookmarkEnd w:id="66"/>
      <w:bookmarkEnd w:id="67"/>
      <w:bookmarkEnd w:id="68"/>
    </w:p>
    <w:p w14:paraId="21EB0A0B">
      <w:pPr>
        <w:spacing w:line="360" w:lineRule="auto"/>
        <w:ind w:firstLine="480" w:firstLineChars="200"/>
        <w:rPr>
          <w:rFonts w:hint="eastAsia" w:ascii="黑体" w:hAnsi="黑体" w:eastAsia="黑体"/>
          <w:color w:val="auto"/>
          <w:sz w:val="24"/>
          <w:highlight w:val="none"/>
        </w:rPr>
      </w:pPr>
      <w:bookmarkStart w:id="69" w:name="_Toc254970677"/>
      <w:bookmarkStart w:id="70" w:name="_Toc254970536"/>
      <w:r>
        <w:rPr>
          <w:rFonts w:hint="eastAsia" w:ascii="黑体" w:hAnsi="黑体" w:eastAsia="黑体"/>
          <w:color w:val="auto"/>
          <w:sz w:val="24"/>
          <w:highlight w:val="none"/>
        </w:rPr>
        <w:t>12.投标文件的编制原则</w:t>
      </w:r>
    </w:p>
    <w:p w14:paraId="05AAE87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12.1</w:t>
      </w:r>
      <w:r>
        <w:rPr>
          <w:rFonts w:ascii="宋体" w:hAnsi="宋体"/>
          <w:color w:val="auto"/>
          <w:szCs w:val="21"/>
          <w:highlight w:val="none"/>
        </w:rPr>
        <w:t>投标人必须按照招标文件的要求编制投标文件。投标文件必须对招标文件提出的要求和条件作出明确响应。</w:t>
      </w:r>
    </w:p>
    <w:p w14:paraId="3280A708">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13.投标文件的组成</w:t>
      </w:r>
      <w:bookmarkEnd w:id="69"/>
      <w:bookmarkEnd w:id="70"/>
    </w:p>
    <w:p w14:paraId="49921A7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3.1</w:t>
      </w:r>
      <w:r>
        <w:rPr>
          <w:rFonts w:hint="eastAsia" w:ascii="宋体" w:hAnsi="宋体"/>
          <w:color w:val="auto"/>
          <w:szCs w:val="21"/>
          <w:highlight w:val="none"/>
        </w:rPr>
        <w:t>投标文件由资格证明文件、商务技术文件、报价文件三部分组成。</w:t>
      </w:r>
    </w:p>
    <w:p w14:paraId="208483B0">
      <w:pPr>
        <w:spacing w:line="360" w:lineRule="auto"/>
        <w:ind w:firstLine="420" w:firstLineChars="200"/>
        <w:rPr>
          <w:rFonts w:hint="eastAsia" w:ascii="宋体" w:hAnsi="宋体"/>
          <w:bCs/>
          <w:color w:val="auto"/>
          <w:szCs w:val="21"/>
          <w:highlight w:val="none"/>
        </w:rPr>
      </w:pPr>
      <w:bookmarkStart w:id="71" w:name="_13.2资格证明文件：具体材料见“投标人须知前附表”。"/>
      <w:bookmarkEnd w:id="71"/>
      <w:bookmarkStart w:id="72" w:name="_13.1报价文件:_具体材料见“投标人须知前附表”。"/>
      <w:bookmarkEnd w:id="72"/>
      <w:r>
        <w:rPr>
          <w:rFonts w:hint="eastAsia" w:ascii="宋体" w:hAnsi="宋体"/>
          <w:bCs/>
          <w:color w:val="auto"/>
          <w:szCs w:val="21"/>
          <w:highlight w:val="none"/>
        </w:rPr>
        <w:t>（1）资格证明文件：</w:t>
      </w:r>
      <w:r>
        <w:rPr>
          <w:rFonts w:ascii="宋体" w:hAnsi="宋体"/>
          <w:bCs/>
          <w:color w:val="auto"/>
          <w:szCs w:val="21"/>
          <w:highlight w:val="none"/>
        </w:rPr>
        <w:t>具体材料见“投标人须知前附表”</w:t>
      </w:r>
      <w:r>
        <w:rPr>
          <w:rFonts w:hint="eastAsia" w:ascii="宋体" w:hAnsi="宋体"/>
          <w:bCs/>
          <w:color w:val="auto"/>
          <w:szCs w:val="21"/>
          <w:highlight w:val="none"/>
        </w:rPr>
        <w:t>。</w:t>
      </w:r>
    </w:p>
    <w:p w14:paraId="0635A2AB">
      <w:pPr>
        <w:spacing w:line="360" w:lineRule="auto"/>
        <w:ind w:firstLine="420" w:firstLineChars="200"/>
        <w:rPr>
          <w:rFonts w:hint="eastAsia" w:ascii="宋体" w:hAnsi="宋体"/>
          <w:bCs/>
          <w:color w:val="auto"/>
          <w:szCs w:val="21"/>
          <w:highlight w:val="none"/>
        </w:rPr>
      </w:pPr>
      <w:bookmarkStart w:id="73" w:name="_13.3商务文件:_具体材料见“投标人须知前附表”。"/>
      <w:bookmarkEnd w:id="73"/>
      <w:r>
        <w:rPr>
          <w:rFonts w:hint="eastAsia" w:ascii="宋体" w:hAnsi="宋体"/>
          <w:bCs/>
          <w:color w:val="auto"/>
          <w:szCs w:val="21"/>
          <w:highlight w:val="none"/>
        </w:rPr>
        <w:t>（2）商务技术文件：</w:t>
      </w:r>
      <w:r>
        <w:rPr>
          <w:rFonts w:ascii="宋体" w:hAnsi="宋体"/>
          <w:bCs/>
          <w:color w:val="auto"/>
          <w:szCs w:val="21"/>
          <w:highlight w:val="none"/>
        </w:rPr>
        <w:t>具体材料见“投标人须知前附表”</w:t>
      </w:r>
      <w:r>
        <w:rPr>
          <w:rFonts w:hint="eastAsia" w:ascii="宋体" w:hAnsi="宋体"/>
          <w:bCs/>
          <w:color w:val="auto"/>
          <w:szCs w:val="21"/>
          <w:highlight w:val="none"/>
        </w:rPr>
        <w:t>。</w:t>
      </w:r>
      <w:bookmarkStart w:id="74" w:name="_13.4技术文件：具体材料见“投标人须知前附表”。"/>
      <w:bookmarkEnd w:id="74"/>
      <w:r>
        <w:rPr>
          <w:rFonts w:hint="eastAsia" w:ascii="宋体" w:hAnsi="宋体"/>
          <w:bCs/>
          <w:color w:val="auto"/>
          <w:szCs w:val="21"/>
          <w:highlight w:val="none"/>
        </w:rPr>
        <w:t xml:space="preserve"> </w:t>
      </w:r>
    </w:p>
    <w:p w14:paraId="37220040">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（3）报价文件：</w:t>
      </w:r>
      <w:r>
        <w:rPr>
          <w:rFonts w:ascii="宋体" w:hAnsi="宋体"/>
          <w:bCs/>
          <w:color w:val="auto"/>
          <w:szCs w:val="21"/>
          <w:highlight w:val="none"/>
        </w:rPr>
        <w:t xml:space="preserve"> 具体材料见“投标人须知前附表”</w:t>
      </w:r>
      <w:r>
        <w:rPr>
          <w:rFonts w:hint="eastAsia" w:ascii="宋体" w:hAnsi="宋体"/>
          <w:bCs/>
          <w:color w:val="auto"/>
          <w:szCs w:val="21"/>
          <w:highlight w:val="none"/>
        </w:rPr>
        <w:t>。</w:t>
      </w:r>
    </w:p>
    <w:p w14:paraId="6577F067">
      <w:pPr>
        <w:spacing w:line="360" w:lineRule="auto"/>
        <w:ind w:firstLine="420" w:firstLineChars="200"/>
        <w:rPr>
          <w:rFonts w:hint="eastAsia" w:ascii="宋体" w:hAnsi="宋体"/>
          <w:bCs/>
          <w:color w:val="auto"/>
          <w:szCs w:val="21"/>
          <w:highlight w:val="none"/>
        </w:rPr>
      </w:pPr>
      <w:bookmarkStart w:id="75" w:name="_13.5投标文件电子版：具体材料见“投标人须知前附表”。"/>
      <w:bookmarkEnd w:id="75"/>
      <w:r>
        <w:rPr>
          <w:rFonts w:hint="eastAsia" w:ascii="宋体" w:hAnsi="宋体"/>
          <w:bCs/>
          <w:color w:val="auto"/>
          <w:szCs w:val="21"/>
          <w:highlight w:val="none"/>
        </w:rPr>
        <w:t>13.</w:t>
      </w:r>
      <w:r>
        <w:rPr>
          <w:rFonts w:ascii="宋体" w:hAnsi="宋体"/>
          <w:bCs/>
          <w:color w:val="auto"/>
          <w:szCs w:val="21"/>
          <w:highlight w:val="none"/>
        </w:rPr>
        <w:t>2</w:t>
      </w:r>
      <w:r>
        <w:rPr>
          <w:rFonts w:hint="eastAsia" w:ascii="宋体" w:hAnsi="宋体"/>
          <w:bCs/>
          <w:color w:val="auto"/>
          <w:szCs w:val="21"/>
          <w:highlight w:val="none"/>
        </w:rPr>
        <w:t>投标文件电子版：</w:t>
      </w:r>
      <w:r>
        <w:rPr>
          <w:rFonts w:ascii="宋体" w:hAnsi="宋体"/>
          <w:bCs/>
          <w:color w:val="auto"/>
          <w:szCs w:val="21"/>
          <w:highlight w:val="none"/>
        </w:rPr>
        <w:t>具体</w:t>
      </w:r>
      <w:r>
        <w:rPr>
          <w:rFonts w:hint="eastAsia" w:ascii="宋体" w:hAnsi="宋体"/>
          <w:bCs/>
          <w:color w:val="auto"/>
          <w:szCs w:val="21"/>
          <w:highlight w:val="none"/>
        </w:rPr>
        <w:t>要求</w:t>
      </w:r>
      <w:r>
        <w:rPr>
          <w:rFonts w:ascii="宋体" w:hAnsi="宋体"/>
          <w:bCs/>
          <w:color w:val="auto"/>
          <w:szCs w:val="21"/>
          <w:highlight w:val="none"/>
        </w:rPr>
        <w:t>见</w:t>
      </w:r>
      <w:r>
        <w:rPr>
          <w:rFonts w:hint="eastAsia" w:ascii="宋体" w:hAnsi="宋体"/>
          <w:bCs/>
          <w:color w:val="auto"/>
          <w:szCs w:val="21"/>
          <w:highlight w:val="none"/>
        </w:rPr>
        <w:t>本节19.投标文件编制。</w:t>
      </w:r>
    </w:p>
    <w:p w14:paraId="2A7E9387">
      <w:pPr>
        <w:spacing w:line="360" w:lineRule="auto"/>
        <w:ind w:firstLine="480" w:firstLineChars="200"/>
        <w:rPr>
          <w:rFonts w:hint="eastAsia" w:ascii="黑体" w:hAnsi="黑体" w:eastAsia="黑体"/>
          <w:color w:val="auto"/>
          <w:sz w:val="24"/>
          <w:highlight w:val="none"/>
        </w:rPr>
      </w:pPr>
      <w:bookmarkStart w:id="76" w:name="_Toc254970678"/>
      <w:bookmarkStart w:id="77" w:name="_Toc254970537"/>
      <w:r>
        <w:rPr>
          <w:rFonts w:hint="eastAsia" w:ascii="黑体" w:hAnsi="黑体" w:eastAsia="黑体"/>
          <w:color w:val="auto"/>
          <w:sz w:val="24"/>
          <w:highlight w:val="none"/>
        </w:rPr>
        <w:t>14.投标文件的语言及计量</w:t>
      </w:r>
      <w:bookmarkEnd w:id="76"/>
      <w:bookmarkEnd w:id="77"/>
    </w:p>
    <w:p w14:paraId="013F3603">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14.1语言文字</w:t>
      </w:r>
    </w:p>
    <w:p w14:paraId="32B5ED6F">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70689228">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14.2投标计量单位</w:t>
      </w:r>
    </w:p>
    <w:p w14:paraId="6E7B20C9">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招标文件已有明确规定的，使用招标文件规定的计量单位；招标文件没有规定的，应采用中华人民共和国法定计量单位，货币种类为人民币，否则视同未响应。</w:t>
      </w:r>
    </w:p>
    <w:p w14:paraId="418672AF">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15.投标的风险</w:t>
      </w:r>
    </w:p>
    <w:p w14:paraId="7062EC2B">
      <w:pPr>
        <w:spacing w:line="360" w:lineRule="auto"/>
        <w:ind w:firstLine="420" w:firstLineChars="200"/>
        <w:rPr>
          <w:rFonts w:hint="eastAsia" w:hAnsi="宋体"/>
          <w:b/>
          <w:bCs/>
          <w:color w:val="auto"/>
          <w:highlight w:val="none"/>
        </w:rPr>
      </w:pPr>
      <w:r>
        <w:rPr>
          <w:rFonts w:hint="eastAsia" w:hAnsi="宋体"/>
          <w:color w:val="auto"/>
          <w:highlight w:val="none"/>
        </w:rPr>
        <w:t>投标文件分为资格文件、商务和技术文件、报价文件三部分。各投标人在编制投标文件时请按照招标文件规定的格式进行，混乱的编排导致投标文件被误读或评标委员会查找不到有效文件是投标人的风险。▲</w:t>
      </w:r>
      <w:r>
        <w:rPr>
          <w:rFonts w:hint="eastAsia" w:hAnsi="宋体"/>
          <w:b/>
          <w:bCs/>
          <w:color w:val="auto"/>
          <w:highlight w:val="none"/>
        </w:rPr>
        <w:t>投标文件未按规定的格式编制的、没有按照招标文件要求提供全部资料、没有对招标文件作出实质性响应，投标无效；</w:t>
      </w:r>
    </w:p>
    <w:p w14:paraId="3CFB75EC">
      <w:pPr>
        <w:spacing w:line="360" w:lineRule="auto"/>
        <w:ind w:firstLine="480" w:firstLineChars="200"/>
        <w:rPr>
          <w:rFonts w:hint="eastAsia" w:ascii="黑体" w:hAnsi="黑体" w:eastAsia="黑体"/>
          <w:color w:val="auto"/>
          <w:sz w:val="24"/>
          <w:highlight w:val="none"/>
        </w:rPr>
      </w:pPr>
      <w:bookmarkStart w:id="78" w:name="_Toc254970538"/>
      <w:bookmarkStart w:id="79" w:name="_Toc254970679"/>
      <w:r>
        <w:rPr>
          <w:rFonts w:hint="eastAsia" w:ascii="黑体" w:hAnsi="黑体" w:eastAsia="黑体"/>
          <w:color w:val="auto"/>
          <w:sz w:val="24"/>
          <w:highlight w:val="none"/>
        </w:rPr>
        <w:t>16.投标报价</w:t>
      </w:r>
      <w:bookmarkEnd w:id="78"/>
      <w:bookmarkEnd w:id="79"/>
    </w:p>
    <w:p w14:paraId="2233DE07">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16.1投标报价应</w:t>
      </w:r>
      <w:r>
        <w:rPr>
          <w:rFonts w:hint="eastAsia" w:ascii="宋体" w:hAnsi="宋体"/>
          <w:bCs/>
          <w:color w:val="auto"/>
          <w:szCs w:val="20"/>
          <w:highlight w:val="none"/>
        </w:rPr>
        <w:t>按“第六章　投标文件格式”中“开标一览表”格式填写。</w:t>
      </w:r>
    </w:p>
    <w:p w14:paraId="10631E50">
      <w:pPr>
        <w:spacing w:line="360" w:lineRule="auto"/>
        <w:ind w:firstLine="420" w:firstLineChars="200"/>
        <w:rPr>
          <w:rFonts w:hint="eastAsia" w:ascii="宋体" w:hAnsi="宋体"/>
          <w:bCs/>
          <w:color w:val="auto"/>
          <w:szCs w:val="21"/>
          <w:highlight w:val="none"/>
        </w:rPr>
      </w:pPr>
      <w:bookmarkStart w:id="80" w:name="_16.2投标报价具体定义见投标人须知前附表。"/>
      <w:bookmarkEnd w:id="80"/>
      <w:r>
        <w:rPr>
          <w:rFonts w:hint="eastAsia" w:ascii="宋体" w:hAnsi="宋体"/>
          <w:bCs/>
          <w:color w:val="auto"/>
          <w:szCs w:val="21"/>
          <w:highlight w:val="none"/>
        </w:rPr>
        <w:t>16.2投标报价具体包括内容详见“投标人须知前附表”。</w:t>
      </w:r>
    </w:p>
    <w:p w14:paraId="48C7C534">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16.3投标人必须就所投标的全部内容分别作完整唯一总价报价，不得存在漏项报价；投标人必须就所投标的单项内容作唯一报价。</w:t>
      </w:r>
    </w:p>
    <w:p w14:paraId="3B38CAFD">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17.投标有效期</w:t>
      </w:r>
    </w:p>
    <w:p w14:paraId="254AC2D8">
      <w:pPr>
        <w:spacing w:line="360" w:lineRule="auto"/>
        <w:ind w:firstLine="420" w:firstLineChars="200"/>
        <w:rPr>
          <w:rFonts w:hint="eastAsia" w:ascii="宋体" w:hAnsi="宋体"/>
          <w:bCs/>
          <w:color w:val="auto"/>
          <w:szCs w:val="21"/>
          <w:highlight w:val="none"/>
        </w:rPr>
      </w:pPr>
      <w:bookmarkStart w:id="81" w:name="_17.1投标有效期应按“投标人须知中的前附表”规定的期限。"/>
      <w:bookmarkEnd w:id="81"/>
      <w:r>
        <w:rPr>
          <w:rFonts w:hint="eastAsia" w:ascii="宋体" w:hAnsi="宋体"/>
          <w:bCs/>
          <w:color w:val="auto"/>
          <w:szCs w:val="21"/>
          <w:highlight w:val="none"/>
        </w:rPr>
        <w:t>17.1投标有效期是指为保证采购人有足够的时间在开标后完成评标、定标、合同签订等工作而要求投标人提交的投标文件在一定时间内保持有效的期限。</w:t>
      </w:r>
    </w:p>
    <w:p w14:paraId="174729F1">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17.2</w:t>
      </w:r>
      <w:bookmarkStart w:id="82" w:name="_Toc254970681"/>
      <w:bookmarkStart w:id="83" w:name="_Toc254970540"/>
      <w:r>
        <w:rPr>
          <w:rFonts w:hint="eastAsia" w:ascii="宋体" w:hAnsi="宋体"/>
          <w:bCs/>
          <w:color w:val="auto"/>
          <w:szCs w:val="21"/>
          <w:highlight w:val="none"/>
        </w:rPr>
        <w:t xml:space="preserve"> 投标有效期应按规定的期限作出承诺，具体详见“投标人须知前附表”。</w:t>
      </w:r>
    </w:p>
    <w:p w14:paraId="25443288">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17.3投标人的投标文件在投标有效期内均保持有效。</w:t>
      </w:r>
      <w:bookmarkEnd w:id="82"/>
      <w:bookmarkEnd w:id="83"/>
    </w:p>
    <w:p w14:paraId="54F22567">
      <w:pPr>
        <w:spacing w:line="360" w:lineRule="auto"/>
        <w:ind w:firstLine="480" w:firstLineChars="200"/>
        <w:rPr>
          <w:rFonts w:hint="eastAsia" w:ascii="黑体" w:hAnsi="黑体" w:eastAsia="黑体"/>
          <w:color w:val="auto"/>
          <w:sz w:val="24"/>
          <w:highlight w:val="none"/>
        </w:rPr>
      </w:pPr>
      <w:bookmarkStart w:id="84" w:name="_18.投标保证金"/>
      <w:bookmarkEnd w:id="84"/>
      <w:bookmarkStart w:id="85" w:name="_Toc254970541"/>
      <w:bookmarkStart w:id="86" w:name="_Toc254970682"/>
      <w:r>
        <w:rPr>
          <w:rFonts w:hint="eastAsia" w:ascii="黑体" w:hAnsi="黑体" w:eastAsia="黑体"/>
          <w:color w:val="auto"/>
          <w:sz w:val="24"/>
          <w:highlight w:val="none"/>
        </w:rPr>
        <w:t>18.投标保证金</w:t>
      </w:r>
      <w:bookmarkEnd w:id="85"/>
      <w:bookmarkEnd w:id="86"/>
    </w:p>
    <w:p w14:paraId="3CD55DBF">
      <w:pPr>
        <w:spacing w:line="360" w:lineRule="auto"/>
        <w:ind w:firstLine="420" w:firstLineChars="200"/>
        <w:rPr>
          <w:rFonts w:hint="eastAsia" w:hAnsi="宋体"/>
          <w:color w:val="auto"/>
          <w:szCs w:val="21"/>
          <w:highlight w:val="none"/>
        </w:rPr>
      </w:pPr>
      <w:bookmarkStart w:id="87" w:name="_Toc254970683"/>
      <w:bookmarkStart w:id="88" w:name="_Toc254970542"/>
      <w:r>
        <w:rPr>
          <w:rFonts w:hint="eastAsia" w:hAnsi="宋体"/>
          <w:color w:val="auto"/>
          <w:szCs w:val="21"/>
          <w:highlight w:val="none"/>
        </w:rPr>
        <w:t>见“投标人须知前附表”。</w:t>
      </w:r>
    </w:p>
    <w:p w14:paraId="205BEBD6">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19.投标文件的</w:t>
      </w:r>
      <w:bookmarkEnd w:id="87"/>
      <w:bookmarkEnd w:id="88"/>
      <w:r>
        <w:rPr>
          <w:rFonts w:hint="eastAsia" w:ascii="黑体" w:hAnsi="黑体" w:eastAsia="黑体"/>
          <w:color w:val="auto"/>
          <w:sz w:val="24"/>
          <w:highlight w:val="none"/>
        </w:rPr>
        <w:t>编制</w:t>
      </w:r>
    </w:p>
    <w:p w14:paraId="3CCA654D">
      <w:pPr>
        <w:spacing w:line="360" w:lineRule="auto"/>
        <w:ind w:firstLine="422" w:firstLineChars="200"/>
        <w:rPr>
          <w:rFonts w:hint="eastAsia" w:hAnsi="宋体"/>
          <w:color w:val="auto"/>
          <w:szCs w:val="21"/>
          <w:highlight w:val="none"/>
        </w:rPr>
      </w:pPr>
      <w:r>
        <w:rPr>
          <w:rFonts w:hint="eastAsia" w:ascii="宋体" w:hAnsi="宋体"/>
          <w:b/>
          <w:color w:val="auto"/>
          <w:szCs w:val="21"/>
          <w:highlight w:val="none"/>
        </w:rPr>
        <w:t xml:space="preserve"> </w:t>
      </w:r>
      <w:r>
        <w:rPr>
          <w:rFonts w:hint="eastAsia" w:hAnsi="宋体"/>
          <w:color w:val="auto"/>
          <w:szCs w:val="21"/>
          <w:highlight w:val="none"/>
        </w:rPr>
        <w:t>19.1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89" w:name="_19.2投标文件应按报价文件、资格证明文件、商务文件、技术文件分别编制"/>
      <w:bookmarkEnd w:id="89"/>
      <w:r>
        <w:rPr>
          <w:rFonts w:hint="eastAsia" w:hAnsi="宋体"/>
          <w:color w:val="auto"/>
          <w:szCs w:val="21"/>
          <w:highlight w:val="none"/>
        </w:rPr>
        <w:t xml:space="preserve"> </w:t>
      </w:r>
    </w:p>
    <w:p w14:paraId="6E126E37">
      <w:pPr>
        <w:pStyle w:val="73"/>
        <w:snapToGrid w:val="0"/>
        <w:spacing w:before="0"/>
        <w:ind w:firstLine="420"/>
        <w:rPr>
          <w:rFonts w:hint="eastAsia" w:hAnsi="宋体"/>
          <w:b/>
          <w:color w:val="auto"/>
          <w:sz w:val="21"/>
          <w:szCs w:val="21"/>
          <w:highlight w:val="none"/>
        </w:rPr>
      </w:pPr>
      <w:r>
        <w:rPr>
          <w:rFonts w:hAnsi="宋体"/>
          <w:color w:val="auto"/>
          <w:sz w:val="21"/>
          <w:szCs w:val="21"/>
          <w:highlight w:val="none"/>
        </w:rPr>
        <w:t>19</w:t>
      </w:r>
      <w:r>
        <w:rPr>
          <w:rFonts w:hint="eastAsia" w:hAnsi="宋体"/>
          <w:color w:val="auto"/>
          <w:sz w:val="21"/>
          <w:szCs w:val="21"/>
          <w:highlight w:val="none"/>
        </w:rPr>
        <w:t>.2投标文件按照招标文件第六章格式要求在规定位置进行签署、盖章。投标人的投标文件未按照招标文件要求签署、盖章的，</w:t>
      </w:r>
      <w:r>
        <w:rPr>
          <w:rFonts w:hint="eastAsia" w:hAnsi="宋体"/>
          <w:b/>
          <w:color w:val="auto"/>
          <w:sz w:val="21"/>
          <w:szCs w:val="21"/>
          <w:highlight w:val="none"/>
        </w:rPr>
        <w:t>其投标无效。</w:t>
      </w:r>
    </w:p>
    <w:p w14:paraId="2C1A571C">
      <w:pPr>
        <w:pStyle w:val="73"/>
        <w:snapToGrid w:val="0"/>
        <w:spacing w:before="0"/>
        <w:ind w:firstLine="420"/>
        <w:rPr>
          <w:rFonts w:hint="eastAsia" w:hAnsi="宋体"/>
          <w:color w:val="auto"/>
          <w:sz w:val="21"/>
          <w:szCs w:val="21"/>
          <w:highlight w:val="none"/>
        </w:rPr>
      </w:pPr>
      <w:r>
        <w:rPr>
          <w:rFonts w:hAnsi="宋体"/>
          <w:color w:val="auto"/>
          <w:sz w:val="21"/>
          <w:szCs w:val="21"/>
          <w:highlight w:val="none"/>
        </w:rPr>
        <w:t>19.</w:t>
      </w:r>
      <w:r>
        <w:rPr>
          <w:rFonts w:hint="eastAsia" w:hAnsi="宋体"/>
          <w:color w:val="auto"/>
          <w:sz w:val="21"/>
          <w:szCs w:val="21"/>
          <w:highlight w:val="none"/>
        </w:rPr>
        <w:t>3为确保网上操作合法、有效和安全，投标人应当在投标截止时间前完成在“</w:t>
      </w:r>
      <w:r>
        <w:rPr>
          <w:rFonts w:hint="eastAsia" w:hAnsi="宋体"/>
          <w:color w:val="auto"/>
          <w:sz w:val="21"/>
          <w:szCs w:val="21"/>
          <w:highlight w:val="none"/>
          <w:lang w:eastAsia="zh-CN"/>
        </w:rPr>
        <w:t>广西政府采购云平台</w:t>
      </w:r>
      <w:r>
        <w:rPr>
          <w:rFonts w:hint="eastAsia" w:hAnsi="宋体"/>
          <w:color w:val="auto"/>
          <w:sz w:val="21"/>
          <w:szCs w:val="21"/>
          <w:highlight w:val="none"/>
        </w:rPr>
        <w:t>”的身份认证，确保在电子投标过程中能够对相关数据电文进行加密和使用电子签名。</w:t>
      </w:r>
    </w:p>
    <w:p w14:paraId="1AC20726">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19.4投标文件中标注的投标人名称应与主体资格证明（如营业执照、事业单位法人证书、执业许可证、自然人身份证等）及公章一致，</w:t>
      </w:r>
      <w:r>
        <w:rPr>
          <w:rFonts w:hint="eastAsia" w:ascii="宋体" w:hAnsi="宋体"/>
          <w:color w:val="auto"/>
          <w:szCs w:val="21"/>
          <w:highlight w:val="none"/>
        </w:rPr>
        <w:t>否则作无效投标处理</w:t>
      </w:r>
      <w:r>
        <w:rPr>
          <w:rFonts w:hint="eastAsia" w:ascii="宋体" w:hAnsi="宋体"/>
          <w:b/>
          <w:color w:val="auto"/>
          <w:szCs w:val="21"/>
          <w:highlight w:val="none"/>
        </w:rPr>
        <w:t>。</w:t>
      </w:r>
    </w:p>
    <w:p w14:paraId="591E6FD3">
      <w:pPr>
        <w:spacing w:line="360" w:lineRule="auto"/>
        <w:ind w:firstLine="420" w:firstLineChars="200"/>
        <w:rPr>
          <w:rFonts w:hint="eastAsia" w:ascii="宋体" w:hAnsi="宋体" w:cs="宋体"/>
          <w:color w:val="auto"/>
          <w:szCs w:val="21"/>
          <w:highlight w:val="none"/>
        </w:rPr>
      </w:pPr>
      <w:r>
        <w:rPr>
          <w:rFonts w:hint="eastAsia" w:hAnsi="宋体"/>
          <w:color w:val="auto"/>
          <w:szCs w:val="21"/>
          <w:highlight w:val="none"/>
        </w:rPr>
        <w:t xml:space="preserve"> 19.5投标文件应避免涂改、行间插字或者删除，</w:t>
      </w:r>
      <w:r>
        <w:rPr>
          <w:rFonts w:hint="eastAsia" w:ascii="宋体" w:hAnsi="宋体" w:cs="宋体"/>
          <w:b/>
          <w:color w:val="auto"/>
          <w:szCs w:val="21"/>
          <w:highlight w:val="none"/>
        </w:rPr>
        <w:t>否则其投标无效。</w:t>
      </w:r>
    </w:p>
    <w:p w14:paraId="3884F3CB">
      <w:pPr>
        <w:spacing w:line="360" w:lineRule="auto"/>
        <w:ind w:firstLine="525" w:firstLineChars="250"/>
        <w:rPr>
          <w:rFonts w:hint="eastAsia" w:hAnsi="宋体"/>
          <w:color w:val="auto"/>
          <w:highlight w:val="none"/>
        </w:rPr>
      </w:pPr>
      <w:r>
        <w:rPr>
          <w:rFonts w:hint="eastAsia" w:hAnsi="宋体"/>
          <w:color w:val="auto"/>
          <w:highlight w:val="none"/>
        </w:rPr>
        <w:t>19.6 对招标文件的实质性要求和条件作出响应是指投标人必须对招标文件中标注为实质性要求和条件的</w:t>
      </w:r>
      <w:r>
        <w:rPr>
          <w:rFonts w:hint="eastAsia"/>
          <w:color w:val="auto"/>
          <w:szCs w:val="21"/>
          <w:highlight w:val="none"/>
        </w:rPr>
        <w:t>服务内容及要求</w:t>
      </w:r>
      <w:r>
        <w:rPr>
          <w:rFonts w:hint="eastAsia" w:hAnsi="宋体"/>
          <w:color w:val="auto"/>
          <w:highlight w:val="none"/>
        </w:rPr>
        <w:t>、商务条款及其它内容</w:t>
      </w:r>
      <w:r>
        <w:rPr>
          <w:rFonts w:hint="eastAsia"/>
          <w:b/>
          <w:color w:val="auto"/>
          <w:highlight w:val="none"/>
        </w:rPr>
        <w:t>作出满足或者优于原要求和条件的承诺</w:t>
      </w:r>
      <w:r>
        <w:rPr>
          <w:rFonts w:hint="eastAsia"/>
          <w:color w:val="auto"/>
          <w:highlight w:val="none"/>
        </w:rPr>
        <w:t>。</w:t>
      </w:r>
    </w:p>
    <w:p w14:paraId="65FEFC7F">
      <w:pPr>
        <w:spacing w:line="360" w:lineRule="auto"/>
        <w:ind w:firstLine="422" w:firstLineChars="200"/>
        <w:rPr>
          <w:rFonts w:hint="eastAsia" w:ascii="宋体" w:hAnsi="宋体"/>
          <w:b/>
          <w:color w:val="auto"/>
          <w:szCs w:val="21"/>
          <w:highlight w:val="none"/>
          <w:u w:val="single"/>
        </w:rPr>
      </w:pPr>
      <w:r>
        <w:rPr>
          <w:rFonts w:hint="eastAsia" w:ascii="宋体" w:hAnsi="宋体"/>
          <w:b/>
          <w:color w:val="auto"/>
          <w:szCs w:val="21"/>
          <w:highlight w:val="none"/>
          <w:u w:val="single"/>
        </w:rPr>
        <w:t>19.7本项目为全流程电子化项目，异常情况见“第二节 投标人须知正文”中“四、24.2</w:t>
      </w:r>
      <w:r>
        <w:rPr>
          <w:rFonts w:ascii="宋体" w:hAnsi="宋体"/>
          <w:b/>
          <w:color w:val="auto"/>
          <w:szCs w:val="21"/>
          <w:highlight w:val="none"/>
          <w:u w:val="single"/>
        </w:rPr>
        <w:t>开</w:t>
      </w:r>
      <w:r>
        <w:rPr>
          <w:rFonts w:hint="eastAsia" w:ascii="宋体" w:hAnsi="宋体"/>
          <w:b/>
          <w:color w:val="auto"/>
          <w:szCs w:val="21"/>
          <w:highlight w:val="none"/>
          <w:u w:val="single"/>
        </w:rPr>
        <w:t>标</w:t>
      </w:r>
      <w:r>
        <w:rPr>
          <w:rFonts w:ascii="宋体" w:hAnsi="宋体"/>
          <w:b/>
          <w:color w:val="auto"/>
          <w:szCs w:val="21"/>
          <w:highlight w:val="none"/>
          <w:u w:val="single"/>
        </w:rPr>
        <w:t>程序</w:t>
      </w:r>
      <w:r>
        <w:rPr>
          <w:rFonts w:hint="eastAsia" w:ascii="宋体" w:hAnsi="宋体"/>
          <w:b/>
          <w:color w:val="auto"/>
          <w:szCs w:val="21"/>
          <w:highlight w:val="none"/>
          <w:u w:val="single"/>
        </w:rPr>
        <w:t>。</w:t>
      </w:r>
    </w:p>
    <w:p w14:paraId="601953DF">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20.备份投标文件</w:t>
      </w:r>
    </w:p>
    <w:p w14:paraId="16662C5B">
      <w:pPr>
        <w:spacing w:line="360" w:lineRule="auto"/>
        <w:ind w:firstLine="420" w:firstLineChars="200"/>
        <w:rPr>
          <w:rFonts w:hint="eastAsia" w:ascii="黑体" w:hAnsi="黑体" w:eastAsia="黑体"/>
          <w:color w:val="auto"/>
          <w:sz w:val="24"/>
          <w:highlight w:val="none"/>
        </w:rPr>
      </w:pPr>
      <w:r>
        <w:rPr>
          <w:rFonts w:hint="eastAsia" w:hAnsi="宋体"/>
          <w:bCs/>
          <w:color w:val="auto"/>
          <w:szCs w:val="21"/>
          <w:highlight w:val="none"/>
        </w:rPr>
        <w:t>详见在“投标人须知前附表”。</w:t>
      </w:r>
    </w:p>
    <w:p w14:paraId="4A44E53B">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21.投标文件的提交</w:t>
      </w:r>
    </w:p>
    <w:p w14:paraId="0BDD3705">
      <w:pPr>
        <w:spacing w:line="360" w:lineRule="auto"/>
        <w:ind w:firstLine="420" w:firstLineChars="200"/>
        <w:rPr>
          <w:rFonts w:hint="eastAsia" w:hAnsi="宋体"/>
          <w:b/>
          <w:color w:val="auto"/>
          <w:highlight w:val="none"/>
        </w:rPr>
      </w:pPr>
      <w:bookmarkStart w:id="90" w:name="_21.1投标人必须在“投标人须知中的前附表”规定的投标文件接收时间和投"/>
      <w:bookmarkEnd w:id="90"/>
      <w:r>
        <w:rPr>
          <w:rFonts w:hint="eastAsia" w:hAnsi="宋体"/>
          <w:bCs/>
          <w:color w:val="auto"/>
          <w:szCs w:val="21"/>
          <w:highlight w:val="none"/>
        </w:rPr>
        <w:t>21.1投标人必须在“投标人须知前附表”规定的投标文件接收时间和投标地点提交电子版投标文件。电子投标文件应在制作完成后，</w:t>
      </w:r>
      <w:r>
        <w:rPr>
          <w:rFonts w:hAnsi="宋体"/>
          <w:bCs/>
          <w:color w:val="auto"/>
          <w:szCs w:val="21"/>
          <w:highlight w:val="none"/>
        </w:rPr>
        <w:t>在投标截止时间前</w:t>
      </w:r>
      <w:r>
        <w:rPr>
          <w:rFonts w:hint="eastAsia" w:hAnsi="宋体"/>
          <w:bCs/>
          <w:color w:val="auto"/>
          <w:szCs w:val="21"/>
          <w:highlight w:val="none"/>
        </w:rPr>
        <w:t>通过有效数字证书（CA认证锁）进行电子签章、加密，然后通过网络将加密的电子投标文件递交至“</w:t>
      </w:r>
      <w:r>
        <w:rPr>
          <w:rFonts w:hint="eastAsia" w:hAnsi="宋体"/>
          <w:color w:val="auto"/>
          <w:sz w:val="21"/>
          <w:szCs w:val="21"/>
          <w:highlight w:val="none"/>
          <w:lang w:eastAsia="zh-CN"/>
        </w:rPr>
        <w:t>广西政府采购云平台</w:t>
      </w:r>
      <w:r>
        <w:rPr>
          <w:rFonts w:hint="eastAsia" w:hAnsi="宋体"/>
          <w:bCs/>
          <w:color w:val="auto"/>
          <w:szCs w:val="21"/>
          <w:highlight w:val="none"/>
        </w:rPr>
        <w:t xml:space="preserve">”。 </w:t>
      </w:r>
      <w:r>
        <w:rPr>
          <w:rFonts w:hint="eastAsia" w:hAnsi="宋体"/>
          <w:b/>
          <w:color w:val="auto"/>
          <w:highlight w:val="none"/>
        </w:rPr>
        <w:t xml:space="preserve"> </w:t>
      </w:r>
    </w:p>
    <w:p w14:paraId="5AF8B6AB">
      <w:pPr>
        <w:spacing w:line="360" w:lineRule="auto"/>
        <w:ind w:firstLine="422" w:firstLineChars="200"/>
        <w:rPr>
          <w:rFonts w:hint="eastAsia" w:ascii="宋体" w:hAnsi="宋体"/>
          <w:b/>
          <w:color w:val="auto"/>
          <w:szCs w:val="20"/>
          <w:highlight w:val="none"/>
        </w:rPr>
      </w:pPr>
      <w:r>
        <w:rPr>
          <w:rFonts w:hint="eastAsia" w:ascii="宋体" w:hAnsi="宋体"/>
          <w:b/>
          <w:color w:val="auto"/>
          <w:szCs w:val="21"/>
          <w:highlight w:val="none"/>
        </w:rPr>
        <w:t>21.</w:t>
      </w:r>
      <w:r>
        <w:rPr>
          <w:rFonts w:ascii="宋体" w:hAnsi="宋体"/>
          <w:b/>
          <w:color w:val="auto"/>
          <w:szCs w:val="21"/>
          <w:highlight w:val="none"/>
        </w:rPr>
        <w:t>2</w:t>
      </w:r>
      <w:r>
        <w:rPr>
          <w:rFonts w:hint="eastAsia" w:ascii="宋体" w:hAnsi="宋体"/>
          <w:b/>
          <w:color w:val="auto"/>
          <w:szCs w:val="21"/>
          <w:highlight w:val="none"/>
        </w:rPr>
        <w:t>未在规定时间内提交或者未按照招标文件要求密封或者标记的电子投标文件，“</w:t>
      </w:r>
      <w:r>
        <w:rPr>
          <w:rFonts w:hint="eastAsia" w:hAnsi="宋体"/>
          <w:color w:val="auto"/>
          <w:sz w:val="21"/>
          <w:szCs w:val="21"/>
          <w:highlight w:val="none"/>
          <w:lang w:eastAsia="zh-CN"/>
        </w:rPr>
        <w:t>广西政府采购云平台</w:t>
      </w:r>
      <w:r>
        <w:rPr>
          <w:rFonts w:hint="eastAsia" w:ascii="宋体" w:hAnsi="宋体"/>
          <w:b/>
          <w:color w:val="auto"/>
          <w:szCs w:val="21"/>
          <w:highlight w:val="none"/>
        </w:rPr>
        <w:t>”将拒收。</w:t>
      </w:r>
    </w:p>
    <w:p w14:paraId="03461AF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21.</w:t>
      </w:r>
      <w:r>
        <w:rPr>
          <w:rFonts w:ascii="宋体" w:hAnsi="宋体"/>
          <w:color w:val="auto"/>
          <w:szCs w:val="21"/>
          <w:highlight w:val="none"/>
        </w:rPr>
        <w:t>3</w:t>
      </w:r>
      <w:r>
        <w:rPr>
          <w:rFonts w:hint="eastAsia" w:ascii="宋体" w:hAnsi="宋体"/>
          <w:color w:val="auto"/>
          <w:szCs w:val="21"/>
          <w:highlight w:val="none"/>
        </w:rPr>
        <w:t>电子版投标文件提交方式见“招标公告”</w:t>
      </w:r>
      <w:r>
        <w:rPr>
          <w:rFonts w:hint="eastAsia" w:ascii="宋体" w:hAnsi="宋体"/>
          <w:b/>
          <w:color w:val="auto"/>
          <w:szCs w:val="21"/>
          <w:highlight w:val="none"/>
        </w:rPr>
        <w:t>。</w:t>
      </w:r>
    </w:p>
    <w:p w14:paraId="64C62E8C">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22. 投标文件的补充、修改、撤回与退回</w:t>
      </w:r>
      <w:bookmarkStart w:id="91" w:name="_Toc254970684"/>
      <w:bookmarkStart w:id="92" w:name="_Toc254970543"/>
    </w:p>
    <w:p w14:paraId="6A97FBAA">
      <w:pPr>
        <w:spacing w:line="360" w:lineRule="auto"/>
        <w:ind w:firstLine="420" w:firstLineChars="200"/>
        <w:rPr>
          <w:rFonts w:hint="eastAsia" w:ascii="黑体" w:hAnsi="黑体" w:eastAsia="黑体"/>
          <w:color w:val="auto"/>
          <w:sz w:val="24"/>
          <w:highlight w:val="none"/>
        </w:rPr>
      </w:pPr>
      <w:r>
        <w:rPr>
          <w:rFonts w:ascii="宋体" w:hAnsi="宋体" w:cs="宋体"/>
          <w:color w:val="auto"/>
          <w:szCs w:val="21"/>
          <w:highlight w:val="none"/>
        </w:rPr>
        <w:t>22</w:t>
      </w:r>
      <w:r>
        <w:rPr>
          <w:rFonts w:hint="eastAsia" w:ascii="宋体" w:hAnsi="宋体" w:cs="宋体"/>
          <w:color w:val="auto"/>
          <w:szCs w:val="21"/>
          <w:highlight w:val="none"/>
        </w:rPr>
        <w:t>.1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w:t>
      </w:r>
      <w:r>
        <w:rPr>
          <w:rFonts w:hint="eastAsia" w:hAnsi="宋体"/>
          <w:color w:val="auto"/>
          <w:sz w:val="21"/>
          <w:szCs w:val="21"/>
          <w:highlight w:val="none"/>
          <w:lang w:eastAsia="zh-CN"/>
        </w:rPr>
        <w:t>广西政府采购云平台</w:t>
      </w:r>
      <w:r>
        <w:rPr>
          <w:rFonts w:hint="eastAsia" w:ascii="宋体" w:hAnsi="宋体" w:cs="宋体"/>
          <w:color w:val="auto"/>
          <w:szCs w:val="21"/>
          <w:highlight w:val="none"/>
        </w:rPr>
        <w:t>”将拒收。</w:t>
      </w:r>
    </w:p>
    <w:p w14:paraId="537530DE">
      <w:pPr>
        <w:pStyle w:val="73"/>
        <w:spacing w:before="0"/>
        <w:ind w:firstLine="420"/>
        <w:rPr>
          <w:rFonts w:hint="eastAsia" w:ascii="宋体" w:hAnsi="宋体" w:cs="宋体"/>
          <w:color w:val="auto"/>
          <w:sz w:val="21"/>
          <w:szCs w:val="21"/>
          <w:highlight w:val="none"/>
        </w:rPr>
      </w:pPr>
      <w:r>
        <w:rPr>
          <w:rFonts w:ascii="宋体" w:hAnsi="宋体" w:cs="宋体"/>
          <w:color w:val="auto"/>
          <w:sz w:val="21"/>
          <w:szCs w:val="21"/>
          <w:highlight w:val="none"/>
        </w:rPr>
        <w:t>22.</w:t>
      </w:r>
      <w:r>
        <w:rPr>
          <w:rFonts w:hint="eastAsia" w:ascii="宋体" w:hAnsi="宋体" w:cs="宋体"/>
          <w:color w:val="auto"/>
          <w:sz w:val="21"/>
          <w:szCs w:val="21"/>
          <w:highlight w:val="none"/>
        </w:rPr>
        <w:t>2“</w:t>
      </w:r>
      <w:r>
        <w:rPr>
          <w:rFonts w:hint="eastAsia" w:hAnsi="宋体"/>
          <w:color w:val="auto"/>
          <w:sz w:val="21"/>
          <w:szCs w:val="21"/>
          <w:highlight w:val="none"/>
          <w:lang w:eastAsia="zh-CN"/>
        </w:rPr>
        <w:t>广西政府采购云平台</w:t>
      </w:r>
      <w:r>
        <w:rPr>
          <w:rFonts w:hint="eastAsia" w:ascii="宋体" w:hAnsi="宋体" w:cs="宋体"/>
          <w:color w:val="auto"/>
          <w:sz w:val="21"/>
          <w:szCs w:val="21"/>
          <w:highlight w:val="none"/>
        </w:rPr>
        <w:t>”收到投标文件，将妥善保存并即时向供应商发出确认回执通知。在投标截止时间前，除供应商补充、修改或者撤回投标文件外，任何单位和个人不得解密或提取投标文件。</w:t>
      </w:r>
    </w:p>
    <w:bookmarkEnd w:id="91"/>
    <w:bookmarkEnd w:id="92"/>
    <w:p w14:paraId="37F8164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w:t>
      </w:r>
      <w:r>
        <w:rPr>
          <w:rFonts w:ascii="宋体" w:hAnsi="宋体" w:cs="宋体"/>
          <w:color w:val="auto"/>
          <w:szCs w:val="21"/>
          <w:highlight w:val="none"/>
        </w:rPr>
        <w:t>3</w:t>
      </w:r>
      <w:r>
        <w:rPr>
          <w:rFonts w:hint="eastAsia" w:ascii="宋体" w:hAnsi="宋体" w:cs="宋体"/>
          <w:color w:val="auto"/>
          <w:szCs w:val="21"/>
          <w:highlight w:val="none"/>
        </w:rPr>
        <w:t>在投标截止时间止提交电子版投标文件的投标人不足3家时，电子版投标文件由代理机构在“</w:t>
      </w:r>
      <w:r>
        <w:rPr>
          <w:rFonts w:hint="eastAsia" w:hAnsi="宋体"/>
          <w:color w:val="auto"/>
          <w:sz w:val="21"/>
          <w:szCs w:val="21"/>
          <w:highlight w:val="none"/>
          <w:lang w:eastAsia="zh-CN"/>
        </w:rPr>
        <w:t>广西政府采购云平台</w:t>
      </w:r>
      <w:r>
        <w:rPr>
          <w:rFonts w:hint="eastAsia" w:ascii="宋体" w:hAnsi="宋体" w:cs="宋体"/>
          <w:color w:val="auto"/>
          <w:szCs w:val="21"/>
          <w:highlight w:val="none"/>
        </w:rPr>
        <w:t>”操作退回，除此之外采购人和采购代理机构对已提交的投标文件概不退回。</w:t>
      </w:r>
    </w:p>
    <w:p w14:paraId="21B3FDC5">
      <w:pPr>
        <w:pStyle w:val="15"/>
        <w:snapToGrid w:val="0"/>
        <w:spacing w:line="400" w:lineRule="exact"/>
        <w:ind w:firstLine="739"/>
        <w:rPr>
          <w:rFonts w:hint="eastAsia" w:hAnsi="宋体"/>
          <w:snapToGrid w:val="0"/>
          <w:color w:val="auto"/>
          <w:sz w:val="21"/>
          <w:szCs w:val="21"/>
          <w:highlight w:val="none"/>
        </w:rPr>
      </w:pPr>
    </w:p>
    <w:p w14:paraId="13847B95">
      <w:pPr>
        <w:pStyle w:val="6"/>
        <w:keepNext w:val="0"/>
        <w:keepLines w:val="0"/>
        <w:spacing w:line="400" w:lineRule="exact"/>
        <w:jc w:val="center"/>
        <w:rPr>
          <w:rFonts w:hint="eastAsia"/>
          <w:color w:val="auto"/>
          <w:highlight w:val="none"/>
        </w:rPr>
      </w:pPr>
      <w:bookmarkStart w:id="93" w:name="_Toc254970685"/>
      <w:bookmarkStart w:id="94" w:name="_Toc80092998"/>
      <w:bookmarkStart w:id="95" w:name="_Toc254970544"/>
      <w:r>
        <w:rPr>
          <w:rFonts w:hint="eastAsia"/>
          <w:color w:val="auto"/>
          <w:highlight w:val="none"/>
        </w:rPr>
        <w:t>四、开    标</w:t>
      </w:r>
      <w:bookmarkEnd w:id="93"/>
      <w:bookmarkEnd w:id="94"/>
      <w:bookmarkEnd w:id="95"/>
    </w:p>
    <w:p w14:paraId="54A42649">
      <w:pPr>
        <w:spacing w:line="360" w:lineRule="auto"/>
        <w:ind w:firstLine="480" w:firstLineChars="200"/>
        <w:rPr>
          <w:rFonts w:hint="eastAsia" w:ascii="黑体" w:hAnsi="黑体" w:eastAsia="黑体"/>
          <w:color w:val="auto"/>
          <w:sz w:val="24"/>
          <w:highlight w:val="none"/>
        </w:rPr>
      </w:pPr>
      <w:bookmarkStart w:id="96" w:name="_23.开标时间和地点"/>
      <w:bookmarkEnd w:id="96"/>
      <w:r>
        <w:rPr>
          <w:rFonts w:hint="eastAsia" w:ascii="黑体" w:hAnsi="黑体" w:eastAsia="黑体"/>
          <w:color w:val="auto"/>
          <w:sz w:val="24"/>
          <w:highlight w:val="none"/>
        </w:rPr>
        <w:t>23.开标时间和地点</w:t>
      </w:r>
    </w:p>
    <w:p w14:paraId="3D7E8DE5">
      <w:pPr>
        <w:spacing w:line="360" w:lineRule="auto"/>
        <w:ind w:firstLine="420" w:firstLineChars="200"/>
        <w:rPr>
          <w:rFonts w:hint="eastAsia" w:hAnsi="宋体"/>
          <w:bCs/>
          <w:color w:val="auto"/>
          <w:highlight w:val="none"/>
        </w:rPr>
      </w:pPr>
      <w:r>
        <w:rPr>
          <w:rFonts w:hint="eastAsia" w:hAnsi="宋体"/>
          <w:bCs/>
          <w:color w:val="auto"/>
          <w:highlight w:val="none"/>
        </w:rPr>
        <w:t>23.1开标时间及地点详见“投标人须知前附表”</w:t>
      </w:r>
    </w:p>
    <w:p w14:paraId="1E359611">
      <w:pPr>
        <w:spacing w:line="360" w:lineRule="auto"/>
        <w:ind w:firstLine="420" w:firstLineChars="200"/>
        <w:rPr>
          <w:rFonts w:hint="eastAsia"/>
          <w:color w:val="auto"/>
          <w:highlight w:val="none"/>
        </w:rPr>
      </w:pPr>
      <w:r>
        <w:rPr>
          <w:rFonts w:hint="eastAsia" w:hAnsi="宋体"/>
          <w:color w:val="auto"/>
          <w:highlight w:val="none"/>
        </w:rPr>
        <w:t>23.2如</w:t>
      </w:r>
      <w:r>
        <w:rPr>
          <w:rFonts w:hint="eastAsia" w:hAnsi="宋体"/>
          <w:bCs/>
          <w:color w:val="auto"/>
          <w:highlight w:val="none"/>
        </w:rPr>
        <w:t>投标人成功解密投标文件，但未在“</w:t>
      </w:r>
      <w:r>
        <w:rPr>
          <w:rFonts w:hint="eastAsia" w:hAnsi="宋体"/>
          <w:color w:val="auto"/>
          <w:sz w:val="21"/>
          <w:szCs w:val="21"/>
          <w:highlight w:val="none"/>
          <w:lang w:eastAsia="zh-CN"/>
        </w:rPr>
        <w:t>广西政府采购云平台</w:t>
      </w:r>
      <w:r>
        <w:rPr>
          <w:rFonts w:hint="eastAsia" w:hAnsi="宋体"/>
          <w:bCs/>
          <w:color w:val="auto"/>
          <w:highlight w:val="none"/>
        </w:rPr>
        <w:t>”电子开标大厅参加开标的，视同认可开标过程和结果，</w:t>
      </w:r>
      <w:r>
        <w:rPr>
          <w:rFonts w:hint="eastAsia" w:hAnsi="宋体"/>
          <w:color w:val="auto"/>
          <w:highlight w:val="none"/>
        </w:rPr>
        <w:t xml:space="preserve">由此产生的后果由投标人自行负责。 </w:t>
      </w:r>
      <w:r>
        <w:rPr>
          <w:rFonts w:hint="eastAsia"/>
          <w:color w:val="auto"/>
          <w:highlight w:val="none"/>
        </w:rPr>
        <w:t>投标人不足3家的，不得开标。</w:t>
      </w:r>
    </w:p>
    <w:p w14:paraId="2BA08FA2">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24.开标程序</w:t>
      </w:r>
    </w:p>
    <w:p w14:paraId="6C55983B">
      <w:pPr>
        <w:autoSpaceDE w:val="0"/>
        <w:autoSpaceDN w:val="0"/>
        <w:adjustRightInd w:val="0"/>
        <w:spacing w:line="440" w:lineRule="exact"/>
        <w:ind w:firstLine="420" w:firstLineChars="200"/>
        <w:rPr>
          <w:rFonts w:ascii="宋体" w:hAnsi="宋体"/>
          <w:color w:val="auto"/>
          <w:kern w:val="0"/>
          <w:szCs w:val="21"/>
          <w:highlight w:val="none"/>
        </w:rPr>
      </w:pPr>
      <w:r>
        <w:rPr>
          <w:rFonts w:hint="eastAsia" w:ascii="宋体" w:hAnsi="宋体"/>
          <w:bCs/>
          <w:color w:val="auto"/>
          <w:szCs w:val="21"/>
          <w:highlight w:val="none"/>
        </w:rPr>
        <w:t>24.1</w:t>
      </w:r>
      <w:r>
        <w:rPr>
          <w:rFonts w:hint="eastAsia" w:ascii="宋体" w:hAnsi="宋体"/>
          <w:color w:val="auto"/>
          <w:kern w:val="0"/>
          <w:szCs w:val="21"/>
          <w:highlight w:val="none"/>
        </w:rPr>
        <w:t>开标形式：</w:t>
      </w:r>
    </w:p>
    <w:p w14:paraId="526B650D">
      <w:pPr>
        <w:autoSpaceDE w:val="0"/>
        <w:autoSpaceDN w:val="0"/>
        <w:adjustRightInd w:val="0"/>
        <w:spacing w:line="440" w:lineRule="exact"/>
        <w:ind w:firstLine="420" w:firstLineChars="200"/>
        <w:rPr>
          <w:rFonts w:ascii="宋体" w:hAnsi="宋体"/>
          <w:bCs/>
          <w:color w:val="auto"/>
          <w:szCs w:val="21"/>
          <w:highlight w:val="none"/>
        </w:rPr>
      </w:pPr>
      <w:r>
        <w:rPr>
          <w:rFonts w:hint="eastAsia" w:ascii="宋体" w:hAnsi="宋体"/>
          <w:color w:val="auto"/>
          <w:szCs w:val="21"/>
          <w:highlight w:val="none"/>
        </w:rPr>
        <w:t>（1）</w:t>
      </w:r>
      <w:r>
        <w:rPr>
          <w:rFonts w:hint="eastAsia" w:ascii="宋体" w:hAnsi="宋体"/>
          <w:bCs/>
          <w:color w:val="auto"/>
          <w:szCs w:val="21"/>
          <w:highlight w:val="none"/>
        </w:rPr>
        <w:t>开标的准备工作由采购代理机构负责落实，采购代理机构必须基于“</w:t>
      </w:r>
      <w:r>
        <w:rPr>
          <w:rFonts w:hint="eastAsia" w:hAnsi="宋体"/>
          <w:color w:val="auto"/>
          <w:sz w:val="21"/>
          <w:szCs w:val="21"/>
          <w:highlight w:val="none"/>
          <w:lang w:eastAsia="zh-CN"/>
        </w:rPr>
        <w:t>广西政府采购云平台</w:t>
      </w:r>
      <w:r>
        <w:rPr>
          <w:rFonts w:hint="eastAsia" w:ascii="宋体" w:hAnsi="宋体"/>
          <w:bCs/>
          <w:color w:val="auto"/>
          <w:szCs w:val="21"/>
          <w:highlight w:val="none"/>
        </w:rPr>
        <w:t>”选取评审专家，如采购代理机构未按规定选取专家的，视为本次开评标无效，应当重新采购；</w:t>
      </w:r>
    </w:p>
    <w:p w14:paraId="3DF71416">
      <w:pPr>
        <w:autoSpaceDE w:val="0"/>
        <w:autoSpaceDN w:val="0"/>
        <w:adjustRightInd w:val="0"/>
        <w:spacing w:line="440" w:lineRule="exact"/>
        <w:ind w:firstLine="420" w:firstLineChars="200"/>
        <w:rPr>
          <w:rFonts w:ascii="宋体" w:hAnsi="宋体"/>
          <w:bCs/>
          <w:color w:val="auto"/>
          <w:szCs w:val="21"/>
          <w:highlight w:val="none"/>
        </w:rPr>
      </w:pPr>
      <w:r>
        <w:rPr>
          <w:rFonts w:hint="eastAsia" w:ascii="宋体" w:hAnsi="宋体"/>
          <w:bCs/>
          <w:color w:val="auto"/>
          <w:szCs w:val="21"/>
          <w:highlight w:val="none"/>
        </w:rPr>
        <w:t>（2）采购代理机构将按照招标文件规定的时间通过“</w:t>
      </w:r>
      <w:r>
        <w:rPr>
          <w:rFonts w:hint="eastAsia" w:hAnsi="宋体"/>
          <w:color w:val="auto"/>
          <w:sz w:val="21"/>
          <w:szCs w:val="21"/>
          <w:highlight w:val="none"/>
          <w:lang w:eastAsia="zh-CN"/>
        </w:rPr>
        <w:t>广西政府采购云平台</w:t>
      </w:r>
      <w:r>
        <w:rPr>
          <w:rFonts w:hint="eastAsia" w:ascii="宋体" w:hAnsi="宋体"/>
          <w:bCs/>
          <w:color w:val="auto"/>
          <w:szCs w:val="21"/>
          <w:highlight w:val="none"/>
        </w:rPr>
        <w:t>”组织线上开标活动、开启投标文件，所有供应商均应当准时在线参加。投标人</w:t>
      </w:r>
      <w:r>
        <w:rPr>
          <w:rFonts w:ascii="宋体" w:hAnsi="宋体"/>
          <w:bCs/>
          <w:color w:val="auto"/>
          <w:szCs w:val="21"/>
          <w:highlight w:val="none"/>
        </w:rPr>
        <w:t>如不</w:t>
      </w:r>
      <w:r>
        <w:rPr>
          <w:rFonts w:hint="eastAsia" w:ascii="宋体" w:hAnsi="宋体"/>
          <w:bCs/>
          <w:color w:val="auto"/>
          <w:szCs w:val="21"/>
          <w:highlight w:val="none"/>
        </w:rPr>
        <w:t>参加</w:t>
      </w:r>
      <w:r>
        <w:rPr>
          <w:rFonts w:ascii="宋体" w:hAnsi="宋体"/>
          <w:bCs/>
          <w:color w:val="auto"/>
          <w:szCs w:val="21"/>
          <w:highlight w:val="none"/>
        </w:rPr>
        <w:t>开标大会的，</w:t>
      </w:r>
      <w:r>
        <w:rPr>
          <w:rFonts w:hint="eastAsia" w:ascii="宋体" w:hAnsi="宋体"/>
          <w:bCs/>
          <w:color w:val="auto"/>
          <w:szCs w:val="21"/>
          <w:highlight w:val="none"/>
        </w:rPr>
        <w:t>视同认可开标结果，</w:t>
      </w:r>
      <w:r>
        <w:rPr>
          <w:rFonts w:ascii="宋体" w:hAnsi="宋体"/>
          <w:bCs/>
          <w:color w:val="auto"/>
          <w:szCs w:val="21"/>
          <w:highlight w:val="none"/>
        </w:rPr>
        <w:t>事后不得对采购相关人员、开标过程和开标结果提出异议</w:t>
      </w:r>
      <w:r>
        <w:rPr>
          <w:rFonts w:hint="eastAsia" w:ascii="宋体" w:hAnsi="宋体"/>
          <w:bCs/>
          <w:color w:val="auto"/>
          <w:szCs w:val="21"/>
          <w:highlight w:val="none"/>
        </w:rPr>
        <w:t>，同时投标人因未在线参加开标而导致投标文件无法按时解密等一切后果由投标人自己承担。</w:t>
      </w:r>
    </w:p>
    <w:p w14:paraId="49F6BD0D">
      <w:pPr>
        <w:autoSpaceDE w:val="0"/>
        <w:autoSpaceDN w:val="0"/>
        <w:adjustRightInd w:val="0"/>
        <w:spacing w:line="440" w:lineRule="exact"/>
        <w:ind w:firstLine="420" w:firstLineChars="200"/>
        <w:rPr>
          <w:rFonts w:ascii="宋体" w:hAnsi="宋体"/>
          <w:bCs/>
          <w:color w:val="auto"/>
          <w:szCs w:val="21"/>
          <w:highlight w:val="none"/>
        </w:rPr>
      </w:pPr>
      <w:r>
        <w:rPr>
          <w:rFonts w:hint="eastAsia" w:ascii="宋体" w:hAnsi="宋体"/>
          <w:bCs/>
          <w:color w:val="auto"/>
          <w:szCs w:val="21"/>
          <w:highlight w:val="none"/>
        </w:rPr>
        <w:t>24.2</w:t>
      </w:r>
      <w:r>
        <w:rPr>
          <w:rFonts w:ascii="宋体" w:hAnsi="宋体"/>
          <w:bCs/>
          <w:color w:val="auto"/>
          <w:szCs w:val="21"/>
          <w:highlight w:val="none"/>
        </w:rPr>
        <w:t>开</w:t>
      </w:r>
      <w:r>
        <w:rPr>
          <w:rFonts w:hint="eastAsia" w:ascii="宋体" w:hAnsi="宋体"/>
          <w:bCs/>
          <w:color w:val="auto"/>
          <w:szCs w:val="21"/>
          <w:highlight w:val="none"/>
        </w:rPr>
        <w:t>标</w:t>
      </w:r>
      <w:r>
        <w:rPr>
          <w:rFonts w:ascii="宋体" w:hAnsi="宋体"/>
          <w:bCs/>
          <w:color w:val="auto"/>
          <w:szCs w:val="21"/>
          <w:highlight w:val="none"/>
        </w:rPr>
        <w:t>程序：</w:t>
      </w:r>
    </w:p>
    <w:p w14:paraId="7C04DE5A">
      <w:pPr>
        <w:pStyle w:val="18"/>
        <w:snapToGrid w:val="0"/>
        <w:spacing w:line="440" w:lineRule="exact"/>
        <w:ind w:firstLine="422" w:firstLineChars="200"/>
        <w:rPr>
          <w:rFonts w:hint="eastAsia" w:hAnsi="宋体"/>
          <w:color w:val="auto"/>
          <w:szCs w:val="21"/>
          <w:highlight w:val="none"/>
        </w:rPr>
      </w:pPr>
      <w:r>
        <w:rPr>
          <w:rFonts w:hint="eastAsia" w:hAnsi="宋体"/>
          <w:b/>
          <w:color w:val="auto"/>
          <w:szCs w:val="21"/>
          <w:highlight w:val="none"/>
        </w:rPr>
        <w:t>（1）解密电子投标文件。</w:t>
      </w:r>
      <w:r>
        <w:rPr>
          <w:rFonts w:hint="eastAsia" w:hAnsi="宋体" w:cs="仿宋_GB2312"/>
          <w:b/>
          <w:color w:val="auto"/>
          <w:szCs w:val="21"/>
          <w:highlight w:val="none"/>
        </w:rPr>
        <w:t>“</w:t>
      </w:r>
      <w:r>
        <w:rPr>
          <w:rFonts w:hint="eastAsia" w:hAnsi="宋体"/>
          <w:color w:val="auto"/>
          <w:sz w:val="21"/>
          <w:szCs w:val="21"/>
          <w:highlight w:val="none"/>
          <w:lang w:eastAsia="zh-CN"/>
        </w:rPr>
        <w:t>广西政府采购云平台</w:t>
      </w:r>
      <w:r>
        <w:rPr>
          <w:rFonts w:hint="eastAsia" w:hAnsi="宋体" w:cs="仿宋_GB2312"/>
          <w:color w:val="auto"/>
          <w:szCs w:val="21"/>
          <w:highlight w:val="none"/>
        </w:rPr>
        <w:t>”按开标时间自动提取所有投标文件。采购代理机构依托“</w:t>
      </w:r>
      <w:r>
        <w:rPr>
          <w:rFonts w:hint="eastAsia" w:hAnsi="宋体"/>
          <w:color w:val="auto"/>
          <w:sz w:val="21"/>
          <w:szCs w:val="21"/>
          <w:highlight w:val="none"/>
          <w:lang w:eastAsia="zh-CN"/>
        </w:rPr>
        <w:t>广西政府采购云平台</w:t>
      </w:r>
      <w:r>
        <w:rPr>
          <w:rFonts w:hint="eastAsia" w:hAnsi="宋体" w:cs="仿宋_GB2312"/>
          <w:color w:val="auto"/>
          <w:szCs w:val="21"/>
          <w:highlight w:val="none"/>
        </w:rPr>
        <w:t>”</w:t>
      </w:r>
      <w:r>
        <w:rPr>
          <w:rFonts w:hint="eastAsia" w:hAnsi="宋体"/>
          <w:color w:val="auto"/>
          <w:szCs w:val="21"/>
          <w:highlight w:val="none"/>
        </w:rPr>
        <w:t>向各投标人发出电子加密投标文件【开始解密】通知，由投标人按招标文件规定的时间内自行进行投标文件解密。投标人的法定代表人或其委托代理人</w:t>
      </w:r>
      <w:r>
        <w:rPr>
          <w:rFonts w:hint="eastAsia" w:hAnsi="宋体"/>
          <w:b/>
          <w:color w:val="auto"/>
          <w:szCs w:val="21"/>
          <w:highlight w:val="none"/>
        </w:rPr>
        <w:t>须携带加密时所用的CA锁准时登录到“</w:t>
      </w:r>
      <w:r>
        <w:rPr>
          <w:rFonts w:hint="eastAsia" w:hAnsi="宋体"/>
          <w:color w:val="auto"/>
          <w:sz w:val="21"/>
          <w:szCs w:val="21"/>
          <w:highlight w:val="none"/>
          <w:lang w:eastAsia="zh-CN"/>
        </w:rPr>
        <w:t>广西政府采购云平台</w:t>
      </w:r>
      <w:r>
        <w:rPr>
          <w:rFonts w:hint="eastAsia" w:hAnsi="宋体"/>
          <w:b/>
          <w:color w:val="auto"/>
          <w:szCs w:val="21"/>
          <w:highlight w:val="none"/>
        </w:rPr>
        <w:t>”电子开标大厅签到并对电子投标文件解密</w:t>
      </w:r>
      <w:r>
        <w:rPr>
          <w:rFonts w:hint="eastAsia" w:hAnsi="宋体"/>
          <w:color w:val="auto"/>
          <w:szCs w:val="21"/>
          <w:highlight w:val="none"/>
        </w:rPr>
        <w:t>。</w:t>
      </w:r>
      <w:r>
        <w:rPr>
          <w:rFonts w:hint="eastAsia" w:hAnsi="宋体"/>
          <w:color w:val="auto"/>
          <w:szCs w:val="21"/>
          <w:highlight w:val="none"/>
        </w:rPr>
        <w:t>开标后5分钟投标人还未进行解密的，代理机构要通知投标人。通知后，</w:t>
      </w:r>
      <w:r>
        <w:rPr>
          <w:rFonts w:hint="eastAsia" w:hAnsi="宋体" w:cs="仿宋_GB2312"/>
          <w:color w:val="auto"/>
          <w:szCs w:val="21"/>
          <w:highlight w:val="none"/>
        </w:rPr>
        <w:t>投标文件仍未按时解密，</w:t>
      </w:r>
      <w:r>
        <w:rPr>
          <w:rFonts w:hint="eastAsia" w:hAnsi="宋体"/>
          <w:color w:val="auto"/>
          <w:szCs w:val="21"/>
          <w:highlight w:val="none"/>
        </w:rPr>
        <w:t>或者</w:t>
      </w:r>
      <w:r>
        <w:rPr>
          <w:rFonts w:hint="eastAsia" w:hAnsi="宋体"/>
          <w:color w:val="auto"/>
          <w:szCs w:val="21"/>
          <w:highlight w:val="none"/>
        </w:rPr>
        <w:t>投标人没预留联系方式或预留联系方式无效，导致代理机构无法联系到投标人进行解密的，</w:t>
      </w:r>
      <w:r>
        <w:rPr>
          <w:rFonts w:hint="eastAsia" w:hAnsi="宋体"/>
          <w:b/>
          <w:color w:val="auto"/>
          <w:szCs w:val="21"/>
          <w:highlight w:val="none"/>
        </w:rPr>
        <w:t>均视为无效投标。</w:t>
      </w:r>
    </w:p>
    <w:p w14:paraId="06A4CF42">
      <w:pPr>
        <w:pStyle w:val="18"/>
        <w:snapToGrid w:val="0"/>
        <w:spacing w:line="440" w:lineRule="exact"/>
        <w:ind w:firstLine="420" w:firstLineChars="200"/>
        <w:rPr>
          <w:rFonts w:hint="eastAsia" w:hAnsi="宋体"/>
          <w:color w:val="auto"/>
          <w:szCs w:val="21"/>
          <w:highlight w:val="none"/>
        </w:rPr>
      </w:pPr>
      <w:r>
        <w:rPr>
          <w:rFonts w:hint="eastAsia" w:hAnsi="宋体"/>
          <w:color w:val="auto"/>
          <w:szCs w:val="21"/>
          <w:highlight w:val="none"/>
        </w:rPr>
        <w:t>（解密</w:t>
      </w:r>
      <w:r>
        <w:rPr>
          <w:rFonts w:hint="eastAsia" w:hAnsi="宋体"/>
          <w:bCs/>
          <w:color w:val="auto"/>
          <w:szCs w:val="21"/>
          <w:highlight w:val="none"/>
        </w:rPr>
        <w:t>异常情况处理：详见本章</w:t>
      </w:r>
      <w:r>
        <w:rPr>
          <w:rFonts w:hint="eastAsia" w:hAnsi="宋体"/>
          <w:color w:val="auto"/>
          <w:highlight w:val="none"/>
        </w:rPr>
        <w:t>29.3 电子交易活动的中止。</w:t>
      </w:r>
      <w:r>
        <w:rPr>
          <w:rFonts w:hint="eastAsia" w:hAnsi="宋体"/>
          <w:color w:val="auto"/>
          <w:szCs w:val="21"/>
          <w:highlight w:val="none"/>
        </w:rPr>
        <w:t>）</w:t>
      </w:r>
    </w:p>
    <w:p w14:paraId="507B681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b/>
          <w:color w:val="auto"/>
          <w:szCs w:val="21"/>
          <w:highlight w:val="none"/>
        </w:rPr>
        <w:t>电子唱标。</w:t>
      </w:r>
      <w:r>
        <w:rPr>
          <w:rFonts w:hint="eastAsia" w:ascii="宋体" w:hAnsi="宋体"/>
          <w:color w:val="auto"/>
          <w:szCs w:val="21"/>
          <w:highlight w:val="none"/>
        </w:rPr>
        <w:t>投标文件解密结束，各投标供应商报价均在“</w:t>
      </w:r>
      <w:r>
        <w:rPr>
          <w:rFonts w:hint="eastAsia" w:hAnsi="宋体"/>
          <w:color w:val="auto"/>
          <w:sz w:val="21"/>
          <w:szCs w:val="21"/>
          <w:highlight w:val="none"/>
          <w:lang w:eastAsia="zh-CN"/>
        </w:rPr>
        <w:t>广西政府采购云平台</w:t>
      </w:r>
      <w:r>
        <w:rPr>
          <w:rFonts w:hint="eastAsia" w:ascii="宋体" w:hAnsi="宋体"/>
          <w:color w:val="auto"/>
          <w:szCs w:val="21"/>
          <w:highlight w:val="none"/>
        </w:rPr>
        <w:t>”远程不见面开标大厅展示；</w:t>
      </w:r>
    </w:p>
    <w:p w14:paraId="769BC25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（3）开标过程由采购代理机构如实记录，并电子留痕，由参加电子开标的各投标人代表对电子开标记录在开标记录公布后 15 分钟内进行当场校核及勘误，并线上确认，未确认的视同认可开标结果。</w:t>
      </w:r>
    </w:p>
    <w:p w14:paraId="24174F44">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4）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5E8C2833">
      <w:pPr>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（5）</w:t>
      </w:r>
      <w:r>
        <w:rPr>
          <w:rFonts w:hint="eastAsia" w:ascii="宋体" w:hAnsi="宋体" w:eastAsia="宋体" w:cs="Times New Roman"/>
          <w:bCs/>
          <w:color w:val="auto"/>
          <w:szCs w:val="21"/>
          <w:highlight w:val="none"/>
          <w:lang w:val="en-US" w:eastAsia="zh-CN"/>
        </w:rPr>
        <w:t>开标结束</w:t>
      </w:r>
      <w:r>
        <w:rPr>
          <w:rFonts w:hint="eastAsia" w:ascii="宋体" w:hAnsi="宋体" w:eastAsia="宋体" w:cs="Times New Roman"/>
          <w:bCs/>
          <w:color w:val="auto"/>
          <w:szCs w:val="21"/>
          <w:highlight w:val="none"/>
        </w:rPr>
        <w:t>。</w:t>
      </w:r>
    </w:p>
    <w:p w14:paraId="33209836">
      <w:pPr>
        <w:pStyle w:val="18"/>
        <w:snapToGrid w:val="0"/>
        <w:spacing w:line="440" w:lineRule="exact"/>
        <w:ind w:firstLine="422" w:firstLineChars="200"/>
        <w:rPr>
          <w:rFonts w:hAnsi="宋体"/>
          <w:color w:val="auto"/>
          <w:szCs w:val="21"/>
          <w:highlight w:val="none"/>
        </w:rPr>
      </w:pPr>
      <w:r>
        <w:rPr>
          <w:rFonts w:hint="eastAsia" w:hAnsi="宋体"/>
          <w:b/>
          <w:bCs/>
          <w:color w:val="auto"/>
          <w:szCs w:val="21"/>
          <w:highlight w:val="none"/>
        </w:rPr>
        <w:t>特别说明：</w:t>
      </w:r>
      <w:r>
        <w:rPr>
          <w:rFonts w:hint="eastAsia" w:hAnsi="宋体"/>
          <w:color w:val="auto"/>
          <w:szCs w:val="21"/>
          <w:highlight w:val="none"/>
        </w:rPr>
        <w:t>如遇“</w:t>
      </w:r>
      <w:r>
        <w:rPr>
          <w:rFonts w:hint="eastAsia" w:hAnsi="宋体"/>
          <w:color w:val="auto"/>
          <w:sz w:val="21"/>
          <w:szCs w:val="21"/>
          <w:highlight w:val="none"/>
          <w:lang w:eastAsia="zh-CN"/>
        </w:rPr>
        <w:t>广西政府采购云平台</w:t>
      </w:r>
      <w:r>
        <w:rPr>
          <w:rFonts w:hint="eastAsia" w:hAnsi="宋体"/>
          <w:color w:val="auto"/>
          <w:szCs w:val="21"/>
          <w:highlight w:val="none"/>
        </w:rPr>
        <w:t>”电子化开标或评审程序调整的，按调整后执行。</w:t>
      </w:r>
    </w:p>
    <w:p w14:paraId="4BACFA13">
      <w:pPr>
        <w:pStyle w:val="18"/>
        <w:snapToGrid w:val="0"/>
        <w:spacing w:line="400" w:lineRule="exact"/>
        <w:ind w:left="689" w:leftChars="228" w:hanging="210" w:hangingChars="100"/>
        <w:rPr>
          <w:rFonts w:hint="eastAsia" w:hAnsi="宋体"/>
          <w:color w:val="auto"/>
          <w:highlight w:val="none"/>
        </w:rPr>
      </w:pPr>
    </w:p>
    <w:p w14:paraId="3F3ECE30">
      <w:pPr>
        <w:pStyle w:val="6"/>
        <w:keepNext w:val="0"/>
        <w:keepLines w:val="0"/>
        <w:spacing w:line="400" w:lineRule="exact"/>
        <w:jc w:val="center"/>
        <w:rPr>
          <w:rFonts w:hint="eastAsia"/>
          <w:color w:val="auto"/>
          <w:highlight w:val="none"/>
        </w:rPr>
      </w:pPr>
      <w:bookmarkStart w:id="97" w:name="_Toc80092999"/>
      <w:r>
        <w:rPr>
          <w:rFonts w:hint="eastAsia"/>
          <w:color w:val="auto"/>
          <w:highlight w:val="none"/>
        </w:rPr>
        <w:t>五、资格审查</w:t>
      </w:r>
      <w:bookmarkEnd w:id="97"/>
    </w:p>
    <w:p w14:paraId="64209DBF">
      <w:pPr>
        <w:pStyle w:val="8"/>
        <w:keepNext w:val="0"/>
        <w:keepLines w:val="0"/>
        <w:spacing w:before="0" w:after="0" w:line="360" w:lineRule="auto"/>
        <w:ind w:firstLine="482" w:firstLineChars="200"/>
        <w:rPr>
          <w:rFonts w:hint="eastAsia" w:ascii="黑体" w:hAnsi="黑体" w:eastAsia="黑体"/>
          <w:color w:val="auto"/>
          <w:sz w:val="24"/>
          <w:highlight w:val="none"/>
        </w:rPr>
      </w:pPr>
      <w:r>
        <w:rPr>
          <w:rFonts w:hint="eastAsia" w:ascii="黑体" w:hAnsi="黑体" w:eastAsia="黑体"/>
          <w:color w:val="auto"/>
          <w:sz w:val="24"/>
          <w:highlight w:val="none"/>
        </w:rPr>
        <w:t>25.资格审查</w:t>
      </w:r>
    </w:p>
    <w:p w14:paraId="2372D011">
      <w:pPr>
        <w:spacing w:line="360" w:lineRule="auto"/>
        <w:ind w:firstLine="422" w:firstLineChars="200"/>
        <w:rPr>
          <w:rFonts w:hint="eastAsia" w:ascii="宋体" w:hAnsi="宋体"/>
          <w:b/>
          <w:bCs/>
          <w:color w:val="auto"/>
          <w:szCs w:val="20"/>
          <w:highlight w:val="none"/>
        </w:rPr>
      </w:pPr>
      <w:r>
        <w:rPr>
          <w:rFonts w:hint="eastAsia" w:ascii="宋体" w:hAnsi="宋体"/>
          <w:b/>
          <w:bCs/>
          <w:color w:val="auto"/>
          <w:szCs w:val="20"/>
          <w:highlight w:val="none"/>
        </w:rPr>
        <w:t xml:space="preserve"> 25.1</w:t>
      </w:r>
      <w:r>
        <w:rPr>
          <w:rFonts w:ascii="宋体" w:hAnsi="宋体"/>
          <w:b/>
          <w:bCs/>
          <w:color w:val="auto"/>
          <w:szCs w:val="20"/>
          <w:highlight w:val="none"/>
        </w:rPr>
        <w:t>开标结束后，</w:t>
      </w:r>
      <w:r>
        <w:rPr>
          <w:rFonts w:hint="eastAsia" w:ascii="宋体" w:hAnsi="宋体"/>
          <w:b/>
          <w:bCs/>
          <w:color w:val="auto"/>
          <w:szCs w:val="20"/>
          <w:highlight w:val="none"/>
        </w:rPr>
        <w:t>采购人</w:t>
      </w:r>
      <w:r>
        <w:rPr>
          <w:rFonts w:hint="eastAsia" w:ascii="宋体" w:hAnsi="宋体"/>
          <w:b/>
          <w:bCs/>
          <w:color w:val="auto"/>
          <w:szCs w:val="20"/>
          <w:highlight w:val="none"/>
          <w:lang w:eastAsia="zh-CN"/>
        </w:rPr>
        <w:t>代表</w:t>
      </w:r>
      <w:r>
        <w:rPr>
          <w:rFonts w:ascii="宋体" w:hAnsi="宋体"/>
          <w:b/>
          <w:bCs/>
          <w:color w:val="auto"/>
          <w:szCs w:val="20"/>
          <w:highlight w:val="none"/>
        </w:rPr>
        <w:t>依法</w:t>
      </w:r>
      <w:r>
        <w:rPr>
          <w:rFonts w:hint="eastAsia" w:ascii="宋体" w:hAnsi="宋体"/>
          <w:b/>
          <w:bCs/>
          <w:color w:val="auto"/>
          <w:szCs w:val="20"/>
          <w:highlight w:val="none"/>
        </w:rPr>
        <w:t>通过电子投标文件</w:t>
      </w:r>
      <w:r>
        <w:rPr>
          <w:rFonts w:ascii="宋体" w:hAnsi="宋体"/>
          <w:b/>
          <w:bCs/>
          <w:color w:val="auto"/>
          <w:szCs w:val="20"/>
          <w:highlight w:val="none"/>
        </w:rPr>
        <w:t>对投标人的资格进行</w:t>
      </w:r>
      <w:r>
        <w:rPr>
          <w:rFonts w:hint="eastAsia" w:ascii="宋体" w:hAnsi="宋体"/>
          <w:b/>
          <w:bCs/>
          <w:color w:val="auto"/>
          <w:szCs w:val="20"/>
          <w:highlight w:val="none"/>
        </w:rPr>
        <w:t>线上</w:t>
      </w:r>
      <w:r>
        <w:rPr>
          <w:rFonts w:ascii="宋体" w:hAnsi="宋体"/>
          <w:b/>
          <w:bCs/>
          <w:color w:val="auto"/>
          <w:szCs w:val="20"/>
          <w:highlight w:val="none"/>
        </w:rPr>
        <w:t>审查。</w:t>
      </w:r>
    </w:p>
    <w:p w14:paraId="22B7E85F">
      <w:pPr>
        <w:spacing w:line="360" w:lineRule="auto"/>
        <w:ind w:firstLine="422" w:firstLineChars="200"/>
        <w:rPr>
          <w:rFonts w:hint="eastAsia" w:ascii="宋体" w:hAnsi="宋体"/>
          <w:b/>
          <w:bCs/>
          <w:color w:val="auto"/>
          <w:szCs w:val="20"/>
          <w:highlight w:val="none"/>
        </w:rPr>
      </w:pPr>
      <w:r>
        <w:rPr>
          <w:rFonts w:hint="eastAsia" w:ascii="宋体" w:hAnsi="宋体"/>
          <w:b/>
          <w:bCs/>
          <w:color w:val="auto"/>
          <w:szCs w:val="20"/>
          <w:highlight w:val="none"/>
        </w:rPr>
        <w:t xml:space="preserve"> 25.2采购人</w:t>
      </w:r>
      <w:r>
        <w:rPr>
          <w:rFonts w:hint="eastAsia" w:ascii="宋体" w:hAnsi="宋体"/>
          <w:b/>
          <w:bCs/>
          <w:color w:val="auto"/>
          <w:szCs w:val="20"/>
          <w:highlight w:val="none"/>
          <w:lang w:eastAsia="zh-CN"/>
        </w:rPr>
        <w:t>代表</w:t>
      </w:r>
      <w:r>
        <w:rPr>
          <w:rFonts w:hint="eastAsia" w:ascii="宋体" w:hAnsi="宋体"/>
          <w:b/>
          <w:bCs/>
          <w:color w:val="auto"/>
          <w:szCs w:val="20"/>
          <w:highlight w:val="none"/>
        </w:rPr>
        <w:t>依据法律法规和招标文件的规定，对投标人的基本资格条件、特定资格条件进行审查。</w:t>
      </w:r>
    </w:p>
    <w:p w14:paraId="72BC9ACE">
      <w:pPr>
        <w:spacing w:line="360" w:lineRule="auto"/>
        <w:ind w:firstLine="420" w:firstLineChars="200"/>
        <w:rPr>
          <w:rFonts w:hint="eastAsia" w:ascii="宋体" w:hAnsi="宋体"/>
          <w:color w:val="auto"/>
          <w:highlight w:val="none"/>
        </w:rPr>
      </w:pPr>
      <w:r>
        <w:rPr>
          <w:rFonts w:hint="eastAsia" w:ascii="宋体" w:hAnsi="宋体"/>
          <w:color w:val="auto"/>
          <w:highlight w:val="none"/>
        </w:rPr>
        <w:t>25.3资格审查标准为本“招标文件”中“投标人须知前附表”13.1点载明对投标人资格要求的条件。本项目资格审查采用合格制，凡符合招标文件规定的投标人资格要求的投标人均通过资格审查。</w:t>
      </w:r>
    </w:p>
    <w:p w14:paraId="583A40E0">
      <w:pPr>
        <w:spacing w:line="360" w:lineRule="auto"/>
        <w:ind w:firstLine="422" w:firstLineChars="200"/>
        <w:rPr>
          <w:rFonts w:hint="eastAsia" w:ascii="宋体" w:hAnsi="宋体"/>
          <w:b/>
          <w:bCs/>
          <w:color w:val="auto"/>
          <w:szCs w:val="20"/>
          <w:highlight w:val="none"/>
        </w:rPr>
      </w:pPr>
      <w:bookmarkStart w:id="98" w:name="_25.3_投标人有下列情形之一的，资格审查不通过而导致其投标无效："/>
      <w:bookmarkEnd w:id="98"/>
      <w:r>
        <w:rPr>
          <w:rFonts w:hint="eastAsia" w:ascii="宋体" w:hAnsi="宋体"/>
          <w:b/>
          <w:bCs/>
          <w:color w:val="auto"/>
          <w:szCs w:val="20"/>
          <w:highlight w:val="none"/>
        </w:rPr>
        <w:t>25.4投标人有下列情形之一的，资格审查不通过，作无效投标处理：</w:t>
      </w:r>
    </w:p>
    <w:p w14:paraId="76CB4995">
      <w:pPr>
        <w:spacing w:line="360" w:lineRule="auto"/>
        <w:ind w:firstLine="420" w:firstLineChars="200"/>
        <w:rPr>
          <w:rFonts w:hint="eastAsia" w:hAnsi="宋体"/>
          <w:color w:val="auto"/>
          <w:highlight w:val="none"/>
        </w:rPr>
      </w:pPr>
      <w:r>
        <w:rPr>
          <w:rFonts w:hint="eastAsia" w:hAnsi="宋体"/>
          <w:color w:val="auto"/>
          <w:highlight w:val="none"/>
        </w:rPr>
        <w:t>（1）不具备招标文件中规定的资格要求的。</w:t>
      </w:r>
    </w:p>
    <w:p w14:paraId="12B47879">
      <w:pPr>
        <w:spacing w:line="360" w:lineRule="auto"/>
        <w:ind w:firstLine="420" w:firstLineChars="200"/>
        <w:rPr>
          <w:rFonts w:hint="eastAsia" w:hAnsi="宋体"/>
          <w:color w:val="auto"/>
          <w:highlight w:val="none"/>
        </w:rPr>
      </w:pPr>
      <w:r>
        <w:rPr>
          <w:rFonts w:hint="eastAsia" w:hAnsi="宋体"/>
          <w:color w:val="auto"/>
          <w:highlight w:val="none"/>
        </w:rPr>
        <w:t>（2）投标文件未提供任一项“投标人须知前附表”资格证明文件规定的“必须提供”的文件资料的；</w:t>
      </w:r>
    </w:p>
    <w:p w14:paraId="047C758A">
      <w:pPr>
        <w:spacing w:line="360" w:lineRule="auto"/>
        <w:ind w:firstLine="420" w:firstLineChars="200"/>
        <w:rPr>
          <w:rFonts w:hint="eastAsia" w:hAnsi="宋体"/>
          <w:color w:val="auto"/>
          <w:highlight w:val="none"/>
        </w:rPr>
      </w:pPr>
      <w:r>
        <w:rPr>
          <w:rFonts w:hint="eastAsia" w:hAnsi="宋体"/>
          <w:color w:val="auto"/>
          <w:highlight w:val="none"/>
        </w:rPr>
        <w:t>（3）投标文件提供的资格证明文件出现任一项不符合“投标人须知前附表”资格证明文件规定的“必须提供”的文件资料要求或者无效的。</w:t>
      </w:r>
    </w:p>
    <w:p w14:paraId="1CEB1E45">
      <w:pPr>
        <w:pStyle w:val="8"/>
        <w:keepNext w:val="0"/>
        <w:keepLines w:val="0"/>
        <w:spacing w:before="0" w:after="0" w:line="360" w:lineRule="auto"/>
        <w:ind w:firstLine="420" w:firstLineChars="200"/>
        <w:rPr>
          <w:rFonts w:hint="eastAsia"/>
          <w:color w:val="auto"/>
          <w:highlight w:val="none"/>
        </w:rPr>
      </w:pPr>
      <w:r>
        <w:rPr>
          <w:rFonts w:hint="eastAsia" w:ascii="宋体" w:hAnsi="宋体"/>
          <w:b w:val="0"/>
          <w:bCs w:val="0"/>
          <w:color w:val="auto"/>
          <w:sz w:val="21"/>
          <w:szCs w:val="20"/>
          <w:highlight w:val="none"/>
        </w:rPr>
        <w:t>25.5资格审查的</w:t>
      </w:r>
      <w:r>
        <w:rPr>
          <w:rFonts w:ascii="宋体" w:hAnsi="宋体"/>
          <w:b w:val="0"/>
          <w:bCs w:val="0"/>
          <w:color w:val="auto"/>
          <w:sz w:val="21"/>
          <w:szCs w:val="20"/>
          <w:highlight w:val="none"/>
        </w:rPr>
        <w:t>合格投标人不足3家的，不得评标。</w:t>
      </w:r>
      <w:bookmarkStart w:id="99" w:name="_Toc80093000"/>
    </w:p>
    <w:p w14:paraId="27DEE9DF">
      <w:pPr>
        <w:pStyle w:val="6"/>
        <w:keepNext w:val="0"/>
        <w:keepLines w:val="0"/>
        <w:spacing w:line="360" w:lineRule="auto"/>
        <w:jc w:val="center"/>
        <w:rPr>
          <w:rFonts w:hint="eastAsia"/>
          <w:color w:val="auto"/>
          <w:highlight w:val="none"/>
        </w:rPr>
      </w:pPr>
      <w:r>
        <w:rPr>
          <w:rFonts w:hint="eastAsia"/>
          <w:color w:val="auto"/>
          <w:highlight w:val="none"/>
        </w:rPr>
        <w:t>六、评   标</w:t>
      </w:r>
      <w:bookmarkEnd w:id="99"/>
    </w:p>
    <w:p w14:paraId="712CC9FD">
      <w:pPr>
        <w:spacing w:line="360" w:lineRule="auto"/>
        <w:ind w:firstLine="480" w:firstLineChars="200"/>
        <w:rPr>
          <w:rFonts w:hint="eastAsia" w:ascii="黑体" w:hAnsi="黑体" w:eastAsia="黑体"/>
          <w:color w:val="auto"/>
          <w:sz w:val="24"/>
          <w:highlight w:val="none"/>
        </w:rPr>
      </w:pPr>
      <w:bookmarkStart w:id="100" w:name="_26.组建评标委员会"/>
      <w:bookmarkEnd w:id="100"/>
      <w:r>
        <w:rPr>
          <w:rFonts w:hint="eastAsia" w:ascii="黑体" w:hAnsi="黑体" w:eastAsia="黑体"/>
          <w:color w:val="auto"/>
          <w:sz w:val="24"/>
          <w:highlight w:val="none"/>
        </w:rPr>
        <w:t>26.组建评标委员会</w:t>
      </w:r>
    </w:p>
    <w:p w14:paraId="3AAEDA86">
      <w:pPr>
        <w:spacing w:line="360" w:lineRule="auto"/>
        <w:ind w:firstLine="420" w:firstLineChars="200"/>
        <w:rPr>
          <w:rFonts w:hint="eastAsia" w:hAnsi="宋体"/>
          <w:color w:val="auto"/>
          <w:highlight w:val="none"/>
        </w:rPr>
      </w:pPr>
      <w:r>
        <w:rPr>
          <w:rFonts w:hint="eastAsia" w:hAnsi="宋体"/>
          <w:color w:val="auto"/>
          <w:highlight w:val="none"/>
        </w:rPr>
        <w:t>评标委员会由采购人代表和评审专家组成，人数</w:t>
      </w:r>
      <w:r>
        <w:rPr>
          <w:rFonts w:hint="eastAsia" w:hAnsi="宋体"/>
          <w:color w:val="auto"/>
          <w:highlight w:val="none"/>
        </w:rPr>
        <w:t>为7人以上单</w:t>
      </w:r>
      <w:r>
        <w:rPr>
          <w:rFonts w:hint="eastAsia" w:hAnsi="宋体"/>
          <w:color w:val="auto"/>
          <w:highlight w:val="none"/>
        </w:rPr>
        <w:t>数，其中评审专家不得少于成员总数的三分之二。</w:t>
      </w:r>
    </w:p>
    <w:p w14:paraId="76F8FD18">
      <w:pPr>
        <w:spacing w:line="360" w:lineRule="auto"/>
        <w:ind w:firstLine="420" w:firstLineChars="200"/>
        <w:rPr>
          <w:rFonts w:hint="eastAsia" w:hAnsi="宋体"/>
          <w:color w:val="auto"/>
          <w:highlight w:val="none"/>
        </w:rPr>
      </w:pPr>
      <w:r>
        <w:rPr>
          <w:rFonts w:hint="eastAsia" w:hAnsi="宋体"/>
          <w:color w:val="auto"/>
          <w:highlight w:val="none"/>
        </w:rPr>
        <w:t>参加过采购项目前期咨询论证的专家，不得参加该采购项目的评审活动。</w:t>
      </w:r>
    </w:p>
    <w:p w14:paraId="5EA771A8">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27.评标的依据</w:t>
      </w:r>
    </w:p>
    <w:p w14:paraId="52B0B98F">
      <w:pPr>
        <w:spacing w:line="360" w:lineRule="auto"/>
        <w:ind w:firstLine="420" w:firstLineChars="200"/>
        <w:rPr>
          <w:rFonts w:hint="eastAsia" w:hAnsi="宋体"/>
          <w:color w:val="auto"/>
          <w:highlight w:val="none"/>
        </w:rPr>
      </w:pPr>
      <w:r>
        <w:rPr>
          <w:rFonts w:hint="eastAsia" w:hAnsi="宋体"/>
          <w:color w:val="auto"/>
          <w:highlight w:val="none"/>
        </w:rPr>
        <w:t>评标委员会以招标文件为依据对投标文件进行评审，</w:t>
      </w:r>
      <w:r>
        <w:rPr>
          <w:rFonts w:hint="eastAsia" w:hAnsi="宋体" w:cs="宋体"/>
          <w:color w:val="auto"/>
          <w:highlight w:val="none"/>
        </w:rPr>
        <w:t>“第四章 评标方法和评标标准”</w:t>
      </w:r>
      <w:r>
        <w:rPr>
          <w:rFonts w:hAnsi="宋体"/>
          <w:color w:val="auto"/>
          <w:highlight w:val="none"/>
        </w:rPr>
        <w:t>没有规定的方法、评审因素和标准，不作为评标依据。</w:t>
      </w:r>
    </w:p>
    <w:p w14:paraId="6B6ADEF1">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28.评标原则</w:t>
      </w:r>
    </w:p>
    <w:p w14:paraId="2A7D7EE4">
      <w:pPr>
        <w:spacing w:line="360" w:lineRule="auto"/>
        <w:ind w:firstLine="420" w:firstLineChars="200"/>
        <w:rPr>
          <w:rFonts w:hint="eastAsia" w:hAnsi="宋体"/>
          <w:color w:val="auto"/>
          <w:highlight w:val="none"/>
        </w:rPr>
      </w:pPr>
      <w:r>
        <w:rPr>
          <w:rFonts w:hint="eastAsia" w:hAnsi="宋体"/>
          <w:color w:val="auto"/>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6DF321A4">
      <w:pPr>
        <w:spacing w:line="360" w:lineRule="auto"/>
        <w:ind w:firstLine="420" w:firstLineChars="200"/>
        <w:rPr>
          <w:rFonts w:hint="eastAsia" w:hAnsi="宋体"/>
          <w:color w:val="auto"/>
          <w:highlight w:val="none"/>
        </w:rPr>
      </w:pPr>
      <w:r>
        <w:rPr>
          <w:rFonts w:hint="eastAsia" w:hAnsi="宋体"/>
          <w:color w:val="auto"/>
          <w:highlight w:val="none"/>
        </w:rPr>
        <w:t>28.2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101" w:name="_28.3评标方法。本项目将按须知前附表规定的评标办法进行评标，具体评标"/>
      <w:bookmarkEnd w:id="101"/>
    </w:p>
    <w:p w14:paraId="2EBE4535">
      <w:pPr>
        <w:spacing w:line="360" w:lineRule="auto"/>
        <w:ind w:firstLine="420" w:firstLineChars="200"/>
        <w:rPr>
          <w:rFonts w:hAnsi="宋体"/>
          <w:color w:val="auto"/>
          <w:highlight w:val="none"/>
        </w:rPr>
      </w:pPr>
      <w:r>
        <w:rPr>
          <w:rFonts w:hint="eastAsia" w:hAnsi="宋体"/>
          <w:color w:val="auto"/>
          <w:highlight w:val="none"/>
        </w:rPr>
        <w:t>28.</w:t>
      </w:r>
      <w:r>
        <w:rPr>
          <w:rFonts w:hAnsi="宋体"/>
          <w:color w:val="auto"/>
          <w:highlight w:val="none"/>
        </w:rPr>
        <w:t>3</w:t>
      </w:r>
      <w:r>
        <w:rPr>
          <w:rFonts w:hint="eastAsia" w:hAnsi="宋体"/>
          <w:color w:val="auto"/>
          <w:highlight w:val="none"/>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1F681FFD">
      <w:pPr>
        <w:spacing w:line="360" w:lineRule="auto"/>
        <w:ind w:firstLine="420" w:firstLineChars="200"/>
        <w:rPr>
          <w:rFonts w:hint="eastAsia" w:hAnsi="宋体"/>
          <w:color w:val="auto"/>
          <w:highlight w:val="none"/>
        </w:rPr>
      </w:pPr>
      <w:r>
        <w:rPr>
          <w:rFonts w:hint="eastAsia" w:hAnsi="宋体"/>
          <w:color w:val="auto"/>
          <w:highlight w:val="none"/>
        </w:rPr>
        <w:t>2</w:t>
      </w:r>
      <w:r>
        <w:rPr>
          <w:rFonts w:hAnsi="宋体"/>
          <w:color w:val="auto"/>
          <w:highlight w:val="none"/>
        </w:rPr>
        <w:t>8.4</w:t>
      </w:r>
      <w:r>
        <w:rPr>
          <w:rFonts w:hint="eastAsia" w:hAnsi="宋体"/>
          <w:color w:val="auto"/>
          <w:highlight w:val="none"/>
        </w:rPr>
        <w:t>评标过程的监控。本项目电子评标过程实行网上留痕、全程录音、录像监控，投标人在评标过程中所进行的试图影响评标结果的不公正活动，可能导致其投标按无效处理。</w:t>
      </w:r>
    </w:p>
    <w:p w14:paraId="3ABAB148">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29.评标方法及评标标准</w:t>
      </w:r>
    </w:p>
    <w:p w14:paraId="4BBF8F5E">
      <w:pPr>
        <w:spacing w:line="360" w:lineRule="auto"/>
        <w:ind w:firstLine="420" w:firstLineChars="200"/>
        <w:rPr>
          <w:rFonts w:hAnsi="宋体"/>
          <w:color w:val="auto"/>
          <w:highlight w:val="none"/>
        </w:rPr>
      </w:pPr>
      <w:r>
        <w:rPr>
          <w:rFonts w:hint="eastAsia" w:hAnsi="宋体"/>
          <w:color w:val="auto"/>
          <w:highlight w:val="none"/>
        </w:rPr>
        <w:t>2</w:t>
      </w:r>
      <w:r>
        <w:rPr>
          <w:rFonts w:hAnsi="宋体"/>
          <w:color w:val="auto"/>
          <w:highlight w:val="none"/>
        </w:rPr>
        <w:t>9.1</w:t>
      </w:r>
      <w:r>
        <w:rPr>
          <w:rFonts w:hint="eastAsia" w:hAnsi="宋体"/>
          <w:color w:val="auto"/>
          <w:highlight w:val="none"/>
        </w:rPr>
        <w:t>本项目的评标方法详见“投标人须知前附表”。</w:t>
      </w:r>
    </w:p>
    <w:p w14:paraId="5AC83DE0">
      <w:pPr>
        <w:spacing w:line="360" w:lineRule="auto"/>
        <w:ind w:firstLine="420" w:firstLineChars="200"/>
        <w:rPr>
          <w:rFonts w:hint="eastAsia" w:hAnsi="宋体"/>
          <w:color w:val="auto"/>
          <w:highlight w:val="none"/>
        </w:rPr>
      </w:pPr>
      <w:r>
        <w:rPr>
          <w:rFonts w:hint="eastAsia" w:hAnsi="宋体"/>
          <w:color w:val="auto"/>
          <w:highlight w:val="none"/>
        </w:rPr>
        <w:t>2</w:t>
      </w:r>
      <w:r>
        <w:rPr>
          <w:rFonts w:hAnsi="宋体"/>
          <w:color w:val="auto"/>
          <w:highlight w:val="none"/>
        </w:rPr>
        <w:t>9.2</w:t>
      </w:r>
      <w:r>
        <w:rPr>
          <w:rFonts w:hAnsi="宋体" w:cs="宋体"/>
          <w:color w:val="auto"/>
          <w:highlight w:val="none"/>
        </w:rPr>
        <w:t xml:space="preserve"> </w:t>
      </w:r>
      <w:r>
        <w:rPr>
          <w:rFonts w:hAnsi="宋体"/>
          <w:color w:val="auto"/>
          <w:highlight w:val="none"/>
        </w:rPr>
        <w:t>评标委员会按照</w:t>
      </w:r>
      <w:r>
        <w:rPr>
          <w:rFonts w:hint="eastAsia" w:hAnsi="宋体" w:cs="宋体"/>
          <w:b/>
          <w:color w:val="auto"/>
          <w:highlight w:val="none"/>
        </w:rPr>
        <w:t>“第四章 评标方法和评标标准”</w:t>
      </w:r>
      <w:r>
        <w:rPr>
          <w:rFonts w:hAnsi="宋体"/>
          <w:color w:val="auto"/>
          <w:highlight w:val="none"/>
        </w:rPr>
        <w:t>规定的方法、评审因素、标准和程序对投标文件进行评审。</w:t>
      </w:r>
    </w:p>
    <w:p w14:paraId="54285A5B">
      <w:pPr>
        <w:spacing w:line="360" w:lineRule="auto"/>
        <w:ind w:firstLine="420" w:firstLineChars="200"/>
        <w:rPr>
          <w:rFonts w:hint="eastAsia" w:hAnsi="宋体"/>
          <w:color w:val="auto"/>
          <w:highlight w:val="none"/>
        </w:rPr>
      </w:pPr>
      <w:r>
        <w:rPr>
          <w:rFonts w:hint="eastAsia" w:hAnsi="宋体"/>
          <w:color w:val="auto"/>
          <w:highlight w:val="none"/>
        </w:rPr>
        <w:t>29.3 电子交易活动的中止。采购过程中出现以下情形，导致电子交易平台无法正常运行，或者无法保证电子交易的公平、公正和安全时，采购机构可中止电子交易活动：</w:t>
      </w:r>
    </w:p>
    <w:p w14:paraId="706B120B">
      <w:pPr>
        <w:spacing w:line="360" w:lineRule="auto"/>
        <w:ind w:firstLine="420" w:firstLineChars="200"/>
        <w:rPr>
          <w:rFonts w:hint="eastAsia" w:hAnsi="宋体"/>
          <w:color w:val="auto"/>
          <w:highlight w:val="none"/>
        </w:rPr>
      </w:pPr>
      <w:r>
        <w:rPr>
          <w:rFonts w:hint="eastAsia" w:hAnsi="宋体"/>
          <w:color w:val="auto"/>
          <w:highlight w:val="none"/>
        </w:rPr>
        <w:t xml:space="preserve">（1）电子交易平台发生故障而无法登录访问的； </w:t>
      </w:r>
    </w:p>
    <w:p w14:paraId="54C573EF">
      <w:pPr>
        <w:spacing w:line="360" w:lineRule="auto"/>
        <w:ind w:firstLine="420" w:firstLineChars="200"/>
        <w:rPr>
          <w:rFonts w:hint="eastAsia" w:hAnsi="宋体"/>
          <w:color w:val="auto"/>
          <w:highlight w:val="none"/>
        </w:rPr>
      </w:pPr>
      <w:r>
        <w:rPr>
          <w:rFonts w:hint="eastAsia" w:hAnsi="宋体"/>
          <w:color w:val="auto"/>
          <w:highlight w:val="none"/>
        </w:rPr>
        <w:t>（2）电子交易平台应用或数据库出现错误，不能进行正常操作的；</w:t>
      </w:r>
    </w:p>
    <w:p w14:paraId="7ADDB0B2">
      <w:pPr>
        <w:spacing w:line="360" w:lineRule="auto"/>
        <w:ind w:firstLine="420" w:firstLineChars="200"/>
        <w:rPr>
          <w:rFonts w:hint="eastAsia" w:hAnsi="宋体"/>
          <w:color w:val="auto"/>
          <w:highlight w:val="none"/>
        </w:rPr>
      </w:pPr>
      <w:r>
        <w:rPr>
          <w:rFonts w:hint="eastAsia" w:hAnsi="宋体"/>
          <w:color w:val="auto"/>
          <w:highlight w:val="none"/>
        </w:rPr>
        <w:t>（3）电子交易平台发现严重安全漏洞，有潜在泄密危险的；</w:t>
      </w:r>
    </w:p>
    <w:p w14:paraId="7DE00C4F">
      <w:pPr>
        <w:spacing w:line="360" w:lineRule="auto"/>
        <w:ind w:firstLine="420" w:firstLineChars="200"/>
        <w:rPr>
          <w:rFonts w:hint="eastAsia" w:hAnsi="宋体"/>
          <w:color w:val="auto"/>
          <w:highlight w:val="none"/>
        </w:rPr>
      </w:pPr>
      <w:r>
        <w:rPr>
          <w:rFonts w:hint="eastAsia" w:hAnsi="宋体"/>
          <w:color w:val="auto"/>
          <w:highlight w:val="none"/>
        </w:rPr>
        <w:t xml:space="preserve">（4）病毒发作导致不能进行正常操作的； </w:t>
      </w:r>
    </w:p>
    <w:p w14:paraId="03819C6F">
      <w:pPr>
        <w:spacing w:line="360" w:lineRule="auto"/>
        <w:ind w:firstLine="420" w:firstLineChars="200"/>
        <w:rPr>
          <w:rFonts w:hint="eastAsia" w:hAnsi="宋体"/>
          <w:color w:val="auto"/>
          <w:highlight w:val="none"/>
        </w:rPr>
      </w:pPr>
      <w:r>
        <w:rPr>
          <w:rFonts w:hint="eastAsia" w:hAnsi="宋体"/>
          <w:color w:val="auto"/>
          <w:highlight w:val="none"/>
        </w:rPr>
        <w:t>（4）其他无法保证电子交易的公平、公正和安全的情况。</w:t>
      </w:r>
    </w:p>
    <w:p w14:paraId="3404AA4B">
      <w:pPr>
        <w:spacing w:line="360" w:lineRule="auto"/>
        <w:ind w:firstLine="420" w:firstLineChars="200"/>
        <w:rPr>
          <w:rFonts w:hint="eastAsia" w:hAnsi="宋体"/>
          <w:color w:val="auto"/>
          <w:highlight w:val="none"/>
        </w:rPr>
      </w:pPr>
      <w:r>
        <w:rPr>
          <w:rFonts w:hint="eastAsia" w:hAnsi="宋体"/>
          <w:color w:val="auto"/>
          <w:highlight w:val="none"/>
        </w:rPr>
        <w:t>29.4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34A00466">
      <w:pPr>
        <w:pStyle w:val="6"/>
        <w:keepNext w:val="0"/>
        <w:keepLines w:val="0"/>
        <w:spacing w:line="400" w:lineRule="exact"/>
        <w:ind w:firstLine="0" w:firstLineChars="0"/>
        <w:rPr>
          <w:rFonts w:hint="eastAsia"/>
          <w:color w:val="auto"/>
          <w:highlight w:val="none"/>
        </w:rPr>
      </w:pPr>
      <w:bookmarkStart w:id="102" w:name="_Toc254970546"/>
      <w:bookmarkStart w:id="103" w:name="_Toc254970687"/>
      <w:bookmarkStart w:id="104" w:name="_Toc80093001"/>
    </w:p>
    <w:p w14:paraId="27D9AA0D">
      <w:pPr>
        <w:pStyle w:val="6"/>
        <w:keepNext w:val="0"/>
        <w:keepLines w:val="0"/>
        <w:spacing w:line="400" w:lineRule="exact"/>
        <w:jc w:val="center"/>
        <w:rPr>
          <w:rFonts w:hint="eastAsia"/>
          <w:color w:val="auto"/>
          <w:highlight w:val="none"/>
        </w:rPr>
      </w:pPr>
      <w:r>
        <w:rPr>
          <w:rFonts w:hint="eastAsia"/>
          <w:color w:val="auto"/>
          <w:highlight w:val="none"/>
        </w:rPr>
        <w:t>七、</w:t>
      </w:r>
      <w:bookmarkEnd w:id="102"/>
      <w:bookmarkEnd w:id="103"/>
      <w:r>
        <w:rPr>
          <w:rFonts w:hint="eastAsia"/>
          <w:color w:val="auto"/>
          <w:highlight w:val="none"/>
        </w:rPr>
        <w:t>中标和合同</w:t>
      </w:r>
      <w:bookmarkEnd w:id="104"/>
    </w:p>
    <w:p w14:paraId="44E64C41">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30.确定中标人</w:t>
      </w:r>
    </w:p>
    <w:p w14:paraId="53564785">
      <w:pPr>
        <w:spacing w:line="360" w:lineRule="auto"/>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30.1采购人在收到评标委员会出具的评标报告之日起5个工作日内在评标报告推荐的中标候选人名单中按顺序确定中标人。采购人也可以事先授权评标委员会直接确定中标人。 中标候选人并列的， 由采购人或者采购人委托评标委员会按照投标人须知前附表规定的方式确定中标人； 招标文件未规定的， 采取随机抽取的方式确定。</w:t>
      </w:r>
    </w:p>
    <w:p w14:paraId="424510A1">
      <w:pPr>
        <w:spacing w:line="360" w:lineRule="auto"/>
        <w:ind w:firstLine="420" w:firstLineChars="200"/>
        <w:rPr>
          <w:rFonts w:hint="eastAsia" w:ascii="宋体" w:hAnsi="宋体" w:cs="Courier New"/>
          <w:color w:val="auto"/>
          <w:szCs w:val="21"/>
          <w:highlight w:val="none"/>
        </w:rPr>
      </w:pPr>
      <w:r>
        <w:rPr>
          <w:rFonts w:ascii="宋体" w:hAnsi="宋体" w:cs="Courier New"/>
          <w:color w:val="auto"/>
          <w:szCs w:val="21"/>
          <w:highlight w:val="none"/>
        </w:rPr>
        <w:t>30.2</w:t>
      </w:r>
      <w:r>
        <w:rPr>
          <w:rFonts w:hint="eastAsia" w:ascii="宋体" w:hAnsi="宋体" w:cs="Courier New"/>
          <w:color w:val="auto"/>
          <w:szCs w:val="21"/>
          <w:highlight w:val="none"/>
        </w:rPr>
        <w:t>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6ADBBB7B">
      <w:pPr>
        <w:spacing w:line="360" w:lineRule="auto"/>
        <w:ind w:firstLine="420" w:firstLineChars="200"/>
        <w:rPr>
          <w:rFonts w:hint="eastAsia" w:ascii="宋体" w:hAnsi="宋体" w:cs="Courier New"/>
          <w:color w:val="auto"/>
          <w:szCs w:val="21"/>
          <w:highlight w:val="none"/>
        </w:rPr>
      </w:pPr>
      <w:r>
        <w:rPr>
          <w:rFonts w:ascii="宋体" w:hAnsi="宋体" w:cs="Courier New"/>
          <w:color w:val="auto"/>
          <w:szCs w:val="21"/>
          <w:highlight w:val="none"/>
        </w:rPr>
        <w:t>30.3</w:t>
      </w:r>
      <w:r>
        <w:rPr>
          <w:rFonts w:hint="eastAsia" w:ascii="宋体" w:hAnsi="宋体" w:cs="Courier New"/>
          <w:color w:val="auto"/>
          <w:szCs w:val="21"/>
          <w:highlight w:val="none"/>
        </w:rPr>
        <w:t>中标供应商无正当理由拒签合同的，根据《中华人民共和国政府采购法》第七十七条第一款规定处理。</w:t>
      </w:r>
    </w:p>
    <w:p w14:paraId="61FE2424">
      <w:pPr>
        <w:spacing w:line="360" w:lineRule="auto"/>
        <w:ind w:firstLine="420" w:firstLineChars="200"/>
        <w:rPr>
          <w:rFonts w:hint="eastAsia" w:ascii="宋体" w:hAnsi="宋体" w:eastAsia="宋体" w:cs="Courier New"/>
          <w:color w:val="auto"/>
          <w:szCs w:val="21"/>
          <w:highlight w:val="none"/>
        </w:rPr>
      </w:pPr>
      <w:r>
        <w:rPr>
          <w:rFonts w:hint="eastAsia" w:ascii="宋体" w:hAnsi="宋体" w:cs="Courier New"/>
          <w:color w:val="auto"/>
          <w:szCs w:val="21"/>
          <w:highlight w:val="none"/>
        </w:rPr>
        <w:t>30.4</w:t>
      </w:r>
      <w:r>
        <w:rPr>
          <w:rFonts w:hint="eastAsia" w:ascii="宋体" w:hAnsi="宋体" w:eastAsia="宋体" w:cs="Courier New"/>
          <w:color w:val="auto"/>
          <w:szCs w:val="21"/>
          <w:highlight w:val="none"/>
        </w:rPr>
        <w:t>根据《中华人民共和国民法典》第五百六十三条，因不可抗力致使不能实现合同目的的，当事人可以解除合同。</w:t>
      </w:r>
    </w:p>
    <w:p w14:paraId="2B6CC9F5">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31. 结果公告</w:t>
      </w:r>
    </w:p>
    <w:p w14:paraId="2D76C92B">
      <w:pPr>
        <w:spacing w:line="360" w:lineRule="auto"/>
        <w:ind w:firstLine="420" w:firstLineChars="200"/>
        <w:rPr>
          <w:rFonts w:hint="eastAsia" w:hAnsi="宋体" w:cs="宋体"/>
          <w:color w:val="auto"/>
          <w:highlight w:val="none"/>
        </w:rPr>
      </w:pPr>
      <w:r>
        <w:rPr>
          <w:rFonts w:hint="eastAsia" w:hAnsi="宋体"/>
          <w:color w:val="auto"/>
          <w:szCs w:val="21"/>
          <w:highlight w:val="none"/>
        </w:rPr>
        <w:t>3</w:t>
      </w:r>
      <w:r>
        <w:rPr>
          <w:rFonts w:hAnsi="宋体"/>
          <w:color w:val="auto"/>
          <w:szCs w:val="21"/>
          <w:highlight w:val="none"/>
        </w:rPr>
        <w:t>1.1</w:t>
      </w:r>
      <w:r>
        <w:rPr>
          <w:rFonts w:hint="eastAsia" w:hAnsi="宋体" w:cs="宋体"/>
          <w:color w:val="auto"/>
          <w:highlight w:val="none"/>
        </w:rPr>
        <w:t>在中标供应商</w:t>
      </w:r>
      <w:r>
        <w:rPr>
          <w:rFonts w:hint="eastAsia" w:hAnsi="宋体" w:cs="Arial"/>
          <w:color w:val="auto"/>
          <w:highlight w:val="none"/>
        </w:rPr>
        <w:t>确定之日起</w:t>
      </w:r>
      <w:r>
        <w:rPr>
          <w:rFonts w:hint="eastAsia" w:hAnsi="宋体" w:cs="宋体"/>
          <w:color w:val="auto"/>
          <w:highlight w:val="none"/>
        </w:rPr>
        <w:t>2个工作日内，由采购代理机构</w:t>
      </w:r>
      <w:r>
        <w:rPr>
          <w:rFonts w:hint="eastAsia" w:hAnsi="宋体"/>
          <w:b/>
          <w:color w:val="auto"/>
          <w:szCs w:val="21"/>
          <w:highlight w:val="none"/>
        </w:rPr>
        <w:t>在招标公告发布媒体上</w:t>
      </w:r>
      <w:r>
        <w:rPr>
          <w:rFonts w:hint="eastAsia" w:hAnsi="宋体" w:cs="宋体"/>
          <w:color w:val="auto"/>
          <w:highlight w:val="none"/>
        </w:rPr>
        <w:t>发布中标结果公告，中标结果公告期限为1个工作日，发布中标结果公告的同时向中标供应商发出中标通知书。</w:t>
      </w:r>
      <w:r>
        <w:rPr>
          <w:rFonts w:hint="eastAsia" w:hAnsi="宋体"/>
          <w:b/>
          <w:color w:val="auto"/>
          <w:szCs w:val="21"/>
          <w:highlight w:val="none"/>
        </w:rPr>
        <w:t>采购代理机构发出中标通知书前，应当对中标人信用进行核实，对列入失信被执行人、重大税收违法失信主体名单、政府采购严重违法失信行为记录名单及其他不符合《中华人民共和国政府采购法》第二十二条规定条件的投标人，取消其中标资格，并确定排名第二的中标候选人为中标人。</w:t>
      </w:r>
      <w:r>
        <w:rPr>
          <w:rFonts w:hint="eastAsia" w:hAnsi="宋体"/>
          <w:color w:val="auto"/>
          <w:szCs w:val="21"/>
          <w:highlight w:val="none"/>
        </w:rPr>
        <w:t>排名第二的中标候选人因前款规定的同样原因被取消中标资格的，</w:t>
      </w:r>
      <w:r>
        <w:rPr>
          <w:rFonts w:hint="eastAsia" w:hAnsi="宋体" w:cs="Courier New"/>
          <w:color w:val="auto"/>
          <w:szCs w:val="21"/>
          <w:highlight w:val="none"/>
        </w:rPr>
        <w:t>授权的评标委员会</w:t>
      </w:r>
      <w:r>
        <w:rPr>
          <w:rFonts w:hint="eastAsia" w:hAnsi="宋体"/>
          <w:color w:val="auto"/>
          <w:szCs w:val="21"/>
          <w:highlight w:val="none"/>
        </w:rPr>
        <w:t>可以确定排名第三的中标候选人为中标人，以此类推。</w:t>
      </w:r>
    </w:p>
    <w:p w14:paraId="482BECF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以上信息查询记录及相关证据与采购文件一并保存。</w:t>
      </w:r>
    </w:p>
    <w:p w14:paraId="4F6CCB17">
      <w:pPr>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75C4C180">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32.发出中标通知书</w:t>
      </w:r>
    </w:p>
    <w:p w14:paraId="7DEA8EEA">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32.1在发布中标公告的同时，采购代理机构向中标人发出中标通知书。</w:t>
      </w:r>
    </w:p>
    <w:p w14:paraId="6ED3E38A">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32.2对未通过资格审查的投标人，采购人或采购机构应当告知其未通过的原因；采用综合评分办法评审的，采购人或采购机构还应当告知未中标人本人的评审得分与排序。</w:t>
      </w:r>
    </w:p>
    <w:p w14:paraId="536712BB">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33. 无义务解释未中标原因</w:t>
      </w:r>
    </w:p>
    <w:p w14:paraId="1BDE7C7A">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采购代理机构无义务向未中标的投标人解释未中标原因和退还投标文件。</w:t>
      </w:r>
    </w:p>
    <w:p w14:paraId="1FB52695">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34.合同授予标准</w:t>
      </w:r>
    </w:p>
    <w:p w14:paraId="593158EE">
      <w:pPr>
        <w:spacing w:line="360" w:lineRule="auto"/>
        <w:ind w:firstLine="420" w:firstLineChars="200"/>
        <w:rPr>
          <w:rFonts w:hint="eastAsia" w:ascii="宋体" w:hAnsi="宋体"/>
          <w:color w:val="auto"/>
          <w:szCs w:val="21"/>
          <w:highlight w:val="none"/>
        </w:rPr>
      </w:pPr>
      <w:r>
        <w:rPr>
          <w:rFonts w:hint="eastAsia" w:ascii="宋体" w:hAnsi="宋体" w:cs="Courier New"/>
          <w:color w:val="auto"/>
          <w:szCs w:val="21"/>
          <w:highlight w:val="none"/>
        </w:rPr>
        <w:t>合同将授予被确定实质上响应招标文件要求，具备履行合同能力的中标人（招标文件另有约定多名中标人的除外）。</w:t>
      </w:r>
    </w:p>
    <w:p w14:paraId="2493F69A">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35.履约保证金</w:t>
      </w:r>
    </w:p>
    <w:p w14:paraId="5E035686">
      <w:pPr>
        <w:spacing w:line="360" w:lineRule="auto"/>
        <w:ind w:firstLine="420" w:firstLineChars="200"/>
        <w:rPr>
          <w:rFonts w:hint="eastAsia" w:ascii="宋体" w:hAnsi="宋体" w:cs="仿宋_GB2312"/>
          <w:color w:val="auto"/>
          <w:szCs w:val="21"/>
          <w:highlight w:val="none"/>
        </w:rPr>
      </w:pPr>
      <w:bookmarkStart w:id="105" w:name="_39.1中标人须于签订合同前按本须知前附表规定的金额转账或电汇到指定账"/>
      <w:bookmarkEnd w:id="105"/>
      <w:r>
        <w:rPr>
          <w:rFonts w:hint="eastAsia" w:ascii="宋体" w:hAnsi="宋体" w:cs="仿宋_GB2312"/>
          <w:color w:val="auto"/>
          <w:szCs w:val="21"/>
          <w:highlight w:val="none"/>
        </w:rPr>
        <w:t>见“投标人须知前附表”。</w:t>
      </w:r>
    </w:p>
    <w:p w14:paraId="57DC7820">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36.签订合同</w:t>
      </w:r>
    </w:p>
    <w:p w14:paraId="04D274A9">
      <w:pPr>
        <w:pStyle w:val="73"/>
        <w:snapToGrid w:val="0"/>
        <w:spacing w:before="0"/>
        <w:ind w:firstLine="422"/>
        <w:rPr>
          <w:rFonts w:hint="eastAsia" w:ascii="宋体" w:hAnsi="宋体"/>
          <w:color w:val="auto"/>
          <w:kern w:val="0"/>
          <w:sz w:val="21"/>
          <w:szCs w:val="21"/>
          <w:highlight w:val="none"/>
          <w:lang w:val="zh-CN"/>
        </w:rPr>
      </w:pPr>
      <w:bookmarkStart w:id="106" w:name="_40.1投标人接到中标通知书后，按须知前附表规定向采购人出示相关资格证"/>
      <w:bookmarkEnd w:id="106"/>
      <w:r>
        <w:rPr>
          <w:rFonts w:hint="eastAsia" w:ascii="宋体" w:hAnsi="宋体"/>
          <w:b/>
          <w:color w:val="auto"/>
          <w:sz w:val="21"/>
          <w:szCs w:val="21"/>
          <w:highlight w:val="none"/>
        </w:rPr>
        <w:t xml:space="preserve"> 36.1中标人领取电子中标通知书后，</w:t>
      </w:r>
      <w:r>
        <w:rPr>
          <w:rFonts w:hint="eastAsia" w:ascii="宋体" w:hAnsi="宋体"/>
          <w:color w:val="auto"/>
          <w:kern w:val="0"/>
          <w:sz w:val="21"/>
          <w:szCs w:val="21"/>
          <w:highlight w:val="none"/>
          <w:lang w:val="zh-CN"/>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3B64B028">
      <w:pPr>
        <w:pStyle w:val="73"/>
        <w:snapToGrid w:val="0"/>
        <w:spacing w:before="0"/>
        <w:ind w:firstLine="420"/>
        <w:rPr>
          <w:rFonts w:hint="eastAsia" w:ascii="宋体" w:hAnsi="宋体"/>
          <w:color w:val="auto"/>
          <w:kern w:val="0"/>
          <w:sz w:val="21"/>
          <w:szCs w:val="21"/>
          <w:highlight w:val="none"/>
          <w:lang w:val="zh-CN"/>
        </w:rPr>
      </w:pPr>
      <w:r>
        <w:rPr>
          <w:rFonts w:hint="eastAsia" w:ascii="宋体" w:hAnsi="宋体"/>
          <w:color w:val="auto"/>
          <w:kern w:val="0"/>
          <w:sz w:val="21"/>
          <w:szCs w:val="21"/>
          <w:highlight w:val="none"/>
          <w:lang w:val="zh-CN"/>
        </w:rPr>
        <w:t>36.2</w:t>
      </w:r>
      <w:r>
        <w:rPr>
          <w:rFonts w:ascii="宋体" w:hAnsi="宋体" w:cs="仿宋_GB2312"/>
          <w:color w:val="auto"/>
          <w:sz w:val="21"/>
          <w:szCs w:val="21"/>
          <w:highlight w:val="none"/>
        </w:rPr>
        <w:t>采购合同由采购人与中标供应商根据</w:t>
      </w:r>
      <w:r>
        <w:rPr>
          <w:rFonts w:hint="eastAsia" w:ascii="宋体" w:hAnsi="宋体" w:cs="仿宋_GB2312"/>
          <w:color w:val="auto"/>
          <w:sz w:val="21"/>
          <w:szCs w:val="21"/>
          <w:highlight w:val="none"/>
        </w:rPr>
        <w:t>招标文件、投标文件等内容通过政府采购电子交易平台在线签订，自动备案。</w:t>
      </w:r>
    </w:p>
    <w:p w14:paraId="55806579">
      <w:pPr>
        <w:pStyle w:val="73"/>
        <w:snapToGrid w:val="0"/>
        <w:spacing w:before="0"/>
        <w:ind w:firstLine="420"/>
        <w:rPr>
          <w:rFonts w:hint="eastAsia" w:ascii="宋体" w:hAnsi="宋体" w:cs="仿宋_GB2312"/>
          <w:color w:val="auto"/>
          <w:sz w:val="21"/>
          <w:szCs w:val="21"/>
          <w:highlight w:val="none"/>
        </w:rPr>
      </w:pPr>
      <w:r>
        <w:rPr>
          <w:rFonts w:hint="eastAsia" w:ascii="宋体" w:hAnsi="宋体"/>
          <w:color w:val="auto"/>
          <w:sz w:val="21"/>
          <w:szCs w:val="21"/>
          <w:highlight w:val="none"/>
        </w:rPr>
        <w:t>36.3签订合同时间：按中标通知书规定的时间与采购人签订合同。</w:t>
      </w:r>
    </w:p>
    <w:p w14:paraId="76B642C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36.4中标人拒绝与采购人签订合同的，采购人可以按照评审报告推荐的中标候选人名单排序，确定下一候选人为中标人，也可以重新开展政府采购活动。如采购人无正当理由拒签合同的，给中标供应商造成损失的，中标供应商可追究采购人承担相应的法律责任。</w:t>
      </w:r>
    </w:p>
    <w:p w14:paraId="5BD7817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4707D42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36.6采购人或中标供应商不得单方面向合同另一方提出任何招标文件没有约定的条件或不合理的要求，作为签订合同的条件；也不得协商另行订立背离招标文件和合同实质性内容的协议。</w:t>
      </w:r>
    </w:p>
    <w:p w14:paraId="6E2D8C0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36.7</w:t>
      </w:r>
      <w:r>
        <w:rPr>
          <w:rFonts w:hint="eastAsia" w:ascii="宋体" w:hAnsi="宋体" w:cs="仿宋_GB2312"/>
          <w:color w:val="auto"/>
          <w:szCs w:val="21"/>
          <w:highlight w:val="none"/>
        </w:rPr>
        <w:t>如签订合同并生效后，供应商无故拒绝或延期，除按照合同条款处理外，将承担相应的法律责任。</w:t>
      </w:r>
    </w:p>
    <w:p w14:paraId="183AB0C3">
      <w:pPr>
        <w:spacing w:line="360" w:lineRule="auto"/>
        <w:ind w:firstLine="480" w:firstLineChars="200"/>
        <w:rPr>
          <w:rFonts w:hint="eastAsia" w:ascii="黑体" w:hAnsi="黑体" w:eastAsia="黑体"/>
          <w:color w:val="auto"/>
          <w:sz w:val="24"/>
          <w:highlight w:val="none"/>
        </w:rPr>
      </w:pPr>
      <w:bookmarkStart w:id="107" w:name="_41.政府采购合同公告"/>
      <w:bookmarkEnd w:id="107"/>
      <w:r>
        <w:rPr>
          <w:rFonts w:hint="eastAsia" w:ascii="黑体" w:hAnsi="黑体" w:eastAsia="黑体"/>
          <w:color w:val="auto"/>
          <w:sz w:val="24"/>
          <w:highlight w:val="none"/>
        </w:rPr>
        <w:t>37.政府采购合同公告</w:t>
      </w:r>
    </w:p>
    <w:p w14:paraId="11603D8E">
      <w:pPr>
        <w:spacing w:line="360" w:lineRule="auto"/>
        <w:ind w:firstLine="420" w:firstLineChars="200"/>
        <w:rPr>
          <w:rFonts w:hint="eastAsia" w:hAnsi="宋体"/>
          <w:color w:val="auto"/>
          <w:highlight w:val="none"/>
        </w:rPr>
      </w:pPr>
      <w:r>
        <w:rPr>
          <w:rFonts w:hint="eastAsia" w:hAnsi="宋体"/>
          <w:color w:val="auto"/>
          <w:highlight w:val="none"/>
        </w:rPr>
        <w:t>采购人应当自政府采购合同签订之日起 2 个工作日内， 将政府采购合同在省级以上人民政府财政部门指定的媒体上公告， 但政府采购合同中涉及国家秘密、商业秘密的内容除外。</w:t>
      </w:r>
    </w:p>
    <w:p w14:paraId="488203A8">
      <w:pPr>
        <w:spacing w:line="360" w:lineRule="auto"/>
        <w:ind w:firstLine="420" w:firstLineChars="200"/>
        <w:rPr>
          <w:rFonts w:hint="eastAsia" w:hAnsi="宋体"/>
          <w:color w:val="auto"/>
          <w:highlight w:val="none"/>
        </w:rPr>
      </w:pPr>
    </w:p>
    <w:p w14:paraId="2BBCD814">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3</w:t>
      </w:r>
      <w:r>
        <w:rPr>
          <w:rFonts w:ascii="黑体" w:hAnsi="黑体" w:eastAsia="黑体"/>
          <w:color w:val="auto"/>
          <w:sz w:val="24"/>
          <w:highlight w:val="none"/>
        </w:rPr>
        <w:t>8.</w:t>
      </w:r>
      <w:r>
        <w:rPr>
          <w:rFonts w:hint="eastAsia" w:ascii="黑体" w:hAnsi="黑体" w:eastAsia="黑体"/>
          <w:color w:val="auto"/>
          <w:sz w:val="24"/>
          <w:highlight w:val="none"/>
        </w:rPr>
        <w:t xml:space="preserve"> 询问、质疑和投诉</w:t>
      </w:r>
    </w:p>
    <w:p w14:paraId="6E54D763">
      <w:pPr>
        <w:spacing w:line="360" w:lineRule="auto"/>
        <w:ind w:firstLine="422" w:firstLineChars="200"/>
        <w:rPr>
          <w:rFonts w:hint="eastAsia" w:hAnsi="宋体"/>
          <w:b/>
          <w:color w:val="auto"/>
          <w:szCs w:val="21"/>
          <w:highlight w:val="none"/>
        </w:rPr>
      </w:pPr>
      <w:r>
        <w:rPr>
          <w:rFonts w:hAnsi="宋体"/>
          <w:b/>
          <w:color w:val="auto"/>
          <w:szCs w:val="21"/>
          <w:highlight w:val="none"/>
        </w:rPr>
        <w:t>38.1</w:t>
      </w:r>
      <w:r>
        <w:rPr>
          <w:rFonts w:hint="eastAsia" w:hAnsi="宋体"/>
          <w:b/>
          <w:color w:val="auto"/>
          <w:szCs w:val="21"/>
          <w:highlight w:val="none"/>
        </w:rPr>
        <w:t>询问</w:t>
      </w:r>
    </w:p>
    <w:p w14:paraId="31226F63">
      <w:pPr>
        <w:spacing w:line="360" w:lineRule="auto"/>
        <w:ind w:firstLine="420" w:firstLineChars="200"/>
        <w:rPr>
          <w:rFonts w:hint="eastAsia" w:hAnsi="宋体"/>
          <w:bCs/>
          <w:color w:val="auto"/>
          <w:szCs w:val="21"/>
          <w:highlight w:val="none"/>
        </w:rPr>
      </w:pPr>
      <w:r>
        <w:rPr>
          <w:rFonts w:hAnsi="宋体"/>
          <w:bCs/>
          <w:color w:val="auto"/>
          <w:szCs w:val="21"/>
          <w:highlight w:val="none"/>
        </w:rPr>
        <w:t>38.1</w:t>
      </w:r>
      <w:r>
        <w:rPr>
          <w:rFonts w:hint="eastAsia" w:hAnsi="宋体"/>
          <w:bCs/>
          <w:color w:val="auto"/>
          <w:szCs w:val="21"/>
          <w:highlight w:val="none"/>
        </w:rPr>
        <w:t>.1供应商在开标前对政府采购活动事项有疑问的，可以向采购人或采购代理机构项目负责人提出询问。</w:t>
      </w:r>
    </w:p>
    <w:p w14:paraId="058B2975">
      <w:pPr>
        <w:spacing w:line="360" w:lineRule="auto"/>
        <w:ind w:firstLine="420" w:firstLineChars="200"/>
        <w:rPr>
          <w:rFonts w:hAnsi="宋体"/>
          <w:bCs/>
          <w:color w:val="auto"/>
          <w:szCs w:val="21"/>
          <w:highlight w:val="none"/>
        </w:rPr>
      </w:pPr>
      <w:r>
        <w:rPr>
          <w:rFonts w:hAnsi="宋体"/>
          <w:bCs/>
          <w:color w:val="auto"/>
          <w:szCs w:val="21"/>
          <w:highlight w:val="none"/>
        </w:rPr>
        <w:t>38.1</w:t>
      </w:r>
      <w:r>
        <w:rPr>
          <w:rFonts w:hint="eastAsia" w:hAnsi="宋体"/>
          <w:bCs/>
          <w:color w:val="auto"/>
          <w:szCs w:val="21"/>
          <w:highlight w:val="none"/>
        </w:rPr>
        <w:t>.2采购人或采购人委托的采购代理机构自受理询问之日起3个工作日内对供应商依法提出的询问作出答复，</w:t>
      </w:r>
      <w:r>
        <w:rPr>
          <w:rFonts w:hint="eastAsia"/>
          <w:color w:val="auto"/>
          <w:highlight w:val="none"/>
        </w:rPr>
        <w:t>但答复内容不得涉及商业秘密</w:t>
      </w:r>
      <w:r>
        <w:rPr>
          <w:rFonts w:hint="eastAsia" w:hAnsi="宋体"/>
          <w:bCs/>
          <w:color w:val="auto"/>
          <w:szCs w:val="21"/>
          <w:highlight w:val="none"/>
        </w:rPr>
        <w:t>。</w:t>
      </w:r>
    </w:p>
    <w:p w14:paraId="1A677B91">
      <w:pPr>
        <w:spacing w:line="360" w:lineRule="auto"/>
        <w:ind w:firstLine="420" w:firstLineChars="200"/>
        <w:rPr>
          <w:rFonts w:hint="eastAsia" w:hAnsi="宋体"/>
          <w:bCs/>
          <w:color w:val="auto"/>
          <w:szCs w:val="21"/>
          <w:highlight w:val="none"/>
        </w:rPr>
      </w:pPr>
      <w:r>
        <w:rPr>
          <w:rFonts w:hAnsi="宋体"/>
          <w:bCs/>
          <w:color w:val="auto"/>
          <w:szCs w:val="21"/>
          <w:highlight w:val="none"/>
        </w:rPr>
        <w:t xml:space="preserve">38.1.3 </w:t>
      </w:r>
      <w:r>
        <w:rPr>
          <w:rFonts w:hint="eastAsia" w:hAnsi="宋体"/>
          <w:bCs/>
          <w:color w:val="auto"/>
          <w:szCs w:val="21"/>
          <w:highlight w:val="none"/>
        </w:rPr>
        <w:t>询问事项可能影响中标、成交结果的，采购人应当暂停签订合同，已经签订合同的，应当中止履行合同。</w:t>
      </w:r>
    </w:p>
    <w:p w14:paraId="19BDB0ED">
      <w:pPr>
        <w:spacing w:line="360" w:lineRule="auto"/>
        <w:ind w:firstLine="422" w:firstLineChars="200"/>
        <w:rPr>
          <w:rFonts w:hint="eastAsia" w:ascii="宋体" w:hAnsi="宋体"/>
          <w:color w:val="auto"/>
          <w:szCs w:val="21"/>
          <w:highlight w:val="none"/>
        </w:rPr>
      </w:pPr>
      <w:r>
        <w:rPr>
          <w:rFonts w:hint="eastAsia" w:ascii="宋体" w:hAnsi="宋体"/>
          <w:b/>
          <w:color w:val="auto"/>
          <w:szCs w:val="21"/>
          <w:highlight w:val="none"/>
        </w:rPr>
        <w:t xml:space="preserve"> </w:t>
      </w:r>
      <w:r>
        <w:rPr>
          <w:rFonts w:ascii="宋体" w:hAnsi="宋体"/>
          <w:color w:val="auto"/>
          <w:szCs w:val="21"/>
          <w:highlight w:val="none"/>
        </w:rPr>
        <w:t>38</w:t>
      </w: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质疑</w:t>
      </w:r>
    </w:p>
    <w:p w14:paraId="7EFEB59E">
      <w:pPr>
        <w:spacing w:line="360" w:lineRule="auto"/>
        <w:ind w:firstLine="420" w:firstLineChars="200"/>
        <w:rPr>
          <w:rFonts w:hint="eastAsia" w:ascii="宋体" w:hAnsi="宋体"/>
          <w:b/>
          <w:color w:val="auto"/>
          <w:szCs w:val="21"/>
          <w:highlight w:val="none"/>
        </w:rPr>
      </w:pPr>
      <w:r>
        <w:rPr>
          <w:rFonts w:hint="eastAsia" w:ascii="宋体" w:hAnsi="宋体"/>
          <w:color w:val="auto"/>
          <w:szCs w:val="21"/>
          <w:highlight w:val="none"/>
        </w:rPr>
        <w:t>38.2.1</w:t>
      </w:r>
      <w:r>
        <w:rPr>
          <w:rFonts w:hint="eastAsia" w:ascii="宋体" w:hAnsi="宋体"/>
          <w:b/>
          <w:color w:val="auto"/>
          <w:szCs w:val="21"/>
          <w:highlight w:val="none"/>
        </w:rPr>
        <w:t>供应商认为招标文件、采购过程或者中标结果使自己的合法权益受到损害的，必须在知道或者应知其权益受到损害之日起7个工作日内，以</w:t>
      </w:r>
      <w:r>
        <w:rPr>
          <w:rFonts w:hint="eastAsia" w:ascii="宋体" w:hAnsi="宋体"/>
          <w:b/>
          <w:color w:val="auto"/>
          <w:szCs w:val="21"/>
          <w:highlight w:val="none"/>
        </w:rPr>
        <w:t>书面形式向</w:t>
      </w:r>
      <w:r>
        <w:rPr>
          <w:rFonts w:hint="eastAsia" w:ascii="宋体" w:hAnsi="宋体"/>
          <w:b/>
          <w:color w:val="auto"/>
          <w:szCs w:val="21"/>
          <w:highlight w:val="none"/>
        </w:rPr>
        <w:t xml:space="preserve">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2F240187">
      <w:pPr>
        <w:spacing w:line="360" w:lineRule="auto"/>
        <w:ind w:firstLine="420" w:firstLineChars="200"/>
        <w:rPr>
          <w:rFonts w:hint="eastAsia" w:hAnsi="宋体"/>
          <w:bCs/>
          <w:color w:val="auto"/>
          <w:highlight w:val="none"/>
        </w:rPr>
      </w:pPr>
      <w:r>
        <w:rPr>
          <w:rFonts w:hint="eastAsia" w:hAnsi="宋体"/>
          <w:bCs/>
          <w:color w:val="auto"/>
          <w:highlight w:val="none"/>
        </w:rPr>
        <w:t>（1）潜在供应商依法获取公开招标文件后，认为采购文件使自己的权益受到损害的，应当在公开招标文件公告期限届满之日起7个工作日内提出质疑。</w:t>
      </w:r>
      <w:r>
        <w:rPr>
          <w:rFonts w:hint="eastAsia"/>
          <w:color w:val="auto"/>
          <w:highlight w:val="none"/>
        </w:rPr>
        <w:t>委托代理协议无特殊约定的，</w:t>
      </w:r>
      <w:r>
        <w:rPr>
          <w:rFonts w:hint="eastAsia" w:hAnsi="宋体"/>
          <w:bCs/>
          <w:color w:val="auto"/>
          <w:highlight w:val="none"/>
        </w:rPr>
        <w:t>对公开招标文件中采购需求（含资格要求、采购预算和评分办法）的质疑由采购人受理并负责答复；对公开招标文件中的采购执行程序的质疑由采购代理机构受理并负责答复。</w:t>
      </w:r>
    </w:p>
    <w:p w14:paraId="3D2EF78A">
      <w:pPr>
        <w:spacing w:line="360" w:lineRule="auto"/>
        <w:ind w:firstLine="420" w:firstLineChars="200"/>
        <w:rPr>
          <w:rFonts w:hint="eastAsia" w:hAnsi="宋体"/>
          <w:bCs/>
          <w:color w:val="auto"/>
          <w:highlight w:val="none"/>
        </w:rPr>
      </w:pPr>
      <w:r>
        <w:rPr>
          <w:rFonts w:hint="eastAsia" w:hAnsi="宋体"/>
          <w:bCs/>
          <w:color w:val="auto"/>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6FB77CA4">
      <w:pPr>
        <w:spacing w:line="360" w:lineRule="auto"/>
        <w:ind w:firstLine="420" w:firstLineChars="200"/>
        <w:rPr>
          <w:rFonts w:hint="eastAsia" w:hAnsi="宋体"/>
          <w:bCs/>
          <w:color w:val="auto"/>
          <w:highlight w:val="none"/>
        </w:rPr>
      </w:pPr>
      <w:r>
        <w:rPr>
          <w:rFonts w:hint="eastAsia" w:hAnsi="宋体"/>
          <w:bCs/>
          <w:color w:val="auto"/>
          <w:highlight w:val="none"/>
        </w:rPr>
        <w:t>（3）供应商认为中标或者成交结果使自己的权益受到损害的，应当在中标或者成交结果公告期限届满之日起7个工作日内提出质疑，由采购人受理并负责答复。</w:t>
      </w:r>
    </w:p>
    <w:p w14:paraId="42F52F06">
      <w:pPr>
        <w:spacing w:line="360" w:lineRule="auto"/>
        <w:ind w:firstLine="422" w:firstLineChars="200"/>
        <w:rPr>
          <w:rFonts w:hint="eastAsia" w:hAnsi="宋体"/>
          <w:bCs/>
          <w:color w:val="auto"/>
          <w:szCs w:val="21"/>
          <w:highlight w:val="none"/>
        </w:rPr>
      </w:pPr>
      <w:r>
        <w:rPr>
          <w:rFonts w:hint="eastAsia" w:hAnsi="宋体"/>
          <w:b/>
          <w:bCs/>
          <w:color w:val="auto"/>
          <w:szCs w:val="21"/>
          <w:highlight w:val="none"/>
        </w:rPr>
        <w:t>38.2.2</w:t>
      </w:r>
      <w:r>
        <w:rPr>
          <w:rFonts w:hint="eastAsia" w:hAnsi="宋体"/>
          <w:bCs/>
          <w:color w:val="auto"/>
          <w:szCs w:val="21"/>
          <w:highlight w:val="none"/>
        </w:rPr>
        <w:t>供应商质疑实行实名制，其质疑应当有具体的质疑事项及事实根据，质疑应当坚持依法依规、诚实信用原则，不得进行虚假、恶意质疑。</w:t>
      </w:r>
    </w:p>
    <w:p w14:paraId="54FBF8FD">
      <w:pPr>
        <w:spacing w:line="360" w:lineRule="auto"/>
        <w:ind w:firstLine="422" w:firstLineChars="200"/>
        <w:rPr>
          <w:rFonts w:hint="eastAsia" w:hAnsi="宋体"/>
          <w:bCs/>
          <w:color w:val="auto"/>
          <w:highlight w:val="none"/>
        </w:rPr>
      </w:pPr>
      <w:r>
        <w:rPr>
          <w:rFonts w:hint="eastAsia" w:hAnsi="宋体"/>
          <w:b/>
          <w:bCs/>
          <w:color w:val="auto"/>
          <w:highlight w:val="none"/>
        </w:rPr>
        <w:t>38.2.3</w:t>
      </w:r>
      <w:r>
        <w:rPr>
          <w:rFonts w:hint="eastAsia" w:hAnsi="宋体"/>
          <w:bCs/>
          <w:color w:val="auto"/>
          <w:highlight w:val="none"/>
        </w:rPr>
        <w:t xml:space="preserve"> 质疑供应商可以委托代理人办理质疑事务。委托代理人应熟悉相关业务情况。代理人办理质疑事务时，除提交质疑书外，还应当提交质疑供应商的授权委托书和委托代理人身份证明复印件</w:t>
      </w:r>
      <w:r>
        <w:rPr>
          <w:rFonts w:hint="eastAsia" w:hAnsi="宋体"/>
          <w:color w:val="auto"/>
          <w:highlight w:val="none"/>
        </w:rPr>
        <w:t>。</w:t>
      </w:r>
    </w:p>
    <w:p w14:paraId="55B209AD">
      <w:pPr>
        <w:spacing w:line="360" w:lineRule="auto"/>
        <w:ind w:firstLine="422" w:firstLineChars="200"/>
        <w:rPr>
          <w:rFonts w:hint="eastAsia" w:hAnsi="宋体"/>
          <w:b/>
          <w:bCs/>
          <w:color w:val="auto"/>
          <w:highlight w:val="none"/>
        </w:rPr>
      </w:pPr>
      <w:r>
        <w:rPr>
          <w:rFonts w:hint="eastAsia" w:hAnsi="宋体"/>
          <w:b/>
          <w:bCs/>
          <w:color w:val="auto"/>
          <w:highlight w:val="none"/>
        </w:rPr>
        <w:t>38.2.4 质疑供应商提起质疑应当符合下列条件：</w:t>
      </w:r>
    </w:p>
    <w:p w14:paraId="64393F27">
      <w:pPr>
        <w:spacing w:line="360" w:lineRule="auto"/>
        <w:ind w:firstLine="420" w:firstLineChars="200"/>
        <w:rPr>
          <w:rFonts w:hint="eastAsia" w:hAnsi="宋体"/>
          <w:bCs/>
          <w:color w:val="auto"/>
          <w:highlight w:val="none"/>
        </w:rPr>
      </w:pPr>
      <w:r>
        <w:rPr>
          <w:rFonts w:hint="eastAsia" w:hAnsi="宋体"/>
          <w:bCs/>
          <w:color w:val="auto"/>
          <w:highlight w:val="none"/>
        </w:rPr>
        <w:t>（1）质疑供应商是参与所质疑</w:t>
      </w:r>
      <w:r>
        <w:rPr>
          <w:rFonts w:hint="eastAsia" w:hAnsi="宋体"/>
          <w:bCs/>
          <w:color w:val="auto"/>
          <w:szCs w:val="21"/>
          <w:highlight w:val="none"/>
        </w:rPr>
        <w:t>项目</w:t>
      </w:r>
      <w:r>
        <w:rPr>
          <w:rFonts w:hint="eastAsia" w:hAnsi="宋体"/>
          <w:bCs/>
          <w:color w:val="auto"/>
          <w:highlight w:val="none"/>
        </w:rPr>
        <w:t>采购活动的供应商（潜在供应商已依法获取可之一的采购文件的，可以对该采购文件质疑）；</w:t>
      </w:r>
    </w:p>
    <w:p w14:paraId="3D45956C">
      <w:pPr>
        <w:spacing w:line="360" w:lineRule="auto"/>
        <w:ind w:firstLine="420" w:firstLineChars="200"/>
        <w:rPr>
          <w:rFonts w:hint="eastAsia" w:hAnsi="宋体"/>
          <w:bCs/>
          <w:color w:val="auto"/>
          <w:highlight w:val="none"/>
        </w:rPr>
      </w:pPr>
      <w:r>
        <w:rPr>
          <w:rFonts w:hint="eastAsia" w:hAnsi="宋体"/>
          <w:bCs/>
          <w:color w:val="auto"/>
          <w:highlight w:val="none"/>
        </w:rPr>
        <w:t>（2）质疑函内容符合本章第38.2.5项的规定；</w:t>
      </w:r>
    </w:p>
    <w:p w14:paraId="555186D5">
      <w:pPr>
        <w:spacing w:line="360" w:lineRule="auto"/>
        <w:ind w:firstLine="420" w:firstLineChars="200"/>
        <w:rPr>
          <w:rFonts w:hint="eastAsia" w:hAnsi="宋体"/>
          <w:bCs/>
          <w:color w:val="auto"/>
          <w:highlight w:val="none"/>
        </w:rPr>
      </w:pPr>
      <w:r>
        <w:rPr>
          <w:rFonts w:hint="eastAsia" w:hAnsi="宋体"/>
          <w:bCs/>
          <w:color w:val="auto"/>
          <w:highlight w:val="none"/>
        </w:rPr>
        <w:t>（3）在质疑有效期限内提起质疑；</w:t>
      </w:r>
    </w:p>
    <w:p w14:paraId="17842F9F">
      <w:pPr>
        <w:spacing w:line="360" w:lineRule="auto"/>
        <w:ind w:firstLine="420" w:firstLineChars="200"/>
        <w:rPr>
          <w:rFonts w:hint="eastAsia" w:hAnsi="宋体"/>
          <w:bCs/>
          <w:color w:val="auto"/>
          <w:highlight w:val="none"/>
        </w:rPr>
      </w:pPr>
      <w:r>
        <w:rPr>
          <w:rFonts w:hint="eastAsia" w:hAnsi="宋体"/>
          <w:bCs/>
          <w:color w:val="auto"/>
          <w:highlight w:val="none"/>
        </w:rPr>
        <w:t>（4）属于所质疑的采购人或采购人委托的采购代理机构组织的采购活动；</w:t>
      </w:r>
    </w:p>
    <w:p w14:paraId="2BF41D0F">
      <w:pPr>
        <w:spacing w:line="360" w:lineRule="auto"/>
        <w:ind w:firstLine="420" w:firstLineChars="200"/>
        <w:rPr>
          <w:rFonts w:hint="eastAsia" w:hAnsi="宋体"/>
          <w:bCs/>
          <w:color w:val="auto"/>
          <w:highlight w:val="none"/>
        </w:rPr>
      </w:pPr>
      <w:r>
        <w:rPr>
          <w:rFonts w:hint="eastAsia" w:hAnsi="宋体"/>
          <w:bCs/>
          <w:color w:val="auto"/>
          <w:highlight w:val="none"/>
        </w:rPr>
        <w:t xml:space="preserve">（5）同一质疑事项未经采购人或采购人委托的采购代理机构质疑处理； </w:t>
      </w:r>
    </w:p>
    <w:p w14:paraId="162A4C16">
      <w:pPr>
        <w:spacing w:line="360" w:lineRule="auto"/>
        <w:ind w:firstLine="420" w:firstLineChars="200"/>
        <w:rPr>
          <w:rFonts w:hint="eastAsia" w:hAnsi="宋体"/>
          <w:bCs/>
          <w:color w:val="auto"/>
          <w:highlight w:val="none"/>
        </w:rPr>
      </w:pPr>
      <w:r>
        <w:rPr>
          <w:rFonts w:hint="eastAsia" w:hAnsi="宋体"/>
          <w:bCs/>
          <w:color w:val="auto"/>
          <w:highlight w:val="none"/>
        </w:rPr>
        <w:t>（6）供应商对同一采购程序环节的质疑应当在质疑有效期内一次性提出；</w:t>
      </w:r>
    </w:p>
    <w:p w14:paraId="44A9C409">
      <w:pPr>
        <w:spacing w:line="360" w:lineRule="auto"/>
        <w:ind w:firstLine="420" w:firstLineChars="200"/>
        <w:rPr>
          <w:rFonts w:hint="eastAsia" w:hAnsi="宋体"/>
          <w:bCs/>
          <w:color w:val="auto"/>
          <w:highlight w:val="none"/>
        </w:rPr>
      </w:pPr>
      <w:r>
        <w:rPr>
          <w:rFonts w:hint="eastAsia" w:hAnsi="宋体"/>
          <w:bCs/>
          <w:color w:val="auto"/>
          <w:highlight w:val="none"/>
        </w:rPr>
        <w:t>（7）供应商提交质疑应当提交必要的证明材料，证明材料应以合法手段取得；</w:t>
      </w:r>
    </w:p>
    <w:p w14:paraId="4D4AC7A4">
      <w:pPr>
        <w:spacing w:line="360" w:lineRule="auto"/>
        <w:ind w:firstLine="420" w:firstLineChars="200"/>
        <w:rPr>
          <w:rFonts w:hint="eastAsia"/>
          <w:color w:val="auto"/>
          <w:highlight w:val="none"/>
        </w:rPr>
      </w:pPr>
      <w:r>
        <w:rPr>
          <w:rFonts w:hint="eastAsia" w:hAnsi="宋体"/>
          <w:bCs/>
          <w:color w:val="auto"/>
          <w:highlight w:val="none"/>
        </w:rPr>
        <w:t>（8）财政部门规定的其他条件。</w:t>
      </w:r>
    </w:p>
    <w:p w14:paraId="38D77DC2">
      <w:pPr>
        <w:spacing w:line="360" w:lineRule="auto"/>
        <w:ind w:firstLine="420" w:firstLineChars="200"/>
        <w:rPr>
          <w:rFonts w:ascii="宋体" w:hAnsi="宋体"/>
          <w:b/>
          <w:color w:val="auto"/>
          <w:szCs w:val="21"/>
          <w:highlight w:val="none"/>
        </w:rPr>
      </w:pPr>
      <w:bookmarkStart w:id="108" w:name="_9.2质疑、投诉应当采用书面形式，质疑函、投诉书均应明确阐述招标文件、"/>
      <w:bookmarkEnd w:id="108"/>
      <w:r>
        <w:rPr>
          <w:rFonts w:hint="eastAsia" w:ascii="宋体" w:hAnsi="宋体"/>
          <w:color w:val="auto"/>
          <w:szCs w:val="21"/>
          <w:highlight w:val="none"/>
        </w:rPr>
        <w:t xml:space="preserve"> </w:t>
      </w:r>
      <w:r>
        <w:rPr>
          <w:rFonts w:ascii="宋体" w:hAnsi="宋体"/>
          <w:color w:val="auto"/>
          <w:szCs w:val="21"/>
          <w:highlight w:val="none"/>
        </w:rPr>
        <w:t>38</w:t>
      </w:r>
      <w:r>
        <w:rPr>
          <w:rFonts w:hint="eastAsia" w:ascii="宋体" w:hAnsi="宋体"/>
          <w:color w:val="auto"/>
          <w:szCs w:val="21"/>
          <w:highlight w:val="none"/>
        </w:rPr>
        <w:t xml:space="preserve">.2.5 </w:t>
      </w:r>
      <w:r>
        <w:rPr>
          <w:rFonts w:hAnsi="宋体"/>
          <w:bCs/>
          <w:color w:val="auto"/>
          <w:highlight w:val="none"/>
        </w:rPr>
        <w:t>供应商提出质疑应当提交质疑函和必要的证明材料</w:t>
      </w:r>
      <w:r>
        <w:rPr>
          <w:rFonts w:hint="eastAsia" w:hAnsi="宋体"/>
          <w:bCs/>
          <w:color w:val="auto"/>
          <w:highlight w:val="none"/>
        </w:rPr>
        <w:t>，</w:t>
      </w:r>
      <w:r>
        <w:rPr>
          <w:rFonts w:hAnsi="宋体"/>
          <w:bCs/>
          <w:color w:val="auto"/>
          <w:highlight w:val="none"/>
        </w:rPr>
        <w:t>针对同一采购程序环节的质疑</w:t>
      </w:r>
      <w:r>
        <w:rPr>
          <w:rFonts w:hint="eastAsia" w:hAnsi="宋体"/>
          <w:bCs/>
          <w:color w:val="auto"/>
          <w:highlight w:val="none"/>
        </w:rPr>
        <w:t>必须</w:t>
      </w:r>
      <w:r>
        <w:rPr>
          <w:rFonts w:hAnsi="宋体"/>
          <w:bCs/>
          <w:color w:val="auto"/>
          <w:highlight w:val="none"/>
        </w:rPr>
        <w:t>在法定质疑期内一次性提出。质疑函应当包括下列内容</w:t>
      </w:r>
      <w:r>
        <w:rPr>
          <w:rFonts w:hint="eastAsia" w:hAnsi="宋体"/>
          <w:bCs/>
          <w:color w:val="auto"/>
          <w:highlight w:val="none"/>
        </w:rPr>
        <w:t>（质疑函格式后附）</w:t>
      </w:r>
      <w:r>
        <w:rPr>
          <w:rFonts w:hAnsi="宋体"/>
          <w:bCs/>
          <w:color w:val="auto"/>
          <w:highlight w:val="none"/>
        </w:rPr>
        <w:t>：</w:t>
      </w:r>
    </w:p>
    <w:p w14:paraId="1E3CAE9D">
      <w:pPr>
        <w:spacing w:line="360" w:lineRule="auto"/>
        <w:ind w:firstLine="420" w:firstLineChars="200"/>
        <w:rPr>
          <w:rFonts w:hAnsi="宋体"/>
          <w:bCs/>
          <w:color w:val="auto"/>
          <w:highlight w:val="none"/>
        </w:rPr>
      </w:pPr>
      <w:r>
        <w:rPr>
          <w:rFonts w:hAnsi="宋体"/>
          <w:bCs/>
          <w:color w:val="auto"/>
          <w:highlight w:val="none"/>
        </w:rPr>
        <w:t>（</w:t>
      </w:r>
      <w:r>
        <w:rPr>
          <w:rFonts w:hint="eastAsia" w:hAnsi="宋体"/>
          <w:bCs/>
          <w:color w:val="auto"/>
          <w:highlight w:val="none"/>
        </w:rPr>
        <w:t>1</w:t>
      </w:r>
      <w:r>
        <w:rPr>
          <w:rFonts w:hAnsi="宋体"/>
          <w:bCs/>
          <w:color w:val="auto"/>
          <w:highlight w:val="none"/>
        </w:rPr>
        <w:t>）供应商的姓名或者名称、地址、邮编、联系人及联系电话；</w:t>
      </w:r>
    </w:p>
    <w:p w14:paraId="37F8F683">
      <w:pPr>
        <w:spacing w:line="360" w:lineRule="auto"/>
        <w:ind w:firstLine="420" w:firstLineChars="200"/>
        <w:rPr>
          <w:rFonts w:hAnsi="宋体"/>
          <w:bCs/>
          <w:color w:val="auto"/>
          <w:highlight w:val="none"/>
        </w:rPr>
      </w:pPr>
      <w:r>
        <w:rPr>
          <w:rFonts w:hAnsi="宋体"/>
          <w:bCs/>
          <w:color w:val="auto"/>
          <w:highlight w:val="none"/>
        </w:rPr>
        <w:t>（</w:t>
      </w:r>
      <w:r>
        <w:rPr>
          <w:rFonts w:hint="eastAsia" w:hAnsi="宋体"/>
          <w:bCs/>
          <w:color w:val="auto"/>
          <w:highlight w:val="none"/>
        </w:rPr>
        <w:t>2</w:t>
      </w:r>
      <w:r>
        <w:rPr>
          <w:rFonts w:hAnsi="宋体"/>
          <w:bCs/>
          <w:color w:val="auto"/>
          <w:highlight w:val="none"/>
        </w:rPr>
        <w:t>）质疑项目的名称、编号；</w:t>
      </w:r>
    </w:p>
    <w:p w14:paraId="4EA5CD88">
      <w:pPr>
        <w:spacing w:line="360" w:lineRule="auto"/>
        <w:ind w:firstLine="420" w:firstLineChars="200"/>
        <w:rPr>
          <w:rFonts w:hAnsi="宋体"/>
          <w:bCs/>
          <w:color w:val="auto"/>
          <w:highlight w:val="none"/>
        </w:rPr>
      </w:pPr>
      <w:r>
        <w:rPr>
          <w:rFonts w:hAnsi="宋体"/>
          <w:bCs/>
          <w:color w:val="auto"/>
          <w:highlight w:val="none"/>
        </w:rPr>
        <w:t>（</w:t>
      </w:r>
      <w:r>
        <w:rPr>
          <w:rFonts w:hint="eastAsia" w:hAnsi="宋体"/>
          <w:bCs/>
          <w:color w:val="auto"/>
          <w:highlight w:val="none"/>
        </w:rPr>
        <w:t>3</w:t>
      </w:r>
      <w:r>
        <w:rPr>
          <w:rFonts w:hAnsi="宋体"/>
          <w:bCs/>
          <w:color w:val="auto"/>
          <w:highlight w:val="none"/>
        </w:rPr>
        <w:t>）具体、明确的质疑事项和与质疑事项相关的请求；</w:t>
      </w:r>
    </w:p>
    <w:p w14:paraId="1B30683F">
      <w:pPr>
        <w:spacing w:line="360" w:lineRule="auto"/>
        <w:ind w:firstLine="420" w:firstLineChars="200"/>
        <w:rPr>
          <w:rFonts w:hAnsi="宋体"/>
          <w:bCs/>
          <w:color w:val="auto"/>
          <w:highlight w:val="none"/>
        </w:rPr>
      </w:pPr>
      <w:r>
        <w:rPr>
          <w:rFonts w:hAnsi="宋体"/>
          <w:bCs/>
          <w:color w:val="auto"/>
          <w:highlight w:val="none"/>
        </w:rPr>
        <w:t>（</w:t>
      </w:r>
      <w:r>
        <w:rPr>
          <w:rFonts w:hint="eastAsia" w:hAnsi="宋体"/>
          <w:bCs/>
          <w:color w:val="auto"/>
          <w:highlight w:val="none"/>
        </w:rPr>
        <w:t>4</w:t>
      </w:r>
      <w:r>
        <w:rPr>
          <w:rFonts w:hAnsi="宋体"/>
          <w:bCs/>
          <w:color w:val="auto"/>
          <w:highlight w:val="none"/>
        </w:rPr>
        <w:t>）事实依据</w:t>
      </w:r>
      <w:r>
        <w:rPr>
          <w:rFonts w:hint="eastAsia" w:hAnsi="宋体"/>
          <w:bCs/>
          <w:color w:val="auto"/>
          <w:highlight w:val="none"/>
        </w:rPr>
        <w:t>（列明权益受到损害的事实和理由）</w:t>
      </w:r>
      <w:r>
        <w:rPr>
          <w:rFonts w:hAnsi="宋体"/>
          <w:bCs/>
          <w:color w:val="auto"/>
          <w:highlight w:val="none"/>
        </w:rPr>
        <w:t>；</w:t>
      </w:r>
    </w:p>
    <w:p w14:paraId="1CA532F1">
      <w:pPr>
        <w:spacing w:line="360" w:lineRule="auto"/>
        <w:ind w:firstLine="420" w:firstLineChars="200"/>
        <w:rPr>
          <w:rFonts w:hAnsi="宋体"/>
          <w:bCs/>
          <w:color w:val="auto"/>
          <w:highlight w:val="none"/>
        </w:rPr>
      </w:pPr>
      <w:r>
        <w:rPr>
          <w:rFonts w:hAnsi="宋体"/>
          <w:bCs/>
          <w:color w:val="auto"/>
          <w:highlight w:val="none"/>
        </w:rPr>
        <w:t>（</w:t>
      </w:r>
      <w:r>
        <w:rPr>
          <w:rFonts w:hint="eastAsia" w:hAnsi="宋体"/>
          <w:bCs/>
          <w:color w:val="auto"/>
          <w:highlight w:val="none"/>
        </w:rPr>
        <w:t>5</w:t>
      </w:r>
      <w:r>
        <w:rPr>
          <w:rFonts w:hAnsi="宋体"/>
          <w:bCs/>
          <w:color w:val="auto"/>
          <w:highlight w:val="none"/>
        </w:rPr>
        <w:t>）必要的法律依据；</w:t>
      </w:r>
    </w:p>
    <w:p w14:paraId="6FD362B2">
      <w:pPr>
        <w:spacing w:line="360" w:lineRule="auto"/>
        <w:ind w:firstLine="420" w:firstLineChars="200"/>
        <w:rPr>
          <w:rFonts w:hAnsi="宋体"/>
          <w:bCs/>
          <w:color w:val="auto"/>
          <w:highlight w:val="none"/>
        </w:rPr>
      </w:pPr>
      <w:r>
        <w:rPr>
          <w:rFonts w:hAnsi="宋体"/>
          <w:bCs/>
          <w:color w:val="auto"/>
          <w:highlight w:val="none"/>
        </w:rPr>
        <w:t>（</w:t>
      </w:r>
      <w:r>
        <w:rPr>
          <w:rFonts w:hint="eastAsia" w:hAnsi="宋体"/>
          <w:bCs/>
          <w:color w:val="auto"/>
          <w:highlight w:val="none"/>
        </w:rPr>
        <w:t>6</w:t>
      </w:r>
      <w:r>
        <w:rPr>
          <w:rFonts w:hAnsi="宋体"/>
          <w:bCs/>
          <w:color w:val="auto"/>
          <w:highlight w:val="none"/>
        </w:rPr>
        <w:t>）提出质疑的日期。</w:t>
      </w:r>
    </w:p>
    <w:p w14:paraId="78EC9A7F">
      <w:pPr>
        <w:spacing w:line="360" w:lineRule="auto"/>
        <w:ind w:firstLine="420" w:firstLineChars="200"/>
        <w:rPr>
          <w:rFonts w:hint="eastAsia" w:hAnsi="宋体"/>
          <w:bCs/>
          <w:color w:val="auto"/>
          <w:highlight w:val="none"/>
        </w:rPr>
      </w:pPr>
      <w:r>
        <w:rPr>
          <w:rFonts w:hAnsi="宋体"/>
          <w:bCs/>
          <w:color w:val="auto"/>
          <w:highlight w:val="none"/>
        </w:rPr>
        <w:t>供应商为自然人的，应当由本人签字；供应商为法人或者其他组织的，应当由法定代表人、主要负责人，或者其委托代理人签字或者盖章，并加盖公章</w:t>
      </w:r>
      <w:r>
        <w:rPr>
          <w:rFonts w:hint="eastAsia" w:hAnsi="宋体"/>
          <w:bCs/>
          <w:color w:val="auto"/>
          <w:highlight w:val="none"/>
        </w:rPr>
        <w:t>。</w:t>
      </w:r>
    </w:p>
    <w:p w14:paraId="7E5DDA86">
      <w:pPr>
        <w:spacing w:line="360" w:lineRule="auto"/>
        <w:ind w:firstLine="422" w:firstLineChars="200"/>
        <w:rPr>
          <w:rFonts w:hint="eastAsia" w:ascii="宋体" w:hAnsi="宋体"/>
          <w:b/>
          <w:color w:val="auto"/>
          <w:szCs w:val="20"/>
          <w:highlight w:val="none"/>
        </w:rPr>
      </w:pPr>
      <w:r>
        <w:rPr>
          <w:rFonts w:hint="eastAsia" w:ascii="宋体" w:hAnsi="宋体"/>
          <w:b/>
          <w:color w:val="auto"/>
          <w:szCs w:val="20"/>
          <w:highlight w:val="none"/>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0F26CD68">
      <w:pPr>
        <w:spacing w:line="360" w:lineRule="auto"/>
        <w:ind w:firstLine="420" w:firstLineChars="200"/>
        <w:rPr>
          <w:rFonts w:hint="eastAsia" w:ascii="宋体" w:hAnsi="宋体"/>
          <w:bCs/>
          <w:color w:val="auto"/>
          <w:szCs w:val="21"/>
          <w:highlight w:val="none"/>
        </w:rPr>
      </w:pPr>
      <w:r>
        <w:rPr>
          <w:rFonts w:ascii="宋体" w:hAnsi="宋体"/>
          <w:color w:val="auto"/>
          <w:szCs w:val="21"/>
          <w:highlight w:val="none"/>
        </w:rPr>
        <w:t>3</w:t>
      </w:r>
      <w:r>
        <w:rPr>
          <w:rFonts w:ascii="宋体" w:hAnsi="宋体"/>
          <w:bCs/>
          <w:color w:val="auto"/>
          <w:szCs w:val="21"/>
          <w:highlight w:val="none"/>
        </w:rPr>
        <w:t>8.</w:t>
      </w:r>
      <w:r>
        <w:rPr>
          <w:rFonts w:hint="eastAsia" w:ascii="宋体" w:hAnsi="宋体"/>
          <w:bCs/>
          <w:color w:val="auto"/>
          <w:szCs w:val="21"/>
          <w:highlight w:val="none"/>
        </w:rPr>
        <w:t>2.7采购人、采购代理机构认为供应商质疑不成立，或者成立但未对中标结果构成影响的，继续开展采购活动；认为供应商质疑成立且影响或者可能影响中标结果的，按照下列情况处理：</w:t>
      </w:r>
    </w:p>
    <w:p w14:paraId="0DE1421E">
      <w:pPr>
        <w:spacing w:line="360" w:lineRule="auto"/>
        <w:ind w:firstLine="420" w:firstLineChars="200"/>
        <w:rPr>
          <w:rFonts w:hint="eastAsia" w:hAnsi="宋体"/>
          <w:bCs/>
          <w:color w:val="auto"/>
          <w:highlight w:val="none"/>
        </w:rPr>
      </w:pPr>
      <w:r>
        <w:rPr>
          <w:rFonts w:hint="eastAsia" w:hAnsi="宋体"/>
          <w:bCs/>
          <w:color w:val="auto"/>
          <w:highlight w:val="none"/>
        </w:rPr>
        <w:t>　　（一）对招标文件提出的质疑，依法通过澄清或者修改可以继续开展采购活动的，澄清或者修改招标文件后继续开展采购活动；否则应当修改招标文件后重新开展采购活动。</w:t>
      </w:r>
    </w:p>
    <w:p w14:paraId="61105670">
      <w:pPr>
        <w:spacing w:line="360" w:lineRule="auto"/>
        <w:ind w:firstLine="420" w:firstLineChars="200"/>
        <w:rPr>
          <w:rFonts w:hint="eastAsia" w:hAnsi="宋体"/>
          <w:bCs/>
          <w:color w:val="auto"/>
          <w:highlight w:val="none"/>
        </w:rPr>
      </w:pPr>
      <w:r>
        <w:rPr>
          <w:rFonts w:hint="eastAsia" w:hAnsi="宋体"/>
          <w:bCs/>
          <w:color w:val="auto"/>
          <w:highlight w:val="none"/>
        </w:rPr>
        <w:t>　　（二）对采购过程、中标结果提出的质疑，合格供应商符合法定数量时，可以从合格的中标候选人中另行确定中标供应商的，应当依法另行确定中标供应商；否则应当重新开展采购活动。</w:t>
      </w:r>
    </w:p>
    <w:p w14:paraId="4318AAEA">
      <w:pPr>
        <w:spacing w:line="360" w:lineRule="auto"/>
        <w:ind w:firstLine="420" w:firstLineChars="200"/>
        <w:rPr>
          <w:rFonts w:hAnsi="宋体"/>
          <w:bCs/>
          <w:color w:val="auto"/>
          <w:highlight w:val="none"/>
        </w:rPr>
      </w:pPr>
      <w:r>
        <w:rPr>
          <w:rFonts w:hint="eastAsia" w:hAnsi="宋体"/>
          <w:bCs/>
          <w:color w:val="auto"/>
          <w:highlight w:val="none"/>
        </w:rPr>
        <w:t>质疑答复导致中标结果改变的，采购人或者采购代理机构应当将有关情况书面报告本级财政部门。</w:t>
      </w:r>
    </w:p>
    <w:p w14:paraId="5C625807">
      <w:pPr>
        <w:spacing w:line="360" w:lineRule="auto"/>
        <w:ind w:firstLine="422" w:firstLineChars="200"/>
        <w:rPr>
          <w:rFonts w:hint="eastAsia" w:hAnsi="宋体"/>
          <w:b/>
          <w:color w:val="auto"/>
          <w:highlight w:val="none"/>
        </w:rPr>
      </w:pPr>
      <w:r>
        <w:rPr>
          <w:rFonts w:hAnsi="宋体"/>
          <w:b/>
          <w:color w:val="auto"/>
          <w:highlight w:val="none"/>
        </w:rPr>
        <w:t>38</w:t>
      </w:r>
      <w:r>
        <w:rPr>
          <w:rFonts w:hint="eastAsia" w:hAnsi="宋体"/>
          <w:b/>
          <w:color w:val="auto"/>
          <w:highlight w:val="none"/>
        </w:rPr>
        <w:t>.3投诉</w:t>
      </w:r>
    </w:p>
    <w:p w14:paraId="38B22D62">
      <w:pPr>
        <w:spacing w:line="360" w:lineRule="auto"/>
        <w:ind w:firstLine="422" w:firstLineChars="200"/>
        <w:rPr>
          <w:rFonts w:hint="eastAsia" w:hAnsi="宋体"/>
          <w:bCs/>
          <w:color w:val="auto"/>
          <w:highlight w:val="none"/>
        </w:rPr>
      </w:pPr>
      <w:r>
        <w:rPr>
          <w:rFonts w:hAnsi="宋体"/>
          <w:b/>
          <w:color w:val="auto"/>
          <w:highlight w:val="none"/>
        </w:rPr>
        <w:t>38</w:t>
      </w:r>
      <w:r>
        <w:rPr>
          <w:rFonts w:hint="eastAsia" w:hAnsi="宋体"/>
          <w:b/>
          <w:color w:val="auto"/>
          <w:highlight w:val="none"/>
        </w:rPr>
        <w:t>.3</w:t>
      </w:r>
      <w:r>
        <w:rPr>
          <w:rFonts w:hint="eastAsia" w:hAnsi="宋体"/>
          <w:bCs/>
          <w:color w:val="auto"/>
          <w:highlight w:val="none"/>
        </w:rPr>
        <w:t>.</w:t>
      </w:r>
      <w:r>
        <w:rPr>
          <w:rFonts w:hint="eastAsia" w:hAnsi="宋体"/>
          <w:b/>
          <w:bCs/>
          <w:color w:val="auto"/>
          <w:highlight w:val="none"/>
        </w:rPr>
        <w:t xml:space="preserve">1 </w:t>
      </w:r>
      <w:r>
        <w:rPr>
          <w:rFonts w:hint="eastAsia" w:hAnsi="宋体"/>
          <w:bCs/>
          <w:color w:val="auto"/>
          <w:highlight w:val="none"/>
        </w:rPr>
        <w:t xml:space="preserve"> 供应商认为采购文件、采购过程、中标和成交结果使自己的合法权益受到损害的，应当首先依法向采购人或采购人委托的</w:t>
      </w:r>
      <w:r>
        <w:rPr>
          <w:rFonts w:hint="eastAsia" w:hAnsi="宋体"/>
          <w:color w:val="auto"/>
          <w:highlight w:val="none"/>
        </w:rPr>
        <w:t>采购代理机构</w:t>
      </w:r>
      <w:r>
        <w:rPr>
          <w:rFonts w:hint="eastAsia" w:hAnsi="宋体"/>
          <w:bCs/>
          <w:color w:val="auto"/>
          <w:highlight w:val="none"/>
        </w:rPr>
        <w:t>提出质疑。对采购人、</w:t>
      </w:r>
      <w:r>
        <w:rPr>
          <w:rFonts w:hint="eastAsia" w:hAnsi="宋体"/>
          <w:color w:val="auto"/>
          <w:highlight w:val="none"/>
        </w:rPr>
        <w:t>采购代理机构</w:t>
      </w:r>
      <w:r>
        <w:rPr>
          <w:rFonts w:hint="eastAsia" w:hAnsi="宋体"/>
          <w:bCs/>
          <w:color w:val="auto"/>
          <w:highlight w:val="none"/>
        </w:rPr>
        <w:t>的答复不满意，或者采购人、</w:t>
      </w:r>
      <w:r>
        <w:rPr>
          <w:rFonts w:hint="eastAsia" w:hAnsi="宋体"/>
          <w:color w:val="auto"/>
          <w:highlight w:val="none"/>
        </w:rPr>
        <w:t>采购代理机构</w:t>
      </w:r>
      <w:r>
        <w:rPr>
          <w:rFonts w:hint="eastAsia" w:hAnsi="宋体"/>
          <w:bCs/>
          <w:color w:val="auto"/>
          <w:highlight w:val="none"/>
        </w:rPr>
        <w:t>未在规定期限内做出答复的，供应商可以在答复期满后15个工作日内向钦州市政府采购监督管理部门提起投诉，投诉方式见“投标人须知前附表”。</w:t>
      </w:r>
    </w:p>
    <w:p w14:paraId="1E3548FF">
      <w:pPr>
        <w:spacing w:line="360" w:lineRule="auto"/>
        <w:ind w:firstLine="422" w:firstLineChars="200"/>
        <w:rPr>
          <w:rFonts w:hint="eastAsia" w:hAnsi="宋体"/>
          <w:bCs/>
          <w:color w:val="auto"/>
          <w:highlight w:val="none"/>
        </w:rPr>
      </w:pPr>
      <w:r>
        <w:rPr>
          <w:rFonts w:hAnsi="宋体"/>
          <w:b/>
          <w:color w:val="auto"/>
          <w:highlight w:val="none"/>
        </w:rPr>
        <w:t>38</w:t>
      </w:r>
      <w:r>
        <w:rPr>
          <w:rFonts w:hint="eastAsia" w:hAnsi="宋体"/>
          <w:b/>
          <w:color w:val="auto"/>
          <w:highlight w:val="none"/>
        </w:rPr>
        <w:t>.3</w:t>
      </w:r>
      <w:r>
        <w:rPr>
          <w:rFonts w:hint="eastAsia"/>
          <w:b/>
          <w:color w:val="auto"/>
          <w:highlight w:val="none"/>
        </w:rPr>
        <w:t xml:space="preserve">.2 </w:t>
      </w:r>
      <w:r>
        <w:rPr>
          <w:rFonts w:hint="eastAsia"/>
          <w:color w:val="auto"/>
          <w:highlight w:val="none"/>
        </w:rPr>
        <w:t xml:space="preserve"> 投诉人投诉时，应当提交投诉书，并按照被投诉采购人、</w:t>
      </w:r>
      <w:r>
        <w:rPr>
          <w:rFonts w:hint="eastAsia" w:hAnsi="宋体"/>
          <w:color w:val="auto"/>
          <w:highlight w:val="none"/>
        </w:rPr>
        <w:t>采购代理机构</w:t>
      </w:r>
      <w:r>
        <w:rPr>
          <w:rFonts w:hint="eastAsia"/>
          <w:color w:val="auto"/>
          <w:highlight w:val="none"/>
        </w:rPr>
        <w:t>和与投诉事项有关的供应商数量提供投诉书的副本。投诉书</w:t>
      </w:r>
      <w:r>
        <w:rPr>
          <w:rFonts w:hint="eastAsia"/>
          <w:color w:val="auto"/>
          <w:szCs w:val="21"/>
          <w:highlight w:val="none"/>
        </w:rPr>
        <w:t>应当包括下列主要内容</w:t>
      </w:r>
      <w:r>
        <w:rPr>
          <w:rFonts w:hint="eastAsia"/>
          <w:color w:val="auto"/>
          <w:highlight w:val="none"/>
        </w:rPr>
        <w:t>（如材料中有外文资料应同时附上对应的中文译本）</w:t>
      </w:r>
      <w:r>
        <w:rPr>
          <w:rFonts w:hint="eastAsia" w:hAnsi="宋体"/>
          <w:bCs/>
          <w:color w:val="auto"/>
          <w:highlight w:val="none"/>
        </w:rPr>
        <w:t>（投诉书格式后附）</w:t>
      </w:r>
      <w:r>
        <w:rPr>
          <w:rFonts w:hint="eastAsia"/>
          <w:color w:val="auto"/>
          <w:szCs w:val="21"/>
          <w:highlight w:val="none"/>
        </w:rPr>
        <w:t>：</w:t>
      </w:r>
    </w:p>
    <w:p w14:paraId="41534158">
      <w:pPr>
        <w:spacing w:line="360" w:lineRule="auto"/>
        <w:ind w:firstLine="420" w:firstLineChars="200"/>
        <w:rPr>
          <w:rFonts w:hint="eastAsia"/>
          <w:color w:val="auto"/>
          <w:highlight w:val="none"/>
        </w:rPr>
      </w:pPr>
      <w:r>
        <w:rPr>
          <w:rFonts w:hint="eastAsia" w:hAnsi="宋体"/>
          <w:color w:val="auto"/>
          <w:highlight w:val="none"/>
        </w:rPr>
        <w:t xml:space="preserve">（1）投诉人和被投诉人的名称、地址、邮编、联系人及联系电话等； </w:t>
      </w:r>
    </w:p>
    <w:p w14:paraId="3A0597D7">
      <w:pPr>
        <w:spacing w:line="360" w:lineRule="auto"/>
        <w:ind w:firstLine="420" w:firstLineChars="200"/>
        <w:rPr>
          <w:rFonts w:hint="eastAsia"/>
          <w:color w:val="auto"/>
          <w:highlight w:val="none"/>
        </w:rPr>
      </w:pPr>
      <w:r>
        <w:rPr>
          <w:rFonts w:hint="eastAsia" w:hAnsi="宋体"/>
          <w:color w:val="auto"/>
          <w:highlight w:val="none"/>
        </w:rPr>
        <w:t>（2）质疑和质疑答复情况及相关证明材料；</w:t>
      </w:r>
      <w:r>
        <w:rPr>
          <w:rFonts w:hint="eastAsia"/>
          <w:color w:val="auto"/>
          <w:highlight w:val="none"/>
        </w:rPr>
        <w:t xml:space="preserve"> </w:t>
      </w:r>
    </w:p>
    <w:p w14:paraId="2993C480">
      <w:pPr>
        <w:spacing w:line="360" w:lineRule="auto"/>
        <w:ind w:firstLine="420" w:firstLineChars="200"/>
        <w:rPr>
          <w:rFonts w:hint="eastAsia" w:hAnsi="宋体"/>
          <w:color w:val="auto"/>
          <w:highlight w:val="none"/>
        </w:rPr>
      </w:pPr>
      <w:r>
        <w:rPr>
          <w:rFonts w:hint="eastAsia" w:hAnsi="宋体"/>
          <w:color w:val="auto"/>
          <w:highlight w:val="none"/>
        </w:rPr>
        <w:t>（3）具体、明确的投诉事项和与投诉事项相关的投诉请求；</w:t>
      </w:r>
    </w:p>
    <w:p w14:paraId="05739FE9">
      <w:pPr>
        <w:spacing w:line="360" w:lineRule="auto"/>
        <w:ind w:firstLine="420" w:firstLineChars="200"/>
        <w:rPr>
          <w:rFonts w:hint="eastAsia" w:hAnsi="宋体"/>
          <w:color w:val="auto"/>
          <w:highlight w:val="none"/>
        </w:rPr>
      </w:pPr>
      <w:r>
        <w:rPr>
          <w:rFonts w:hint="eastAsia" w:hAnsi="宋体"/>
          <w:color w:val="auto"/>
          <w:highlight w:val="none"/>
        </w:rPr>
        <w:t>（4）事实依据；</w:t>
      </w:r>
    </w:p>
    <w:p w14:paraId="66AF900F">
      <w:pPr>
        <w:spacing w:line="360" w:lineRule="auto"/>
        <w:ind w:firstLine="420" w:firstLineChars="200"/>
        <w:rPr>
          <w:rFonts w:hint="eastAsia"/>
          <w:color w:val="auto"/>
          <w:highlight w:val="none"/>
        </w:rPr>
      </w:pPr>
      <w:r>
        <w:rPr>
          <w:rFonts w:hint="eastAsia" w:hAnsi="宋体"/>
          <w:color w:val="auto"/>
          <w:highlight w:val="none"/>
        </w:rPr>
        <w:t>（5）法律依据；</w:t>
      </w:r>
    </w:p>
    <w:p w14:paraId="7ACC62F0">
      <w:pPr>
        <w:spacing w:line="360" w:lineRule="auto"/>
        <w:ind w:firstLine="420" w:firstLineChars="200"/>
        <w:rPr>
          <w:rFonts w:hint="eastAsia" w:hAnsi="宋体"/>
          <w:color w:val="auto"/>
          <w:highlight w:val="none"/>
        </w:rPr>
      </w:pPr>
      <w:r>
        <w:rPr>
          <w:rFonts w:hint="eastAsia" w:hAnsi="宋体"/>
          <w:color w:val="auto"/>
          <w:highlight w:val="none"/>
        </w:rPr>
        <w:t>（6）提起投诉的日期。</w:t>
      </w:r>
    </w:p>
    <w:p w14:paraId="29265F50">
      <w:pPr>
        <w:pStyle w:val="2"/>
        <w:ind w:firstLine="630" w:firstLineChars="300"/>
        <w:rPr>
          <w:rFonts w:hint="eastAsia"/>
          <w:color w:val="auto"/>
          <w:highlight w:val="none"/>
        </w:rPr>
      </w:pPr>
      <w:r>
        <w:rPr>
          <w:rFonts w:hint="eastAsia"/>
          <w:color w:val="auto"/>
          <w:highlight w:val="none"/>
        </w:rPr>
        <w:t>投诉人为自然人的，应当由本人签字；投诉人为法人或者其他组织的，应当由法定代表人、主要负责人，或者其授权代表签字或者盖章， 并加盖公章。</w:t>
      </w:r>
    </w:p>
    <w:p w14:paraId="3262E790">
      <w:pPr>
        <w:spacing w:line="360" w:lineRule="auto"/>
        <w:ind w:firstLine="422" w:firstLineChars="200"/>
        <w:rPr>
          <w:rFonts w:hint="eastAsia" w:hAnsi="宋体"/>
          <w:bCs/>
          <w:color w:val="auto"/>
          <w:highlight w:val="none"/>
        </w:rPr>
      </w:pPr>
      <w:r>
        <w:rPr>
          <w:rFonts w:hAnsi="宋体"/>
          <w:b/>
          <w:color w:val="auto"/>
          <w:highlight w:val="none"/>
        </w:rPr>
        <w:t>38</w:t>
      </w:r>
      <w:r>
        <w:rPr>
          <w:rFonts w:hint="eastAsia" w:hAnsi="宋体"/>
          <w:b/>
          <w:color w:val="auto"/>
          <w:highlight w:val="none"/>
        </w:rPr>
        <w:t>.3</w:t>
      </w:r>
      <w:r>
        <w:rPr>
          <w:rFonts w:hint="eastAsia"/>
          <w:b/>
          <w:color w:val="auto"/>
          <w:highlight w:val="none"/>
        </w:rPr>
        <w:t xml:space="preserve">.3  </w:t>
      </w:r>
      <w:r>
        <w:rPr>
          <w:rFonts w:hint="eastAsia"/>
          <w:color w:val="auto"/>
          <w:highlight w:val="none"/>
        </w:rPr>
        <w:t>投诉人可以委托代理人办理投诉事务。</w:t>
      </w:r>
      <w:r>
        <w:rPr>
          <w:rFonts w:hint="eastAsia" w:hAnsi="宋体"/>
          <w:bCs/>
          <w:color w:val="auto"/>
          <w:highlight w:val="none"/>
        </w:rPr>
        <w:t>委托代理人应熟悉相关业务情况。</w:t>
      </w:r>
      <w:r>
        <w:rPr>
          <w:rFonts w:hint="eastAsia"/>
          <w:color w:val="auto"/>
          <w:highlight w:val="none"/>
        </w:rPr>
        <w:t>代理人办理投诉事务时，除提交投诉书外，还应当提交投诉人的授权委托书和</w:t>
      </w:r>
      <w:r>
        <w:rPr>
          <w:rFonts w:hint="eastAsia" w:hAnsi="宋体"/>
          <w:color w:val="auto"/>
          <w:highlight w:val="none"/>
        </w:rPr>
        <w:t>委托代理人身份证明复印件。</w:t>
      </w:r>
    </w:p>
    <w:p w14:paraId="5E5041DC">
      <w:pPr>
        <w:spacing w:line="360" w:lineRule="auto"/>
        <w:ind w:firstLine="422" w:firstLineChars="200"/>
        <w:rPr>
          <w:rFonts w:hint="eastAsia" w:hAnsi="宋体"/>
          <w:color w:val="auto"/>
          <w:highlight w:val="none"/>
        </w:rPr>
      </w:pPr>
      <w:r>
        <w:rPr>
          <w:rFonts w:hAnsi="宋体"/>
          <w:b/>
          <w:color w:val="auto"/>
          <w:highlight w:val="none"/>
        </w:rPr>
        <w:t>38</w:t>
      </w:r>
      <w:r>
        <w:rPr>
          <w:rFonts w:hint="eastAsia" w:hAnsi="宋体"/>
          <w:b/>
          <w:color w:val="auto"/>
          <w:highlight w:val="none"/>
        </w:rPr>
        <w:t>.3</w:t>
      </w:r>
      <w:r>
        <w:rPr>
          <w:rFonts w:hint="eastAsia"/>
          <w:b/>
          <w:color w:val="auto"/>
          <w:highlight w:val="none"/>
        </w:rPr>
        <w:t>.4</w:t>
      </w:r>
      <w:r>
        <w:rPr>
          <w:rFonts w:hint="eastAsia"/>
          <w:color w:val="auto"/>
          <w:highlight w:val="none"/>
        </w:rPr>
        <w:t xml:space="preserve">  投诉人提起投诉应当符合下列条件：</w:t>
      </w:r>
    </w:p>
    <w:p w14:paraId="0898BCFF">
      <w:pPr>
        <w:spacing w:line="360" w:lineRule="auto"/>
        <w:ind w:firstLine="420" w:firstLineChars="200"/>
        <w:rPr>
          <w:rFonts w:hint="eastAsia" w:ascii="宋体" w:hAnsi="宋体"/>
          <w:color w:val="auto"/>
          <w:highlight w:val="none"/>
        </w:rPr>
      </w:pPr>
      <w:r>
        <w:rPr>
          <w:rFonts w:hint="eastAsia" w:ascii="宋体" w:hAnsi="宋体"/>
          <w:color w:val="auto"/>
          <w:highlight w:val="none"/>
        </w:rPr>
        <w:t>（1）投诉人是参与所投诉政府采购活动的供应商；</w:t>
      </w:r>
    </w:p>
    <w:p w14:paraId="38D1BDDA">
      <w:pPr>
        <w:spacing w:line="360" w:lineRule="auto"/>
        <w:ind w:firstLine="420" w:firstLineChars="200"/>
        <w:rPr>
          <w:rFonts w:hint="eastAsia" w:ascii="宋体" w:hAnsi="宋体"/>
          <w:color w:val="auto"/>
          <w:highlight w:val="none"/>
        </w:rPr>
      </w:pPr>
      <w:r>
        <w:rPr>
          <w:rFonts w:hint="eastAsia" w:ascii="宋体" w:hAnsi="宋体"/>
          <w:color w:val="auto"/>
          <w:highlight w:val="none"/>
        </w:rPr>
        <w:t>（2）提起投诉前已依法进行质疑；</w:t>
      </w:r>
    </w:p>
    <w:p w14:paraId="5CE97035">
      <w:pPr>
        <w:spacing w:line="360" w:lineRule="auto"/>
        <w:ind w:firstLine="420" w:firstLineChars="200"/>
        <w:rPr>
          <w:rFonts w:hint="eastAsia" w:ascii="宋体" w:hAnsi="宋体"/>
          <w:color w:val="auto"/>
          <w:highlight w:val="none"/>
        </w:rPr>
      </w:pPr>
      <w:r>
        <w:rPr>
          <w:rFonts w:hint="eastAsia" w:ascii="宋体" w:hAnsi="宋体"/>
          <w:color w:val="auto"/>
          <w:highlight w:val="none"/>
        </w:rPr>
        <w:t>（3）投诉书内容符合本章第38.3.2项的规定；</w:t>
      </w:r>
    </w:p>
    <w:p w14:paraId="4DB14666">
      <w:pPr>
        <w:spacing w:line="360" w:lineRule="auto"/>
        <w:ind w:firstLine="420" w:firstLineChars="200"/>
        <w:rPr>
          <w:rFonts w:hint="eastAsia" w:ascii="宋体" w:hAnsi="宋体"/>
          <w:color w:val="auto"/>
          <w:highlight w:val="none"/>
        </w:rPr>
      </w:pPr>
      <w:r>
        <w:rPr>
          <w:rFonts w:hint="eastAsia" w:ascii="宋体" w:hAnsi="宋体"/>
          <w:color w:val="auto"/>
          <w:highlight w:val="none"/>
        </w:rPr>
        <w:t>（4）在投诉有效期限内提起投诉；</w:t>
      </w:r>
    </w:p>
    <w:p w14:paraId="05EAAF01">
      <w:pPr>
        <w:spacing w:line="360" w:lineRule="auto"/>
        <w:ind w:firstLine="420" w:firstLineChars="200"/>
        <w:rPr>
          <w:rFonts w:hint="eastAsia" w:ascii="宋体" w:hAnsi="宋体"/>
          <w:color w:val="auto"/>
          <w:highlight w:val="none"/>
        </w:rPr>
      </w:pPr>
      <w:r>
        <w:rPr>
          <w:rFonts w:hint="eastAsia" w:ascii="宋体" w:hAnsi="宋体"/>
          <w:color w:val="auto"/>
          <w:highlight w:val="none"/>
        </w:rPr>
        <w:t>（</w:t>
      </w:r>
      <w:r>
        <w:rPr>
          <w:rFonts w:hint="eastAsia" w:ascii="宋体" w:hAnsi="宋体"/>
          <w:color w:val="auto"/>
          <w:highlight w:val="none"/>
          <w:lang w:val="en-US" w:eastAsia="zh-CN"/>
        </w:rPr>
        <w:t>5</w:t>
      </w:r>
      <w:r>
        <w:rPr>
          <w:rFonts w:hint="eastAsia" w:ascii="宋体" w:hAnsi="宋体"/>
          <w:color w:val="auto"/>
          <w:highlight w:val="none"/>
        </w:rPr>
        <w:t>）同一投诉事项未经</w:t>
      </w:r>
      <w:r>
        <w:rPr>
          <w:rFonts w:hint="eastAsia" w:ascii="宋体" w:hAnsi="宋体"/>
          <w:bCs/>
          <w:color w:val="auto"/>
          <w:highlight w:val="none"/>
        </w:rPr>
        <w:t>钦州市政府采购监督管理部门</w:t>
      </w:r>
      <w:r>
        <w:rPr>
          <w:rFonts w:hint="eastAsia" w:ascii="宋体" w:hAnsi="宋体"/>
          <w:color w:val="auto"/>
          <w:highlight w:val="none"/>
        </w:rPr>
        <w:t>投诉处理；</w:t>
      </w:r>
    </w:p>
    <w:p w14:paraId="054900A6">
      <w:pPr>
        <w:spacing w:line="360" w:lineRule="auto"/>
        <w:ind w:firstLine="420" w:firstLineChars="200"/>
        <w:rPr>
          <w:rFonts w:hint="eastAsia" w:ascii="宋体"/>
          <w:color w:val="auto"/>
          <w:highlight w:val="none"/>
        </w:rPr>
      </w:pPr>
      <w:r>
        <w:rPr>
          <w:rFonts w:hint="eastAsia" w:ascii="宋体"/>
          <w:color w:val="auto"/>
          <w:highlight w:val="none"/>
        </w:rPr>
        <w:t>（</w:t>
      </w:r>
      <w:r>
        <w:rPr>
          <w:rFonts w:hint="eastAsia" w:ascii="宋体"/>
          <w:color w:val="auto"/>
          <w:highlight w:val="none"/>
          <w:lang w:val="en-US" w:eastAsia="zh-CN"/>
        </w:rPr>
        <w:t>6</w:t>
      </w:r>
      <w:r>
        <w:rPr>
          <w:rFonts w:hint="eastAsia" w:ascii="宋体"/>
          <w:color w:val="auto"/>
          <w:highlight w:val="none"/>
        </w:rPr>
        <w:t>）国务院财政部门规定的其他条件。</w:t>
      </w:r>
    </w:p>
    <w:p w14:paraId="1E6B6AFE">
      <w:pPr>
        <w:spacing w:line="360" w:lineRule="auto"/>
        <w:ind w:firstLine="422" w:firstLineChars="200"/>
        <w:rPr>
          <w:rFonts w:hint="eastAsia"/>
          <w:color w:val="auto"/>
          <w:highlight w:val="none"/>
        </w:rPr>
      </w:pPr>
      <w:r>
        <w:rPr>
          <w:rFonts w:hAnsi="宋体"/>
          <w:b/>
          <w:color w:val="auto"/>
          <w:highlight w:val="none"/>
        </w:rPr>
        <w:t>38</w:t>
      </w:r>
      <w:r>
        <w:rPr>
          <w:rFonts w:hint="eastAsia" w:hAnsi="宋体"/>
          <w:b/>
          <w:color w:val="auto"/>
          <w:highlight w:val="none"/>
        </w:rPr>
        <w:t>.3</w:t>
      </w:r>
      <w:r>
        <w:rPr>
          <w:rFonts w:hint="eastAsia" w:ascii="宋体"/>
          <w:b/>
          <w:color w:val="auto"/>
          <w:highlight w:val="none"/>
        </w:rPr>
        <w:t>.5</w:t>
      </w:r>
      <w:r>
        <w:rPr>
          <w:rFonts w:hint="eastAsia" w:ascii="宋体"/>
          <w:color w:val="auto"/>
          <w:highlight w:val="none"/>
        </w:rPr>
        <w:t xml:space="preserve">  钦州市政府采购监督管理部门</w:t>
      </w:r>
      <w:r>
        <w:rPr>
          <w:rFonts w:hint="eastAsia"/>
          <w:color w:val="auto"/>
          <w:highlight w:val="none"/>
        </w:rPr>
        <w:t>自受理投诉之日起</w:t>
      </w:r>
      <w:r>
        <w:rPr>
          <w:color w:val="auto"/>
          <w:highlight w:val="none"/>
        </w:rPr>
        <w:t>30</w:t>
      </w:r>
      <w:r>
        <w:rPr>
          <w:rFonts w:hint="eastAsia"/>
          <w:color w:val="auto"/>
          <w:highlight w:val="none"/>
        </w:rPr>
        <w:t>个工作日内，对投诉事项作出处理决定，并以书面形式通知投诉人、被投诉人及其他与投诉处理结果有利害关系的政府采购当</w:t>
      </w:r>
      <w:r>
        <w:rPr>
          <w:rFonts w:hint="eastAsia" w:ascii="宋体"/>
          <w:color w:val="auto"/>
          <w:highlight w:val="none"/>
        </w:rPr>
        <w:t>事人</w:t>
      </w:r>
      <w:r>
        <w:rPr>
          <w:rFonts w:hint="eastAsia"/>
          <w:color w:val="auto"/>
          <w:highlight w:val="none"/>
        </w:rPr>
        <w:t>。并将投诉结果在</w:t>
      </w:r>
      <w:r>
        <w:rPr>
          <w:rFonts w:hint="eastAsia" w:ascii="宋体" w:hAnsi="宋体" w:cs="宋体"/>
          <w:color w:val="auto"/>
          <w:kern w:val="0"/>
          <w:szCs w:val="21"/>
          <w:highlight w:val="none"/>
        </w:rPr>
        <w:t>“广西政府采购网”（https://www.gcy.zfcg.gxzf.gov.cn/）</w:t>
      </w:r>
      <w:r>
        <w:rPr>
          <w:rFonts w:hint="eastAsia"/>
          <w:color w:val="auto"/>
          <w:highlight w:val="none"/>
        </w:rPr>
        <w:t>发布。</w:t>
      </w:r>
    </w:p>
    <w:p w14:paraId="0E488F23">
      <w:pPr>
        <w:spacing w:line="360" w:lineRule="auto"/>
        <w:ind w:firstLine="422" w:firstLineChars="200"/>
        <w:rPr>
          <w:rFonts w:hint="eastAsia"/>
          <w:b/>
          <w:bCs/>
          <w:color w:val="auto"/>
          <w:sz w:val="32"/>
          <w:szCs w:val="32"/>
          <w:highlight w:val="none"/>
        </w:rPr>
      </w:pPr>
      <w:r>
        <w:rPr>
          <w:rFonts w:hAnsi="宋体"/>
          <w:b/>
          <w:color w:val="auto"/>
          <w:highlight w:val="none"/>
        </w:rPr>
        <w:t>38</w:t>
      </w:r>
      <w:r>
        <w:rPr>
          <w:rFonts w:hint="eastAsia" w:hAnsi="宋体"/>
          <w:b/>
          <w:color w:val="auto"/>
          <w:highlight w:val="none"/>
        </w:rPr>
        <w:t>.3</w:t>
      </w:r>
      <w:r>
        <w:rPr>
          <w:rFonts w:hint="eastAsia" w:ascii="宋体"/>
          <w:b/>
          <w:color w:val="auto"/>
          <w:highlight w:val="none"/>
        </w:rPr>
        <w:t>.6</w:t>
      </w:r>
      <w:r>
        <w:rPr>
          <w:rFonts w:hint="eastAsia" w:ascii="宋体"/>
          <w:color w:val="auto"/>
          <w:highlight w:val="none"/>
        </w:rPr>
        <w:t xml:space="preserve">  钦州市政府采购监督管理部门在处理投诉事项期间，可以视具体情况暂停采购活动。</w:t>
      </w:r>
    </w:p>
    <w:p w14:paraId="4CF7D04A">
      <w:pPr>
        <w:snapToGrid w:val="0"/>
        <w:spacing w:line="360" w:lineRule="auto"/>
        <w:ind w:left="120" w:leftChars="57" w:firstLine="482" w:firstLineChars="150"/>
        <w:jc w:val="center"/>
        <w:rPr>
          <w:rFonts w:hint="eastAsia"/>
          <w:b/>
          <w:bCs/>
          <w:color w:val="auto"/>
          <w:sz w:val="32"/>
          <w:szCs w:val="32"/>
          <w:highlight w:val="none"/>
        </w:rPr>
      </w:pPr>
    </w:p>
    <w:p w14:paraId="1A2590C8">
      <w:pPr>
        <w:snapToGrid w:val="0"/>
        <w:spacing w:line="360" w:lineRule="auto"/>
        <w:ind w:left="120" w:leftChars="57" w:firstLine="482" w:firstLineChars="150"/>
        <w:jc w:val="center"/>
        <w:rPr>
          <w:rFonts w:hint="eastAsia"/>
          <w:b/>
          <w:bCs/>
          <w:color w:val="auto"/>
          <w:sz w:val="32"/>
          <w:szCs w:val="32"/>
          <w:highlight w:val="none"/>
        </w:rPr>
      </w:pPr>
    </w:p>
    <w:p w14:paraId="396F85A4">
      <w:pPr>
        <w:snapToGrid w:val="0"/>
        <w:spacing w:line="360" w:lineRule="auto"/>
        <w:ind w:left="120" w:leftChars="57" w:firstLine="482" w:firstLineChars="150"/>
        <w:jc w:val="center"/>
        <w:rPr>
          <w:rFonts w:hint="eastAsia"/>
          <w:b/>
          <w:bCs/>
          <w:color w:val="auto"/>
          <w:sz w:val="32"/>
          <w:szCs w:val="32"/>
          <w:highlight w:val="none"/>
        </w:rPr>
      </w:pPr>
      <w:r>
        <w:rPr>
          <w:rFonts w:hint="eastAsia"/>
          <w:b/>
          <w:bCs/>
          <w:color w:val="auto"/>
          <w:sz w:val="32"/>
          <w:szCs w:val="32"/>
          <w:highlight w:val="none"/>
        </w:rPr>
        <w:t>八、验收</w:t>
      </w:r>
    </w:p>
    <w:p w14:paraId="1CDE663C">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hAnsi="宋体"/>
          <w:b/>
          <w:color w:val="auto"/>
          <w:highlight w:val="none"/>
        </w:rPr>
      </w:pPr>
      <w:r>
        <w:rPr>
          <w:rFonts w:hint="eastAsia" w:hAnsi="宋体"/>
          <w:b/>
          <w:color w:val="auto"/>
          <w:highlight w:val="none"/>
        </w:rPr>
        <w:t>39.验收</w:t>
      </w:r>
    </w:p>
    <w:p w14:paraId="4405F2C3">
      <w:pPr>
        <w:keepNext w:val="0"/>
        <w:keepLines w:val="0"/>
        <w:pageBreakBefore w:val="0"/>
        <w:widowControl w:val="0"/>
        <w:tabs>
          <w:tab w:val="left" w:pos="0"/>
        </w:tabs>
        <w:kinsoku/>
        <w:wordWrap/>
        <w:overflowPunct/>
        <w:topLinePunct w:val="0"/>
        <w:autoSpaceDE/>
        <w:autoSpaceDN/>
        <w:bidi w:val="0"/>
        <w:adjustRightInd/>
        <w:snapToGrid/>
        <w:spacing w:line="440" w:lineRule="exact"/>
        <w:ind w:firstLine="482"/>
        <w:textAlignment w:val="auto"/>
        <w:rPr>
          <w:rFonts w:hint="eastAsia" w:hAnsi="宋体"/>
          <w:color w:val="auto"/>
          <w:highlight w:val="none"/>
        </w:rPr>
      </w:pPr>
      <w:r>
        <w:rPr>
          <w:rFonts w:hint="eastAsia" w:hAnsi="宋体"/>
          <w:color w:val="auto"/>
          <w:highlight w:val="none"/>
        </w:rPr>
        <w:t>39.1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0D65D16A">
      <w:pPr>
        <w:keepNext w:val="0"/>
        <w:keepLines w:val="0"/>
        <w:pageBreakBefore w:val="0"/>
        <w:widowControl w:val="0"/>
        <w:tabs>
          <w:tab w:val="left" w:pos="0"/>
        </w:tabs>
        <w:kinsoku/>
        <w:wordWrap/>
        <w:overflowPunct/>
        <w:topLinePunct w:val="0"/>
        <w:autoSpaceDE/>
        <w:autoSpaceDN/>
        <w:bidi w:val="0"/>
        <w:adjustRightInd/>
        <w:snapToGrid/>
        <w:spacing w:line="440" w:lineRule="exact"/>
        <w:ind w:firstLine="482"/>
        <w:textAlignment w:val="auto"/>
        <w:rPr>
          <w:rFonts w:hint="eastAsia" w:ascii="Times New Roman" w:hAnsi="宋体" w:eastAsia="宋体" w:cs="Times New Roman"/>
          <w:color w:val="auto"/>
          <w:highlight w:val="none"/>
        </w:rPr>
      </w:pPr>
      <w:r>
        <w:rPr>
          <w:rFonts w:hint="eastAsia" w:ascii="Times New Roman" w:hAnsi="宋体" w:eastAsia="宋体" w:cs="Times New Roman"/>
          <w:color w:val="auto"/>
          <w:highlight w:val="none"/>
        </w:rPr>
        <w:t>39.2严格按照采购合同开展履约验收。采购人成立验收小组，对供应商履约情况进行验收。</w:t>
      </w:r>
    </w:p>
    <w:p w14:paraId="7616A89C">
      <w:pPr>
        <w:keepNext w:val="0"/>
        <w:keepLines w:val="0"/>
        <w:pageBreakBefore w:val="0"/>
        <w:widowControl w:val="0"/>
        <w:tabs>
          <w:tab w:val="left" w:pos="0"/>
        </w:tabs>
        <w:kinsoku/>
        <w:wordWrap/>
        <w:overflowPunct/>
        <w:topLinePunct w:val="0"/>
        <w:autoSpaceDE/>
        <w:autoSpaceDN/>
        <w:bidi w:val="0"/>
        <w:adjustRightInd/>
        <w:snapToGrid/>
        <w:spacing w:line="440" w:lineRule="exact"/>
        <w:ind w:firstLine="482"/>
        <w:textAlignment w:val="auto"/>
        <w:rPr>
          <w:rFonts w:hint="eastAsia" w:ascii="Times New Roman" w:hAnsi="宋体" w:eastAsia="宋体" w:cs="Times New Roman"/>
          <w:color w:val="auto"/>
          <w:highlight w:val="none"/>
          <w:lang w:val="en-US" w:eastAsia="zh-CN"/>
        </w:rPr>
      </w:pPr>
      <w:bookmarkStart w:id="109" w:name="_八、其他事项"/>
      <w:bookmarkEnd w:id="109"/>
      <w:bookmarkStart w:id="110" w:name="_Toc80093002"/>
      <w:r>
        <w:rPr>
          <w:rFonts w:hint="eastAsia" w:ascii="Times New Roman" w:hAnsi="宋体" w:eastAsia="宋体" w:cs="Times New Roman"/>
          <w:color w:val="auto"/>
          <w:highlight w:val="none"/>
          <w:lang w:val="en-US" w:eastAsia="zh-CN"/>
        </w:rPr>
        <w:t>39.3 严格按照采购合同开展履约验收。采购人成立验收小组， 按照采购合同的约定对中标人履约情况进行验收。验收时，按照采购合同的约定对每一项技术、货物或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19C94547">
      <w:pPr>
        <w:keepNext w:val="0"/>
        <w:keepLines w:val="0"/>
        <w:pageBreakBefore w:val="0"/>
        <w:widowControl w:val="0"/>
        <w:tabs>
          <w:tab w:val="left" w:pos="0"/>
        </w:tabs>
        <w:kinsoku/>
        <w:wordWrap/>
        <w:overflowPunct/>
        <w:topLinePunct w:val="0"/>
        <w:autoSpaceDE/>
        <w:autoSpaceDN/>
        <w:bidi w:val="0"/>
        <w:adjustRightInd/>
        <w:snapToGrid/>
        <w:spacing w:line="440" w:lineRule="exact"/>
        <w:ind w:firstLine="482"/>
        <w:textAlignment w:val="auto"/>
        <w:rPr>
          <w:rFonts w:hint="eastAsia" w:ascii="Times New Roman" w:hAnsi="宋体" w:eastAsia="宋体" w:cs="Times New Roman"/>
          <w:color w:val="auto"/>
          <w:highlight w:val="none"/>
          <w:lang w:val="en-US" w:eastAsia="zh-CN"/>
        </w:rPr>
      </w:pPr>
      <w:r>
        <w:rPr>
          <w:rFonts w:hint="eastAsia" w:ascii="Times New Roman" w:hAnsi="宋体" w:eastAsia="宋体" w:cs="Times New Roman"/>
          <w:color w:val="auto"/>
          <w:highlight w:val="none"/>
          <w:lang w:val="en-US" w:eastAsia="zh-CN"/>
        </w:rPr>
        <w:t>39.4 验收合格的项目</w:t>
      </w:r>
      <w:r>
        <w:rPr>
          <w:rFonts w:hint="eastAsia" w:ascii="Times New Roman" w:hAnsi="宋体" w:eastAsia="宋体" w:cs="Times New Roman"/>
          <w:color w:val="auto"/>
          <w:highlight w:val="none"/>
          <w:lang w:val="en-US" w:eastAsia="zh-CN"/>
        </w:rPr>
        <w:t>，采购人将根据采购合同的约定退回中标人支付的履约保证金。</w:t>
      </w:r>
      <w:r>
        <w:rPr>
          <w:rFonts w:hint="eastAsia" w:ascii="Times New Roman" w:hAnsi="宋体" w:eastAsia="宋体" w:cs="Times New Roman"/>
          <w:color w:val="auto"/>
          <w:highlight w:val="none"/>
          <w:lang w:val="en-US" w:eastAsia="zh-CN"/>
        </w:rPr>
        <w:t>验收不合格的项目， 采购人将依法及时处理。采购合同的履行、违约责任和解决争议的方式等适用《中华人民共和国民法典》。 中标人在履约过程中有政府采购法律法规规定的违法违规情形的，采购人应当及时报告本级财政部门。</w:t>
      </w:r>
    </w:p>
    <w:p w14:paraId="6754313F">
      <w:pPr>
        <w:pStyle w:val="6"/>
        <w:keepNext w:val="0"/>
        <w:keepLines w:val="0"/>
        <w:spacing w:line="360" w:lineRule="auto"/>
        <w:jc w:val="center"/>
        <w:rPr>
          <w:rFonts w:hint="eastAsia"/>
          <w:color w:val="auto"/>
          <w:highlight w:val="none"/>
        </w:rPr>
      </w:pPr>
      <w:r>
        <w:rPr>
          <w:rFonts w:hint="eastAsia"/>
          <w:color w:val="auto"/>
          <w:highlight w:val="none"/>
        </w:rPr>
        <w:t>九、其他事项</w:t>
      </w:r>
      <w:bookmarkEnd w:id="110"/>
    </w:p>
    <w:p w14:paraId="34423B1B">
      <w:pPr>
        <w:spacing w:line="360" w:lineRule="auto"/>
        <w:ind w:firstLine="422" w:firstLineChars="200"/>
        <w:rPr>
          <w:rFonts w:hint="eastAsia" w:ascii="Times New Roman" w:hAnsi="宋体" w:eastAsia="宋体" w:cs="Times New Roman"/>
          <w:b/>
          <w:color w:val="auto"/>
          <w:highlight w:val="none"/>
        </w:rPr>
      </w:pPr>
      <w:bookmarkStart w:id="111" w:name="_42.代理服务费"/>
      <w:bookmarkEnd w:id="111"/>
      <w:r>
        <w:rPr>
          <w:rFonts w:hint="eastAsia" w:ascii="Times New Roman" w:hAnsi="宋体" w:eastAsia="宋体" w:cs="Times New Roman"/>
          <w:b/>
          <w:color w:val="auto"/>
          <w:highlight w:val="none"/>
        </w:rPr>
        <w:t>40.代理服务费</w:t>
      </w:r>
    </w:p>
    <w:p w14:paraId="4E9BCCF8">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代理服务收费标准及缴费账户详见“投标人须知前附表”。</w:t>
      </w:r>
    </w:p>
    <w:p w14:paraId="156E2F9C">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41</w:t>
      </w:r>
      <w:r>
        <w:rPr>
          <w:rFonts w:ascii="黑体" w:hAnsi="黑体" w:eastAsia="黑体"/>
          <w:color w:val="auto"/>
          <w:sz w:val="24"/>
          <w:highlight w:val="none"/>
        </w:rPr>
        <w:t>. 需要补充的其他内容</w:t>
      </w:r>
    </w:p>
    <w:p w14:paraId="2EBF67C6">
      <w:pPr>
        <w:spacing w:line="360" w:lineRule="auto"/>
        <w:ind w:firstLine="420" w:firstLineChars="200"/>
        <w:rPr>
          <w:rFonts w:hAnsi="宋体"/>
          <w:color w:val="auto"/>
          <w:highlight w:val="none"/>
        </w:rPr>
      </w:pPr>
      <w:r>
        <w:rPr>
          <w:rFonts w:hAnsi="宋体"/>
          <w:color w:val="auto"/>
          <w:highlight w:val="none"/>
        </w:rPr>
        <w:t>4</w:t>
      </w:r>
      <w:r>
        <w:rPr>
          <w:rFonts w:hint="eastAsia" w:hAnsi="宋体"/>
          <w:color w:val="auto"/>
          <w:highlight w:val="none"/>
        </w:rPr>
        <w:t>1</w:t>
      </w:r>
      <w:r>
        <w:rPr>
          <w:rFonts w:hAnsi="宋体"/>
          <w:color w:val="auto"/>
          <w:highlight w:val="none"/>
        </w:rPr>
        <w:t>.1</w:t>
      </w:r>
      <w:r>
        <w:rPr>
          <w:rFonts w:hint="eastAsia" w:hAnsi="宋体" w:cs="宋体"/>
          <w:color w:val="auto"/>
          <w:highlight w:val="none"/>
        </w:rPr>
        <w:t>本招标文件解释规则详见</w:t>
      </w:r>
      <w:r>
        <w:rPr>
          <w:rFonts w:hint="eastAsia" w:hAnsi="宋体"/>
          <w:color w:val="auto"/>
          <w:highlight w:val="none"/>
        </w:rPr>
        <w:t>“投标人须知前附表”。</w:t>
      </w:r>
    </w:p>
    <w:p w14:paraId="12166C7A">
      <w:pPr>
        <w:spacing w:line="360" w:lineRule="auto"/>
        <w:ind w:firstLine="420" w:firstLineChars="200"/>
        <w:rPr>
          <w:rFonts w:hAnsi="宋体"/>
          <w:color w:val="auto"/>
          <w:highlight w:val="none"/>
        </w:rPr>
      </w:pPr>
      <w:r>
        <w:rPr>
          <w:rFonts w:hAnsi="宋体" w:cs="宋体"/>
          <w:color w:val="auto"/>
          <w:highlight w:val="none"/>
        </w:rPr>
        <w:t>4</w:t>
      </w:r>
      <w:r>
        <w:rPr>
          <w:rFonts w:hint="eastAsia" w:hAnsi="宋体" w:cs="宋体"/>
          <w:color w:val="auto"/>
          <w:highlight w:val="none"/>
        </w:rPr>
        <w:t>1</w:t>
      </w:r>
      <w:r>
        <w:rPr>
          <w:rFonts w:hAnsi="宋体" w:cs="宋体"/>
          <w:color w:val="auto"/>
          <w:highlight w:val="none"/>
        </w:rPr>
        <w:t>.2</w:t>
      </w:r>
      <w:r>
        <w:rPr>
          <w:rFonts w:hint="eastAsia" w:hAnsi="宋体" w:cs="宋体"/>
          <w:color w:val="auto"/>
          <w:highlight w:val="none"/>
        </w:rPr>
        <w:t xml:space="preserve"> </w:t>
      </w:r>
      <w:r>
        <w:rPr>
          <w:rFonts w:hint="eastAsia" w:hAnsi="宋体"/>
          <w:color w:val="auto"/>
          <w:highlight w:val="none"/>
        </w:rPr>
        <w:t>其他事项详见“投标人须知前附表”。</w:t>
      </w:r>
    </w:p>
    <w:p w14:paraId="569918A0">
      <w:pPr>
        <w:pStyle w:val="18"/>
        <w:spacing w:line="360" w:lineRule="auto"/>
        <w:ind w:firstLine="420"/>
        <w:rPr>
          <w:rFonts w:hint="eastAsia" w:hAnsi="宋体"/>
          <w:color w:val="auto"/>
          <w:highlight w:val="none"/>
        </w:rPr>
      </w:pPr>
      <w:r>
        <w:rPr>
          <w:rFonts w:hint="eastAsia" w:hAnsi="宋体"/>
          <w:color w:val="auto"/>
          <w:highlight w:val="none"/>
        </w:rPr>
        <w:t>41.3 本文件所称中小企业，是指在中华人民共和国境内依法设立， 依据国务院批准的中小企业划分标准确定的中型企业、小型企业和微型企业，但与大企业的负责人为同一人， 或者与大企业存在直接控股、管理关系的除外。符合中小企业划分标准的个体工商户，在政府采购活动中视同中小企业。在政府采购活动中，投标人提供的货物由中小企业制造，即货物由中小企业生产且使用该中小企业商号或者注册商标，不对其中涉及的工程承建商和服务的承接商作出要求的， 享受本文件规定的中小企业扶持政策。</w:t>
      </w:r>
    </w:p>
    <w:p w14:paraId="4AF5336F">
      <w:pPr>
        <w:pStyle w:val="18"/>
        <w:spacing w:line="360" w:lineRule="auto"/>
        <w:ind w:firstLine="420"/>
        <w:rPr>
          <w:rFonts w:hint="eastAsia" w:hAnsi="宋体"/>
          <w:color w:val="auto"/>
          <w:highlight w:val="none"/>
        </w:rPr>
      </w:pPr>
      <w:r>
        <w:rPr>
          <w:rFonts w:hint="eastAsia" w:hAnsi="宋体"/>
          <w:color w:val="auto"/>
          <w:highlight w:val="none"/>
        </w:rPr>
        <w:t>在货物采购项目中， 投标人提供的货物既有中小企业制造货物，也有大型企业制造货物的，不享受本文件规定的中小企业扶持政策。以联合体形式参加政府采购活动，联合体各方均为中小企业的， 联合体视同中小企业。其中， 联合体各方均为小微企业的， 联合体视同小微企业。</w:t>
      </w:r>
    </w:p>
    <w:p w14:paraId="1A607F93">
      <w:pPr>
        <w:pStyle w:val="18"/>
        <w:spacing w:line="360" w:lineRule="auto"/>
        <w:ind w:firstLine="420"/>
        <w:rPr>
          <w:rFonts w:hint="eastAsia" w:hAnsi="宋体"/>
          <w:color w:val="auto"/>
          <w:highlight w:val="none"/>
        </w:rPr>
      </w:pPr>
      <w:r>
        <w:rPr>
          <w:rFonts w:hint="eastAsia" w:hAnsi="宋体"/>
          <w:color w:val="auto"/>
          <w:highlight w:val="none"/>
        </w:rPr>
        <w:t xml:space="preserve"> 依据本文件规定享受扶持政策获得政府采购合同的，小微企业不得将合同分包给大中型企业，中型企业不得将合同分包给大型企业。</w:t>
      </w:r>
    </w:p>
    <w:p w14:paraId="0A252559">
      <w:pPr>
        <w:pStyle w:val="18"/>
        <w:spacing w:line="360" w:lineRule="auto"/>
        <w:ind w:firstLine="420"/>
        <w:rPr>
          <w:rFonts w:hint="eastAsia" w:ascii="宋体" w:hAnsi="宋体" w:eastAsia="宋体" w:cs="Times New Roman"/>
          <w:color w:val="auto"/>
          <w:highlight w:val="none"/>
          <w:lang w:val="en-US" w:eastAsia="zh-CN"/>
        </w:rPr>
      </w:pPr>
      <w:r>
        <w:rPr>
          <w:rFonts w:hint="eastAsia" w:ascii="宋体" w:hAnsi="宋体" w:eastAsia="宋体" w:cs="Times New Roman"/>
          <w:color w:val="auto"/>
          <w:highlight w:val="none"/>
          <w:lang w:val="en-US" w:eastAsia="zh-CN"/>
        </w:rPr>
        <w:t>41.4政采贷相关说明</w:t>
      </w:r>
    </w:p>
    <w:p w14:paraId="728C387B">
      <w:pPr>
        <w:pStyle w:val="18"/>
        <w:spacing w:line="360" w:lineRule="auto"/>
        <w:ind w:firstLine="420"/>
        <w:rPr>
          <w:rFonts w:hint="eastAsia" w:ascii="宋体" w:hAnsi="宋体" w:eastAsia="宋体" w:cs="Times New Roman"/>
          <w:color w:val="auto"/>
          <w:highlight w:val="none"/>
        </w:rPr>
      </w:pPr>
      <w:r>
        <w:rPr>
          <w:rFonts w:hint="eastAsia" w:ascii="宋体" w:hAnsi="宋体" w:eastAsia="宋体" w:cs="Times New Roman"/>
          <w:color w:val="auto"/>
          <w:highlight w:val="none"/>
        </w:rPr>
        <w:t>为优化政府采购营商环境，缓解供应商资金难题，中标供应商如有融资需求，可凭</w:t>
      </w:r>
      <w:r>
        <w:rPr>
          <w:rFonts w:hint="eastAsia" w:ascii="宋体" w:hAnsi="宋体" w:eastAsia="宋体" w:cs="Times New Roman"/>
          <w:color w:val="auto"/>
          <w:highlight w:val="none"/>
          <w:lang w:eastAsia="zh-CN"/>
        </w:rPr>
        <w:t>中标（成交）通知书或</w:t>
      </w:r>
      <w:r>
        <w:rPr>
          <w:rFonts w:hint="eastAsia" w:ascii="宋体" w:hAnsi="宋体" w:eastAsia="宋体" w:cs="Times New Roman"/>
          <w:color w:val="auto"/>
          <w:highlight w:val="none"/>
        </w:rPr>
        <w:t>政府采购合同通过以下方式申请政府采购信用融资贷款:线上渠道:登录中征应收账款融资服务平台(网址: hts:/wwcrcrtsp.com，客服电话400-009-0001)，选择相关金融产品和银行业金融机构金融融资贷款。具体操作方式见《中国人民银行南宁中心支行广西壮族自治区财政厅关于推广线上“政采贷”融资模式的通知》(南宁银发(2021) 258 号)文(文件公开网址详情见:“广西政府采购网”</w:t>
      </w:r>
    </w:p>
    <w:p w14:paraId="1C0A8E05">
      <w:pPr>
        <w:pStyle w:val="18"/>
        <w:spacing w:line="360" w:lineRule="auto"/>
        <w:ind w:firstLine="420"/>
        <w:rPr>
          <w:rFonts w:hint="eastAsia" w:ascii="宋体" w:hAnsi="宋体" w:eastAsia="宋体" w:cs="Times New Roman"/>
          <w:color w:val="auto"/>
          <w:highlight w:val="none"/>
        </w:rPr>
      </w:pPr>
      <w:r>
        <w:rPr>
          <w:rFonts w:hint="eastAsia" w:ascii="宋体" w:hAnsi="宋体" w:eastAsia="宋体" w:cs="Times New Roman"/>
          <w:color w:val="auto"/>
          <w:highlight w:val="none"/>
        </w:rPr>
        <w:t>--http://zfcg.gxzf.gov.cn/luban/detail?categoryCode=AdministrativeRegulations&amp;parentId=66462&amp;articleId=VPpRbhH8q803OKuTtgQ5Ng==&amp;utm=luban.luban-PC-38920.1045-pc-wsg-mainSearchPage-front.1.d66eba9026ae11ee820eff0a208ff3bc</w:t>
      </w:r>
      <w:r>
        <w:rPr>
          <w:rFonts w:hint="eastAsia" w:ascii="宋体" w:hAnsi="宋体" w:eastAsia="宋体" w:cs="Times New Roman"/>
          <w:color w:val="auto"/>
          <w:highlight w:val="none"/>
          <w:lang w:eastAsia="zh-CN"/>
        </w:rPr>
        <w:t>）。</w:t>
      </w:r>
    </w:p>
    <w:p w14:paraId="2B37E27A">
      <w:pPr>
        <w:pStyle w:val="2"/>
        <w:numPr>
          <w:ilvl w:val="0"/>
          <w:numId w:val="10"/>
        </w:numPr>
        <w:jc w:val="center"/>
        <w:rPr>
          <w:rFonts w:hint="eastAsia" w:ascii="Times New Roman" w:hAnsi="Times New Roman" w:eastAsia="宋体" w:cs="Times New Roman"/>
          <w:b/>
          <w:color w:val="auto"/>
          <w:sz w:val="36"/>
          <w:highlight w:val="none"/>
        </w:rPr>
      </w:pPr>
      <w:bookmarkStart w:id="112" w:name="_Toc13160"/>
      <w:bookmarkStart w:id="113" w:name="_Toc80093006"/>
      <w:r>
        <w:rPr>
          <w:rFonts w:ascii="Times New Roman" w:hAnsi="Times New Roman"/>
          <w:b/>
          <w:color w:val="auto"/>
          <w:sz w:val="36"/>
          <w:highlight w:val="none"/>
        </w:rPr>
        <w:br w:type="page"/>
      </w:r>
      <w:r>
        <w:rPr>
          <w:rFonts w:ascii="Times New Roman" w:hAnsi="Times New Roman"/>
          <w:b/>
          <w:color w:val="auto"/>
          <w:sz w:val="36"/>
          <w:highlight w:val="none"/>
        </w:rPr>
        <w:t xml:space="preserve"> </w:t>
      </w:r>
      <w:r>
        <w:rPr>
          <w:rFonts w:hint="eastAsia" w:ascii="Times New Roman" w:hAnsi="Times New Roman"/>
          <w:b/>
          <w:color w:val="auto"/>
          <w:sz w:val="36"/>
          <w:highlight w:val="none"/>
        </w:rPr>
        <w:t>评标方法及评分标</w:t>
      </w:r>
      <w:r>
        <w:rPr>
          <w:rFonts w:hint="eastAsia" w:ascii="Times New Roman" w:hAnsi="Times New Roman" w:eastAsia="宋体" w:cs="Times New Roman"/>
          <w:b/>
          <w:color w:val="auto"/>
          <w:sz w:val="36"/>
          <w:highlight w:val="none"/>
        </w:rPr>
        <w:t>准</w:t>
      </w:r>
      <w:bookmarkEnd w:id="112"/>
    </w:p>
    <w:p w14:paraId="31F9BE85">
      <w:pPr>
        <w:pStyle w:val="18"/>
        <w:jc w:val="center"/>
        <w:outlineLvl w:val="1"/>
        <w:rPr>
          <w:rFonts w:hint="eastAsia" w:ascii="Times New Roman" w:hAnsi="Times New Roman"/>
          <w:b/>
          <w:bCs/>
          <w:color w:val="auto"/>
          <w:sz w:val="32"/>
          <w:szCs w:val="32"/>
          <w:highlight w:val="none"/>
        </w:rPr>
      </w:pPr>
      <w:bookmarkStart w:id="114" w:name="_Toc80093004"/>
      <w:r>
        <w:rPr>
          <w:rFonts w:hint="eastAsia" w:ascii="Times New Roman" w:hAnsi="Times New Roman"/>
          <w:b/>
          <w:bCs/>
          <w:color w:val="auto"/>
          <w:sz w:val="32"/>
          <w:szCs w:val="32"/>
          <w:highlight w:val="none"/>
        </w:rPr>
        <w:t>第一节 评标方法</w:t>
      </w:r>
      <w:bookmarkEnd w:id="114"/>
    </w:p>
    <w:p w14:paraId="46D5A7D3">
      <w:pPr>
        <w:pStyle w:val="18"/>
        <w:tabs>
          <w:tab w:val="left" w:pos="2472"/>
        </w:tabs>
        <w:spacing w:line="460" w:lineRule="exact"/>
        <w:ind w:firstLine="420" w:firstLineChars="200"/>
        <w:rPr>
          <w:rFonts w:hint="eastAsia"/>
          <w:color w:val="auto"/>
          <w:szCs w:val="21"/>
          <w:highlight w:val="none"/>
        </w:rPr>
      </w:pPr>
      <w:r>
        <w:rPr>
          <w:rFonts w:hint="eastAsia" w:hAnsi="宋体" w:cs="宋体"/>
          <w:color w:val="auto"/>
          <w:szCs w:val="21"/>
          <w:highlight w:val="none"/>
        </w:rPr>
        <w:t>本项目采用</w:t>
      </w:r>
      <w:r>
        <w:rPr>
          <w:rFonts w:hint="eastAsia" w:hAnsi="宋体" w:cs="宋体"/>
          <w:color w:val="auto"/>
          <w:szCs w:val="21"/>
          <w:highlight w:val="none"/>
          <w:u w:val="single"/>
        </w:rPr>
        <w:t>综合评分法</w:t>
      </w:r>
      <w:r>
        <w:rPr>
          <w:rFonts w:hint="eastAsia" w:hAnsi="宋体" w:cs="宋体"/>
          <w:color w:val="auto"/>
          <w:szCs w:val="21"/>
          <w:highlight w:val="none"/>
        </w:rPr>
        <w:t>的方式进行评审。</w:t>
      </w:r>
    </w:p>
    <w:p w14:paraId="6101B535">
      <w:pPr>
        <w:spacing w:line="360" w:lineRule="auto"/>
        <w:ind w:firstLine="420" w:firstLineChars="200"/>
        <w:rPr>
          <w:rFonts w:hint="eastAsia" w:ascii="Times New Roman" w:hAnsi="宋体" w:eastAsia="宋体" w:cs="Times New Roman"/>
          <w:color w:val="auto"/>
          <w:highlight w:val="none"/>
          <w:lang w:val="en-US" w:eastAsia="zh-CN"/>
        </w:rPr>
      </w:pPr>
      <w:r>
        <w:rPr>
          <w:rFonts w:hint="eastAsia" w:ascii="Times New Roman" w:hAnsi="宋体" w:eastAsia="宋体" w:cs="Times New Roman"/>
          <w:color w:val="auto"/>
          <w:highlight w:val="none"/>
          <w:lang w:val="en-US" w:eastAsia="zh-CN"/>
        </w:rPr>
        <w:t>综合评分法，是指投标文件满足招标文件全部实质性要求，且按照评审因素的量化指标评审得分最</w:t>
      </w:r>
    </w:p>
    <w:p w14:paraId="15B982A4">
      <w:pPr>
        <w:spacing w:line="360" w:lineRule="auto"/>
        <w:rPr>
          <w:rFonts w:hint="eastAsia" w:ascii="Times New Roman" w:hAnsi="宋体" w:eastAsia="宋体" w:cs="Times New Roman"/>
          <w:color w:val="auto"/>
          <w:highlight w:val="none"/>
          <w:lang w:val="en-US" w:eastAsia="zh-CN"/>
        </w:rPr>
      </w:pPr>
      <w:r>
        <w:rPr>
          <w:rFonts w:hint="eastAsia" w:ascii="Times New Roman" w:hAnsi="宋体" w:eastAsia="宋体" w:cs="Times New Roman"/>
          <w:color w:val="auto"/>
          <w:highlight w:val="none"/>
          <w:lang w:val="en-US" w:eastAsia="zh-CN"/>
        </w:rPr>
        <w:t>高的投标人为中标候选人的评标方法。</w:t>
      </w:r>
    </w:p>
    <w:p w14:paraId="29B7147A">
      <w:pPr>
        <w:pStyle w:val="18"/>
        <w:spacing w:line="360" w:lineRule="auto"/>
        <w:ind w:firstLine="420"/>
        <w:rPr>
          <w:rFonts w:hAnsi="宋体"/>
          <w:color w:val="auto"/>
          <w:highlight w:val="none"/>
        </w:rPr>
      </w:pPr>
    </w:p>
    <w:p w14:paraId="1FCCB672">
      <w:pPr>
        <w:pStyle w:val="18"/>
        <w:tabs>
          <w:tab w:val="left" w:pos="2472"/>
        </w:tabs>
        <w:spacing w:line="460" w:lineRule="exact"/>
        <w:jc w:val="center"/>
        <w:outlineLvl w:val="1"/>
        <w:rPr>
          <w:rFonts w:hint="eastAsia" w:ascii="Times New Roman" w:hAnsi="Times New Roman"/>
          <w:b/>
          <w:bCs/>
          <w:color w:val="auto"/>
          <w:sz w:val="32"/>
          <w:szCs w:val="32"/>
          <w:highlight w:val="none"/>
        </w:rPr>
      </w:pPr>
      <w:bookmarkStart w:id="115" w:name="_Toc80093005"/>
      <w:r>
        <w:rPr>
          <w:rFonts w:hint="eastAsia" w:ascii="Times New Roman" w:hAnsi="Times New Roman"/>
          <w:b/>
          <w:bCs/>
          <w:color w:val="auto"/>
          <w:sz w:val="32"/>
          <w:szCs w:val="32"/>
          <w:highlight w:val="none"/>
        </w:rPr>
        <w:t>第二节 评标程序</w:t>
      </w:r>
      <w:bookmarkEnd w:id="115"/>
    </w:p>
    <w:p w14:paraId="09293016">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1.符合性审查</w:t>
      </w:r>
    </w:p>
    <w:p w14:paraId="0214BBAC">
      <w:pPr>
        <w:spacing w:line="360" w:lineRule="auto"/>
        <w:ind w:firstLine="420" w:firstLineChars="200"/>
        <w:rPr>
          <w:rFonts w:hint="eastAsia" w:hAnsi="宋体"/>
          <w:color w:val="auto"/>
          <w:highlight w:val="none"/>
        </w:rPr>
      </w:pPr>
      <w:r>
        <w:rPr>
          <w:rFonts w:hint="eastAsia" w:hAnsi="宋体"/>
          <w:color w:val="auto"/>
          <w:highlight w:val="none"/>
        </w:rPr>
        <w:t>评标委员会应当对符合资格的投标人的投标文件进行投标报价、商务、技术等实质性内容符合性审查，以确定其是否满足招标文件的实质性要求。</w:t>
      </w:r>
    </w:p>
    <w:p w14:paraId="176B6259">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2</w:t>
      </w:r>
      <w:r>
        <w:rPr>
          <w:rFonts w:ascii="宋体" w:hAnsi="宋体"/>
          <w:b/>
          <w:color w:val="auto"/>
          <w:szCs w:val="21"/>
          <w:highlight w:val="none"/>
        </w:rPr>
        <w:t>.</w:t>
      </w:r>
      <w:r>
        <w:rPr>
          <w:rFonts w:hint="eastAsia" w:ascii="宋体" w:hAnsi="宋体"/>
          <w:b/>
          <w:color w:val="auto"/>
          <w:szCs w:val="21"/>
          <w:highlight w:val="none"/>
        </w:rPr>
        <w:t>符合性审查不通过而导致投标无效的情形</w:t>
      </w:r>
    </w:p>
    <w:p w14:paraId="1EB1E72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投标人的投标文件中存在对招标文件的任何实质性要求和条件的负偏离，将被视为投标无效。</w:t>
      </w:r>
    </w:p>
    <w:p w14:paraId="1E6C324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2.1在报价评审时，如发现下列情形之一的，将被视为投标无效：</w:t>
      </w:r>
    </w:p>
    <w:p w14:paraId="78FE678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（1）投标文件未提供“投标人须知前附表”第13.1条规定中“必须提供”的文件资料的;</w:t>
      </w:r>
    </w:p>
    <w:p w14:paraId="3C46A86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（2）未采用人民币报价或者未按照招标文件标明的币种报价的；</w:t>
      </w:r>
    </w:p>
    <w:p w14:paraId="497FB24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（3）报价超出招标文件规定最高限价，或者超出采购预算金额（包括分项预算）的；</w:t>
      </w:r>
    </w:p>
    <w:p w14:paraId="5F6C5F8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投标人未就所投标内容进行报价或者存在漏项报价；投标人未就所投标的单项内容作唯一报价；投标人未就所投标的全部内容作唯一总价报价；存在有选择、有条件报价的（招标文件允许有备选方案或者其他约定的除外）；</w:t>
      </w:r>
    </w:p>
    <w:p w14:paraId="04878A2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（5）修正后的报价，投标人不确认的；</w:t>
      </w:r>
    </w:p>
    <w:p w14:paraId="35ADB76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（6）投标人属于本章第</w:t>
      </w:r>
      <w:r>
        <w:rPr>
          <w:rFonts w:ascii="宋体" w:hAnsi="宋体"/>
          <w:color w:val="auto"/>
          <w:szCs w:val="21"/>
          <w:highlight w:val="none"/>
        </w:rPr>
        <w:t>5</w:t>
      </w:r>
      <w:r>
        <w:rPr>
          <w:rFonts w:hint="eastAsia" w:ascii="宋体" w:hAnsi="宋体"/>
          <w:color w:val="auto"/>
          <w:szCs w:val="21"/>
          <w:highlight w:val="none"/>
        </w:rPr>
        <w:t>条第（2）项情形的。</w:t>
      </w:r>
    </w:p>
    <w:p w14:paraId="2582E25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2.2在商务评审时，如发现下列情形之一的，将被视为投标无效：</w:t>
      </w:r>
    </w:p>
    <w:p w14:paraId="565296D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（1）投标文件未按招标文件要求签署、盖章的；</w:t>
      </w:r>
    </w:p>
    <w:p w14:paraId="7205730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（2）委托代理人未能出具有效身份证明或者出具的身份证明与授权委托书中的信息不符的； </w:t>
      </w:r>
    </w:p>
    <w:p w14:paraId="611F1B4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（3）投标文件未提供“投标人须知前附表”第13.</w:t>
      </w:r>
      <w:r>
        <w:rPr>
          <w:rFonts w:ascii="宋体" w:hAnsi="宋体"/>
          <w:color w:val="auto"/>
          <w:szCs w:val="21"/>
          <w:highlight w:val="none"/>
        </w:rPr>
        <w:t>1</w:t>
      </w:r>
      <w:r>
        <w:rPr>
          <w:rFonts w:hint="eastAsia" w:ascii="宋体" w:hAnsi="宋体"/>
          <w:color w:val="auto"/>
          <w:szCs w:val="21"/>
          <w:highlight w:val="none"/>
        </w:rPr>
        <w:t>条规定中“必须提供”或者“委托时必须提供”的文件资料的;</w:t>
      </w:r>
    </w:p>
    <w:p w14:paraId="3C1756F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（4）商务条款评审允许负偏离的条款数超过“投标人须知前附表”规定项数的。</w:t>
      </w:r>
    </w:p>
    <w:p w14:paraId="14DED91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（5）投标文件的实质性内容未使用中文表述、使用计量单位不符合招标文件要求的；</w:t>
      </w:r>
    </w:p>
    <w:p w14:paraId="07733CC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（6）投标文件中的文件资料因填写不齐全或者内容虚假或者出现其他情形而导致被评标委员会认定无效的；</w:t>
      </w:r>
    </w:p>
    <w:p w14:paraId="723073F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（7）投标文件含有采购人不能接受的附加条件的；</w:t>
      </w:r>
    </w:p>
    <w:p w14:paraId="47EA8D8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（8）未响应招标文件实质性要求的；</w:t>
      </w:r>
    </w:p>
    <w:p w14:paraId="3708BAC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（9）属于投标人须知正文第</w:t>
      </w:r>
      <w:r>
        <w:rPr>
          <w:rFonts w:ascii="宋体" w:hAnsi="宋体"/>
          <w:color w:val="auto"/>
          <w:szCs w:val="21"/>
          <w:highlight w:val="none"/>
        </w:rPr>
        <w:t>9.2</w:t>
      </w:r>
      <w:r>
        <w:rPr>
          <w:rFonts w:hint="eastAsia" w:ascii="宋体" w:hAnsi="宋体"/>
          <w:color w:val="auto"/>
          <w:szCs w:val="21"/>
          <w:highlight w:val="none"/>
        </w:rPr>
        <w:t>条情形的；</w:t>
      </w:r>
    </w:p>
    <w:p w14:paraId="08F4864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（10）法律、法规和招标文件规定的其他无效情形。</w:t>
      </w:r>
    </w:p>
    <w:p w14:paraId="6A9D434E">
      <w:pPr>
        <w:spacing w:line="360" w:lineRule="auto"/>
        <w:ind w:firstLine="420" w:firstLineChars="200"/>
        <w:rPr>
          <w:rFonts w:hint="eastAsia" w:hAnsi="宋体"/>
          <w:color w:val="auto"/>
          <w:szCs w:val="21"/>
          <w:highlight w:val="none"/>
        </w:rPr>
      </w:pPr>
      <w:r>
        <w:rPr>
          <w:rFonts w:hint="eastAsia" w:ascii="宋体" w:hAnsi="宋体"/>
          <w:color w:val="auto"/>
          <w:szCs w:val="21"/>
          <w:highlight w:val="none"/>
        </w:rPr>
        <w:t>2.3在技术评审时，如发现下列情形之一的，将被视为投标无效：</w:t>
      </w:r>
    </w:p>
    <w:p w14:paraId="21ABDBEF">
      <w:pPr>
        <w:spacing w:line="360" w:lineRule="auto"/>
        <w:ind w:firstLine="420" w:firstLineChars="200"/>
        <w:rPr>
          <w:rFonts w:hint="eastAsia" w:hAnsi="宋体"/>
          <w:color w:val="auto"/>
          <w:szCs w:val="21"/>
          <w:highlight w:val="none"/>
        </w:rPr>
      </w:pPr>
      <w:r>
        <w:rPr>
          <w:rFonts w:hint="eastAsia" w:hAnsi="宋体"/>
          <w:color w:val="auto"/>
          <w:szCs w:val="21"/>
          <w:highlight w:val="none"/>
        </w:rPr>
        <w:t>（1）技术需求评审允许负偏离的条款数超过“投标人须知前附表”规定项数的；</w:t>
      </w:r>
    </w:p>
    <w:p w14:paraId="5A554CCF">
      <w:pPr>
        <w:spacing w:line="360" w:lineRule="auto"/>
        <w:ind w:firstLine="420" w:firstLineChars="200"/>
        <w:rPr>
          <w:rFonts w:hint="eastAsia" w:hAnsi="宋体"/>
          <w:color w:val="auto"/>
          <w:szCs w:val="21"/>
          <w:highlight w:val="none"/>
        </w:rPr>
      </w:pPr>
      <w:r>
        <w:rPr>
          <w:rFonts w:hint="eastAsia" w:hAnsi="宋体"/>
          <w:color w:val="auto"/>
          <w:szCs w:val="21"/>
          <w:highlight w:val="none"/>
        </w:rPr>
        <w:t>（2）投标文件未提供“投标人须知前附表”第13.</w:t>
      </w:r>
      <w:r>
        <w:rPr>
          <w:rFonts w:hAnsi="宋体"/>
          <w:color w:val="auto"/>
          <w:szCs w:val="21"/>
          <w:highlight w:val="none"/>
        </w:rPr>
        <w:t>1</w:t>
      </w:r>
      <w:r>
        <w:rPr>
          <w:rFonts w:hint="eastAsia" w:hAnsi="宋体"/>
          <w:color w:val="auto"/>
          <w:szCs w:val="21"/>
          <w:highlight w:val="none"/>
        </w:rPr>
        <w:t>条规定中“必须提供”的文件资料的;</w:t>
      </w:r>
    </w:p>
    <w:p w14:paraId="3411EBAB">
      <w:pPr>
        <w:spacing w:line="360" w:lineRule="auto"/>
        <w:ind w:firstLine="420" w:firstLineChars="200"/>
        <w:rPr>
          <w:rFonts w:hint="eastAsia" w:hAnsi="宋体"/>
          <w:color w:val="auto"/>
          <w:szCs w:val="21"/>
          <w:highlight w:val="none"/>
        </w:rPr>
      </w:pPr>
      <w:r>
        <w:rPr>
          <w:rFonts w:hint="eastAsia" w:hAnsi="宋体"/>
          <w:color w:val="auto"/>
          <w:szCs w:val="21"/>
          <w:highlight w:val="none"/>
        </w:rPr>
        <w:t>（3）虚假投标，或者出现其他情形而导致被评标委员会认定无效的；</w:t>
      </w:r>
    </w:p>
    <w:p w14:paraId="4F6CB013">
      <w:pPr>
        <w:spacing w:line="360" w:lineRule="auto"/>
        <w:ind w:firstLine="420" w:firstLineChars="200"/>
        <w:rPr>
          <w:rFonts w:hint="eastAsia" w:hAnsi="宋体"/>
          <w:color w:val="auto"/>
          <w:szCs w:val="21"/>
          <w:highlight w:val="none"/>
        </w:rPr>
      </w:pPr>
      <w:r>
        <w:rPr>
          <w:rFonts w:hint="eastAsia" w:hAnsi="宋体"/>
          <w:color w:val="auto"/>
          <w:szCs w:val="21"/>
          <w:highlight w:val="none"/>
        </w:rPr>
        <w:t>（4）投标技术方案不明确，招标文件未允许但存在一个或者一个以上备选（替代）投标方案的。</w:t>
      </w:r>
    </w:p>
    <w:p w14:paraId="65A0FE93">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3</w:t>
      </w:r>
      <w:r>
        <w:rPr>
          <w:rFonts w:ascii="宋体" w:hAnsi="宋体"/>
          <w:b/>
          <w:color w:val="auto"/>
          <w:szCs w:val="21"/>
          <w:highlight w:val="none"/>
        </w:rPr>
        <w:t>.</w:t>
      </w:r>
      <w:r>
        <w:rPr>
          <w:rFonts w:hint="eastAsia" w:ascii="宋体" w:hAnsi="宋体"/>
          <w:b/>
          <w:color w:val="auto"/>
          <w:szCs w:val="21"/>
          <w:highlight w:val="none"/>
        </w:rPr>
        <w:t>澄清补正、说明或者补正</w:t>
      </w:r>
    </w:p>
    <w:p w14:paraId="723F54EE">
      <w:pPr>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对投标文件中含义不明确、同类问题表述不一致或者有明显文字和计算错误的内容，评标委员会应在“政采云”平台发布电子澄清函，要求投标人在规定时间内作出必要的澄清、说明或者补正。投标人在“政采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453A1569">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3833FAD7">
      <w:pPr>
        <w:spacing w:line="360" w:lineRule="auto"/>
        <w:ind w:firstLine="422" w:firstLineChars="200"/>
        <w:rPr>
          <w:rFonts w:hint="eastAsia" w:ascii="宋体" w:hAnsi="宋体"/>
          <w:b/>
          <w:color w:val="auto"/>
          <w:szCs w:val="21"/>
          <w:highlight w:val="none"/>
        </w:rPr>
      </w:pPr>
      <w:r>
        <w:rPr>
          <w:rFonts w:ascii="宋体" w:hAnsi="宋体"/>
          <w:b/>
          <w:color w:val="auto"/>
          <w:szCs w:val="21"/>
          <w:highlight w:val="none"/>
        </w:rPr>
        <w:t>4.</w:t>
      </w:r>
      <w:r>
        <w:rPr>
          <w:rFonts w:hint="eastAsia" w:ascii="宋体" w:hAnsi="宋体"/>
          <w:b/>
          <w:color w:val="auto"/>
          <w:szCs w:val="21"/>
          <w:highlight w:val="none"/>
        </w:rPr>
        <w:t>投标文件修正</w:t>
      </w:r>
    </w:p>
    <w:p w14:paraId="2EBBFE2A">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 xml:space="preserve">.1投标文件报价出现前后不一致的，按照下列规定修正： </w:t>
      </w:r>
    </w:p>
    <w:p w14:paraId="72B05FBD">
      <w:pPr>
        <w:spacing w:line="360" w:lineRule="auto"/>
        <w:ind w:firstLine="420" w:firstLineChars="200"/>
        <w:rPr>
          <w:rFonts w:hAnsi="宋体"/>
          <w:color w:val="auto"/>
          <w:highlight w:val="none"/>
        </w:rPr>
      </w:pPr>
      <w:r>
        <w:rPr>
          <w:rFonts w:hint="eastAsia" w:hAnsi="宋体"/>
          <w:color w:val="auto"/>
          <w:highlight w:val="none"/>
        </w:rPr>
        <w:t>（1）报价文件中“开标一览表”内容与投标文件中相应内容不一致的，以“开标一览表”为准；</w:t>
      </w:r>
    </w:p>
    <w:p w14:paraId="3553101B">
      <w:pPr>
        <w:spacing w:line="360" w:lineRule="auto"/>
        <w:ind w:firstLine="420" w:firstLineChars="200"/>
        <w:rPr>
          <w:rFonts w:hAnsi="宋体"/>
          <w:color w:val="auto"/>
          <w:highlight w:val="none"/>
        </w:rPr>
      </w:pPr>
      <w:r>
        <w:rPr>
          <w:rFonts w:hint="eastAsia" w:hAnsi="宋体"/>
          <w:color w:val="auto"/>
          <w:highlight w:val="none"/>
        </w:rPr>
        <w:t>（2）大写金额和小写金额不一致的，以大写金额为准；</w:t>
      </w:r>
    </w:p>
    <w:p w14:paraId="3A0EE79E">
      <w:pPr>
        <w:spacing w:line="360" w:lineRule="auto"/>
        <w:ind w:firstLine="420" w:firstLineChars="200"/>
        <w:rPr>
          <w:rFonts w:hAnsi="宋体"/>
          <w:color w:val="auto"/>
          <w:highlight w:val="none"/>
        </w:rPr>
      </w:pPr>
      <w:r>
        <w:rPr>
          <w:rFonts w:hint="eastAsia" w:hAnsi="宋体"/>
          <w:color w:val="auto"/>
          <w:highlight w:val="none"/>
        </w:rPr>
        <w:t>（3）单价金额小数点或者百分比有明显错位的，以开标一览表的总价为准，并修改单价；</w:t>
      </w:r>
    </w:p>
    <w:p w14:paraId="672C357C">
      <w:pPr>
        <w:spacing w:line="360" w:lineRule="auto"/>
        <w:ind w:firstLine="420" w:firstLineChars="200"/>
        <w:rPr>
          <w:rFonts w:hAnsi="宋体"/>
          <w:color w:val="auto"/>
          <w:highlight w:val="none"/>
        </w:rPr>
      </w:pPr>
      <w:r>
        <w:rPr>
          <w:rFonts w:hint="eastAsia" w:hAnsi="宋体"/>
          <w:color w:val="auto"/>
          <w:highlight w:val="none"/>
        </w:rPr>
        <w:t>（4）总价金额与按单价汇总金额不一致的，以单价金额计算结果为准。</w:t>
      </w:r>
    </w:p>
    <w:p w14:paraId="71D627CC">
      <w:pPr>
        <w:spacing w:line="360" w:lineRule="auto"/>
        <w:ind w:firstLine="420" w:firstLineChars="200"/>
        <w:rPr>
          <w:rFonts w:hint="eastAsia" w:hAnsi="宋体"/>
          <w:color w:val="auto"/>
          <w:highlight w:val="none"/>
        </w:rPr>
      </w:pPr>
      <w:r>
        <w:rPr>
          <w:rFonts w:hint="eastAsia" w:hAnsi="宋体"/>
          <w:color w:val="auto"/>
          <w:highlight w:val="none"/>
        </w:rPr>
        <w:t>同时出现两种以上不一致的，按照以上（1）-（4）规定的顺序修正。修正后的报价经投标人确认后产生约束力，投标人不确认的，其投标无效。</w:t>
      </w:r>
    </w:p>
    <w:p w14:paraId="72FC7269">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.2经投标人确认修正后的报价若超过采购预算金额或者最高限价，投标人的投标文件作无效投标处理。</w:t>
      </w:r>
    </w:p>
    <w:p w14:paraId="1F6DBD80">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.3经投标人确认修正后的报价作为签订合同的依据，并以此报价计算价格分。</w:t>
      </w:r>
    </w:p>
    <w:p w14:paraId="29D0E2E5">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5.</w:t>
      </w:r>
      <w:r>
        <w:rPr>
          <w:rFonts w:hint="eastAsia" w:ascii="宋体" w:hAnsi="宋体"/>
          <w:color w:val="auto"/>
          <w:szCs w:val="21"/>
          <w:highlight w:val="none"/>
        </w:rPr>
        <w:t>比较与评价</w:t>
      </w:r>
    </w:p>
    <w:p w14:paraId="07C784AE">
      <w:pPr>
        <w:spacing w:line="360" w:lineRule="auto"/>
        <w:ind w:firstLine="420" w:firstLineChars="200"/>
        <w:rPr>
          <w:rFonts w:hint="eastAsia" w:hAnsi="宋体"/>
          <w:color w:val="auto"/>
          <w:highlight w:val="none"/>
        </w:rPr>
      </w:pPr>
      <w:r>
        <w:rPr>
          <w:rFonts w:hint="eastAsia" w:hAnsi="宋体"/>
          <w:color w:val="auto"/>
          <w:highlight w:val="none"/>
        </w:rPr>
        <w:t>（1）评标委员会按照招标文件中规定的评标方法和评标标准，对符合性审查合格的投标文件进行商务和技术评估，综合比较与评价。</w:t>
      </w:r>
    </w:p>
    <w:p w14:paraId="40C255F1">
      <w:pPr>
        <w:spacing w:line="360" w:lineRule="auto"/>
        <w:ind w:firstLine="420" w:firstLineChars="200"/>
        <w:rPr>
          <w:rFonts w:hint="eastAsia" w:hAnsi="宋体"/>
          <w:color w:val="auto"/>
          <w:highlight w:val="none"/>
        </w:rPr>
      </w:pPr>
      <w:r>
        <w:rPr>
          <w:rFonts w:hint="eastAsia" w:hAnsi="宋体"/>
          <w:color w:val="auto"/>
          <w:highlight w:val="none"/>
        </w:rPr>
        <w:t>（2）评标委员会独立对每个投标人的投标文件进行评价，并汇总每个投标人的得分。</w:t>
      </w:r>
    </w:p>
    <w:p w14:paraId="7B5E3955">
      <w:pPr>
        <w:spacing w:line="360" w:lineRule="auto"/>
        <w:ind w:firstLine="420" w:firstLineChars="200"/>
        <w:rPr>
          <w:rFonts w:hint="eastAsia" w:hAnsi="宋体"/>
          <w:color w:val="auto"/>
          <w:highlight w:val="none"/>
        </w:rPr>
      </w:pPr>
      <w:r>
        <w:rPr>
          <w:rFonts w:hint="eastAsia" w:hAnsi="宋体"/>
          <w:color w:val="auto"/>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6CCD7FEC">
      <w:pPr>
        <w:spacing w:line="360" w:lineRule="auto"/>
        <w:ind w:firstLine="420" w:firstLineChars="200"/>
        <w:rPr>
          <w:rFonts w:hint="eastAsia" w:hAnsi="宋体"/>
          <w:color w:val="auto"/>
          <w:highlight w:val="none"/>
        </w:rPr>
      </w:pPr>
      <w:r>
        <w:rPr>
          <w:rFonts w:hint="eastAsia" w:hAnsi="宋体"/>
          <w:color w:val="auto"/>
          <w:highlight w:val="none"/>
        </w:rPr>
        <w:t>（3）评标委员会按照招标文件中规定的评标方法和标准计算各投标人的报价得分。在计算过程中，不得去掉最高报价或者最低报价。</w:t>
      </w:r>
    </w:p>
    <w:p w14:paraId="6AD6BB36">
      <w:pPr>
        <w:spacing w:line="360" w:lineRule="auto"/>
        <w:ind w:firstLine="420" w:firstLineChars="200"/>
        <w:rPr>
          <w:rFonts w:hint="eastAsia" w:hAnsi="宋体"/>
          <w:color w:val="auto"/>
          <w:highlight w:val="none"/>
        </w:rPr>
      </w:pPr>
      <w:r>
        <w:rPr>
          <w:rFonts w:hint="eastAsia" w:hAnsi="宋体"/>
          <w:color w:val="auto"/>
          <w:highlight w:val="none"/>
        </w:rPr>
        <w:t>（4）各投标人的得分为所有评委的有效评分的算术平均数。</w:t>
      </w:r>
    </w:p>
    <w:p w14:paraId="02E73D91">
      <w:pPr>
        <w:spacing w:line="360" w:lineRule="auto"/>
        <w:ind w:firstLine="420" w:firstLineChars="200"/>
        <w:rPr>
          <w:rFonts w:hint="eastAsia" w:hAnsi="宋体"/>
          <w:color w:val="auto"/>
          <w:highlight w:val="none"/>
        </w:rPr>
      </w:pPr>
      <w:r>
        <w:rPr>
          <w:rFonts w:hint="eastAsia" w:hAnsi="宋体"/>
          <w:color w:val="auto"/>
          <w:highlight w:val="none"/>
        </w:rPr>
        <w:t>（5）评标委员会按照招标文件中的规定推荐中标候选人。</w:t>
      </w:r>
    </w:p>
    <w:p w14:paraId="14C5284C">
      <w:pPr>
        <w:spacing w:line="360" w:lineRule="auto"/>
        <w:ind w:firstLine="420" w:firstLineChars="200"/>
        <w:rPr>
          <w:rFonts w:hint="eastAsia" w:hAnsi="宋体"/>
          <w:color w:val="auto"/>
          <w:highlight w:val="none"/>
        </w:rPr>
      </w:pPr>
      <w:r>
        <w:rPr>
          <w:rFonts w:hint="eastAsia" w:hAnsi="宋体"/>
          <w:color w:val="auto"/>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7312A982">
      <w:pPr>
        <w:pStyle w:val="5"/>
        <w:jc w:val="center"/>
        <w:rPr>
          <w:rFonts w:hint="eastAsia"/>
          <w:b w:val="0"/>
          <w:color w:val="auto"/>
          <w:sz w:val="30"/>
          <w:szCs w:val="30"/>
          <w:highlight w:val="none"/>
        </w:rPr>
      </w:pPr>
    </w:p>
    <w:p w14:paraId="4A8E56CE">
      <w:pPr>
        <w:pStyle w:val="5"/>
        <w:jc w:val="center"/>
        <w:rPr>
          <w:rFonts w:hint="eastAsia"/>
          <w:b w:val="0"/>
          <w:color w:val="auto"/>
          <w:sz w:val="30"/>
          <w:szCs w:val="30"/>
          <w:highlight w:val="none"/>
        </w:rPr>
      </w:pPr>
    </w:p>
    <w:bookmarkEnd w:id="113"/>
    <w:p w14:paraId="14018411">
      <w:pPr>
        <w:pStyle w:val="18"/>
        <w:ind w:firstLine="4216" w:firstLineChars="1400"/>
        <w:rPr>
          <w:rFonts w:hint="eastAsia" w:ascii="Times New Roman" w:hAnsi="Times New Roman"/>
          <w:b/>
          <w:color w:val="auto"/>
          <w:sz w:val="30"/>
          <w:szCs w:val="30"/>
          <w:highlight w:val="none"/>
        </w:rPr>
      </w:pPr>
    </w:p>
    <w:p w14:paraId="01469856">
      <w:pPr>
        <w:pStyle w:val="5"/>
        <w:spacing w:line="240" w:lineRule="auto"/>
        <w:jc w:val="center"/>
        <w:rPr>
          <w:rFonts w:hint="eastAsia"/>
          <w:b w:val="0"/>
          <w:color w:val="auto"/>
          <w:sz w:val="30"/>
          <w:szCs w:val="30"/>
          <w:highlight w:val="none"/>
        </w:rPr>
      </w:pPr>
      <w:bookmarkStart w:id="116" w:name="PO_3000001866_PM051"/>
      <w:bookmarkStart w:id="117" w:name="PO_TDCUS_ITEM_SM_TABLE_1"/>
    </w:p>
    <w:p w14:paraId="75979D68">
      <w:pPr>
        <w:pStyle w:val="18"/>
        <w:spacing w:line="360" w:lineRule="auto"/>
        <w:ind w:firstLine="420"/>
        <w:rPr>
          <w:rFonts w:hAnsi="宋体"/>
          <w:bCs/>
          <w:color w:val="auto"/>
          <w:highlight w:val="none"/>
        </w:rPr>
      </w:pPr>
    </w:p>
    <w:p w14:paraId="3F4DD04E">
      <w:pPr>
        <w:pStyle w:val="5"/>
        <w:spacing w:line="120" w:lineRule="auto"/>
        <w:jc w:val="center"/>
        <w:rPr>
          <w:rFonts w:hint="eastAsia"/>
          <w:b w:val="0"/>
          <w:color w:val="auto"/>
          <w:sz w:val="30"/>
          <w:szCs w:val="30"/>
          <w:highlight w:val="none"/>
        </w:rPr>
        <w:sectPr>
          <w:pgSz w:w="11906" w:h="16838"/>
          <w:pgMar w:top="1134" w:right="1134" w:bottom="1134" w:left="1134" w:header="720" w:footer="720" w:gutter="0"/>
          <w:pgNumType w:fmt="decimal"/>
          <w:cols w:space="720" w:num="1"/>
          <w:docGrid w:type="lines" w:linePitch="331" w:charSpace="0"/>
        </w:sectPr>
      </w:pPr>
    </w:p>
    <w:p w14:paraId="07192BEE">
      <w:pPr>
        <w:pStyle w:val="5"/>
        <w:spacing w:line="120" w:lineRule="auto"/>
        <w:jc w:val="center"/>
        <w:rPr>
          <w:rFonts w:hint="eastAsia" w:ascii="Times New Roman" w:hAnsi="Times New Roman"/>
          <w:color w:val="auto"/>
          <w:sz w:val="30"/>
          <w:szCs w:val="30"/>
          <w:highlight w:val="none"/>
        </w:rPr>
      </w:pPr>
      <w:r>
        <w:rPr>
          <w:rFonts w:hint="eastAsia"/>
          <w:b w:val="0"/>
          <w:color w:val="auto"/>
          <w:sz w:val="30"/>
          <w:szCs w:val="30"/>
          <w:highlight w:val="none"/>
        </w:rPr>
        <w:t>第三节 评分标准</w:t>
      </w:r>
    </w:p>
    <w:p w14:paraId="04FE50CC">
      <w:pPr>
        <w:pStyle w:val="18"/>
        <w:spacing w:line="120" w:lineRule="auto"/>
        <w:ind w:firstLine="4216" w:firstLineChars="1400"/>
        <w:rPr>
          <w:rFonts w:hAnsi="宋体"/>
          <w:bCs/>
          <w:color w:val="auto"/>
          <w:highlight w:val="none"/>
        </w:rPr>
      </w:pPr>
      <w:r>
        <w:rPr>
          <w:rFonts w:hint="eastAsia" w:ascii="Times New Roman" w:hAnsi="Times New Roman"/>
          <w:b/>
          <w:color w:val="auto"/>
          <w:sz w:val="30"/>
          <w:szCs w:val="30"/>
          <w:highlight w:val="none"/>
        </w:rPr>
        <w:t>综合评分法</w:t>
      </w:r>
    </w:p>
    <w:bookmarkEnd w:id="116"/>
    <w:p w14:paraId="52321EB1">
      <w:pPr>
        <w:pStyle w:val="18"/>
        <w:spacing w:line="360" w:lineRule="auto"/>
        <w:ind w:firstLine="420"/>
        <w:rPr>
          <w:rFonts w:hAnsi="宋体"/>
          <w:bCs/>
          <w:color w:val="auto"/>
          <w:highlight w:val="none"/>
        </w:rPr>
      </w:pPr>
      <w:r>
        <w:rPr>
          <w:rFonts w:hint="eastAsia" w:hAnsi="宋体"/>
          <w:bCs/>
          <w:color w:val="auto"/>
          <w:highlight w:val="none"/>
        </w:rPr>
        <w:t>注：计分方法按四舍五入取至百分位。</w:t>
      </w:r>
    </w:p>
    <w:tbl>
      <w:tblPr>
        <w:tblStyle w:val="35"/>
        <w:tblW w:w="99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
        <w:gridCol w:w="1281"/>
        <w:gridCol w:w="1192"/>
        <w:gridCol w:w="6999"/>
      </w:tblGrid>
      <w:tr w14:paraId="49DAC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742" w:type="dxa"/>
            <w:gridSpan w:val="2"/>
            <w:noWrap w:val="0"/>
            <w:vAlign w:val="center"/>
          </w:tcPr>
          <w:p w14:paraId="5B1FA3B5">
            <w:pPr>
              <w:adjustRightInd w:val="0"/>
              <w:spacing w:line="410" w:lineRule="exact"/>
              <w:jc w:val="center"/>
              <w:textAlignment w:val="baseline"/>
              <w:rPr>
                <w:rFonts w:ascii="仿宋_GB2312" w:hAnsi="宋体" w:eastAsia="仿宋_GB2312"/>
                <w:b/>
                <w:color w:val="auto"/>
                <w:sz w:val="24"/>
                <w:highlight w:val="none"/>
              </w:rPr>
            </w:pPr>
            <w:r>
              <w:rPr>
                <w:rFonts w:hint="eastAsia" w:ascii="仿宋_GB2312" w:hAnsi="宋体" w:eastAsia="仿宋_GB2312"/>
                <w:b/>
                <w:color w:val="auto"/>
                <w:sz w:val="24"/>
                <w:highlight w:val="none"/>
              </w:rPr>
              <w:t>序号</w:t>
            </w:r>
          </w:p>
        </w:tc>
        <w:tc>
          <w:tcPr>
            <w:tcW w:w="1192" w:type="dxa"/>
            <w:noWrap w:val="0"/>
            <w:vAlign w:val="center"/>
          </w:tcPr>
          <w:p w14:paraId="4778F7C4">
            <w:pPr>
              <w:adjustRightInd w:val="0"/>
              <w:spacing w:line="410" w:lineRule="exact"/>
              <w:jc w:val="center"/>
              <w:textAlignment w:val="baseline"/>
              <w:rPr>
                <w:rFonts w:ascii="仿宋_GB2312" w:hAnsi="宋体" w:eastAsia="仿宋_GB2312"/>
                <w:b/>
                <w:color w:val="auto"/>
                <w:sz w:val="24"/>
                <w:highlight w:val="none"/>
              </w:rPr>
            </w:pPr>
            <w:r>
              <w:rPr>
                <w:rFonts w:hint="eastAsia" w:ascii="仿宋_GB2312" w:hAnsi="宋体" w:eastAsia="仿宋_GB2312"/>
                <w:b/>
                <w:color w:val="auto"/>
                <w:sz w:val="24"/>
                <w:highlight w:val="none"/>
              </w:rPr>
              <w:t>评分因素</w:t>
            </w:r>
          </w:p>
        </w:tc>
        <w:tc>
          <w:tcPr>
            <w:tcW w:w="6999" w:type="dxa"/>
            <w:noWrap w:val="0"/>
            <w:vAlign w:val="center"/>
          </w:tcPr>
          <w:p w14:paraId="1290D19D">
            <w:pPr>
              <w:adjustRightInd w:val="0"/>
              <w:spacing w:line="410" w:lineRule="exact"/>
              <w:jc w:val="center"/>
              <w:textAlignment w:val="baseline"/>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评分标准</w:t>
            </w:r>
          </w:p>
        </w:tc>
      </w:tr>
      <w:tr w14:paraId="114C1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2" w:hRule="atLeast"/>
        </w:trPr>
        <w:tc>
          <w:tcPr>
            <w:tcW w:w="461" w:type="dxa"/>
            <w:noWrap w:val="0"/>
            <w:vAlign w:val="center"/>
          </w:tcPr>
          <w:p w14:paraId="3EB03FA7">
            <w:pPr>
              <w:adjustRightInd w:val="0"/>
              <w:spacing w:line="360" w:lineRule="exact"/>
              <w:jc w:val="center"/>
              <w:textAlignment w:val="baseline"/>
              <w:rPr>
                <w:rFonts w:ascii="宋体" w:hAnsi="宋体"/>
                <w:color w:val="auto"/>
                <w:szCs w:val="21"/>
                <w:highlight w:val="none"/>
              </w:rPr>
            </w:pPr>
            <w:r>
              <w:rPr>
                <w:rFonts w:hint="eastAsia" w:ascii="宋体" w:hAnsi="宋体"/>
                <w:color w:val="auto"/>
                <w:szCs w:val="21"/>
                <w:highlight w:val="none"/>
              </w:rPr>
              <w:t>1</w:t>
            </w:r>
          </w:p>
        </w:tc>
        <w:tc>
          <w:tcPr>
            <w:tcW w:w="1281" w:type="dxa"/>
            <w:noWrap w:val="0"/>
            <w:vAlign w:val="center"/>
          </w:tcPr>
          <w:p w14:paraId="4D4861F6">
            <w:pPr>
              <w:adjustRightInd w:val="0"/>
              <w:spacing w:line="360" w:lineRule="exact"/>
              <w:textAlignment w:val="baseline"/>
              <w:rPr>
                <w:rFonts w:ascii="宋体" w:hAnsi="宋体"/>
                <w:color w:val="auto"/>
                <w:szCs w:val="21"/>
                <w:highlight w:val="none"/>
              </w:rPr>
            </w:pPr>
            <w:r>
              <w:rPr>
                <w:rFonts w:hint="eastAsia" w:ascii="宋体" w:hAnsi="宋体"/>
                <w:color w:val="auto"/>
                <w:szCs w:val="21"/>
                <w:highlight w:val="none"/>
              </w:rPr>
              <w:t>价格分（满分10分）</w:t>
            </w:r>
          </w:p>
        </w:tc>
        <w:tc>
          <w:tcPr>
            <w:tcW w:w="1192" w:type="dxa"/>
            <w:noWrap w:val="0"/>
            <w:vAlign w:val="center"/>
          </w:tcPr>
          <w:p w14:paraId="50DC1DEC">
            <w:pPr>
              <w:adjustRightInd w:val="0"/>
              <w:spacing w:line="360" w:lineRule="exact"/>
              <w:jc w:val="center"/>
              <w:textAlignment w:val="baseline"/>
              <w:rPr>
                <w:rFonts w:ascii="宋体" w:hAnsi="宋体"/>
                <w:color w:val="auto"/>
                <w:szCs w:val="21"/>
                <w:highlight w:val="none"/>
              </w:rPr>
            </w:pPr>
            <w:r>
              <w:rPr>
                <w:rFonts w:hint="eastAsia" w:ascii="宋体" w:hAnsi="宋体"/>
                <w:color w:val="auto"/>
                <w:szCs w:val="21"/>
                <w:highlight w:val="none"/>
              </w:rPr>
              <w:t>投标报价</w:t>
            </w:r>
          </w:p>
        </w:tc>
        <w:tc>
          <w:tcPr>
            <w:tcW w:w="6999" w:type="dxa"/>
            <w:noWrap w:val="0"/>
            <w:vAlign w:val="center"/>
          </w:tcPr>
          <w:p w14:paraId="027580D6">
            <w:pPr>
              <w:pStyle w:val="18"/>
              <w:keepNext w:val="0"/>
              <w:keepLines w:val="0"/>
              <w:pageBreakBefore w:val="0"/>
              <w:widowControl w:val="0"/>
              <w:kinsoku/>
              <w:wordWrap/>
              <w:overflowPunct/>
              <w:topLinePunct w:val="0"/>
              <w:autoSpaceDE/>
              <w:autoSpaceDN/>
              <w:bidi w:val="0"/>
              <w:adjustRightInd/>
              <w:snapToGrid/>
              <w:spacing w:line="400" w:lineRule="exact"/>
              <w:ind w:left="42" w:leftChars="20" w:right="42" w:rightChars="20" w:firstLine="420" w:firstLineChars="200"/>
              <w:textAlignment w:val="auto"/>
              <w:rPr>
                <w:rFonts w:hint="eastAsia" w:ascii="宋体" w:hAnsi="Courier New" w:eastAsia="宋体" w:cs="Courier New"/>
                <w:color w:val="auto"/>
                <w:highlight w:val="none"/>
                <w:lang w:val="en-US" w:eastAsia="zh-CN"/>
              </w:rPr>
            </w:pPr>
            <w:r>
              <w:rPr>
                <w:rFonts w:hint="eastAsia" w:ascii="宋体" w:hAnsi="Courier New" w:eastAsia="宋体" w:cs="Courier New"/>
                <w:color w:val="auto"/>
                <w:highlight w:val="none"/>
                <w:lang w:val="en-US" w:eastAsia="zh-CN"/>
              </w:rPr>
              <w:t>(1)本项目属于专门面向中小企业采购的项目,参与本项目的</w:t>
            </w:r>
            <w:r>
              <w:rPr>
                <w:rFonts w:hint="eastAsia" w:ascii="宋体" w:eastAsia="宋体" w:cs="Courier New"/>
                <w:color w:val="auto"/>
                <w:highlight w:val="none"/>
                <w:lang w:val="en-US" w:eastAsia="zh-CN"/>
              </w:rPr>
              <w:t>投标单位</w:t>
            </w:r>
            <w:r>
              <w:rPr>
                <w:rFonts w:hint="eastAsia" w:ascii="宋体" w:hAnsi="Courier New" w:eastAsia="宋体" w:cs="Courier New"/>
                <w:color w:val="auto"/>
                <w:highlight w:val="none"/>
                <w:lang w:val="en-US" w:eastAsia="zh-CN"/>
              </w:rPr>
              <w:t>应为中型或小型或微型企业,价格分不再享受评审折扣。</w:t>
            </w:r>
          </w:p>
          <w:p w14:paraId="5FBB9B2A">
            <w:pPr>
              <w:pStyle w:val="18"/>
              <w:keepNext w:val="0"/>
              <w:keepLines w:val="0"/>
              <w:pageBreakBefore w:val="0"/>
              <w:widowControl w:val="0"/>
              <w:kinsoku/>
              <w:wordWrap/>
              <w:overflowPunct/>
              <w:topLinePunct w:val="0"/>
              <w:autoSpaceDE/>
              <w:autoSpaceDN/>
              <w:bidi w:val="0"/>
              <w:adjustRightInd/>
              <w:snapToGrid/>
              <w:spacing w:line="400" w:lineRule="exact"/>
              <w:ind w:left="42" w:leftChars="20" w:right="42" w:rightChars="20" w:firstLine="420" w:firstLineChars="200"/>
              <w:textAlignment w:val="auto"/>
              <w:rPr>
                <w:rFonts w:hint="eastAsia" w:ascii="宋体" w:hAnsi="Courier New" w:eastAsia="宋体" w:cs="Courier New"/>
                <w:color w:val="auto"/>
                <w:highlight w:val="none"/>
                <w:lang w:val="en-US" w:eastAsia="zh-CN"/>
              </w:rPr>
            </w:pPr>
            <w:r>
              <w:rPr>
                <w:rFonts w:hint="eastAsia" w:ascii="宋体" w:hAnsi="Courier New" w:eastAsia="宋体" w:cs="Courier New"/>
                <w:color w:val="auto"/>
                <w:highlight w:val="none"/>
                <w:lang w:val="en-US" w:eastAsia="zh-CN"/>
              </w:rPr>
              <w:t>(2)以进入比较与评价环节的最低的评审报价为基准价，基准价得分为 10分。</w:t>
            </w:r>
          </w:p>
          <w:p w14:paraId="69F75E6C">
            <w:pPr>
              <w:pStyle w:val="18"/>
              <w:keepNext w:val="0"/>
              <w:keepLines w:val="0"/>
              <w:pageBreakBefore w:val="0"/>
              <w:widowControl w:val="0"/>
              <w:kinsoku/>
              <w:wordWrap/>
              <w:overflowPunct/>
              <w:topLinePunct w:val="0"/>
              <w:autoSpaceDE/>
              <w:autoSpaceDN/>
              <w:bidi w:val="0"/>
              <w:adjustRightInd/>
              <w:snapToGrid/>
              <w:spacing w:line="400" w:lineRule="exact"/>
              <w:ind w:left="42" w:leftChars="20" w:right="42" w:rightChars="20" w:firstLine="420" w:firstLineChars="200"/>
              <w:textAlignment w:val="auto"/>
              <w:rPr>
                <w:rFonts w:hint="eastAsia" w:ascii="宋体" w:hAnsi="Courier New" w:eastAsia="宋体" w:cs="Courier New"/>
                <w:color w:val="auto"/>
                <w:highlight w:val="none"/>
                <w:lang w:val="en-US" w:eastAsia="zh-CN"/>
              </w:rPr>
            </w:pPr>
            <w:r>
              <w:rPr>
                <w:rFonts w:hint="eastAsia" w:ascii="宋体" w:hAnsi="Courier New" w:eastAsia="宋体" w:cs="Courier New"/>
                <w:color w:val="auto"/>
                <w:highlight w:val="none"/>
                <w:lang w:val="en-US" w:eastAsia="zh-CN"/>
              </w:rPr>
              <w:t>(3)价格分计算公式:</w:t>
            </w:r>
          </w:p>
          <w:p w14:paraId="12EB3D01">
            <w:pPr>
              <w:snapToGrid w:val="0"/>
              <w:spacing w:line="360" w:lineRule="auto"/>
              <w:ind w:firstLine="1050" w:firstLineChars="500"/>
              <w:jc w:val="both"/>
              <w:rPr>
                <w:rFonts w:hint="eastAsia" w:ascii="宋体" w:hAnsi="Courier New" w:eastAsia="宋体" w:cs="Courier New"/>
                <w:color w:val="auto"/>
                <w:highlight w:val="none"/>
                <w:lang w:val="en-US" w:eastAsia="zh-CN"/>
              </w:rPr>
            </w:pPr>
            <w:r>
              <w:rPr>
                <w:rFonts w:hint="eastAsia" w:ascii="宋体" w:hAnsi="Courier New" w:eastAsia="宋体" w:cs="Courier New"/>
                <w:color w:val="auto"/>
                <w:highlight w:val="none"/>
                <w:lang w:val="en-US" w:eastAsia="zh-CN"/>
              </w:rPr>
              <w:t>某投标价格得分= (基准价</w:t>
            </w:r>
            <w:r>
              <w:rPr>
                <w:rFonts w:hint="default" w:ascii="Arial" w:hAnsi="Arial" w:eastAsia="宋体" w:cs="Arial"/>
                <w:color w:val="auto"/>
                <w:highlight w:val="none"/>
                <w:lang w:val="en-US" w:eastAsia="zh-CN"/>
              </w:rPr>
              <w:t>÷</w:t>
            </w:r>
            <w:r>
              <w:rPr>
                <w:rFonts w:hint="eastAsia" w:ascii="Arial" w:hAnsi="Arial" w:eastAsia="宋体" w:cs="Arial"/>
                <w:color w:val="auto"/>
                <w:highlight w:val="none"/>
                <w:lang w:val="en-US" w:eastAsia="zh-CN"/>
              </w:rPr>
              <w:t>某</w:t>
            </w:r>
            <w:r>
              <w:rPr>
                <w:rFonts w:hint="eastAsia" w:ascii="宋体" w:hAnsi="宋体" w:eastAsia="宋体" w:cs="Courier New"/>
                <w:bCs/>
                <w:color w:val="auto"/>
                <w:szCs w:val="21"/>
                <w:highlight w:val="none"/>
                <w:lang w:eastAsia="zh-CN"/>
              </w:rPr>
              <w:t>投标</w:t>
            </w:r>
            <w:r>
              <w:rPr>
                <w:rFonts w:hint="eastAsia" w:ascii="宋体" w:hAnsi="宋体" w:cs="Courier New"/>
                <w:bCs/>
                <w:color w:val="auto"/>
                <w:szCs w:val="21"/>
                <w:highlight w:val="none"/>
              </w:rPr>
              <w:t>报价</w:t>
            </w:r>
            <w:r>
              <w:rPr>
                <w:rFonts w:hint="eastAsia" w:ascii="宋体" w:hAnsi="Courier New" w:eastAsia="宋体" w:cs="Courier New"/>
                <w:color w:val="auto"/>
                <w:highlight w:val="none"/>
                <w:lang w:val="en-US" w:eastAsia="zh-CN"/>
              </w:rPr>
              <w:t xml:space="preserve">) </w:t>
            </w:r>
            <w:r>
              <w:rPr>
                <w:rFonts w:hint="default" w:ascii="Arial" w:hAnsi="Arial" w:eastAsia="宋体" w:cs="Arial"/>
                <w:color w:val="auto"/>
                <w:highlight w:val="none"/>
                <w:lang w:val="en-US" w:eastAsia="zh-CN"/>
              </w:rPr>
              <w:t>×</w:t>
            </w:r>
            <w:r>
              <w:rPr>
                <w:rFonts w:hint="eastAsia" w:ascii="宋体" w:hAnsi="Courier New" w:eastAsia="宋体" w:cs="Courier New"/>
                <w:color w:val="auto"/>
                <w:highlight w:val="none"/>
                <w:lang w:val="en-US" w:eastAsia="zh-CN"/>
              </w:rPr>
              <w:t>10分</w:t>
            </w:r>
          </w:p>
          <w:p w14:paraId="052C2038">
            <w:pPr>
              <w:pStyle w:val="18"/>
              <w:keepNext w:val="0"/>
              <w:keepLines w:val="0"/>
              <w:pageBreakBefore w:val="0"/>
              <w:widowControl w:val="0"/>
              <w:kinsoku/>
              <w:wordWrap/>
              <w:overflowPunct/>
              <w:topLinePunct w:val="0"/>
              <w:autoSpaceDE/>
              <w:autoSpaceDN/>
              <w:bidi w:val="0"/>
              <w:adjustRightInd/>
              <w:snapToGrid/>
              <w:spacing w:line="400" w:lineRule="exact"/>
              <w:ind w:left="42" w:leftChars="20" w:right="42" w:rightChars="20" w:firstLine="420" w:firstLineChars="200"/>
              <w:textAlignment w:val="auto"/>
              <w:rPr>
                <w:rFonts w:hint="eastAsia" w:ascii="宋体" w:hAnsi="Courier New" w:eastAsia="宋体" w:cs="Courier New"/>
                <w:color w:val="auto"/>
                <w:highlight w:val="none"/>
                <w:lang w:val="en-US" w:eastAsia="zh-CN"/>
              </w:rPr>
            </w:pPr>
            <w:r>
              <w:rPr>
                <w:rFonts w:hint="eastAsia" w:ascii="宋体" w:hAnsi="Courier New" w:eastAsia="宋体" w:cs="Courier New"/>
                <w:color w:val="auto"/>
                <w:highlight w:val="none"/>
                <w:lang w:val="en-US" w:eastAsia="zh-CN"/>
              </w:rPr>
              <w:t>（4）异常低价响应审查</w:t>
            </w:r>
          </w:p>
          <w:p w14:paraId="4B7B6998">
            <w:pPr>
              <w:pStyle w:val="18"/>
              <w:keepNext w:val="0"/>
              <w:keepLines w:val="0"/>
              <w:pageBreakBefore w:val="0"/>
              <w:widowControl w:val="0"/>
              <w:kinsoku/>
              <w:wordWrap/>
              <w:overflowPunct/>
              <w:topLinePunct w:val="0"/>
              <w:autoSpaceDE/>
              <w:autoSpaceDN/>
              <w:bidi w:val="0"/>
              <w:adjustRightInd/>
              <w:snapToGrid/>
              <w:spacing w:line="400" w:lineRule="exact"/>
              <w:ind w:left="42" w:leftChars="20" w:right="42" w:rightChars="20" w:firstLine="420" w:firstLineChars="200"/>
              <w:textAlignment w:val="auto"/>
              <w:rPr>
                <w:rFonts w:hint="eastAsia" w:ascii="宋体" w:hAnsi="Courier New" w:eastAsia="宋体" w:cs="Courier New"/>
                <w:color w:val="auto"/>
                <w:highlight w:val="none"/>
                <w:lang w:val="en-US" w:eastAsia="zh-CN"/>
              </w:rPr>
            </w:pPr>
            <w:r>
              <w:rPr>
                <w:rFonts w:hint="eastAsia" w:ascii="宋体" w:hAnsi="Courier New" w:eastAsia="宋体" w:cs="Courier New"/>
                <w:color w:val="auto"/>
                <w:highlight w:val="none"/>
                <w:lang w:val="en-US" w:eastAsia="zh-CN"/>
              </w:rPr>
              <w:t>1.评标委员会在评审中发现下列情形之一的，应当启动异常低价响应审查程序：</w:t>
            </w:r>
          </w:p>
          <w:p w14:paraId="27D09B5C">
            <w:pPr>
              <w:pStyle w:val="18"/>
              <w:keepNext w:val="0"/>
              <w:keepLines w:val="0"/>
              <w:pageBreakBefore w:val="0"/>
              <w:widowControl w:val="0"/>
              <w:kinsoku/>
              <w:wordWrap/>
              <w:overflowPunct/>
              <w:topLinePunct w:val="0"/>
              <w:autoSpaceDE/>
              <w:autoSpaceDN/>
              <w:bidi w:val="0"/>
              <w:adjustRightInd/>
              <w:snapToGrid/>
              <w:spacing w:line="400" w:lineRule="exact"/>
              <w:ind w:left="42" w:leftChars="20" w:right="42" w:rightChars="20" w:firstLine="420" w:firstLineChars="200"/>
              <w:textAlignment w:val="auto"/>
              <w:rPr>
                <w:rFonts w:hint="eastAsia" w:ascii="宋体" w:hAnsi="Courier New" w:eastAsia="宋体" w:cs="Courier New"/>
                <w:color w:val="auto"/>
                <w:highlight w:val="none"/>
                <w:lang w:val="en-US" w:eastAsia="zh-CN"/>
              </w:rPr>
            </w:pPr>
            <w:r>
              <w:rPr>
                <w:rFonts w:hint="eastAsia" w:ascii="宋体" w:hAnsi="Courier New" w:eastAsia="宋体" w:cs="Courier New"/>
                <w:color w:val="auto"/>
                <w:highlight w:val="none"/>
                <w:lang w:val="en-US" w:eastAsia="zh-CN"/>
              </w:rPr>
              <w:t>①响应报价低于全部通过符合性审查供应商响应报价平均值65%的，即响应报价＜全部通过符合性审查供应商响应报价平均值×65%；</w:t>
            </w:r>
          </w:p>
          <w:p w14:paraId="04D16A13">
            <w:pPr>
              <w:pStyle w:val="18"/>
              <w:keepNext w:val="0"/>
              <w:keepLines w:val="0"/>
              <w:pageBreakBefore w:val="0"/>
              <w:widowControl w:val="0"/>
              <w:kinsoku/>
              <w:wordWrap/>
              <w:overflowPunct/>
              <w:topLinePunct w:val="0"/>
              <w:autoSpaceDE/>
              <w:autoSpaceDN/>
              <w:bidi w:val="0"/>
              <w:adjustRightInd/>
              <w:snapToGrid/>
              <w:spacing w:line="400" w:lineRule="exact"/>
              <w:ind w:left="42" w:leftChars="20" w:right="42" w:rightChars="20" w:firstLine="420" w:firstLineChars="200"/>
              <w:textAlignment w:val="auto"/>
              <w:rPr>
                <w:rFonts w:hint="eastAsia" w:ascii="宋体" w:hAnsi="Courier New" w:eastAsia="宋体" w:cs="Courier New"/>
                <w:color w:val="auto"/>
                <w:highlight w:val="none"/>
                <w:lang w:val="en-US" w:eastAsia="zh-CN"/>
              </w:rPr>
            </w:pPr>
            <w:r>
              <w:rPr>
                <w:rFonts w:hint="eastAsia" w:ascii="宋体" w:hAnsi="Courier New" w:eastAsia="宋体" w:cs="Courier New"/>
                <w:color w:val="auto"/>
                <w:highlight w:val="none"/>
                <w:lang w:val="en-US" w:eastAsia="zh-CN"/>
              </w:rPr>
              <w:t>②响应报价低于通过符合性审查的次低报价供应商响应报价65%的，即响应报价＜通过符合性审查的次低报价供应商响应报价×65%；</w:t>
            </w:r>
          </w:p>
          <w:p w14:paraId="4E946168">
            <w:pPr>
              <w:pStyle w:val="18"/>
              <w:keepNext w:val="0"/>
              <w:keepLines w:val="0"/>
              <w:pageBreakBefore w:val="0"/>
              <w:widowControl w:val="0"/>
              <w:kinsoku/>
              <w:wordWrap/>
              <w:overflowPunct/>
              <w:topLinePunct w:val="0"/>
              <w:autoSpaceDE/>
              <w:autoSpaceDN/>
              <w:bidi w:val="0"/>
              <w:adjustRightInd/>
              <w:snapToGrid/>
              <w:spacing w:line="400" w:lineRule="exact"/>
              <w:ind w:left="42" w:leftChars="20" w:right="42" w:rightChars="20" w:firstLine="420" w:firstLineChars="200"/>
              <w:textAlignment w:val="auto"/>
              <w:rPr>
                <w:rFonts w:hint="eastAsia" w:ascii="宋体" w:hAnsi="Courier New" w:eastAsia="宋体" w:cs="Courier New"/>
                <w:color w:val="auto"/>
                <w:highlight w:val="none"/>
                <w:lang w:val="en-US" w:eastAsia="zh-CN"/>
              </w:rPr>
            </w:pPr>
            <w:r>
              <w:rPr>
                <w:rFonts w:hint="eastAsia" w:ascii="宋体" w:hAnsi="Courier New" w:eastAsia="宋体" w:cs="Courier New"/>
                <w:color w:val="auto"/>
                <w:highlight w:val="none"/>
                <w:lang w:val="en-US" w:eastAsia="zh-CN"/>
              </w:rPr>
              <w:t>③响应报价低于采购项目最高限价65%的，即响应报价＜采购项目最高限价×65%；</w:t>
            </w:r>
          </w:p>
          <w:p w14:paraId="0A0CF6A6">
            <w:pPr>
              <w:pStyle w:val="18"/>
              <w:keepNext w:val="0"/>
              <w:keepLines w:val="0"/>
              <w:pageBreakBefore w:val="0"/>
              <w:widowControl w:val="0"/>
              <w:kinsoku/>
              <w:wordWrap/>
              <w:overflowPunct/>
              <w:topLinePunct w:val="0"/>
              <w:autoSpaceDE/>
              <w:autoSpaceDN/>
              <w:bidi w:val="0"/>
              <w:adjustRightInd/>
              <w:snapToGrid/>
              <w:spacing w:line="400" w:lineRule="exact"/>
              <w:ind w:left="42" w:leftChars="20" w:right="42" w:rightChars="20" w:firstLine="420" w:firstLineChars="200"/>
              <w:textAlignment w:val="auto"/>
              <w:rPr>
                <w:rFonts w:hint="eastAsia" w:ascii="宋体" w:hAnsi="Courier New" w:eastAsia="宋体" w:cs="Courier New"/>
                <w:color w:val="auto"/>
                <w:highlight w:val="none"/>
                <w:lang w:val="en-US" w:eastAsia="zh-CN"/>
              </w:rPr>
            </w:pPr>
            <w:r>
              <w:rPr>
                <w:rFonts w:hint="eastAsia" w:ascii="宋体" w:hAnsi="Courier New" w:eastAsia="宋体" w:cs="Courier New"/>
                <w:color w:val="auto"/>
                <w:highlight w:val="none"/>
                <w:lang w:val="en-US" w:eastAsia="zh-CN"/>
              </w:rPr>
              <w:t>④评标委员会基于专业判断，认为供应商报价过低，有可能影响产品质量或者不能诚信履约的其他情形。</w:t>
            </w:r>
          </w:p>
          <w:p w14:paraId="1FAAEF4D">
            <w:pPr>
              <w:pStyle w:val="18"/>
              <w:keepNext w:val="0"/>
              <w:keepLines w:val="0"/>
              <w:pageBreakBefore w:val="0"/>
              <w:widowControl w:val="0"/>
              <w:kinsoku/>
              <w:wordWrap/>
              <w:overflowPunct/>
              <w:topLinePunct w:val="0"/>
              <w:autoSpaceDE/>
              <w:autoSpaceDN/>
              <w:bidi w:val="0"/>
              <w:adjustRightInd/>
              <w:snapToGrid/>
              <w:spacing w:line="400" w:lineRule="exact"/>
              <w:ind w:left="42" w:leftChars="20" w:right="42" w:rightChars="20" w:firstLine="420" w:firstLineChars="200"/>
              <w:textAlignment w:val="auto"/>
              <w:rPr>
                <w:rFonts w:hint="eastAsia" w:ascii="宋体" w:hAnsi="Courier New" w:eastAsia="宋体" w:cs="Courier New"/>
                <w:color w:val="auto"/>
                <w:highlight w:val="none"/>
                <w:lang w:val="en-US" w:eastAsia="zh-CN"/>
              </w:rPr>
            </w:pPr>
            <w:r>
              <w:rPr>
                <w:rFonts w:hint="eastAsia" w:ascii="宋体" w:hAnsi="Courier New" w:eastAsia="宋体" w:cs="Courier New"/>
                <w:color w:val="auto"/>
                <w:highlight w:val="none"/>
                <w:lang w:val="en-US" w:eastAsia="zh-CN"/>
              </w:rPr>
              <w:t>2.评标委员会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76DCD0DB">
            <w:pPr>
              <w:pStyle w:val="18"/>
              <w:keepNext w:val="0"/>
              <w:keepLines w:val="0"/>
              <w:pageBreakBefore w:val="0"/>
              <w:widowControl w:val="0"/>
              <w:kinsoku/>
              <w:wordWrap/>
              <w:overflowPunct/>
              <w:topLinePunct w:val="0"/>
              <w:autoSpaceDE/>
              <w:autoSpaceDN/>
              <w:bidi w:val="0"/>
              <w:adjustRightInd/>
              <w:snapToGrid/>
              <w:spacing w:line="400" w:lineRule="exact"/>
              <w:ind w:left="42" w:leftChars="20" w:right="42" w:rightChars="20" w:firstLine="420" w:firstLineChars="200"/>
              <w:textAlignment w:val="auto"/>
              <w:rPr>
                <w:rFonts w:hint="eastAsia" w:ascii="宋体" w:hAnsi="Courier New" w:eastAsia="宋体" w:cs="Courier New"/>
                <w:color w:val="auto"/>
                <w:highlight w:val="none"/>
                <w:lang w:val="en-US" w:eastAsia="zh-CN"/>
              </w:rPr>
            </w:pPr>
            <w:r>
              <w:rPr>
                <w:rFonts w:hint="eastAsia" w:ascii="宋体" w:hAnsi="Courier New" w:eastAsia="宋体" w:cs="Courier New"/>
                <w:color w:val="auto"/>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评标委员会应当将其作为无效响应处理。</w:t>
            </w:r>
          </w:p>
          <w:p w14:paraId="6899C97C">
            <w:pPr>
              <w:pStyle w:val="18"/>
              <w:keepNext w:val="0"/>
              <w:keepLines w:val="0"/>
              <w:pageBreakBefore w:val="0"/>
              <w:widowControl w:val="0"/>
              <w:kinsoku/>
              <w:wordWrap/>
              <w:overflowPunct/>
              <w:topLinePunct w:val="0"/>
              <w:autoSpaceDE/>
              <w:autoSpaceDN/>
              <w:bidi w:val="0"/>
              <w:adjustRightInd/>
              <w:snapToGrid/>
              <w:spacing w:line="400" w:lineRule="exact"/>
              <w:ind w:left="42" w:leftChars="20" w:right="42" w:rightChars="20" w:firstLine="420" w:firstLineChars="200"/>
              <w:textAlignment w:val="auto"/>
              <w:rPr>
                <w:rFonts w:hint="eastAsia" w:ascii="宋体" w:hAnsi="Courier New" w:eastAsia="宋体" w:cs="Courier New"/>
                <w:color w:val="auto"/>
                <w:highlight w:val="none"/>
                <w:lang w:val="en-US" w:eastAsia="zh-CN"/>
              </w:rPr>
            </w:pPr>
            <w:r>
              <w:rPr>
                <w:rFonts w:hint="eastAsia" w:ascii="宋体" w:hAnsi="Courier New" w:eastAsia="宋体" w:cs="Courier New"/>
                <w:color w:val="auto"/>
                <w:highlight w:val="none"/>
                <w:lang w:val="en-US" w:eastAsia="zh-CN"/>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4F62AA7A">
            <w:pPr>
              <w:pStyle w:val="18"/>
              <w:keepNext w:val="0"/>
              <w:keepLines w:val="0"/>
              <w:pageBreakBefore w:val="0"/>
              <w:widowControl w:val="0"/>
              <w:kinsoku/>
              <w:wordWrap/>
              <w:overflowPunct/>
              <w:topLinePunct w:val="0"/>
              <w:autoSpaceDE/>
              <w:autoSpaceDN/>
              <w:bidi w:val="0"/>
              <w:adjustRightInd/>
              <w:snapToGrid/>
              <w:spacing w:line="400" w:lineRule="exact"/>
              <w:ind w:left="42" w:leftChars="20" w:right="42" w:rightChars="20" w:firstLine="420" w:firstLineChars="200"/>
              <w:textAlignment w:val="auto"/>
              <w:rPr>
                <w:rFonts w:hint="eastAsia"/>
                <w:color w:val="auto"/>
                <w:highlight w:val="none"/>
              </w:rPr>
            </w:pPr>
            <w:r>
              <w:rPr>
                <w:rFonts w:hint="eastAsia" w:ascii="宋体" w:hAnsi="Courier New" w:eastAsia="宋体" w:cs="Courier New"/>
                <w:color w:val="auto"/>
                <w:highlight w:val="none"/>
                <w:lang w:val="en-US" w:eastAsia="zh-CN"/>
              </w:rPr>
              <w:t>异常低价响应审查的启动原因、审查意见和审查结果应当在评审报告中记录，并随供应商提供的相关书面说明及证明材料，以及评标委员会有关互联网浏览、查询历史一并归档。</w:t>
            </w:r>
          </w:p>
        </w:tc>
      </w:tr>
      <w:tr w14:paraId="4B7EE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vMerge w:val="restart"/>
            <w:noWrap w:val="0"/>
            <w:vAlign w:val="center"/>
          </w:tcPr>
          <w:p w14:paraId="090F5740">
            <w:pPr>
              <w:adjustRightInd w:val="0"/>
              <w:snapToGrid w:val="0"/>
              <w:spacing w:line="360" w:lineRule="atLeast"/>
              <w:jc w:val="center"/>
              <w:textAlignment w:val="baseline"/>
              <w:rPr>
                <w:rFonts w:ascii="宋体" w:hAnsi="宋体"/>
                <w:color w:val="auto"/>
                <w:szCs w:val="21"/>
                <w:highlight w:val="none"/>
              </w:rPr>
            </w:pPr>
            <w:r>
              <w:rPr>
                <w:rFonts w:hint="eastAsia" w:ascii="宋体" w:hAnsi="宋体"/>
                <w:color w:val="auto"/>
                <w:szCs w:val="21"/>
                <w:highlight w:val="none"/>
              </w:rPr>
              <w:t>2</w:t>
            </w:r>
          </w:p>
        </w:tc>
        <w:tc>
          <w:tcPr>
            <w:tcW w:w="1281" w:type="dxa"/>
            <w:vMerge w:val="restart"/>
            <w:noWrap w:val="0"/>
            <w:vAlign w:val="center"/>
          </w:tcPr>
          <w:p w14:paraId="5F1F2AB0">
            <w:pPr>
              <w:adjustRightInd w:val="0"/>
              <w:snapToGrid w:val="0"/>
              <w:spacing w:line="360" w:lineRule="atLeast"/>
              <w:ind w:left="-105" w:leftChars="-50" w:right="-105" w:rightChars="-50"/>
              <w:jc w:val="center"/>
              <w:textAlignment w:val="baseline"/>
              <w:rPr>
                <w:rFonts w:ascii="宋体" w:hAnsi="宋体"/>
                <w:bCs/>
                <w:color w:val="auto"/>
                <w:szCs w:val="21"/>
                <w:highlight w:val="none"/>
              </w:rPr>
            </w:pPr>
            <w:r>
              <w:rPr>
                <w:rFonts w:hint="eastAsia" w:ascii="宋体" w:hAnsi="宋体"/>
                <w:bCs/>
                <w:color w:val="auto"/>
                <w:szCs w:val="21"/>
                <w:highlight w:val="none"/>
              </w:rPr>
              <w:t>技术分</w:t>
            </w:r>
          </w:p>
          <w:p w14:paraId="65EDD6FC">
            <w:pPr>
              <w:adjustRightInd w:val="0"/>
              <w:snapToGrid w:val="0"/>
              <w:spacing w:line="360" w:lineRule="atLeast"/>
              <w:ind w:left="-105" w:leftChars="-50" w:right="-105" w:rightChars="-50"/>
              <w:jc w:val="center"/>
              <w:textAlignment w:val="baseline"/>
              <w:rPr>
                <w:rFonts w:ascii="宋体" w:hAnsi="宋体"/>
                <w:color w:val="auto"/>
                <w:spacing w:val="-18"/>
                <w:szCs w:val="21"/>
                <w:highlight w:val="none"/>
              </w:rPr>
            </w:pPr>
            <w:r>
              <w:rPr>
                <w:rFonts w:hint="eastAsia" w:ascii="宋体" w:hAnsi="宋体"/>
                <w:bCs/>
                <w:color w:val="auto"/>
                <w:szCs w:val="21"/>
                <w:highlight w:val="none"/>
              </w:rPr>
              <w:t>（</w:t>
            </w:r>
            <w:r>
              <w:rPr>
                <w:rFonts w:hint="eastAsia" w:ascii="宋体" w:hAnsi="宋体"/>
                <w:color w:val="auto"/>
                <w:szCs w:val="21"/>
                <w:highlight w:val="none"/>
              </w:rPr>
              <w:t>满分</w:t>
            </w:r>
            <w:r>
              <w:rPr>
                <w:rFonts w:hint="eastAsia" w:ascii="宋体" w:hAnsi="宋体"/>
                <w:color w:val="auto"/>
                <w:szCs w:val="21"/>
                <w:highlight w:val="none"/>
                <w:lang w:val="en-US" w:eastAsia="zh-CN"/>
              </w:rPr>
              <w:t>87</w:t>
            </w:r>
            <w:r>
              <w:rPr>
                <w:rFonts w:hint="eastAsia" w:ascii="宋体" w:hAnsi="宋体"/>
                <w:color w:val="auto"/>
                <w:szCs w:val="21"/>
                <w:highlight w:val="none"/>
              </w:rPr>
              <w:t>分</w:t>
            </w:r>
            <w:r>
              <w:rPr>
                <w:rFonts w:hint="eastAsia" w:ascii="宋体" w:hAnsi="宋体"/>
                <w:bCs/>
                <w:color w:val="auto"/>
                <w:szCs w:val="21"/>
                <w:highlight w:val="none"/>
              </w:rPr>
              <w:t>）</w:t>
            </w:r>
          </w:p>
        </w:tc>
        <w:tc>
          <w:tcPr>
            <w:tcW w:w="1192" w:type="dxa"/>
            <w:noWrap w:val="0"/>
            <w:vAlign w:val="center"/>
          </w:tcPr>
          <w:p w14:paraId="5E69B89A">
            <w:pPr>
              <w:snapToGrid w:val="0"/>
              <w:spacing w:line="360" w:lineRule="atLeast"/>
              <w:jc w:val="center"/>
              <w:rPr>
                <w:rFonts w:ascii="宋体" w:hAnsi="宋体"/>
                <w:color w:val="auto"/>
                <w:szCs w:val="21"/>
                <w:highlight w:val="none"/>
              </w:rPr>
            </w:pPr>
            <w:r>
              <w:rPr>
                <w:rFonts w:hint="eastAsia" w:ascii="宋体" w:hAnsi="宋体"/>
                <w:color w:val="auto"/>
                <w:szCs w:val="21"/>
                <w:highlight w:val="none"/>
                <w:lang w:val="en-US" w:eastAsia="zh-CN"/>
              </w:rPr>
              <w:t>实施方案</w:t>
            </w:r>
            <w:r>
              <w:rPr>
                <w:rFonts w:hint="eastAsia" w:ascii="宋体" w:hAnsi="宋体"/>
                <w:color w:val="auto"/>
                <w:szCs w:val="21"/>
                <w:highlight w:val="none"/>
              </w:rPr>
              <w:t>（满分</w:t>
            </w:r>
            <w:r>
              <w:rPr>
                <w:rFonts w:hint="eastAsia" w:ascii="宋体" w:hAnsi="宋体"/>
                <w:color w:val="auto"/>
                <w:szCs w:val="21"/>
                <w:highlight w:val="none"/>
                <w:lang w:val="en-US" w:eastAsia="zh-CN"/>
              </w:rPr>
              <w:t>30</w:t>
            </w:r>
            <w:r>
              <w:rPr>
                <w:rFonts w:hint="eastAsia" w:ascii="宋体" w:hAnsi="宋体"/>
                <w:color w:val="auto"/>
                <w:szCs w:val="21"/>
                <w:highlight w:val="none"/>
              </w:rPr>
              <w:t>分）</w:t>
            </w:r>
          </w:p>
        </w:tc>
        <w:tc>
          <w:tcPr>
            <w:tcW w:w="6999" w:type="dxa"/>
            <w:noWrap w:val="0"/>
            <w:vAlign w:val="center"/>
          </w:tcPr>
          <w:p w14:paraId="5D4561E9">
            <w:pPr>
              <w:numPr>
                <w:ilvl w:val="0"/>
                <w:numId w:val="0"/>
              </w:numPr>
              <w:ind w:firstLine="420" w:firstLineChars="200"/>
              <w:rPr>
                <w:rFonts w:hint="eastAsia" w:ascii="宋体" w:hAnsi="宋体" w:eastAsia="宋体" w:cs="微软雅黑"/>
                <w:color w:val="auto"/>
                <w:szCs w:val="21"/>
                <w:highlight w:val="none"/>
                <w:lang w:eastAsia="zh-CN"/>
              </w:rPr>
            </w:pPr>
            <w:r>
              <w:rPr>
                <w:rFonts w:hint="eastAsia" w:ascii="宋体" w:hAnsi="宋体" w:eastAsia="宋体" w:cs="微软雅黑"/>
                <w:color w:val="auto"/>
                <w:szCs w:val="21"/>
                <w:highlight w:val="none"/>
                <w:lang w:eastAsia="zh-CN"/>
              </w:rPr>
              <w:t>一档（</w:t>
            </w:r>
            <w:r>
              <w:rPr>
                <w:rFonts w:hint="eastAsia" w:ascii="宋体" w:hAnsi="宋体" w:cs="微软雅黑"/>
                <w:color w:val="auto"/>
                <w:szCs w:val="21"/>
                <w:highlight w:val="none"/>
                <w:lang w:val="en-US" w:eastAsia="zh-CN"/>
              </w:rPr>
              <w:t>6</w:t>
            </w:r>
            <w:r>
              <w:rPr>
                <w:rFonts w:hint="eastAsia" w:ascii="宋体" w:hAnsi="宋体" w:eastAsia="宋体" w:cs="微软雅黑"/>
                <w:color w:val="auto"/>
                <w:szCs w:val="21"/>
                <w:highlight w:val="none"/>
                <w:lang w:eastAsia="zh-CN"/>
              </w:rPr>
              <w:t xml:space="preserve">分）：对项目认识不够，无项目管理组织机构图，未能说明各个阶段工作安排、人员安排、实施及实施进度，方案整体性、具体性、可执行性差。 </w:t>
            </w:r>
          </w:p>
          <w:p w14:paraId="7FF6F77F">
            <w:pPr>
              <w:numPr>
                <w:ilvl w:val="0"/>
                <w:numId w:val="0"/>
              </w:numPr>
              <w:ind w:firstLine="420" w:firstLineChars="200"/>
              <w:rPr>
                <w:rFonts w:hint="eastAsia" w:ascii="宋体" w:hAnsi="宋体" w:eastAsia="宋体" w:cs="微软雅黑"/>
                <w:color w:val="auto"/>
                <w:szCs w:val="21"/>
                <w:highlight w:val="none"/>
                <w:lang w:eastAsia="zh-CN"/>
              </w:rPr>
            </w:pPr>
            <w:r>
              <w:rPr>
                <w:rFonts w:hint="eastAsia" w:ascii="宋体" w:hAnsi="宋体" w:eastAsia="宋体" w:cs="微软雅黑"/>
                <w:color w:val="auto"/>
                <w:szCs w:val="21"/>
                <w:highlight w:val="none"/>
                <w:lang w:eastAsia="zh-CN"/>
              </w:rPr>
              <w:t>二档（</w:t>
            </w:r>
            <w:r>
              <w:rPr>
                <w:rFonts w:hint="eastAsia" w:ascii="宋体" w:hAnsi="宋体" w:cs="微软雅黑"/>
                <w:color w:val="auto"/>
                <w:szCs w:val="21"/>
                <w:highlight w:val="none"/>
                <w:lang w:val="en-US" w:eastAsia="zh-CN"/>
              </w:rPr>
              <w:t>14</w:t>
            </w:r>
            <w:r>
              <w:rPr>
                <w:rFonts w:hint="eastAsia" w:ascii="宋体" w:hAnsi="宋体" w:eastAsia="宋体" w:cs="微软雅黑"/>
                <w:color w:val="auto"/>
                <w:szCs w:val="21"/>
                <w:highlight w:val="none"/>
                <w:lang w:eastAsia="zh-CN"/>
              </w:rPr>
              <w:t xml:space="preserve">分）：对项目总体有认识，有项目管理组织机构图，说明各个阶段工作安排，能说明人员安排、实施及实施进度，方案整体性、具体性、可执行性一般。 </w:t>
            </w:r>
          </w:p>
          <w:p w14:paraId="07B5BF46">
            <w:pPr>
              <w:numPr>
                <w:ilvl w:val="0"/>
                <w:numId w:val="0"/>
              </w:numPr>
              <w:ind w:firstLine="420" w:firstLineChars="200"/>
              <w:rPr>
                <w:rFonts w:hint="eastAsia" w:ascii="宋体" w:hAnsi="宋体" w:eastAsia="宋体" w:cs="微软雅黑"/>
                <w:color w:val="auto"/>
                <w:szCs w:val="21"/>
                <w:highlight w:val="none"/>
                <w:lang w:eastAsia="zh-CN"/>
              </w:rPr>
            </w:pPr>
            <w:r>
              <w:rPr>
                <w:rFonts w:hint="eastAsia" w:ascii="宋体" w:hAnsi="宋体" w:eastAsia="宋体" w:cs="微软雅黑"/>
                <w:color w:val="auto"/>
                <w:szCs w:val="21"/>
                <w:highlight w:val="none"/>
                <w:lang w:eastAsia="zh-CN"/>
              </w:rPr>
              <w:t>三档（</w:t>
            </w:r>
            <w:r>
              <w:rPr>
                <w:rFonts w:hint="eastAsia" w:ascii="宋体" w:hAnsi="宋体" w:cs="微软雅黑"/>
                <w:color w:val="auto"/>
                <w:szCs w:val="21"/>
                <w:highlight w:val="none"/>
                <w:lang w:val="en-US" w:eastAsia="zh-CN"/>
              </w:rPr>
              <w:t>22</w:t>
            </w:r>
            <w:r>
              <w:rPr>
                <w:rFonts w:hint="eastAsia" w:ascii="宋体" w:hAnsi="宋体" w:eastAsia="宋体" w:cs="微软雅黑"/>
                <w:color w:val="auto"/>
                <w:szCs w:val="21"/>
                <w:highlight w:val="none"/>
                <w:lang w:eastAsia="zh-CN"/>
              </w:rPr>
              <w:t xml:space="preserve"> 分）：有较好的实施计划、实施措施具体有效、有针对性；经营措施和计划可行性、实施流程的方案较好、较详细。 </w:t>
            </w:r>
          </w:p>
          <w:p w14:paraId="1D6ECFC2">
            <w:pPr>
              <w:numPr>
                <w:ilvl w:val="0"/>
                <w:numId w:val="0"/>
              </w:numPr>
              <w:ind w:firstLine="420" w:firstLineChars="200"/>
              <w:rPr>
                <w:rFonts w:hint="default"/>
                <w:color w:val="auto"/>
                <w:highlight w:val="none"/>
                <w:lang w:val="en-US" w:eastAsia="zh-CN"/>
              </w:rPr>
            </w:pPr>
            <w:r>
              <w:rPr>
                <w:rFonts w:hint="eastAsia" w:ascii="宋体" w:hAnsi="宋体" w:eastAsia="宋体" w:cs="微软雅黑"/>
                <w:color w:val="auto"/>
                <w:szCs w:val="21"/>
                <w:highlight w:val="none"/>
                <w:lang w:eastAsia="zh-CN"/>
              </w:rPr>
              <w:t>四档（</w:t>
            </w:r>
            <w:r>
              <w:rPr>
                <w:rFonts w:hint="eastAsia" w:ascii="宋体" w:hAnsi="宋体" w:cs="微软雅黑"/>
                <w:color w:val="auto"/>
                <w:szCs w:val="21"/>
                <w:highlight w:val="none"/>
                <w:lang w:val="en-US" w:eastAsia="zh-CN"/>
              </w:rPr>
              <w:t>30</w:t>
            </w:r>
            <w:r>
              <w:rPr>
                <w:rFonts w:hint="eastAsia" w:ascii="宋体" w:hAnsi="宋体" w:eastAsia="宋体" w:cs="微软雅黑"/>
                <w:color w:val="auto"/>
                <w:szCs w:val="21"/>
                <w:highlight w:val="none"/>
                <w:lang w:eastAsia="zh-CN"/>
              </w:rPr>
              <w:t>分）：实施方案详细、先进、技术较成熟，有与现有状况无缝对接的具体方法，工作计划周密，实施组织机构健全、人员配备充足，进度有保障、 能详细说明各个阶段工作安排，有保障措施、进度控制制度等</w:t>
            </w:r>
            <w:r>
              <w:rPr>
                <w:rFonts w:hint="eastAsia" w:ascii="宋体" w:hAnsi="宋体" w:cs="微软雅黑"/>
                <w:color w:val="auto"/>
                <w:szCs w:val="21"/>
                <w:highlight w:val="none"/>
                <w:lang w:eastAsia="zh-CN"/>
              </w:rPr>
              <w:t>，</w:t>
            </w:r>
            <w:r>
              <w:rPr>
                <w:rFonts w:hint="eastAsia" w:ascii="宋体" w:hAnsi="宋体" w:eastAsia="宋体" w:cs="微软雅黑"/>
                <w:color w:val="auto"/>
                <w:szCs w:val="21"/>
                <w:highlight w:val="none"/>
                <w:lang w:eastAsia="zh-CN"/>
              </w:rPr>
              <w:t xml:space="preserve"> 能提供合理的实施及验收方案，方案切合项目实际。</w:t>
            </w:r>
          </w:p>
        </w:tc>
      </w:tr>
      <w:tr w14:paraId="374E7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vMerge w:val="continue"/>
            <w:noWrap w:val="0"/>
            <w:vAlign w:val="center"/>
          </w:tcPr>
          <w:p w14:paraId="0828AFA2">
            <w:pPr>
              <w:adjustRightInd w:val="0"/>
              <w:snapToGrid w:val="0"/>
              <w:spacing w:line="360" w:lineRule="atLeast"/>
              <w:jc w:val="center"/>
              <w:textAlignment w:val="baseline"/>
              <w:rPr>
                <w:rFonts w:hint="eastAsia" w:ascii="宋体" w:hAnsi="宋体"/>
                <w:color w:val="auto"/>
                <w:szCs w:val="21"/>
                <w:highlight w:val="none"/>
              </w:rPr>
            </w:pPr>
          </w:p>
        </w:tc>
        <w:tc>
          <w:tcPr>
            <w:tcW w:w="1281" w:type="dxa"/>
            <w:vMerge w:val="continue"/>
            <w:noWrap w:val="0"/>
            <w:vAlign w:val="center"/>
          </w:tcPr>
          <w:p w14:paraId="092F2C2D">
            <w:pPr>
              <w:adjustRightInd w:val="0"/>
              <w:snapToGrid w:val="0"/>
              <w:spacing w:line="360" w:lineRule="atLeast"/>
              <w:ind w:left="-105" w:leftChars="-50" w:right="-105" w:rightChars="-50"/>
              <w:jc w:val="center"/>
              <w:textAlignment w:val="baseline"/>
              <w:rPr>
                <w:rFonts w:hint="eastAsia" w:ascii="宋体" w:hAnsi="宋体"/>
                <w:bCs/>
                <w:color w:val="auto"/>
                <w:szCs w:val="21"/>
                <w:highlight w:val="none"/>
              </w:rPr>
            </w:pPr>
          </w:p>
        </w:tc>
        <w:tc>
          <w:tcPr>
            <w:tcW w:w="1192" w:type="dxa"/>
            <w:noWrap w:val="0"/>
            <w:vAlign w:val="center"/>
          </w:tcPr>
          <w:p w14:paraId="40E27847">
            <w:pPr>
              <w:snapToGrid w:val="0"/>
              <w:spacing w:line="360" w:lineRule="atLeast"/>
              <w:jc w:val="center"/>
              <w:rPr>
                <w:rFonts w:hint="eastAsia" w:ascii="宋体" w:hAnsi="宋体"/>
                <w:color w:val="auto"/>
                <w:szCs w:val="21"/>
                <w:highlight w:val="none"/>
              </w:rPr>
            </w:pPr>
            <w:r>
              <w:rPr>
                <w:rFonts w:hint="default"/>
                <w:color w:val="auto"/>
                <w:highlight w:val="none"/>
                <w:lang w:val="en-US" w:eastAsia="zh-CN"/>
              </w:rPr>
              <w:t>组织管理方案分</w:t>
            </w:r>
            <w:r>
              <w:rPr>
                <w:rFonts w:hint="eastAsia" w:ascii="宋体" w:hAnsi="宋体"/>
                <w:color w:val="auto"/>
                <w:szCs w:val="21"/>
                <w:highlight w:val="none"/>
              </w:rPr>
              <w:t>（满分</w:t>
            </w:r>
            <w:r>
              <w:rPr>
                <w:rFonts w:hint="eastAsia" w:ascii="宋体" w:hAnsi="宋体"/>
                <w:color w:val="auto"/>
                <w:szCs w:val="21"/>
                <w:highlight w:val="none"/>
                <w:lang w:val="en-US" w:eastAsia="zh-CN"/>
              </w:rPr>
              <w:t>21</w:t>
            </w:r>
            <w:r>
              <w:rPr>
                <w:rFonts w:hint="eastAsia" w:ascii="宋体" w:hAnsi="宋体"/>
                <w:color w:val="auto"/>
                <w:szCs w:val="21"/>
                <w:highlight w:val="none"/>
              </w:rPr>
              <w:t>分）</w:t>
            </w:r>
          </w:p>
        </w:tc>
        <w:tc>
          <w:tcPr>
            <w:tcW w:w="6999" w:type="dxa"/>
            <w:noWrap w:val="0"/>
            <w:vAlign w:val="center"/>
          </w:tcPr>
          <w:p w14:paraId="78AF83BB">
            <w:pPr>
              <w:widowControl/>
              <w:snapToGrid w:val="0"/>
              <w:spacing w:line="360" w:lineRule="atLeast"/>
              <w:ind w:firstLine="420" w:firstLineChars="200"/>
              <w:jc w:val="left"/>
              <w:rPr>
                <w:rFonts w:hint="eastAsia" w:ascii="宋体" w:hAnsi="宋体" w:cs="微软雅黑"/>
                <w:color w:val="auto"/>
                <w:szCs w:val="21"/>
                <w:highlight w:val="none"/>
              </w:rPr>
            </w:pPr>
            <w:r>
              <w:rPr>
                <w:rFonts w:hint="eastAsia" w:ascii="宋体" w:hAnsi="宋体" w:cs="微软雅黑"/>
                <w:color w:val="auto"/>
                <w:szCs w:val="21"/>
                <w:highlight w:val="none"/>
              </w:rPr>
              <w:t>一档（</w:t>
            </w:r>
            <w:r>
              <w:rPr>
                <w:rFonts w:hint="eastAsia" w:ascii="宋体" w:hAnsi="宋体" w:cs="微软雅黑"/>
                <w:color w:val="auto"/>
                <w:szCs w:val="21"/>
                <w:highlight w:val="none"/>
                <w:lang w:val="en-US" w:eastAsia="zh-CN"/>
              </w:rPr>
              <w:t>7</w:t>
            </w:r>
            <w:r>
              <w:rPr>
                <w:rFonts w:hint="eastAsia" w:ascii="宋体" w:hAnsi="宋体" w:cs="微软雅黑"/>
                <w:color w:val="auto"/>
                <w:szCs w:val="21"/>
                <w:highlight w:val="none"/>
              </w:rPr>
              <w:t>分）：方案简单，拟投入机构设置、人员配备基本合理；岗位责任制度、管理制度及标准阐述简单模糊或部分不具体，基本满足招标文件要求。</w:t>
            </w:r>
          </w:p>
          <w:p w14:paraId="15A4EC05">
            <w:pPr>
              <w:widowControl/>
              <w:snapToGrid w:val="0"/>
              <w:spacing w:line="360" w:lineRule="atLeast"/>
              <w:ind w:firstLine="420" w:firstLineChars="200"/>
              <w:jc w:val="left"/>
              <w:rPr>
                <w:rFonts w:hint="eastAsia" w:ascii="宋体" w:hAnsi="宋体" w:cs="微软雅黑"/>
                <w:color w:val="auto"/>
                <w:szCs w:val="21"/>
                <w:highlight w:val="none"/>
              </w:rPr>
            </w:pPr>
            <w:r>
              <w:rPr>
                <w:rFonts w:hint="eastAsia" w:ascii="宋体" w:hAnsi="宋体" w:cs="微软雅黑"/>
                <w:color w:val="auto"/>
                <w:szCs w:val="21"/>
                <w:highlight w:val="none"/>
              </w:rPr>
              <w:t>二档（</w:t>
            </w:r>
            <w:r>
              <w:rPr>
                <w:rFonts w:hint="eastAsia" w:ascii="宋体" w:hAnsi="宋体" w:cs="微软雅黑"/>
                <w:color w:val="auto"/>
                <w:szCs w:val="21"/>
                <w:highlight w:val="none"/>
                <w:lang w:val="en-US" w:eastAsia="zh-CN"/>
              </w:rPr>
              <w:t>14</w:t>
            </w:r>
            <w:r>
              <w:rPr>
                <w:rFonts w:hint="eastAsia" w:ascii="宋体" w:hAnsi="宋体" w:cs="微软雅黑"/>
                <w:color w:val="auto"/>
                <w:szCs w:val="21"/>
                <w:highlight w:val="none"/>
              </w:rPr>
              <w:t>分）：方案合理，内容完整，拟投入机构设置合理，人员配备较充足，岗位责任制度、管理制度及标准阐述清晰、完整、合理，满足招标文件要求。</w:t>
            </w:r>
          </w:p>
          <w:p w14:paraId="1C00DB2B">
            <w:pPr>
              <w:widowControl/>
              <w:snapToGrid w:val="0"/>
              <w:spacing w:line="360" w:lineRule="atLeast"/>
              <w:ind w:firstLine="420" w:firstLineChars="200"/>
              <w:jc w:val="left"/>
              <w:rPr>
                <w:rFonts w:hint="eastAsia" w:ascii="宋体" w:hAnsi="宋体" w:cs="微软雅黑"/>
                <w:color w:val="auto"/>
                <w:szCs w:val="21"/>
                <w:highlight w:val="none"/>
              </w:rPr>
            </w:pPr>
            <w:r>
              <w:rPr>
                <w:rFonts w:hint="eastAsia" w:ascii="宋体" w:hAnsi="宋体" w:cs="微软雅黑"/>
                <w:color w:val="auto"/>
                <w:szCs w:val="21"/>
                <w:highlight w:val="none"/>
              </w:rPr>
              <w:t>三档（</w:t>
            </w:r>
            <w:r>
              <w:rPr>
                <w:rFonts w:hint="eastAsia" w:ascii="宋体" w:hAnsi="宋体" w:cs="微软雅黑"/>
                <w:color w:val="auto"/>
                <w:szCs w:val="21"/>
                <w:highlight w:val="none"/>
                <w:lang w:val="en-US" w:eastAsia="zh-CN"/>
              </w:rPr>
              <w:t>21</w:t>
            </w:r>
            <w:r>
              <w:rPr>
                <w:rFonts w:hint="eastAsia" w:ascii="宋体" w:hAnsi="宋体" w:cs="微软雅黑"/>
                <w:color w:val="auto"/>
                <w:szCs w:val="21"/>
                <w:highlight w:val="none"/>
              </w:rPr>
              <w:t>分）：方案内容完整、齐全，详尽合理，拟投入机构设置合理、科学，人员配备充足，技术设备配备齐全、合理、专业性能高；岗位责任制度、管理制度及标准阐述清晰、完整、合理、科学，完全满足招标文件要求。</w:t>
            </w:r>
          </w:p>
        </w:tc>
      </w:tr>
      <w:tr w14:paraId="521C2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0" w:hRule="atLeast"/>
        </w:trPr>
        <w:tc>
          <w:tcPr>
            <w:tcW w:w="461" w:type="dxa"/>
            <w:vMerge w:val="continue"/>
            <w:noWrap w:val="0"/>
            <w:vAlign w:val="center"/>
          </w:tcPr>
          <w:p w14:paraId="3A0C4016">
            <w:pPr>
              <w:adjustRightInd w:val="0"/>
              <w:snapToGrid w:val="0"/>
              <w:spacing w:line="360" w:lineRule="atLeast"/>
              <w:jc w:val="center"/>
              <w:textAlignment w:val="baseline"/>
              <w:rPr>
                <w:rFonts w:hint="eastAsia" w:ascii="宋体" w:hAnsi="宋体"/>
                <w:color w:val="auto"/>
                <w:szCs w:val="21"/>
                <w:highlight w:val="none"/>
              </w:rPr>
            </w:pPr>
          </w:p>
        </w:tc>
        <w:tc>
          <w:tcPr>
            <w:tcW w:w="1281" w:type="dxa"/>
            <w:vMerge w:val="continue"/>
            <w:noWrap w:val="0"/>
            <w:vAlign w:val="center"/>
          </w:tcPr>
          <w:p w14:paraId="2348B1F6">
            <w:pPr>
              <w:adjustRightInd w:val="0"/>
              <w:snapToGrid w:val="0"/>
              <w:spacing w:line="360" w:lineRule="atLeast"/>
              <w:ind w:left="-105" w:leftChars="-50" w:right="-105" w:rightChars="-50"/>
              <w:jc w:val="center"/>
              <w:textAlignment w:val="baseline"/>
              <w:rPr>
                <w:rFonts w:hint="eastAsia" w:ascii="宋体" w:hAnsi="宋体"/>
                <w:bCs/>
                <w:color w:val="auto"/>
                <w:szCs w:val="21"/>
                <w:highlight w:val="none"/>
              </w:rPr>
            </w:pPr>
          </w:p>
        </w:tc>
        <w:tc>
          <w:tcPr>
            <w:tcW w:w="1192" w:type="dxa"/>
            <w:noWrap w:val="0"/>
            <w:vAlign w:val="center"/>
          </w:tcPr>
          <w:p w14:paraId="25036241">
            <w:pPr>
              <w:tabs>
                <w:tab w:val="left" w:pos="307"/>
              </w:tabs>
              <w:snapToGrid w:val="0"/>
              <w:spacing w:line="360" w:lineRule="atLeast"/>
              <w:jc w:val="left"/>
              <w:rPr>
                <w:rFonts w:hint="eastAsia" w:ascii="宋体" w:hAnsi="宋体"/>
                <w:color w:val="auto"/>
                <w:szCs w:val="21"/>
                <w:highlight w:val="none"/>
              </w:rPr>
            </w:pPr>
            <w:r>
              <w:rPr>
                <w:rFonts w:hint="eastAsia" w:ascii="宋体" w:hAnsi="宋体"/>
                <w:color w:val="auto"/>
                <w:szCs w:val="21"/>
                <w:highlight w:val="none"/>
              </w:rPr>
              <w:t>应急预案分（满分</w:t>
            </w:r>
            <w:r>
              <w:rPr>
                <w:rFonts w:hint="eastAsia" w:ascii="宋体" w:hAnsi="宋体"/>
                <w:color w:val="auto"/>
                <w:szCs w:val="21"/>
                <w:highlight w:val="none"/>
                <w:lang w:val="en-US" w:eastAsia="zh-CN"/>
              </w:rPr>
              <w:t>15</w:t>
            </w:r>
            <w:r>
              <w:rPr>
                <w:rFonts w:hint="eastAsia" w:ascii="宋体" w:hAnsi="宋体"/>
                <w:color w:val="auto"/>
                <w:szCs w:val="21"/>
                <w:highlight w:val="none"/>
              </w:rPr>
              <w:t>分）</w:t>
            </w:r>
          </w:p>
        </w:tc>
        <w:tc>
          <w:tcPr>
            <w:tcW w:w="6999" w:type="dxa"/>
            <w:noWrap w:val="0"/>
            <w:vAlign w:val="center"/>
          </w:tcPr>
          <w:p w14:paraId="4DBD952A">
            <w:pPr>
              <w:spacing w:line="360" w:lineRule="exact"/>
              <w:ind w:firstLine="411" w:firstLineChars="196"/>
              <w:rPr>
                <w:rFonts w:hint="eastAsia" w:ascii="宋体" w:hAnsi="宋体" w:cs="微软雅黑"/>
                <w:color w:val="auto"/>
                <w:szCs w:val="21"/>
                <w:highlight w:val="none"/>
              </w:rPr>
            </w:pPr>
            <w:r>
              <w:rPr>
                <w:rFonts w:hint="eastAsia" w:ascii="宋体" w:hAnsi="宋体" w:cs="微软雅黑"/>
                <w:color w:val="auto"/>
                <w:szCs w:val="21"/>
                <w:highlight w:val="none"/>
              </w:rPr>
              <w:t>一档（</w:t>
            </w:r>
            <w:r>
              <w:rPr>
                <w:rFonts w:hint="eastAsia" w:ascii="宋体" w:hAnsi="宋体" w:cs="微软雅黑"/>
                <w:color w:val="auto"/>
                <w:szCs w:val="21"/>
                <w:highlight w:val="none"/>
                <w:lang w:val="en-US" w:eastAsia="zh-CN"/>
              </w:rPr>
              <w:t>5</w:t>
            </w:r>
            <w:r>
              <w:rPr>
                <w:rFonts w:hint="eastAsia" w:ascii="宋体" w:hAnsi="宋体" w:cs="微软雅黑"/>
                <w:color w:val="auto"/>
                <w:szCs w:val="21"/>
                <w:highlight w:val="none"/>
              </w:rPr>
              <w:t>分）提供简单的应急服务措施。</w:t>
            </w:r>
          </w:p>
          <w:p w14:paraId="68C2429E">
            <w:pPr>
              <w:spacing w:line="360" w:lineRule="exact"/>
              <w:ind w:firstLine="411" w:firstLineChars="196"/>
              <w:rPr>
                <w:rFonts w:hint="eastAsia" w:ascii="宋体" w:hAnsi="宋体" w:cs="微软雅黑"/>
                <w:color w:val="auto"/>
                <w:szCs w:val="21"/>
                <w:highlight w:val="none"/>
              </w:rPr>
            </w:pPr>
            <w:r>
              <w:rPr>
                <w:rFonts w:hint="eastAsia" w:ascii="宋体" w:hAnsi="宋体" w:cs="微软雅黑"/>
                <w:color w:val="auto"/>
                <w:szCs w:val="21"/>
                <w:highlight w:val="none"/>
              </w:rPr>
              <w:t>二档（</w:t>
            </w:r>
            <w:r>
              <w:rPr>
                <w:rFonts w:hint="eastAsia" w:ascii="宋体" w:hAnsi="宋体" w:cs="微软雅黑"/>
                <w:color w:val="auto"/>
                <w:szCs w:val="21"/>
                <w:highlight w:val="none"/>
                <w:lang w:val="en-US" w:eastAsia="zh-CN"/>
              </w:rPr>
              <w:t>10</w:t>
            </w:r>
            <w:r>
              <w:rPr>
                <w:rFonts w:hint="eastAsia" w:ascii="宋体" w:hAnsi="宋体" w:cs="微软雅黑"/>
                <w:color w:val="auto"/>
                <w:szCs w:val="21"/>
                <w:highlight w:val="none"/>
              </w:rPr>
              <w:t>分）根据本项目的特点和要求，</w:t>
            </w:r>
            <w:r>
              <w:rPr>
                <w:rFonts w:hint="eastAsia" w:ascii="宋体" w:hAnsi="宋体" w:cs="微软雅黑"/>
                <w:color w:val="auto"/>
                <w:szCs w:val="21"/>
                <w:highlight w:val="none"/>
                <w:lang w:val="en-US" w:eastAsia="zh-CN"/>
              </w:rPr>
              <w:t>对可能</w:t>
            </w:r>
            <w:r>
              <w:rPr>
                <w:rFonts w:hint="eastAsia" w:ascii="宋体" w:hAnsi="宋体" w:cs="微软雅黑"/>
                <w:color w:val="auto"/>
                <w:szCs w:val="21"/>
                <w:highlight w:val="none"/>
              </w:rPr>
              <w:t>出现的紧急情况，提供针对性的应急措施及承诺，应急措施及承诺表述清晰、可行。</w:t>
            </w:r>
          </w:p>
          <w:p w14:paraId="73832994">
            <w:pPr>
              <w:spacing w:line="360" w:lineRule="exact"/>
              <w:ind w:firstLine="411" w:firstLineChars="196"/>
              <w:rPr>
                <w:rFonts w:hint="eastAsia" w:ascii="宋体" w:hAnsi="宋体" w:cs="微软雅黑"/>
                <w:color w:val="auto"/>
                <w:szCs w:val="21"/>
                <w:highlight w:val="none"/>
              </w:rPr>
            </w:pPr>
            <w:r>
              <w:rPr>
                <w:rFonts w:hint="eastAsia" w:ascii="宋体" w:hAnsi="宋体" w:cs="微软雅黑"/>
                <w:color w:val="auto"/>
                <w:szCs w:val="21"/>
                <w:highlight w:val="none"/>
              </w:rPr>
              <w:t>三档（</w:t>
            </w:r>
            <w:r>
              <w:rPr>
                <w:rFonts w:hint="eastAsia" w:ascii="宋体" w:hAnsi="宋体" w:cs="微软雅黑"/>
                <w:color w:val="auto"/>
                <w:szCs w:val="21"/>
                <w:highlight w:val="none"/>
                <w:lang w:val="en-US" w:eastAsia="zh-CN"/>
              </w:rPr>
              <w:t>1</w:t>
            </w:r>
            <w:r>
              <w:rPr>
                <w:rFonts w:hint="eastAsia" w:ascii="宋体" w:hAnsi="宋体" w:cs="微软雅黑"/>
                <w:color w:val="auto"/>
                <w:szCs w:val="21"/>
                <w:highlight w:val="none"/>
              </w:rPr>
              <w:t>5分）根据本项目的特点和要求，针对</w:t>
            </w:r>
            <w:r>
              <w:rPr>
                <w:rFonts w:hint="eastAsia" w:ascii="宋体" w:hAnsi="宋体" w:cs="微软雅黑"/>
                <w:color w:val="auto"/>
                <w:szCs w:val="21"/>
                <w:highlight w:val="none"/>
                <w:lang w:val="en-US" w:eastAsia="zh-CN"/>
              </w:rPr>
              <w:t>可能</w:t>
            </w:r>
            <w:r>
              <w:rPr>
                <w:rFonts w:hint="eastAsia" w:ascii="宋体" w:hAnsi="宋体" w:cs="微软雅黑"/>
                <w:color w:val="auto"/>
                <w:szCs w:val="21"/>
                <w:highlight w:val="none"/>
              </w:rPr>
              <w:t>出现的紧急情况，提供针对性的应急措施及承诺，应急措施明显有利于项目的实施，措施详细，针对性强，并能确保项目安全、高质量、高效率完成。</w:t>
            </w:r>
          </w:p>
        </w:tc>
      </w:tr>
      <w:tr w14:paraId="3FA06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vMerge w:val="continue"/>
            <w:noWrap w:val="0"/>
            <w:vAlign w:val="top"/>
          </w:tcPr>
          <w:p w14:paraId="611BBBB5">
            <w:pPr>
              <w:adjustRightInd w:val="0"/>
              <w:snapToGrid w:val="0"/>
              <w:spacing w:line="360" w:lineRule="atLeast"/>
              <w:jc w:val="center"/>
              <w:textAlignment w:val="baseline"/>
              <w:rPr>
                <w:rFonts w:ascii="宋体" w:hAnsi="宋体"/>
                <w:color w:val="auto"/>
                <w:szCs w:val="21"/>
                <w:highlight w:val="none"/>
              </w:rPr>
            </w:pPr>
          </w:p>
        </w:tc>
        <w:tc>
          <w:tcPr>
            <w:tcW w:w="1281" w:type="dxa"/>
            <w:vMerge w:val="continue"/>
            <w:noWrap w:val="0"/>
            <w:vAlign w:val="top"/>
          </w:tcPr>
          <w:p w14:paraId="694073EE">
            <w:pPr>
              <w:adjustRightInd w:val="0"/>
              <w:snapToGrid w:val="0"/>
              <w:spacing w:line="360" w:lineRule="atLeast"/>
              <w:jc w:val="center"/>
              <w:textAlignment w:val="baseline"/>
              <w:rPr>
                <w:rFonts w:ascii="宋体" w:hAnsi="宋体"/>
                <w:color w:val="auto"/>
                <w:szCs w:val="21"/>
                <w:highlight w:val="none"/>
              </w:rPr>
            </w:pPr>
          </w:p>
        </w:tc>
        <w:tc>
          <w:tcPr>
            <w:tcW w:w="1192" w:type="dxa"/>
            <w:noWrap w:val="0"/>
            <w:tcMar>
              <w:left w:w="57" w:type="dxa"/>
              <w:right w:w="57" w:type="dxa"/>
            </w:tcMar>
            <w:vAlign w:val="center"/>
          </w:tcPr>
          <w:p w14:paraId="3A5466C7">
            <w:pPr>
              <w:widowControl/>
              <w:snapToGrid w:val="0"/>
              <w:spacing w:line="360" w:lineRule="atLeast"/>
              <w:jc w:val="center"/>
              <w:rPr>
                <w:rFonts w:hint="eastAsia" w:ascii="宋体" w:hAnsi="宋体" w:cs="微软雅黑"/>
                <w:color w:val="auto"/>
                <w:szCs w:val="21"/>
                <w:highlight w:val="none"/>
              </w:rPr>
            </w:pPr>
            <w:r>
              <w:rPr>
                <w:rFonts w:hint="eastAsia" w:ascii="宋体" w:hAnsi="宋体" w:cs="微软雅黑"/>
                <w:color w:val="auto"/>
                <w:szCs w:val="21"/>
                <w:highlight w:val="none"/>
              </w:rPr>
              <w:t>服务承诺分（满分</w:t>
            </w:r>
            <w:r>
              <w:rPr>
                <w:rFonts w:hint="eastAsia" w:ascii="宋体" w:hAnsi="宋体" w:cs="微软雅黑"/>
                <w:color w:val="auto"/>
                <w:szCs w:val="21"/>
                <w:highlight w:val="none"/>
                <w:lang w:val="en-US" w:eastAsia="zh-CN"/>
              </w:rPr>
              <w:t>21</w:t>
            </w:r>
            <w:r>
              <w:rPr>
                <w:rFonts w:hint="eastAsia" w:ascii="宋体" w:hAnsi="宋体" w:cs="微软雅黑"/>
                <w:color w:val="auto"/>
                <w:szCs w:val="21"/>
                <w:highlight w:val="none"/>
              </w:rPr>
              <w:t>分）</w:t>
            </w:r>
          </w:p>
        </w:tc>
        <w:tc>
          <w:tcPr>
            <w:tcW w:w="6999" w:type="dxa"/>
            <w:noWrap w:val="0"/>
            <w:vAlign w:val="center"/>
          </w:tcPr>
          <w:p w14:paraId="2A38CFE3">
            <w:pPr>
              <w:widowControl/>
              <w:snapToGrid w:val="0"/>
              <w:spacing w:line="360" w:lineRule="atLeas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一档（</w:t>
            </w:r>
            <w:r>
              <w:rPr>
                <w:rFonts w:hint="eastAsia" w:ascii="宋体" w:hAnsi="宋体"/>
                <w:bCs/>
                <w:color w:val="auto"/>
                <w:szCs w:val="21"/>
                <w:highlight w:val="none"/>
                <w:lang w:val="en-US" w:eastAsia="zh-CN"/>
              </w:rPr>
              <w:t>7</w:t>
            </w:r>
            <w:r>
              <w:rPr>
                <w:rFonts w:hint="eastAsia" w:ascii="宋体" w:hAnsi="宋体"/>
                <w:bCs/>
                <w:color w:val="auto"/>
                <w:szCs w:val="21"/>
                <w:highlight w:val="none"/>
              </w:rPr>
              <w:t xml:space="preserve">分）：服务承诺简单描述了服务响应时间、服务响应方式等内容； </w:t>
            </w:r>
          </w:p>
          <w:p w14:paraId="3FC89C1F">
            <w:pPr>
              <w:widowControl/>
              <w:snapToGrid w:val="0"/>
              <w:spacing w:line="360" w:lineRule="atLeas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二档（</w:t>
            </w:r>
            <w:r>
              <w:rPr>
                <w:rFonts w:hint="eastAsia" w:ascii="宋体" w:hAnsi="宋体"/>
                <w:bCs/>
                <w:color w:val="auto"/>
                <w:szCs w:val="21"/>
                <w:highlight w:val="none"/>
                <w:lang w:val="en-US" w:eastAsia="zh-CN"/>
              </w:rPr>
              <w:t>14</w:t>
            </w:r>
            <w:r>
              <w:rPr>
                <w:rFonts w:hint="eastAsia" w:ascii="宋体" w:hAnsi="宋体"/>
                <w:bCs/>
                <w:color w:val="auto"/>
                <w:szCs w:val="21"/>
                <w:highlight w:val="none"/>
              </w:rPr>
              <w:t xml:space="preserve"> 分）：服务承诺优于一档，较详细的体现了服务响应时间、服务响应方式，有基本满足项目要求的</w:t>
            </w:r>
            <w:r>
              <w:rPr>
                <w:rFonts w:hint="eastAsia" w:ascii="宋体" w:hAnsi="宋体"/>
                <w:bCs/>
                <w:color w:val="auto"/>
                <w:szCs w:val="21"/>
                <w:highlight w:val="none"/>
                <w:lang w:val="en-US" w:eastAsia="zh-CN"/>
              </w:rPr>
              <w:t>服务</w:t>
            </w:r>
            <w:r>
              <w:rPr>
                <w:rFonts w:hint="eastAsia" w:ascii="宋体" w:hAnsi="宋体"/>
                <w:bCs/>
                <w:color w:val="auto"/>
                <w:szCs w:val="21"/>
                <w:highlight w:val="none"/>
              </w:rPr>
              <w:t xml:space="preserve">保障措施等内容； </w:t>
            </w:r>
          </w:p>
          <w:p w14:paraId="31AB6738">
            <w:pPr>
              <w:widowControl/>
              <w:snapToGrid w:val="0"/>
              <w:spacing w:line="360" w:lineRule="atLeas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三档（</w:t>
            </w:r>
            <w:r>
              <w:rPr>
                <w:rFonts w:hint="eastAsia" w:ascii="宋体" w:hAnsi="宋体"/>
                <w:bCs/>
                <w:color w:val="auto"/>
                <w:szCs w:val="21"/>
                <w:highlight w:val="none"/>
                <w:lang w:val="en-US" w:eastAsia="zh-CN"/>
              </w:rPr>
              <w:t>21</w:t>
            </w:r>
            <w:r>
              <w:rPr>
                <w:rFonts w:hint="eastAsia" w:ascii="宋体" w:hAnsi="宋体"/>
                <w:bCs/>
                <w:color w:val="auto"/>
                <w:szCs w:val="21"/>
                <w:highlight w:val="none"/>
              </w:rPr>
              <w:t>分）：服务承诺优于二档，有明确的时效承诺，服务承诺的内容能为采购人考虑周全，可行性高，有较为可行的保障措施。对项目的服务有正确深刻理解与充分认识，表述清晰完整。接到用户服务请求电话或E-mail，承诺2小时内到达现场解决问题，12小时内提出问题解决方案，并提供服务联系人姓名、电话、详细地址等信息。</w:t>
            </w:r>
          </w:p>
        </w:tc>
      </w:tr>
      <w:tr w14:paraId="4D8CD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1" w:hRule="atLeast"/>
        </w:trPr>
        <w:tc>
          <w:tcPr>
            <w:tcW w:w="461" w:type="dxa"/>
            <w:noWrap w:val="0"/>
            <w:vAlign w:val="center"/>
          </w:tcPr>
          <w:p w14:paraId="45696353">
            <w:pPr>
              <w:adjustRightInd w:val="0"/>
              <w:snapToGrid w:val="0"/>
              <w:spacing w:line="360" w:lineRule="atLeast"/>
              <w:jc w:val="center"/>
              <w:textAlignment w:val="baseline"/>
              <w:rPr>
                <w:rFonts w:ascii="宋体" w:hAnsi="宋体"/>
                <w:color w:val="auto"/>
                <w:szCs w:val="21"/>
                <w:highlight w:val="none"/>
              </w:rPr>
            </w:pPr>
            <w:r>
              <w:rPr>
                <w:rFonts w:hint="eastAsia" w:ascii="宋体" w:hAnsi="宋体"/>
                <w:color w:val="auto"/>
                <w:szCs w:val="21"/>
                <w:highlight w:val="none"/>
              </w:rPr>
              <w:t>3</w:t>
            </w:r>
          </w:p>
        </w:tc>
        <w:tc>
          <w:tcPr>
            <w:tcW w:w="1281" w:type="dxa"/>
            <w:noWrap w:val="0"/>
            <w:vAlign w:val="center"/>
          </w:tcPr>
          <w:p w14:paraId="3E904D29">
            <w:pPr>
              <w:adjustRightInd w:val="0"/>
              <w:snapToGrid w:val="0"/>
              <w:spacing w:line="360" w:lineRule="atLeast"/>
              <w:jc w:val="center"/>
              <w:textAlignment w:val="baseline"/>
              <w:rPr>
                <w:rFonts w:hint="eastAsia" w:ascii="宋体" w:hAnsi="宋体"/>
                <w:color w:val="auto"/>
                <w:szCs w:val="22"/>
                <w:highlight w:val="none"/>
              </w:rPr>
            </w:pPr>
            <w:r>
              <w:rPr>
                <w:rFonts w:hint="eastAsia" w:ascii="宋体" w:hAnsi="宋体"/>
                <w:color w:val="auto"/>
                <w:szCs w:val="22"/>
                <w:highlight w:val="none"/>
              </w:rPr>
              <w:t>商务分</w:t>
            </w:r>
          </w:p>
          <w:p w14:paraId="746A3607">
            <w:pPr>
              <w:adjustRightInd w:val="0"/>
              <w:snapToGrid w:val="0"/>
              <w:spacing w:line="360" w:lineRule="atLeast"/>
              <w:jc w:val="center"/>
              <w:textAlignment w:val="baseline"/>
              <w:rPr>
                <w:rFonts w:ascii="宋体" w:hAnsi="宋体"/>
                <w:color w:val="auto"/>
                <w:szCs w:val="21"/>
                <w:highlight w:val="none"/>
              </w:rPr>
            </w:pPr>
            <w:r>
              <w:rPr>
                <w:rFonts w:hint="eastAsia" w:ascii="宋体" w:hAnsi="宋体"/>
                <w:color w:val="auto"/>
                <w:szCs w:val="22"/>
                <w:highlight w:val="none"/>
              </w:rPr>
              <w:t>（满分</w:t>
            </w:r>
            <w:r>
              <w:rPr>
                <w:rFonts w:hint="eastAsia" w:ascii="宋体" w:hAnsi="宋体"/>
                <w:color w:val="auto"/>
                <w:szCs w:val="22"/>
                <w:highlight w:val="none"/>
                <w:lang w:val="en-US" w:eastAsia="zh-CN"/>
              </w:rPr>
              <w:t>3</w:t>
            </w:r>
            <w:r>
              <w:rPr>
                <w:rFonts w:hint="eastAsia" w:ascii="宋体" w:hAnsi="宋体"/>
                <w:color w:val="auto"/>
                <w:szCs w:val="22"/>
                <w:highlight w:val="none"/>
              </w:rPr>
              <w:t>分）</w:t>
            </w:r>
          </w:p>
        </w:tc>
        <w:tc>
          <w:tcPr>
            <w:tcW w:w="1192" w:type="dxa"/>
            <w:noWrap w:val="0"/>
            <w:vAlign w:val="center"/>
          </w:tcPr>
          <w:p w14:paraId="5DFFFCC3">
            <w:pPr>
              <w:pStyle w:val="2"/>
              <w:rPr>
                <w:color w:val="auto"/>
                <w:highlight w:val="none"/>
                <w:lang w:val="en-US" w:eastAsia="zh-CN"/>
              </w:rPr>
            </w:pPr>
            <w:r>
              <w:rPr>
                <w:rFonts w:hint="eastAsia" w:ascii="宋体" w:hAnsi="宋体"/>
                <w:color w:val="auto"/>
                <w:szCs w:val="21"/>
                <w:highlight w:val="none"/>
              </w:rPr>
              <w:t>业绩分</w:t>
            </w:r>
            <w:r>
              <w:rPr>
                <w:rFonts w:hint="eastAsia"/>
                <w:color w:val="auto"/>
                <w:highlight w:val="none"/>
              </w:rPr>
              <w:t>（满分</w:t>
            </w:r>
            <w:r>
              <w:rPr>
                <w:rFonts w:hint="eastAsia"/>
                <w:color w:val="auto"/>
                <w:highlight w:val="none"/>
                <w:lang w:val="en-US" w:eastAsia="zh-CN"/>
              </w:rPr>
              <w:t>3</w:t>
            </w:r>
            <w:r>
              <w:rPr>
                <w:rFonts w:hint="eastAsia"/>
                <w:color w:val="auto"/>
                <w:highlight w:val="none"/>
              </w:rPr>
              <w:t>分）</w:t>
            </w:r>
          </w:p>
        </w:tc>
        <w:tc>
          <w:tcPr>
            <w:tcW w:w="6999" w:type="dxa"/>
            <w:noWrap w:val="0"/>
            <w:vAlign w:val="center"/>
          </w:tcPr>
          <w:p w14:paraId="6E17AE6E">
            <w:pPr>
              <w:widowControl/>
              <w:snapToGrid w:val="0"/>
              <w:spacing w:line="360" w:lineRule="atLeast"/>
              <w:ind w:firstLine="420" w:firstLineChars="200"/>
              <w:jc w:val="left"/>
              <w:rPr>
                <w:rFonts w:hint="eastAsia"/>
                <w:color w:val="auto"/>
                <w:highlight w:val="none"/>
              </w:rPr>
            </w:pPr>
            <w:r>
              <w:rPr>
                <w:rFonts w:hint="eastAsia" w:ascii="宋体" w:hAnsi="宋体" w:eastAsia="宋体" w:cs="Times New Roman"/>
                <w:bCs/>
                <w:color w:val="auto"/>
                <w:szCs w:val="21"/>
                <w:highlight w:val="none"/>
              </w:rPr>
              <w:t>供应商</w:t>
            </w:r>
            <w:r>
              <w:rPr>
                <w:rFonts w:hint="eastAsia" w:ascii="宋体" w:hAnsi="宋体" w:eastAsia="宋体" w:cs="Times New Roman"/>
                <w:bCs/>
                <w:color w:val="auto"/>
                <w:szCs w:val="21"/>
                <w:highlight w:val="none"/>
                <w:lang w:val="en-US" w:eastAsia="zh-CN"/>
              </w:rPr>
              <w:t>2023</w:t>
            </w:r>
            <w:r>
              <w:rPr>
                <w:rFonts w:hint="eastAsia" w:ascii="宋体" w:hAnsi="宋体" w:eastAsia="宋体" w:cs="Times New Roman"/>
                <w:bCs/>
                <w:color w:val="auto"/>
                <w:szCs w:val="21"/>
                <w:highlight w:val="none"/>
              </w:rPr>
              <w:t>年以来具有同类项目业绩的（以中标/成交通知书或签订的合同为准，能清晰反映合同标的），每提供一个业绩得</w:t>
            </w:r>
            <w:r>
              <w:rPr>
                <w:rFonts w:hint="eastAsia" w:ascii="宋体" w:hAnsi="宋体" w:eastAsia="宋体" w:cs="Times New Roman"/>
                <w:bCs/>
                <w:color w:val="auto"/>
                <w:szCs w:val="21"/>
                <w:highlight w:val="none"/>
                <w:lang w:val="en-US" w:eastAsia="zh-CN"/>
              </w:rPr>
              <w:t>3</w:t>
            </w:r>
            <w:r>
              <w:rPr>
                <w:rFonts w:hint="eastAsia" w:ascii="宋体" w:hAnsi="宋体" w:eastAsia="宋体" w:cs="Times New Roman"/>
                <w:bCs/>
                <w:color w:val="auto"/>
                <w:szCs w:val="21"/>
                <w:highlight w:val="none"/>
              </w:rPr>
              <w:t xml:space="preserve">分。 </w:t>
            </w:r>
          </w:p>
        </w:tc>
      </w:tr>
      <w:tr w14:paraId="45AC7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742" w:type="dxa"/>
            <w:gridSpan w:val="2"/>
            <w:noWrap w:val="0"/>
            <w:vAlign w:val="center"/>
          </w:tcPr>
          <w:p w14:paraId="35EEF2D0">
            <w:pPr>
              <w:pStyle w:val="18"/>
              <w:snapToGrid w:val="0"/>
              <w:spacing w:line="360" w:lineRule="atLeast"/>
              <w:jc w:val="left"/>
              <w:rPr>
                <w:rFonts w:hint="eastAsia" w:hAnsi="宋体"/>
                <w:b/>
                <w:bCs/>
                <w:color w:val="auto"/>
                <w:highlight w:val="none"/>
              </w:rPr>
            </w:pPr>
            <w:r>
              <w:rPr>
                <w:rFonts w:hint="eastAsia" w:hAnsi="宋体"/>
                <w:b/>
                <w:bCs/>
                <w:color w:val="auto"/>
                <w:highlight w:val="none"/>
              </w:rPr>
              <w:t>总得分=1+2+3</w:t>
            </w:r>
          </w:p>
        </w:tc>
        <w:tc>
          <w:tcPr>
            <w:tcW w:w="8191" w:type="dxa"/>
            <w:gridSpan w:val="2"/>
            <w:noWrap w:val="0"/>
            <w:vAlign w:val="center"/>
          </w:tcPr>
          <w:p w14:paraId="59709988">
            <w:pPr>
              <w:pStyle w:val="18"/>
              <w:snapToGrid w:val="0"/>
              <w:spacing w:line="360" w:lineRule="atLeast"/>
              <w:jc w:val="center"/>
              <w:rPr>
                <w:rFonts w:hAnsi="宋体"/>
                <w:b/>
                <w:bCs/>
                <w:color w:val="auto"/>
                <w:highlight w:val="none"/>
              </w:rPr>
            </w:pPr>
            <w:r>
              <w:rPr>
                <w:rFonts w:hint="eastAsia" w:hAnsi="宋体"/>
                <w:b/>
                <w:bCs/>
                <w:color w:val="auto"/>
                <w:highlight w:val="none"/>
              </w:rPr>
              <w:t>100</w:t>
            </w:r>
          </w:p>
        </w:tc>
      </w:tr>
      <w:bookmarkEnd w:id="117"/>
    </w:tbl>
    <w:p w14:paraId="04A6F4D1">
      <w:pPr>
        <w:pStyle w:val="5"/>
        <w:jc w:val="center"/>
        <w:rPr>
          <w:rFonts w:hint="eastAsia"/>
          <w:b w:val="0"/>
          <w:color w:val="auto"/>
          <w:sz w:val="30"/>
          <w:szCs w:val="30"/>
          <w:highlight w:val="none"/>
        </w:rPr>
      </w:pPr>
      <w:bookmarkStart w:id="118" w:name="_Toc80093007"/>
      <w:r>
        <w:rPr>
          <w:rFonts w:hint="eastAsia"/>
          <w:b w:val="0"/>
          <w:color w:val="auto"/>
          <w:sz w:val="30"/>
          <w:szCs w:val="30"/>
          <w:highlight w:val="none"/>
        </w:rPr>
        <w:t>第四节 中标候选人推荐原则</w:t>
      </w:r>
      <w:bookmarkEnd w:id="118"/>
    </w:p>
    <w:p w14:paraId="7D381F06">
      <w:pPr>
        <w:pStyle w:val="18"/>
        <w:spacing w:line="360" w:lineRule="auto"/>
        <w:ind w:left="472"/>
        <w:contextualSpacing/>
        <w:rPr>
          <w:rFonts w:hint="eastAsia" w:hAnsi="宋体"/>
          <w:b/>
          <w:bCs/>
          <w:color w:val="auto"/>
          <w:sz w:val="24"/>
          <w:szCs w:val="24"/>
          <w:highlight w:val="none"/>
        </w:rPr>
      </w:pPr>
      <w:r>
        <w:rPr>
          <w:rFonts w:hint="eastAsia" w:hAnsi="宋体"/>
          <w:b/>
          <w:bCs/>
          <w:color w:val="auto"/>
          <w:sz w:val="24"/>
          <w:szCs w:val="24"/>
          <w:highlight w:val="none"/>
        </w:rPr>
        <w:t>综合评分法</w:t>
      </w:r>
    </w:p>
    <w:p w14:paraId="50C87F3C">
      <w:pPr>
        <w:pStyle w:val="5"/>
        <w:pageBreakBefore w:val="0"/>
        <w:widowControl w:val="0"/>
        <w:kinsoku/>
        <w:wordWrap/>
        <w:overflowPunct/>
        <w:topLinePunct w:val="0"/>
        <w:autoSpaceDE/>
        <w:autoSpaceDN/>
        <w:bidi w:val="0"/>
        <w:adjustRightInd/>
        <w:snapToGrid/>
        <w:spacing w:before="0" w:after="0" w:line="440" w:lineRule="exact"/>
        <w:ind w:firstLine="420" w:firstLineChars="200"/>
        <w:jc w:val="left"/>
        <w:textAlignment w:val="auto"/>
        <w:rPr>
          <w:rFonts w:hint="eastAsia" w:ascii="宋体" w:hAnsi="宋体" w:eastAsia="宋体" w:cs="Times New Roman"/>
          <w:b w:val="0"/>
          <w:bCs w:val="0"/>
          <w:color w:val="auto"/>
          <w:kern w:val="2"/>
          <w:sz w:val="21"/>
          <w:szCs w:val="20"/>
          <w:highlight w:val="none"/>
          <w:lang w:val="en-US" w:eastAsia="zh-CN" w:bidi="ar-SA"/>
        </w:rPr>
      </w:pPr>
      <w:bookmarkStart w:id="119" w:name="_Toc80093008"/>
      <w:r>
        <w:rPr>
          <w:rFonts w:hint="eastAsia" w:ascii="宋体" w:hAnsi="宋体" w:eastAsia="宋体" w:cs="Times New Roman"/>
          <w:b w:val="0"/>
          <w:bCs w:val="0"/>
          <w:color w:val="auto"/>
          <w:kern w:val="2"/>
          <w:sz w:val="21"/>
          <w:szCs w:val="20"/>
          <w:highlight w:val="none"/>
          <w:lang w:val="en-US" w:eastAsia="zh-CN" w:bidi="ar-SA"/>
        </w:rPr>
        <w:t>评标委员会将根据评审后总得分由高到低排列次序并推荐中标候选人。总得分相同的，以投标报价 由低到高顺序排列。得分相同且投标报价相同的并列，投标文件满足招标文件全部实质性要求，且按照评审因素的量化指标评审得分最高的投标人为排名第一的中标候选人。</w:t>
      </w:r>
    </w:p>
    <w:p w14:paraId="0D5E7190">
      <w:pPr>
        <w:pStyle w:val="5"/>
        <w:spacing w:before="0" w:after="0" w:line="360" w:lineRule="auto"/>
        <w:jc w:val="left"/>
        <w:rPr>
          <w:rFonts w:hint="eastAsia"/>
          <w:b w:val="0"/>
          <w:color w:val="auto"/>
          <w:sz w:val="30"/>
          <w:szCs w:val="30"/>
          <w:highlight w:val="none"/>
        </w:rPr>
      </w:pPr>
      <w:r>
        <w:rPr>
          <w:rFonts w:hint="eastAsia"/>
          <w:b w:val="0"/>
          <w:color w:val="auto"/>
          <w:sz w:val="30"/>
          <w:szCs w:val="30"/>
          <w:highlight w:val="none"/>
        </w:rPr>
        <w:t>第五节 评标报告</w:t>
      </w:r>
      <w:bookmarkEnd w:id="119"/>
    </w:p>
    <w:p w14:paraId="3A2E026F">
      <w:pPr>
        <w:pStyle w:val="73"/>
        <w:spacing w:before="0"/>
        <w:ind w:firstLine="482"/>
        <w:rPr>
          <w:rFonts w:hint="eastAsia" w:ascii="宋体" w:hAnsi="宋体"/>
          <w:b/>
          <w:bCs/>
          <w:color w:val="auto"/>
          <w:szCs w:val="24"/>
          <w:highlight w:val="none"/>
        </w:rPr>
      </w:pPr>
      <w:r>
        <w:rPr>
          <w:rFonts w:hint="eastAsia" w:ascii="宋体" w:hAnsi="宋体"/>
          <w:b/>
          <w:bCs/>
          <w:color w:val="auto"/>
          <w:szCs w:val="24"/>
          <w:highlight w:val="none"/>
        </w:rPr>
        <w:t>（一）评标报告与推荐中标候选人</w:t>
      </w:r>
    </w:p>
    <w:p w14:paraId="1AD4BED6">
      <w:pPr>
        <w:pStyle w:val="18"/>
        <w:tabs>
          <w:tab w:val="left" w:pos="2472"/>
        </w:tabs>
        <w:spacing w:line="360" w:lineRule="auto"/>
        <w:ind w:firstLine="420" w:firstLineChars="200"/>
        <w:rPr>
          <w:rFonts w:hint="eastAsia" w:hAnsi="宋体"/>
          <w:color w:val="auto"/>
          <w:highlight w:val="none"/>
        </w:rPr>
      </w:pPr>
      <w:r>
        <w:rPr>
          <w:rFonts w:hint="eastAsia" w:hAnsi="宋体"/>
          <w:color w:val="auto"/>
          <w:highlight w:val="none"/>
        </w:rPr>
        <w:t>评标委员会根据原始评标记录和评标结果编写评标报告，并通过电子交易平台向采购人、采购代理机构提交。</w:t>
      </w:r>
    </w:p>
    <w:p w14:paraId="58D122E8">
      <w:pPr>
        <w:widowControl/>
        <w:spacing w:line="360" w:lineRule="auto"/>
        <w:ind w:firstLine="482" w:firstLineChars="200"/>
        <w:jc w:val="left"/>
        <w:rPr>
          <w:rFonts w:hint="eastAsia" w:ascii="宋体" w:hAnsi="宋体"/>
          <w:b/>
          <w:bCs/>
          <w:color w:val="auto"/>
          <w:sz w:val="24"/>
          <w:highlight w:val="none"/>
        </w:rPr>
      </w:pPr>
      <w:r>
        <w:rPr>
          <w:rFonts w:hint="eastAsia" w:ascii="宋体" w:hAnsi="宋体"/>
          <w:b/>
          <w:bCs/>
          <w:color w:val="auto"/>
          <w:sz w:val="24"/>
          <w:highlight w:val="none"/>
        </w:rPr>
        <w:t>（二）评标争议事项处理</w:t>
      </w:r>
    </w:p>
    <w:p w14:paraId="50749968">
      <w:pPr>
        <w:pStyle w:val="18"/>
        <w:tabs>
          <w:tab w:val="left" w:pos="2472"/>
        </w:tabs>
        <w:spacing w:line="360" w:lineRule="auto"/>
        <w:ind w:firstLine="420" w:firstLineChars="200"/>
        <w:rPr>
          <w:rFonts w:hint="eastAsia" w:hAnsi="宋体"/>
          <w:color w:val="auto"/>
          <w:highlight w:val="none"/>
        </w:rPr>
      </w:pPr>
      <w:r>
        <w:rPr>
          <w:rFonts w:hint="eastAsia" w:hAnsi="宋体"/>
          <w:color w:val="auto"/>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15E37CEB">
      <w:pPr>
        <w:pStyle w:val="18"/>
        <w:tabs>
          <w:tab w:val="left" w:pos="2472"/>
        </w:tabs>
        <w:spacing w:line="460" w:lineRule="exact"/>
        <w:rPr>
          <w:rFonts w:hint="eastAsia" w:ascii="Times New Roman" w:hAnsi="Times New Roman"/>
          <w:b/>
          <w:color w:val="auto"/>
          <w:sz w:val="36"/>
          <w:highlight w:val="none"/>
        </w:rPr>
        <w:sectPr>
          <w:pgSz w:w="11906" w:h="16838"/>
          <w:pgMar w:top="1134" w:right="1134" w:bottom="1134" w:left="1134" w:header="720" w:footer="720" w:gutter="0"/>
          <w:pgNumType w:fmt="decimal"/>
          <w:cols w:space="720" w:num="1"/>
          <w:docGrid w:type="lines" w:linePitch="331" w:charSpace="0"/>
        </w:sectPr>
      </w:pPr>
    </w:p>
    <w:p w14:paraId="709B2BC4">
      <w:pPr>
        <w:pStyle w:val="18"/>
        <w:tabs>
          <w:tab w:val="left" w:pos="2472"/>
        </w:tabs>
        <w:spacing w:line="460" w:lineRule="exact"/>
        <w:jc w:val="center"/>
        <w:rPr>
          <w:rFonts w:ascii="Times New Roman" w:hAnsi="Times New Roman"/>
          <w:b/>
          <w:color w:val="auto"/>
          <w:sz w:val="36"/>
          <w:highlight w:val="none"/>
        </w:rPr>
      </w:pPr>
    </w:p>
    <w:p w14:paraId="15825647">
      <w:pPr>
        <w:pStyle w:val="18"/>
        <w:tabs>
          <w:tab w:val="left" w:pos="2472"/>
        </w:tabs>
        <w:spacing w:line="460" w:lineRule="exact"/>
        <w:jc w:val="center"/>
        <w:rPr>
          <w:rFonts w:ascii="Times New Roman" w:hAnsi="Times New Roman"/>
          <w:b/>
          <w:color w:val="auto"/>
          <w:sz w:val="36"/>
          <w:highlight w:val="none"/>
        </w:rPr>
      </w:pPr>
    </w:p>
    <w:p w14:paraId="37FE1AC9">
      <w:pPr>
        <w:pStyle w:val="18"/>
        <w:tabs>
          <w:tab w:val="left" w:pos="2472"/>
        </w:tabs>
        <w:spacing w:line="460" w:lineRule="exact"/>
        <w:jc w:val="center"/>
        <w:rPr>
          <w:rFonts w:ascii="Times New Roman" w:hAnsi="Times New Roman"/>
          <w:b/>
          <w:color w:val="auto"/>
          <w:sz w:val="36"/>
          <w:highlight w:val="none"/>
        </w:rPr>
      </w:pPr>
    </w:p>
    <w:p w14:paraId="3E8B198B">
      <w:pPr>
        <w:pStyle w:val="18"/>
        <w:tabs>
          <w:tab w:val="left" w:pos="2472"/>
        </w:tabs>
        <w:spacing w:line="460" w:lineRule="exact"/>
        <w:jc w:val="center"/>
        <w:rPr>
          <w:rFonts w:ascii="Times New Roman" w:hAnsi="Times New Roman"/>
          <w:b/>
          <w:color w:val="auto"/>
          <w:sz w:val="36"/>
          <w:highlight w:val="none"/>
        </w:rPr>
      </w:pPr>
    </w:p>
    <w:p w14:paraId="54B06D52">
      <w:pPr>
        <w:pStyle w:val="18"/>
        <w:tabs>
          <w:tab w:val="left" w:pos="2472"/>
        </w:tabs>
        <w:spacing w:line="460" w:lineRule="exact"/>
        <w:jc w:val="center"/>
        <w:rPr>
          <w:rFonts w:ascii="Times New Roman" w:hAnsi="Times New Roman"/>
          <w:b/>
          <w:color w:val="auto"/>
          <w:sz w:val="36"/>
          <w:highlight w:val="none"/>
        </w:rPr>
      </w:pPr>
    </w:p>
    <w:p w14:paraId="685F0F1F">
      <w:pPr>
        <w:pStyle w:val="18"/>
        <w:tabs>
          <w:tab w:val="left" w:pos="2472"/>
        </w:tabs>
        <w:spacing w:line="460" w:lineRule="exact"/>
        <w:jc w:val="center"/>
        <w:rPr>
          <w:rFonts w:ascii="Times New Roman" w:hAnsi="Times New Roman"/>
          <w:b/>
          <w:color w:val="auto"/>
          <w:sz w:val="36"/>
          <w:highlight w:val="none"/>
        </w:rPr>
      </w:pPr>
    </w:p>
    <w:p w14:paraId="6AF2254C">
      <w:pPr>
        <w:pStyle w:val="18"/>
        <w:tabs>
          <w:tab w:val="left" w:pos="2472"/>
        </w:tabs>
        <w:spacing w:line="460" w:lineRule="exact"/>
        <w:jc w:val="center"/>
        <w:rPr>
          <w:rFonts w:ascii="Times New Roman" w:hAnsi="Times New Roman"/>
          <w:b/>
          <w:color w:val="auto"/>
          <w:sz w:val="36"/>
          <w:highlight w:val="none"/>
        </w:rPr>
      </w:pPr>
    </w:p>
    <w:p w14:paraId="4CA49521">
      <w:pPr>
        <w:pStyle w:val="18"/>
        <w:tabs>
          <w:tab w:val="left" w:pos="2472"/>
        </w:tabs>
        <w:spacing w:line="460" w:lineRule="exact"/>
        <w:jc w:val="center"/>
        <w:rPr>
          <w:rFonts w:ascii="Times New Roman" w:hAnsi="Times New Roman"/>
          <w:b/>
          <w:color w:val="auto"/>
          <w:sz w:val="36"/>
          <w:highlight w:val="none"/>
        </w:rPr>
      </w:pPr>
    </w:p>
    <w:p w14:paraId="4A2F3223">
      <w:pPr>
        <w:pStyle w:val="18"/>
        <w:tabs>
          <w:tab w:val="left" w:pos="2472"/>
        </w:tabs>
        <w:spacing w:line="460" w:lineRule="exact"/>
        <w:jc w:val="center"/>
        <w:rPr>
          <w:rFonts w:ascii="Times New Roman" w:hAnsi="Times New Roman"/>
          <w:b/>
          <w:color w:val="auto"/>
          <w:sz w:val="36"/>
          <w:highlight w:val="none"/>
        </w:rPr>
      </w:pPr>
    </w:p>
    <w:p w14:paraId="6377FD64">
      <w:pPr>
        <w:pStyle w:val="18"/>
        <w:tabs>
          <w:tab w:val="left" w:pos="2472"/>
        </w:tabs>
        <w:spacing w:line="460" w:lineRule="exact"/>
        <w:jc w:val="center"/>
        <w:rPr>
          <w:rFonts w:ascii="Times New Roman" w:hAnsi="Times New Roman"/>
          <w:b/>
          <w:color w:val="auto"/>
          <w:sz w:val="36"/>
          <w:highlight w:val="none"/>
        </w:rPr>
      </w:pPr>
    </w:p>
    <w:p w14:paraId="38D313FC">
      <w:pPr>
        <w:pStyle w:val="18"/>
        <w:tabs>
          <w:tab w:val="left" w:pos="2472"/>
        </w:tabs>
        <w:spacing w:line="460" w:lineRule="exact"/>
        <w:jc w:val="center"/>
        <w:rPr>
          <w:rFonts w:ascii="Times New Roman" w:hAnsi="Times New Roman"/>
          <w:b/>
          <w:color w:val="auto"/>
          <w:sz w:val="36"/>
          <w:highlight w:val="none"/>
        </w:rPr>
      </w:pPr>
    </w:p>
    <w:p w14:paraId="445064E4">
      <w:pPr>
        <w:pStyle w:val="7"/>
        <w:rPr>
          <w:color w:val="auto"/>
          <w:highlight w:val="none"/>
        </w:rPr>
      </w:pPr>
    </w:p>
    <w:p w14:paraId="1FFE2C17">
      <w:pPr>
        <w:pStyle w:val="18"/>
        <w:tabs>
          <w:tab w:val="left" w:pos="2472"/>
        </w:tabs>
        <w:spacing w:line="460" w:lineRule="exact"/>
        <w:jc w:val="center"/>
        <w:rPr>
          <w:rFonts w:hint="eastAsia" w:ascii="Times New Roman" w:hAnsi="Times New Roman"/>
          <w:b/>
          <w:color w:val="auto"/>
          <w:sz w:val="36"/>
          <w:highlight w:val="none"/>
        </w:rPr>
      </w:pPr>
    </w:p>
    <w:p w14:paraId="2B3CC3EF">
      <w:pPr>
        <w:pStyle w:val="18"/>
        <w:tabs>
          <w:tab w:val="left" w:pos="2472"/>
        </w:tabs>
        <w:spacing w:line="460" w:lineRule="exact"/>
        <w:jc w:val="center"/>
        <w:rPr>
          <w:rFonts w:hint="eastAsia" w:ascii="Times New Roman" w:hAnsi="Times New Roman"/>
          <w:b/>
          <w:color w:val="auto"/>
          <w:sz w:val="36"/>
          <w:highlight w:val="none"/>
        </w:rPr>
      </w:pPr>
    </w:p>
    <w:p w14:paraId="32D57680">
      <w:pPr>
        <w:snapToGrid w:val="0"/>
        <w:spacing w:before="50" w:after="165" w:afterLines="50" w:line="360" w:lineRule="auto"/>
        <w:ind w:firstLine="480" w:firstLineChars="200"/>
        <w:jc w:val="left"/>
        <w:rPr>
          <w:rFonts w:hint="eastAsia" w:ascii="宋体" w:hAnsi="宋体" w:cs="宋体"/>
          <w:color w:val="auto"/>
          <w:sz w:val="24"/>
          <w:highlight w:val="none"/>
        </w:rPr>
      </w:pPr>
    </w:p>
    <w:bookmarkEnd w:id="120"/>
    <w:sectPr>
      <w:headerReference r:id="rId7" w:type="default"/>
      <w:footerReference r:id="rId8" w:type="default"/>
      <w:pgSz w:w="11906" w:h="16838"/>
      <w:pgMar w:top="1134" w:right="1134" w:bottom="1134" w:left="1134" w:header="720" w:footer="720" w:gutter="0"/>
      <w:pgNumType w:fmt="decimal"/>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MingLiU">
    <w:altName w:val="PMingLiU-ExtB"/>
    <w:panose1 w:val="020203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Arial Unicode MS">
    <w:altName w:val="宋体"/>
    <w:panose1 w:val="020B0604020202020204"/>
    <w:charset w:val="86"/>
    <w:family w:val="swiss"/>
    <w:pitch w:val="default"/>
    <w:sig w:usb0="00000000" w:usb1="00000000" w:usb2="0000003F" w:usb3="00000000" w:csb0="603F01FF" w:csb1="FFFF0000"/>
  </w:font>
  <w:font w:name="Wingdings 2">
    <w:panose1 w:val="05020102010507070707"/>
    <w:charset w:val="02"/>
    <w:family w:val="roman"/>
    <w:pitch w:val="default"/>
    <w:sig w:usb0="00000000" w:usb1="00000000" w:usb2="00000000" w:usb3="00000000" w:csb0="80000000" w:csb1="00000000"/>
  </w:font>
  <w:font w:name="Helvetica Neue">
    <w:altName w:val="Segoe UI"/>
    <w:panose1 w:val="02000503000000020004"/>
    <w:charset w:val="00"/>
    <w:family w:val="auto"/>
    <w:pitch w:val="default"/>
    <w:sig w:usb0="00000000" w:usb1="00000000" w:usb2="00000010" w:usb3="00000000" w:csb0="00000000" w:csb1="00000000"/>
  </w:font>
  <w:font w:name="Segoe UI">
    <w:panose1 w:val="020B0502040204020203"/>
    <w:charset w:val="00"/>
    <w:family w:val="auto"/>
    <w:pitch w:val="default"/>
    <w:sig w:usb0="E4002EFF" w:usb1="C000E47F" w:usb2="00000009" w:usb3="00000000" w:csb0="200001F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7BA69">
    <w:pPr>
      <w:pStyle w:val="23"/>
      <w:jc w:val="center"/>
    </w:pPr>
  </w:p>
  <w:p w14:paraId="6ADA6E6A">
    <w:pPr>
      <w:pStyle w:val="2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4A195">
    <w:pPr>
      <w:pStyle w:val="23"/>
      <w:jc w:val="center"/>
    </w:pPr>
  </w:p>
  <w:p w14:paraId="69CBC029">
    <w:pPr>
      <w:pStyle w:val="2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CC372">
    <w:pPr>
      <w:pStyle w:val="23"/>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5" name="文本框 1025"/>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17374E74">
                          <w:pPr>
                            <w:pStyle w:val="23"/>
                          </w:pPr>
                          <w:r>
                            <w:fldChar w:fldCharType="begin"/>
                          </w:r>
                          <w:r>
                            <w:instrText xml:space="preserve"> PAGE  \* MERGEFORMAT </w:instrText>
                          </w:r>
                          <w:r>
                            <w:fldChar w:fldCharType="separate"/>
                          </w:r>
                          <w:r>
                            <w:t>40</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B5r/0rQAQAAmgMAAA4AAABkcnMvZTJvRG9jLnhtbK1TzY7TMBC+I/EO&#10;lu80SbeLIGq6AlWLkBAgLTyA69iNJf/J4zbpC8AbcOLCnefqc+zYSbqwXPbAJRmPJ9983zeT9c1g&#10;NDmKAMrZhlaLkhJhuWuV3Tf065fbF68ogchsy7SzoqEnAfRm8/zZuve1WLrO6VYEgiAW6t43tIvR&#10;10UBvBOGwcJ5YfFSumBYxGPYF21gPaIbXSzL8mXRu9D64LgAwOx2vKQTYngKoJNScbF1/GCEjSNq&#10;EJpFlASd8kA3ma2UgsdPUoKIRDcUlcb8xCYY79Kz2KxZvQ/Md4pPFNhTKDzSZJiy2PQCtWWRkUNQ&#10;/0AZxYMDJ+OCO1OMQrIjqKIqH3lz1zEvsha0GvzFdPh/sPzj8XMgqm3oNSWWGRz4+cf388/f51/f&#10;SFUur5NDvYcaC+88lsbhrRtwb+Y8YDIJH2Qw6Y2SCN6jv6eLv2KIhKePqtXrK+zD8aq6qlarjF48&#10;fOwDxHfCGZKChgYcX3aVHT9ARCJYOpekXtbdKq3zCLX9K4GFKVMk5iPDFMVhN0xydq49oZoeJ99Q&#10;i4tOiX5v0di0JHMQ5mA3Bwcf1L7LW5T6gX9ziEgic0sdRtipMY4sU57WK+3En+dc9fBLbe4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Q+V+SdAAAAADAQAADwAAAAAAAAABACAAAAAiAAAAZHJzL2Rv&#10;d25yZXYueG1sUEsBAhQAFAAAAAgAh07iQB5r/0rQAQAAmgMAAA4AAAAAAAAAAQAgAAAAHwEAAGRy&#10;cy9lMm9Eb2MueG1sUEsFBgAAAAAGAAYAWQEAAGEFAAAAAA==&#10;">
              <v:fill on="f" focussize="0,0"/>
              <v:stroke on="f"/>
              <v:imagedata o:title=""/>
              <o:lock v:ext="edit" aspectratio="f"/>
              <v:textbox inset="0mm,0mm,0mm,0mm" style="mso-fit-shape-to-text:t;">
                <w:txbxContent>
                  <w:p w14:paraId="17374E74">
                    <w:pPr>
                      <w:pStyle w:val="23"/>
                    </w:pPr>
                    <w:r>
                      <w:fldChar w:fldCharType="begin"/>
                    </w:r>
                    <w:r>
                      <w:instrText xml:space="preserve"> PAGE  \* MERGEFORMAT </w:instrText>
                    </w:r>
                    <w:r>
                      <w:fldChar w:fldCharType="separate"/>
                    </w:r>
                    <w:r>
                      <w:t>40</w:t>
                    </w:r>
                    <w:r>
                      <w:fldChar w:fldCharType="end"/>
                    </w:r>
                  </w:p>
                </w:txbxContent>
              </v:textbox>
            </v:shape>
          </w:pict>
        </mc:Fallback>
      </mc:AlternateContent>
    </w:r>
  </w:p>
  <w:p w14:paraId="106E0D97">
    <w:pPr>
      <w:pStyle w:val="2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996BC">
    <w:pPr>
      <w:pStyle w:val="2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28963A">
                          <w:pPr>
                            <w:pStyle w:val="23"/>
                            <w:jc w:val="center"/>
                          </w:pPr>
                          <w:r>
                            <w:fldChar w:fldCharType="begin"/>
                          </w:r>
                          <w:r>
                            <w:instrText xml:space="preserve"> PAGE   \* MERGEFORMAT </w:instrText>
                          </w:r>
                          <w:r>
                            <w:fldChar w:fldCharType="separate"/>
                          </w:r>
                          <w:r>
                            <w:rPr>
                              <w:lang w:val="zh-CN"/>
                            </w:rPr>
                            <w:t>73</w:t>
                          </w:r>
                          <w:r>
                            <w:fldChar w:fldCharType="end"/>
                          </w: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GNDkccBAACZAwAADgAAAGRycy9lMm9Eb2MueG1srVPNjtMwEL4j8Q6W&#10;79TZCqEoaroCVYuQECAtPIDr2I0l/8njNukLwBtw4sKd5+pzMHaSLiyXPXBxxjPjb+b7ZrK5Ha0h&#10;JxlBe9fSm1VFiXTCd9odWvrl892LmhJI3HXceCdbepZAb7fPn22G0Mi1773pZCQI4qAZQkv7lELD&#10;GIheWg4rH6TDoPLR8oTXeGBd5AOiW8PWVfWKDT52IXohAdC7m4J0RoxPAfRKaSF3XhytdGlCjdLw&#10;hJSg1wHotnSrlBTpo1IgEzEtRaapnFgE7X0+2XbDm0PkoddiboE/pYVHnCzXDoteoXY8cXKM+h8o&#10;q0X04FVaCW/ZRKQogixuqkfa3Pc8yMIFpYZwFR3+H6z4cPoUie5a+pISxy0O/PL92+XHr8vPr6TO&#10;8gwBGsy6D5iXxjd+xKVZ/IDOzHpU0eYv8iEYR3HPV3HlmIjIj+p1XVcYEhhbLojPHp6HCOmt9JZk&#10;o6URp1dE5af3kKbUJSVXc/5OG1MmaNxfDsTMHpZ7n3rMVhr340xo77sz8hlw8C11uOeUmHcOdc07&#10;shhxMfaLcQxRH/qyRLkehNfHhE2U3nKFCXYujBMr7Obtyivx571kPfxR2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2GNDkccBAACZAwAADgAAAAAAAAABACAAAAAeAQAAZHJzL2Uyb0RvYy54&#10;bWxQSwUGAAAAAAYABgBZAQAAVwUAAAAA&#10;">
              <v:fill on="f" focussize="0,0"/>
              <v:stroke on="f"/>
              <v:imagedata o:title=""/>
              <o:lock v:ext="edit" aspectratio="f"/>
              <v:textbox inset="0mm,0mm,0mm,0mm" style="mso-fit-shape-to-text:t;">
                <w:txbxContent>
                  <w:p w14:paraId="5E28963A">
                    <w:pPr>
                      <w:pStyle w:val="23"/>
                      <w:jc w:val="center"/>
                    </w:pPr>
                    <w:r>
                      <w:fldChar w:fldCharType="begin"/>
                    </w:r>
                    <w:r>
                      <w:instrText xml:space="preserve"> PAGE   \* MERGEFORMAT </w:instrText>
                    </w:r>
                    <w:r>
                      <w:fldChar w:fldCharType="separate"/>
                    </w:r>
                    <w:r>
                      <w:rPr>
                        <w:lang w:val="zh-CN"/>
                      </w:rPr>
                      <w:t>73</w:t>
                    </w:r>
                    <w:r>
                      <w:fldChar w:fldCharType="end"/>
                    </w:r>
                  </w:p>
                </w:txbxContent>
              </v:textbox>
            </v:shape>
          </w:pict>
        </mc:Fallback>
      </mc:AlternateContent>
    </w:r>
  </w:p>
  <w:p w14:paraId="59274B28">
    <w:pPr>
      <w:pStyle w:val="2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BC2D9">
    <w:pPr>
      <w:pStyle w:val="24"/>
      <w:pBdr>
        <w:bottom w:val="none" w:color="auto" w:sz="0" w:space="1"/>
      </w:pBdr>
      <w:tabs>
        <w:tab w:val="center" w:pos="0"/>
        <w:tab w:val="clear" w:pos="4153"/>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6E74A">
    <w:pPr>
      <w:pStyle w:val="24"/>
      <w:pBdr>
        <w:bottom w:val="none" w:color="auto" w:sz="0" w:space="1"/>
      </w:pBdr>
      <w:tabs>
        <w:tab w:val="center" w:pos="0"/>
        <w:tab w:val="clear" w:pos="4153"/>
      </w:tabs>
      <w:rPr>
        <w:rFonts w:hint="eastAsia"/>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EF45EB"/>
    <w:multiLevelType w:val="singleLevel"/>
    <w:tmpl w:val="CDEF45EB"/>
    <w:lvl w:ilvl="0" w:tentative="0">
      <w:start w:val="2"/>
      <w:numFmt w:val="chineseCounting"/>
      <w:suff w:val="nothing"/>
      <w:lvlText w:val="（%1）"/>
      <w:lvlJc w:val="left"/>
      <w:rPr>
        <w:rFonts w:hint="eastAsia"/>
      </w:rPr>
    </w:lvl>
  </w:abstractNum>
  <w:abstractNum w:abstractNumId="1">
    <w:nsid w:val="00000001"/>
    <w:multiLevelType w:val="singleLevel"/>
    <w:tmpl w:val="00000001"/>
    <w:lvl w:ilvl="0" w:tentative="0">
      <w:start w:val="1"/>
      <w:numFmt w:val="decimal"/>
      <w:suff w:val="nothing"/>
      <w:lvlText w:val="%1．"/>
      <w:lvlJc w:val="left"/>
      <w:pPr>
        <w:ind w:left="0" w:firstLine="400"/>
      </w:pPr>
      <w:rPr>
        <w:rFonts w:hint="default"/>
      </w:rPr>
    </w:lvl>
  </w:abstractNum>
  <w:abstractNum w:abstractNumId="2">
    <w:nsid w:val="00000003"/>
    <w:multiLevelType w:val="singleLevel"/>
    <w:tmpl w:val="00000003"/>
    <w:lvl w:ilvl="0" w:tentative="0">
      <w:start w:val="1"/>
      <w:numFmt w:val="decimal"/>
      <w:suff w:val="nothing"/>
      <w:lvlText w:val="%1．"/>
      <w:lvlJc w:val="left"/>
      <w:pPr>
        <w:ind w:left="0" w:firstLine="400"/>
      </w:pPr>
      <w:rPr>
        <w:rFonts w:hint="default"/>
      </w:rPr>
    </w:lvl>
  </w:abstractNum>
  <w:abstractNum w:abstractNumId="3">
    <w:nsid w:val="00000005"/>
    <w:multiLevelType w:val="singleLevel"/>
    <w:tmpl w:val="00000005"/>
    <w:lvl w:ilvl="0" w:tentative="0">
      <w:start w:val="1"/>
      <w:numFmt w:val="decimal"/>
      <w:suff w:val="nothing"/>
      <w:lvlText w:val="%1．"/>
      <w:lvlJc w:val="left"/>
      <w:pPr>
        <w:ind w:left="0" w:firstLine="400"/>
      </w:pPr>
      <w:rPr>
        <w:rFonts w:hint="default"/>
      </w:rPr>
    </w:lvl>
  </w:abstractNum>
  <w:abstractNum w:abstractNumId="4">
    <w:nsid w:val="00000006"/>
    <w:multiLevelType w:val="singleLevel"/>
    <w:tmpl w:val="00000006"/>
    <w:lvl w:ilvl="0" w:tentative="0">
      <w:start w:val="1"/>
      <w:numFmt w:val="decimal"/>
      <w:suff w:val="nothing"/>
      <w:lvlText w:val="%1．"/>
      <w:lvlJc w:val="left"/>
      <w:pPr>
        <w:ind w:left="0" w:firstLine="400"/>
      </w:pPr>
      <w:rPr>
        <w:rFonts w:hint="default"/>
      </w:rPr>
    </w:lvl>
  </w:abstractNum>
  <w:abstractNum w:abstractNumId="5">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6">
    <w:nsid w:val="00000010"/>
    <w:multiLevelType w:val="singleLevel"/>
    <w:tmpl w:val="00000010"/>
    <w:lvl w:ilvl="0" w:tentative="0">
      <w:start w:val="1"/>
      <w:numFmt w:val="decimal"/>
      <w:suff w:val="nothing"/>
      <w:lvlText w:val="%1．"/>
      <w:lvlJc w:val="left"/>
      <w:pPr>
        <w:ind w:left="0" w:firstLine="400"/>
      </w:pPr>
      <w:rPr>
        <w:rFonts w:hint="default"/>
      </w:rPr>
    </w:lvl>
  </w:abstractNum>
  <w:abstractNum w:abstractNumId="7">
    <w:nsid w:val="00000011"/>
    <w:multiLevelType w:val="singleLevel"/>
    <w:tmpl w:val="00000011"/>
    <w:lvl w:ilvl="0" w:tentative="0">
      <w:start w:val="1"/>
      <w:numFmt w:val="decimal"/>
      <w:suff w:val="nothing"/>
      <w:lvlText w:val="%1．"/>
      <w:lvlJc w:val="left"/>
      <w:pPr>
        <w:ind w:left="0" w:firstLine="400"/>
      </w:pPr>
      <w:rPr>
        <w:rFonts w:hint="default"/>
      </w:rPr>
    </w:lvl>
  </w:abstractNum>
  <w:abstractNum w:abstractNumId="8">
    <w:nsid w:val="00000015"/>
    <w:multiLevelType w:val="singleLevel"/>
    <w:tmpl w:val="00000015"/>
    <w:lvl w:ilvl="0" w:tentative="0">
      <w:start w:val="1"/>
      <w:numFmt w:val="decimal"/>
      <w:suff w:val="nothing"/>
      <w:lvlText w:val="%1．"/>
      <w:lvlJc w:val="left"/>
      <w:pPr>
        <w:ind w:left="0" w:firstLine="400"/>
      </w:pPr>
      <w:rPr>
        <w:rFonts w:hint="default"/>
      </w:rPr>
    </w:lvl>
  </w:abstractNum>
  <w:abstractNum w:abstractNumId="9">
    <w:nsid w:val="7C1CCD58"/>
    <w:multiLevelType w:val="singleLevel"/>
    <w:tmpl w:val="7C1CCD58"/>
    <w:lvl w:ilvl="0" w:tentative="0">
      <w:start w:val="4"/>
      <w:numFmt w:val="chineseCounting"/>
      <w:suff w:val="space"/>
      <w:lvlText w:val="第%1章"/>
      <w:lvlJc w:val="left"/>
      <w:rPr>
        <w:rFonts w:hint="eastAsia"/>
      </w:rPr>
    </w:lvl>
  </w:abstractNum>
  <w:num w:numId="1">
    <w:abstractNumId w:val="0"/>
  </w:num>
  <w:num w:numId="2">
    <w:abstractNumId w:val="1"/>
  </w:num>
  <w:num w:numId="3">
    <w:abstractNumId w:val="6"/>
  </w:num>
  <w:num w:numId="4">
    <w:abstractNumId w:val="4"/>
  </w:num>
  <w:num w:numId="5">
    <w:abstractNumId w:val="3"/>
  </w:num>
  <w:num w:numId="6">
    <w:abstractNumId w:val="5"/>
  </w:num>
  <w:num w:numId="7">
    <w:abstractNumId w:val="8"/>
  </w:num>
  <w:num w:numId="8">
    <w:abstractNumId w:val="7"/>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31"/>
  <w:displayHorizontalDrawingGridEvery w:val="1"/>
  <w:displayVerticalDrawingGridEvery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1MjZhY2MxYTBmMzU0NzM5YzdiNjU1N2JlNTYwNTMifQ=="/>
  </w:docVars>
  <w:rsids>
    <w:rsidRoot w:val="00172A27"/>
    <w:rsid w:val="0000096C"/>
    <w:rsid w:val="00000CDB"/>
    <w:rsid w:val="00001CDA"/>
    <w:rsid w:val="00004344"/>
    <w:rsid w:val="00005909"/>
    <w:rsid w:val="000207D5"/>
    <w:rsid w:val="00024E82"/>
    <w:rsid w:val="00027659"/>
    <w:rsid w:val="00030800"/>
    <w:rsid w:val="00031652"/>
    <w:rsid w:val="00034A7D"/>
    <w:rsid w:val="00035197"/>
    <w:rsid w:val="00035F9C"/>
    <w:rsid w:val="00044EDB"/>
    <w:rsid w:val="00054304"/>
    <w:rsid w:val="000553BC"/>
    <w:rsid w:val="00056551"/>
    <w:rsid w:val="0006218D"/>
    <w:rsid w:val="00063F24"/>
    <w:rsid w:val="00065AF0"/>
    <w:rsid w:val="00066EA9"/>
    <w:rsid w:val="00066FE1"/>
    <w:rsid w:val="00074D5F"/>
    <w:rsid w:val="00077BF5"/>
    <w:rsid w:val="00081789"/>
    <w:rsid w:val="00085A0D"/>
    <w:rsid w:val="00092A54"/>
    <w:rsid w:val="00092F65"/>
    <w:rsid w:val="0009317E"/>
    <w:rsid w:val="00093B18"/>
    <w:rsid w:val="00094E84"/>
    <w:rsid w:val="000A7A4B"/>
    <w:rsid w:val="000C302E"/>
    <w:rsid w:val="000C5D44"/>
    <w:rsid w:val="000D5F48"/>
    <w:rsid w:val="000D7284"/>
    <w:rsid w:val="000E6783"/>
    <w:rsid w:val="000F1BBE"/>
    <w:rsid w:val="001031E7"/>
    <w:rsid w:val="00104245"/>
    <w:rsid w:val="001108AC"/>
    <w:rsid w:val="00110DD2"/>
    <w:rsid w:val="00116FC9"/>
    <w:rsid w:val="00120C46"/>
    <w:rsid w:val="00125837"/>
    <w:rsid w:val="001306A8"/>
    <w:rsid w:val="00140B14"/>
    <w:rsid w:val="00140CE8"/>
    <w:rsid w:val="00143DA6"/>
    <w:rsid w:val="00151CEE"/>
    <w:rsid w:val="0015209C"/>
    <w:rsid w:val="001551E7"/>
    <w:rsid w:val="001633C3"/>
    <w:rsid w:val="00170AA7"/>
    <w:rsid w:val="00173852"/>
    <w:rsid w:val="00174444"/>
    <w:rsid w:val="00174F9B"/>
    <w:rsid w:val="00177D95"/>
    <w:rsid w:val="00181460"/>
    <w:rsid w:val="00182C28"/>
    <w:rsid w:val="00190F4C"/>
    <w:rsid w:val="00193D49"/>
    <w:rsid w:val="0019577E"/>
    <w:rsid w:val="001B1366"/>
    <w:rsid w:val="001B2BDE"/>
    <w:rsid w:val="001B2FAE"/>
    <w:rsid w:val="001C2E44"/>
    <w:rsid w:val="001D047F"/>
    <w:rsid w:val="001D4A6D"/>
    <w:rsid w:val="001E0216"/>
    <w:rsid w:val="001E0590"/>
    <w:rsid w:val="001E3E3A"/>
    <w:rsid w:val="001E4E53"/>
    <w:rsid w:val="001E6153"/>
    <w:rsid w:val="001E6C5D"/>
    <w:rsid w:val="001E7AB6"/>
    <w:rsid w:val="001F330A"/>
    <w:rsid w:val="001F4D3C"/>
    <w:rsid w:val="00201770"/>
    <w:rsid w:val="00204164"/>
    <w:rsid w:val="00204F25"/>
    <w:rsid w:val="00205999"/>
    <w:rsid w:val="00207350"/>
    <w:rsid w:val="00207DB7"/>
    <w:rsid w:val="00221909"/>
    <w:rsid w:val="002230A4"/>
    <w:rsid w:val="00231EAB"/>
    <w:rsid w:val="00232E04"/>
    <w:rsid w:val="00236055"/>
    <w:rsid w:val="00236B7D"/>
    <w:rsid w:val="00244627"/>
    <w:rsid w:val="0025753A"/>
    <w:rsid w:val="002738BD"/>
    <w:rsid w:val="0028052D"/>
    <w:rsid w:val="002867CF"/>
    <w:rsid w:val="00293976"/>
    <w:rsid w:val="00297271"/>
    <w:rsid w:val="002B3400"/>
    <w:rsid w:val="002B4610"/>
    <w:rsid w:val="002C0483"/>
    <w:rsid w:val="002C1328"/>
    <w:rsid w:val="002C27F2"/>
    <w:rsid w:val="002C38A0"/>
    <w:rsid w:val="002D2EF2"/>
    <w:rsid w:val="002E0A18"/>
    <w:rsid w:val="002F55FD"/>
    <w:rsid w:val="002F667D"/>
    <w:rsid w:val="003014B1"/>
    <w:rsid w:val="003051FD"/>
    <w:rsid w:val="00305816"/>
    <w:rsid w:val="00315EB2"/>
    <w:rsid w:val="003162D6"/>
    <w:rsid w:val="00316994"/>
    <w:rsid w:val="00320B19"/>
    <w:rsid w:val="00322C10"/>
    <w:rsid w:val="003249D1"/>
    <w:rsid w:val="00327461"/>
    <w:rsid w:val="00330EE9"/>
    <w:rsid w:val="003331F5"/>
    <w:rsid w:val="00337A9F"/>
    <w:rsid w:val="00346976"/>
    <w:rsid w:val="00347950"/>
    <w:rsid w:val="00353905"/>
    <w:rsid w:val="00355191"/>
    <w:rsid w:val="00360BAF"/>
    <w:rsid w:val="00366E54"/>
    <w:rsid w:val="0037075A"/>
    <w:rsid w:val="00371C87"/>
    <w:rsid w:val="00384EB6"/>
    <w:rsid w:val="003868E3"/>
    <w:rsid w:val="0039417D"/>
    <w:rsid w:val="003A3917"/>
    <w:rsid w:val="003A622A"/>
    <w:rsid w:val="003B031E"/>
    <w:rsid w:val="003B31F1"/>
    <w:rsid w:val="003B7C9A"/>
    <w:rsid w:val="003C027A"/>
    <w:rsid w:val="003C393F"/>
    <w:rsid w:val="003D3465"/>
    <w:rsid w:val="003D478D"/>
    <w:rsid w:val="003D7400"/>
    <w:rsid w:val="003E0AD4"/>
    <w:rsid w:val="003E1425"/>
    <w:rsid w:val="003E20C4"/>
    <w:rsid w:val="003E64C1"/>
    <w:rsid w:val="003F1067"/>
    <w:rsid w:val="003F1F9C"/>
    <w:rsid w:val="003F7B0D"/>
    <w:rsid w:val="00400348"/>
    <w:rsid w:val="004029ED"/>
    <w:rsid w:val="00403AA3"/>
    <w:rsid w:val="0040651A"/>
    <w:rsid w:val="00435268"/>
    <w:rsid w:val="004437ED"/>
    <w:rsid w:val="0044600A"/>
    <w:rsid w:val="00447BDE"/>
    <w:rsid w:val="00450ADB"/>
    <w:rsid w:val="00452102"/>
    <w:rsid w:val="004531C4"/>
    <w:rsid w:val="0046694A"/>
    <w:rsid w:val="0046760D"/>
    <w:rsid w:val="00467833"/>
    <w:rsid w:val="00474447"/>
    <w:rsid w:val="004820E2"/>
    <w:rsid w:val="004853B6"/>
    <w:rsid w:val="004861BA"/>
    <w:rsid w:val="00486E44"/>
    <w:rsid w:val="0049027F"/>
    <w:rsid w:val="004925A4"/>
    <w:rsid w:val="004929AD"/>
    <w:rsid w:val="004A0443"/>
    <w:rsid w:val="004A5F2A"/>
    <w:rsid w:val="004A6736"/>
    <w:rsid w:val="004A6976"/>
    <w:rsid w:val="004C5B3E"/>
    <w:rsid w:val="004E126C"/>
    <w:rsid w:val="004F5BCD"/>
    <w:rsid w:val="005033B8"/>
    <w:rsid w:val="00503A40"/>
    <w:rsid w:val="00506840"/>
    <w:rsid w:val="00511A25"/>
    <w:rsid w:val="00512DEE"/>
    <w:rsid w:val="00517D40"/>
    <w:rsid w:val="00520861"/>
    <w:rsid w:val="00521880"/>
    <w:rsid w:val="00523187"/>
    <w:rsid w:val="00525C35"/>
    <w:rsid w:val="005279FB"/>
    <w:rsid w:val="00532BF5"/>
    <w:rsid w:val="0053541C"/>
    <w:rsid w:val="005458AD"/>
    <w:rsid w:val="0055409E"/>
    <w:rsid w:val="00554A36"/>
    <w:rsid w:val="00562514"/>
    <w:rsid w:val="00564C6D"/>
    <w:rsid w:val="00576E04"/>
    <w:rsid w:val="0057733C"/>
    <w:rsid w:val="00581AC2"/>
    <w:rsid w:val="00583AC0"/>
    <w:rsid w:val="00584BFC"/>
    <w:rsid w:val="005873D0"/>
    <w:rsid w:val="005917A6"/>
    <w:rsid w:val="005932B6"/>
    <w:rsid w:val="00596F89"/>
    <w:rsid w:val="005B53A3"/>
    <w:rsid w:val="005C06FA"/>
    <w:rsid w:val="005D4095"/>
    <w:rsid w:val="005D54D6"/>
    <w:rsid w:val="005D6CCE"/>
    <w:rsid w:val="005D7E6A"/>
    <w:rsid w:val="005E671C"/>
    <w:rsid w:val="005F6F86"/>
    <w:rsid w:val="00600743"/>
    <w:rsid w:val="006048A4"/>
    <w:rsid w:val="00605362"/>
    <w:rsid w:val="006064F7"/>
    <w:rsid w:val="006068F0"/>
    <w:rsid w:val="00606C3B"/>
    <w:rsid w:val="00622C28"/>
    <w:rsid w:val="00626776"/>
    <w:rsid w:val="00626CA8"/>
    <w:rsid w:val="006301C4"/>
    <w:rsid w:val="00631BAB"/>
    <w:rsid w:val="006406A8"/>
    <w:rsid w:val="00640B4E"/>
    <w:rsid w:val="00641D5B"/>
    <w:rsid w:val="00653CDE"/>
    <w:rsid w:val="00656442"/>
    <w:rsid w:val="00661DA0"/>
    <w:rsid w:val="006632E6"/>
    <w:rsid w:val="00670E85"/>
    <w:rsid w:val="0067703D"/>
    <w:rsid w:val="006831E3"/>
    <w:rsid w:val="00691B1A"/>
    <w:rsid w:val="00695425"/>
    <w:rsid w:val="006A101B"/>
    <w:rsid w:val="006A6DC8"/>
    <w:rsid w:val="006C015A"/>
    <w:rsid w:val="006C2360"/>
    <w:rsid w:val="006C55A9"/>
    <w:rsid w:val="006C5999"/>
    <w:rsid w:val="006D0A1B"/>
    <w:rsid w:val="006D6A62"/>
    <w:rsid w:val="006F0015"/>
    <w:rsid w:val="00700E1A"/>
    <w:rsid w:val="007078C4"/>
    <w:rsid w:val="00707FF2"/>
    <w:rsid w:val="00715456"/>
    <w:rsid w:val="00716ECB"/>
    <w:rsid w:val="00717D53"/>
    <w:rsid w:val="00722B40"/>
    <w:rsid w:val="0072351B"/>
    <w:rsid w:val="00730FBB"/>
    <w:rsid w:val="00736625"/>
    <w:rsid w:val="00744B4B"/>
    <w:rsid w:val="00745BFF"/>
    <w:rsid w:val="0074683F"/>
    <w:rsid w:val="007549ED"/>
    <w:rsid w:val="0075643C"/>
    <w:rsid w:val="00756DD1"/>
    <w:rsid w:val="00757B36"/>
    <w:rsid w:val="00761289"/>
    <w:rsid w:val="00761EA6"/>
    <w:rsid w:val="00767154"/>
    <w:rsid w:val="00773B6C"/>
    <w:rsid w:val="00781DF2"/>
    <w:rsid w:val="00790B95"/>
    <w:rsid w:val="007914A2"/>
    <w:rsid w:val="007937A3"/>
    <w:rsid w:val="007B4684"/>
    <w:rsid w:val="007C00AA"/>
    <w:rsid w:val="007C09EA"/>
    <w:rsid w:val="007C2309"/>
    <w:rsid w:val="007C3B9F"/>
    <w:rsid w:val="007C59A3"/>
    <w:rsid w:val="007D1DDE"/>
    <w:rsid w:val="007D5273"/>
    <w:rsid w:val="007D6581"/>
    <w:rsid w:val="007D6EBC"/>
    <w:rsid w:val="007F0A33"/>
    <w:rsid w:val="007F1D2B"/>
    <w:rsid w:val="007F4D7D"/>
    <w:rsid w:val="007F717F"/>
    <w:rsid w:val="008072F6"/>
    <w:rsid w:val="008176CE"/>
    <w:rsid w:val="008232D5"/>
    <w:rsid w:val="00823F88"/>
    <w:rsid w:val="0082700E"/>
    <w:rsid w:val="008300D6"/>
    <w:rsid w:val="00843D45"/>
    <w:rsid w:val="00852105"/>
    <w:rsid w:val="0085544C"/>
    <w:rsid w:val="008604A4"/>
    <w:rsid w:val="008606F1"/>
    <w:rsid w:val="00860D9E"/>
    <w:rsid w:val="00862516"/>
    <w:rsid w:val="0086784A"/>
    <w:rsid w:val="008811BB"/>
    <w:rsid w:val="00884C48"/>
    <w:rsid w:val="0089747C"/>
    <w:rsid w:val="008974F2"/>
    <w:rsid w:val="008C4798"/>
    <w:rsid w:val="008D3FFB"/>
    <w:rsid w:val="008D43F8"/>
    <w:rsid w:val="008E268A"/>
    <w:rsid w:val="008E2B17"/>
    <w:rsid w:val="008E3451"/>
    <w:rsid w:val="008E53FF"/>
    <w:rsid w:val="00904A9B"/>
    <w:rsid w:val="00920D6C"/>
    <w:rsid w:val="009276D5"/>
    <w:rsid w:val="00931C25"/>
    <w:rsid w:val="00942514"/>
    <w:rsid w:val="00942D58"/>
    <w:rsid w:val="00942FDE"/>
    <w:rsid w:val="00952863"/>
    <w:rsid w:val="009528FA"/>
    <w:rsid w:val="0096166D"/>
    <w:rsid w:val="00971BA0"/>
    <w:rsid w:val="0097268B"/>
    <w:rsid w:val="00986C7E"/>
    <w:rsid w:val="009911B9"/>
    <w:rsid w:val="009924D4"/>
    <w:rsid w:val="009961B0"/>
    <w:rsid w:val="009963BC"/>
    <w:rsid w:val="009A6C00"/>
    <w:rsid w:val="009B644A"/>
    <w:rsid w:val="009B67C7"/>
    <w:rsid w:val="009C3D9F"/>
    <w:rsid w:val="009C60E6"/>
    <w:rsid w:val="009D5E30"/>
    <w:rsid w:val="009D64B0"/>
    <w:rsid w:val="009D6676"/>
    <w:rsid w:val="009D78FE"/>
    <w:rsid w:val="009E0DF2"/>
    <w:rsid w:val="009E2765"/>
    <w:rsid w:val="009E2C4C"/>
    <w:rsid w:val="009E509B"/>
    <w:rsid w:val="009E5F55"/>
    <w:rsid w:val="009F48CE"/>
    <w:rsid w:val="009F5431"/>
    <w:rsid w:val="009F5C57"/>
    <w:rsid w:val="00A079C6"/>
    <w:rsid w:val="00A11791"/>
    <w:rsid w:val="00A15437"/>
    <w:rsid w:val="00A207B9"/>
    <w:rsid w:val="00A317A2"/>
    <w:rsid w:val="00A31C07"/>
    <w:rsid w:val="00A31E32"/>
    <w:rsid w:val="00A35D90"/>
    <w:rsid w:val="00A37ECC"/>
    <w:rsid w:val="00A41DC7"/>
    <w:rsid w:val="00A4364F"/>
    <w:rsid w:val="00A54EBE"/>
    <w:rsid w:val="00A56CB5"/>
    <w:rsid w:val="00A64717"/>
    <w:rsid w:val="00A71CF1"/>
    <w:rsid w:val="00A748C9"/>
    <w:rsid w:val="00A77398"/>
    <w:rsid w:val="00A80C51"/>
    <w:rsid w:val="00A81EDF"/>
    <w:rsid w:val="00A83A62"/>
    <w:rsid w:val="00A929CC"/>
    <w:rsid w:val="00A9536F"/>
    <w:rsid w:val="00A95495"/>
    <w:rsid w:val="00A955F2"/>
    <w:rsid w:val="00AA0FBE"/>
    <w:rsid w:val="00AA4479"/>
    <w:rsid w:val="00AA48D1"/>
    <w:rsid w:val="00AB7E31"/>
    <w:rsid w:val="00AD464B"/>
    <w:rsid w:val="00AD7E81"/>
    <w:rsid w:val="00AE0FF5"/>
    <w:rsid w:val="00AE127D"/>
    <w:rsid w:val="00AE344F"/>
    <w:rsid w:val="00AF12E5"/>
    <w:rsid w:val="00AF7D70"/>
    <w:rsid w:val="00B017FE"/>
    <w:rsid w:val="00B05D04"/>
    <w:rsid w:val="00B17E63"/>
    <w:rsid w:val="00B17F7F"/>
    <w:rsid w:val="00B20869"/>
    <w:rsid w:val="00B211ED"/>
    <w:rsid w:val="00B23DAD"/>
    <w:rsid w:val="00B33B3B"/>
    <w:rsid w:val="00B52B37"/>
    <w:rsid w:val="00B548FD"/>
    <w:rsid w:val="00B556FB"/>
    <w:rsid w:val="00B56361"/>
    <w:rsid w:val="00B61746"/>
    <w:rsid w:val="00B62005"/>
    <w:rsid w:val="00B67934"/>
    <w:rsid w:val="00B76FFB"/>
    <w:rsid w:val="00B7795B"/>
    <w:rsid w:val="00B77961"/>
    <w:rsid w:val="00B803FE"/>
    <w:rsid w:val="00B84C74"/>
    <w:rsid w:val="00B94CF1"/>
    <w:rsid w:val="00BA2379"/>
    <w:rsid w:val="00BA6F13"/>
    <w:rsid w:val="00BB3A8E"/>
    <w:rsid w:val="00BB7111"/>
    <w:rsid w:val="00BC0690"/>
    <w:rsid w:val="00BC4E92"/>
    <w:rsid w:val="00BC6D1F"/>
    <w:rsid w:val="00BD1CD3"/>
    <w:rsid w:val="00BE0F5B"/>
    <w:rsid w:val="00BE242C"/>
    <w:rsid w:val="00BF2DE4"/>
    <w:rsid w:val="00BF4E4B"/>
    <w:rsid w:val="00BF7045"/>
    <w:rsid w:val="00C03881"/>
    <w:rsid w:val="00C03EC3"/>
    <w:rsid w:val="00C051BA"/>
    <w:rsid w:val="00C052AB"/>
    <w:rsid w:val="00C114D9"/>
    <w:rsid w:val="00C115C2"/>
    <w:rsid w:val="00C12A33"/>
    <w:rsid w:val="00C20A8B"/>
    <w:rsid w:val="00C234FA"/>
    <w:rsid w:val="00C31DD3"/>
    <w:rsid w:val="00C3405B"/>
    <w:rsid w:val="00C54574"/>
    <w:rsid w:val="00C67F26"/>
    <w:rsid w:val="00C72985"/>
    <w:rsid w:val="00C73607"/>
    <w:rsid w:val="00C73FCD"/>
    <w:rsid w:val="00C7749B"/>
    <w:rsid w:val="00C815E9"/>
    <w:rsid w:val="00C82DE7"/>
    <w:rsid w:val="00C90F87"/>
    <w:rsid w:val="00C91EA9"/>
    <w:rsid w:val="00CB10A1"/>
    <w:rsid w:val="00CB1671"/>
    <w:rsid w:val="00CB582D"/>
    <w:rsid w:val="00CB63FC"/>
    <w:rsid w:val="00CB78F3"/>
    <w:rsid w:val="00CC1E96"/>
    <w:rsid w:val="00CC7527"/>
    <w:rsid w:val="00CD60E2"/>
    <w:rsid w:val="00CE4ED6"/>
    <w:rsid w:val="00CF45D0"/>
    <w:rsid w:val="00CF4883"/>
    <w:rsid w:val="00CF6FCC"/>
    <w:rsid w:val="00D06972"/>
    <w:rsid w:val="00D21461"/>
    <w:rsid w:val="00D22BE5"/>
    <w:rsid w:val="00D37A63"/>
    <w:rsid w:val="00D44310"/>
    <w:rsid w:val="00D44B33"/>
    <w:rsid w:val="00D556A1"/>
    <w:rsid w:val="00D563C2"/>
    <w:rsid w:val="00D57164"/>
    <w:rsid w:val="00D57281"/>
    <w:rsid w:val="00D65967"/>
    <w:rsid w:val="00D67213"/>
    <w:rsid w:val="00D732AF"/>
    <w:rsid w:val="00D777F1"/>
    <w:rsid w:val="00D8185B"/>
    <w:rsid w:val="00D8194A"/>
    <w:rsid w:val="00D82F3E"/>
    <w:rsid w:val="00D937B8"/>
    <w:rsid w:val="00D969A3"/>
    <w:rsid w:val="00DA0AB1"/>
    <w:rsid w:val="00DB6895"/>
    <w:rsid w:val="00DC7AB8"/>
    <w:rsid w:val="00DD525D"/>
    <w:rsid w:val="00DD5508"/>
    <w:rsid w:val="00DE0E0D"/>
    <w:rsid w:val="00DE5E63"/>
    <w:rsid w:val="00DE675A"/>
    <w:rsid w:val="00E1452E"/>
    <w:rsid w:val="00E35AC1"/>
    <w:rsid w:val="00E375E1"/>
    <w:rsid w:val="00E40A3B"/>
    <w:rsid w:val="00E431DF"/>
    <w:rsid w:val="00E54657"/>
    <w:rsid w:val="00E6697F"/>
    <w:rsid w:val="00E74681"/>
    <w:rsid w:val="00E77CF4"/>
    <w:rsid w:val="00E8042B"/>
    <w:rsid w:val="00E820A0"/>
    <w:rsid w:val="00E9217F"/>
    <w:rsid w:val="00E9496E"/>
    <w:rsid w:val="00E95E2C"/>
    <w:rsid w:val="00E96765"/>
    <w:rsid w:val="00E97D09"/>
    <w:rsid w:val="00EA009B"/>
    <w:rsid w:val="00EA04B7"/>
    <w:rsid w:val="00EA0937"/>
    <w:rsid w:val="00EA7723"/>
    <w:rsid w:val="00EB17F3"/>
    <w:rsid w:val="00EB28CA"/>
    <w:rsid w:val="00EB57D6"/>
    <w:rsid w:val="00EC5445"/>
    <w:rsid w:val="00EE1688"/>
    <w:rsid w:val="00EE23CC"/>
    <w:rsid w:val="00EF36D5"/>
    <w:rsid w:val="00EF3F63"/>
    <w:rsid w:val="00EF4C13"/>
    <w:rsid w:val="00EF6EEB"/>
    <w:rsid w:val="00F072C2"/>
    <w:rsid w:val="00F1066F"/>
    <w:rsid w:val="00F21207"/>
    <w:rsid w:val="00F45CFE"/>
    <w:rsid w:val="00F5110A"/>
    <w:rsid w:val="00F52FF2"/>
    <w:rsid w:val="00F53A2A"/>
    <w:rsid w:val="00F53FD4"/>
    <w:rsid w:val="00F56BEA"/>
    <w:rsid w:val="00F72D89"/>
    <w:rsid w:val="00F74F31"/>
    <w:rsid w:val="00F95FE2"/>
    <w:rsid w:val="00FA0D4F"/>
    <w:rsid w:val="00FA3C12"/>
    <w:rsid w:val="00FB02D1"/>
    <w:rsid w:val="00FB3A1E"/>
    <w:rsid w:val="00FB3C91"/>
    <w:rsid w:val="00FB4751"/>
    <w:rsid w:val="00FB6647"/>
    <w:rsid w:val="00FD3F1A"/>
    <w:rsid w:val="00FD442A"/>
    <w:rsid w:val="00FD6406"/>
    <w:rsid w:val="00FE5FE9"/>
    <w:rsid w:val="00FF0F02"/>
    <w:rsid w:val="036C6072"/>
    <w:rsid w:val="04793F05"/>
    <w:rsid w:val="07353293"/>
    <w:rsid w:val="07F60A0D"/>
    <w:rsid w:val="08443DE4"/>
    <w:rsid w:val="096A13E8"/>
    <w:rsid w:val="09A773DE"/>
    <w:rsid w:val="09FD4702"/>
    <w:rsid w:val="0BCE2C40"/>
    <w:rsid w:val="0BF642E5"/>
    <w:rsid w:val="0CD60C01"/>
    <w:rsid w:val="0D69568B"/>
    <w:rsid w:val="0EBD2BAB"/>
    <w:rsid w:val="0F425A6B"/>
    <w:rsid w:val="10631A37"/>
    <w:rsid w:val="121F7C96"/>
    <w:rsid w:val="12C21D05"/>
    <w:rsid w:val="1583550B"/>
    <w:rsid w:val="17E71A58"/>
    <w:rsid w:val="191F4E45"/>
    <w:rsid w:val="1C594AF0"/>
    <w:rsid w:val="1C665CF3"/>
    <w:rsid w:val="1DB061F1"/>
    <w:rsid w:val="1F522919"/>
    <w:rsid w:val="20564C98"/>
    <w:rsid w:val="210511F9"/>
    <w:rsid w:val="21900C1A"/>
    <w:rsid w:val="2225345A"/>
    <w:rsid w:val="236F25AE"/>
    <w:rsid w:val="240225E3"/>
    <w:rsid w:val="245B3C6C"/>
    <w:rsid w:val="248B039B"/>
    <w:rsid w:val="252E5F26"/>
    <w:rsid w:val="26877E9C"/>
    <w:rsid w:val="276D792E"/>
    <w:rsid w:val="281713B7"/>
    <w:rsid w:val="286523F2"/>
    <w:rsid w:val="288F61BD"/>
    <w:rsid w:val="291A637D"/>
    <w:rsid w:val="2BD9324F"/>
    <w:rsid w:val="2F6A00D7"/>
    <w:rsid w:val="30752864"/>
    <w:rsid w:val="31040AB5"/>
    <w:rsid w:val="31722313"/>
    <w:rsid w:val="31852D7B"/>
    <w:rsid w:val="325161D3"/>
    <w:rsid w:val="32D103B5"/>
    <w:rsid w:val="33DC1FAF"/>
    <w:rsid w:val="33E843D9"/>
    <w:rsid w:val="34A26001"/>
    <w:rsid w:val="35BA7CBF"/>
    <w:rsid w:val="35F1161A"/>
    <w:rsid w:val="36490257"/>
    <w:rsid w:val="36D14E27"/>
    <w:rsid w:val="388907EF"/>
    <w:rsid w:val="390B7BF3"/>
    <w:rsid w:val="39584310"/>
    <w:rsid w:val="39B54318"/>
    <w:rsid w:val="3A807223"/>
    <w:rsid w:val="3B7442DC"/>
    <w:rsid w:val="3C46148D"/>
    <w:rsid w:val="40FB6915"/>
    <w:rsid w:val="41703F20"/>
    <w:rsid w:val="41956D69"/>
    <w:rsid w:val="43DE47BF"/>
    <w:rsid w:val="44CA4BFA"/>
    <w:rsid w:val="457C31E6"/>
    <w:rsid w:val="464D1F37"/>
    <w:rsid w:val="46863F2A"/>
    <w:rsid w:val="4A4D28AE"/>
    <w:rsid w:val="4AFD27D4"/>
    <w:rsid w:val="4CD57E31"/>
    <w:rsid w:val="4F351360"/>
    <w:rsid w:val="4FB000AC"/>
    <w:rsid w:val="502D4960"/>
    <w:rsid w:val="520B4751"/>
    <w:rsid w:val="5212758D"/>
    <w:rsid w:val="522A02EC"/>
    <w:rsid w:val="52D715BF"/>
    <w:rsid w:val="52E60409"/>
    <w:rsid w:val="52F46C04"/>
    <w:rsid w:val="53EF5026"/>
    <w:rsid w:val="54652808"/>
    <w:rsid w:val="547A0408"/>
    <w:rsid w:val="55EB6B38"/>
    <w:rsid w:val="56241AF8"/>
    <w:rsid w:val="568C5B2E"/>
    <w:rsid w:val="570B5F9A"/>
    <w:rsid w:val="59924B7C"/>
    <w:rsid w:val="59C244CD"/>
    <w:rsid w:val="5A415C62"/>
    <w:rsid w:val="5A5A541F"/>
    <w:rsid w:val="5B8878FB"/>
    <w:rsid w:val="5DBA2508"/>
    <w:rsid w:val="5E1B261B"/>
    <w:rsid w:val="5FC642EA"/>
    <w:rsid w:val="602D340B"/>
    <w:rsid w:val="61D21FD5"/>
    <w:rsid w:val="63AC0AF2"/>
    <w:rsid w:val="645C54C3"/>
    <w:rsid w:val="65805AD1"/>
    <w:rsid w:val="65CA7F28"/>
    <w:rsid w:val="65EF2A92"/>
    <w:rsid w:val="68904EF3"/>
    <w:rsid w:val="6A77511D"/>
    <w:rsid w:val="6B09595D"/>
    <w:rsid w:val="6C155968"/>
    <w:rsid w:val="6C1A57C9"/>
    <w:rsid w:val="6C9711B2"/>
    <w:rsid w:val="6DEE415F"/>
    <w:rsid w:val="6E8126ED"/>
    <w:rsid w:val="6F662EBC"/>
    <w:rsid w:val="6FA86B63"/>
    <w:rsid w:val="719D58D0"/>
    <w:rsid w:val="719D662C"/>
    <w:rsid w:val="719D7A3A"/>
    <w:rsid w:val="7330769E"/>
    <w:rsid w:val="73D7599C"/>
    <w:rsid w:val="742F3045"/>
    <w:rsid w:val="757C1E26"/>
    <w:rsid w:val="75BF5E77"/>
    <w:rsid w:val="790F36EE"/>
    <w:rsid w:val="7B672C31"/>
    <w:rsid w:val="7B7C25F6"/>
    <w:rsid w:val="7D957A71"/>
    <w:rsid w:val="7F224FB0"/>
    <w:rsid w:val="7FC83DFD"/>
    <w:rsid w:val="7FE8327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qFormat="1" w:uiPriority="99" w:semiHidden="0" w:name="HTML Typewriter"/>
    <w:lsdException w:qFormat="1" w:uiPriority="99" w:semiHidden="0"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53"/>
    <w:qFormat/>
    <w:uiPriority w:val="0"/>
    <w:pPr>
      <w:keepNext/>
      <w:keepLines/>
      <w:spacing w:before="340" w:beforeLines="0" w:after="330" w:afterLines="0" w:line="576" w:lineRule="auto"/>
      <w:outlineLvl w:val="0"/>
    </w:pPr>
    <w:rPr>
      <w:b/>
      <w:bCs/>
      <w:kern w:val="44"/>
      <w:sz w:val="44"/>
      <w:szCs w:val="44"/>
    </w:rPr>
  </w:style>
  <w:style w:type="paragraph" w:styleId="5">
    <w:name w:val="heading 2"/>
    <w:basedOn w:val="1"/>
    <w:next w:val="1"/>
    <w:link w:val="54"/>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6">
    <w:name w:val="heading 3"/>
    <w:basedOn w:val="1"/>
    <w:next w:val="1"/>
    <w:link w:val="55"/>
    <w:qFormat/>
    <w:uiPriority w:val="0"/>
    <w:pPr>
      <w:keepNext/>
      <w:keepLines/>
      <w:spacing w:line="600" w:lineRule="exact"/>
      <w:ind w:firstLine="643" w:firstLineChars="200"/>
      <w:outlineLvl w:val="2"/>
    </w:pPr>
    <w:rPr>
      <w:b/>
      <w:bCs/>
      <w:sz w:val="32"/>
      <w:szCs w:val="32"/>
    </w:rPr>
  </w:style>
  <w:style w:type="paragraph" w:styleId="7">
    <w:name w:val="heading 4"/>
    <w:basedOn w:val="1"/>
    <w:next w:val="1"/>
    <w:link w:val="56"/>
    <w:qFormat/>
    <w:uiPriority w:val="0"/>
    <w:pPr>
      <w:tabs>
        <w:tab w:val="left" w:pos="2155"/>
      </w:tabs>
      <w:adjustRightInd w:val="0"/>
      <w:spacing w:before="120" w:beforeLines="0" w:line="360" w:lineRule="auto"/>
      <w:ind w:left="2155" w:hanging="1078"/>
      <w:textAlignment w:val="baseline"/>
      <w:outlineLvl w:val="3"/>
    </w:pPr>
    <w:rPr>
      <w:rFonts w:ascii="Arial" w:eastAsia="黑体"/>
      <w:kern w:val="0"/>
      <w:sz w:val="28"/>
      <w:szCs w:val="20"/>
    </w:rPr>
  </w:style>
  <w:style w:type="paragraph" w:styleId="8">
    <w:name w:val="heading 5"/>
    <w:basedOn w:val="1"/>
    <w:next w:val="1"/>
    <w:link w:val="57"/>
    <w:qFormat/>
    <w:uiPriority w:val="9"/>
    <w:pPr>
      <w:keepNext/>
      <w:keepLines/>
      <w:spacing w:before="280" w:after="290" w:line="376" w:lineRule="auto"/>
      <w:outlineLvl w:val="4"/>
    </w:pPr>
    <w:rPr>
      <w:b/>
      <w:bCs/>
      <w:sz w:val="28"/>
      <w:szCs w:val="28"/>
    </w:rPr>
  </w:style>
  <w:style w:type="character" w:default="1" w:styleId="37">
    <w:name w:val="Default Paragraph Font"/>
    <w:qFormat/>
    <w:uiPriority w:val="0"/>
  </w:style>
  <w:style w:type="table" w:default="1" w:styleId="35">
    <w:name w:val="Normal Table"/>
    <w:unhideWhenUsed/>
    <w:qFormat/>
    <w:uiPriority w:val="99"/>
    <w:tblPr>
      <w:tblCellMar>
        <w:top w:w="0" w:type="dxa"/>
        <w:left w:w="108" w:type="dxa"/>
        <w:bottom w:w="0" w:type="dxa"/>
        <w:right w:w="108" w:type="dxa"/>
      </w:tblCellMar>
    </w:tblPr>
  </w:style>
  <w:style w:type="paragraph" w:customStyle="1" w:styleId="2">
    <w:name w:val="表格文字"/>
    <w:basedOn w:val="1"/>
    <w:next w:val="3"/>
    <w:qFormat/>
    <w:uiPriority w:val="0"/>
    <w:pPr>
      <w:adjustRightInd w:val="0"/>
      <w:spacing w:line="420" w:lineRule="atLeast"/>
      <w:jc w:val="left"/>
      <w:textAlignment w:val="baseline"/>
    </w:pPr>
    <w:rPr>
      <w:kern w:val="0"/>
    </w:rPr>
  </w:style>
  <w:style w:type="paragraph" w:styleId="3">
    <w:name w:val="Body Text"/>
    <w:basedOn w:val="1"/>
    <w:link w:val="52"/>
    <w:unhideWhenUsed/>
    <w:qFormat/>
    <w:uiPriority w:val="99"/>
    <w:pPr>
      <w:spacing w:after="120"/>
    </w:pPr>
  </w:style>
  <w:style w:type="paragraph" w:styleId="9">
    <w:name w:val="toc 7"/>
    <w:basedOn w:val="1"/>
    <w:next w:val="1"/>
    <w:unhideWhenUsed/>
    <w:qFormat/>
    <w:uiPriority w:val="39"/>
    <w:pPr>
      <w:jc w:val="left"/>
    </w:pPr>
    <w:rPr>
      <w:rFonts w:ascii="Calibri" w:hAnsi="Calibri"/>
      <w:sz w:val="22"/>
      <w:szCs w:val="22"/>
    </w:rPr>
  </w:style>
  <w:style w:type="paragraph" w:styleId="10">
    <w:name w:val="Normal Indent"/>
    <w:basedOn w:val="1"/>
    <w:qFormat/>
    <w:uiPriority w:val="0"/>
    <w:pPr>
      <w:ind w:firstLine="420"/>
    </w:pPr>
    <w:rPr>
      <w:szCs w:val="20"/>
    </w:rPr>
  </w:style>
  <w:style w:type="paragraph" w:styleId="11">
    <w:name w:val="caption"/>
    <w:basedOn w:val="1"/>
    <w:next w:val="1"/>
    <w:qFormat/>
    <w:uiPriority w:val="0"/>
    <w:pPr>
      <w:spacing w:before="152" w:after="160"/>
    </w:pPr>
    <w:rPr>
      <w:rFonts w:ascii="Arial" w:hAnsi="Arial" w:eastAsia="黑体" w:cs="Arial"/>
      <w:sz w:val="20"/>
      <w:szCs w:val="20"/>
    </w:rPr>
  </w:style>
  <w:style w:type="paragraph" w:styleId="12">
    <w:name w:val="Document Map"/>
    <w:basedOn w:val="1"/>
    <w:link w:val="58"/>
    <w:qFormat/>
    <w:uiPriority w:val="0"/>
    <w:rPr>
      <w:rFonts w:ascii="宋体"/>
      <w:sz w:val="18"/>
      <w:szCs w:val="18"/>
    </w:rPr>
  </w:style>
  <w:style w:type="paragraph" w:styleId="13">
    <w:name w:val="annotation text"/>
    <w:basedOn w:val="1"/>
    <w:link w:val="59"/>
    <w:qFormat/>
    <w:uiPriority w:val="0"/>
    <w:pPr>
      <w:jc w:val="left"/>
    </w:pPr>
  </w:style>
  <w:style w:type="paragraph" w:styleId="14">
    <w:name w:val="Body Text 3"/>
    <w:basedOn w:val="1"/>
    <w:link w:val="60"/>
    <w:unhideWhenUsed/>
    <w:qFormat/>
    <w:uiPriority w:val="99"/>
    <w:pPr>
      <w:spacing w:after="120"/>
    </w:pPr>
    <w:rPr>
      <w:sz w:val="16"/>
      <w:szCs w:val="16"/>
    </w:rPr>
  </w:style>
  <w:style w:type="paragraph" w:styleId="15">
    <w:name w:val="Body Text Indent"/>
    <w:basedOn w:val="1"/>
    <w:link w:val="61"/>
    <w:qFormat/>
    <w:uiPriority w:val="0"/>
    <w:pPr>
      <w:spacing w:line="200" w:lineRule="exact"/>
      <w:ind w:firstLine="301"/>
    </w:pPr>
    <w:rPr>
      <w:rFonts w:ascii="宋体" w:hAnsi="Courier New"/>
      <w:spacing w:val="-4"/>
      <w:sz w:val="18"/>
      <w:szCs w:val="20"/>
    </w:rPr>
  </w:style>
  <w:style w:type="paragraph" w:styleId="16">
    <w:name w:val="toc 5"/>
    <w:basedOn w:val="1"/>
    <w:next w:val="1"/>
    <w:unhideWhenUsed/>
    <w:qFormat/>
    <w:uiPriority w:val="39"/>
    <w:pPr>
      <w:jc w:val="left"/>
    </w:pPr>
    <w:rPr>
      <w:rFonts w:ascii="Calibri" w:hAnsi="Calibri"/>
      <w:sz w:val="22"/>
      <w:szCs w:val="22"/>
    </w:rPr>
  </w:style>
  <w:style w:type="paragraph" w:styleId="17">
    <w:name w:val="toc 3"/>
    <w:basedOn w:val="1"/>
    <w:next w:val="1"/>
    <w:unhideWhenUsed/>
    <w:qFormat/>
    <w:uiPriority w:val="39"/>
    <w:pPr>
      <w:jc w:val="left"/>
    </w:pPr>
    <w:rPr>
      <w:rFonts w:ascii="Calibri" w:hAnsi="Calibri"/>
      <w:smallCaps/>
      <w:sz w:val="22"/>
      <w:szCs w:val="22"/>
    </w:rPr>
  </w:style>
  <w:style w:type="paragraph" w:styleId="18">
    <w:name w:val="Plain Text"/>
    <w:basedOn w:val="1"/>
    <w:next w:val="1"/>
    <w:link w:val="62"/>
    <w:qFormat/>
    <w:uiPriority w:val="0"/>
    <w:rPr>
      <w:rFonts w:ascii="宋体" w:hAnsi="Courier New"/>
      <w:szCs w:val="20"/>
    </w:rPr>
  </w:style>
  <w:style w:type="paragraph" w:styleId="19">
    <w:name w:val="toc 8"/>
    <w:basedOn w:val="1"/>
    <w:next w:val="1"/>
    <w:unhideWhenUsed/>
    <w:qFormat/>
    <w:uiPriority w:val="39"/>
    <w:pPr>
      <w:jc w:val="left"/>
    </w:pPr>
    <w:rPr>
      <w:rFonts w:ascii="Calibri" w:hAnsi="Calibri"/>
      <w:sz w:val="22"/>
      <w:szCs w:val="22"/>
    </w:rPr>
  </w:style>
  <w:style w:type="paragraph" w:styleId="20">
    <w:name w:val="Date"/>
    <w:basedOn w:val="1"/>
    <w:next w:val="1"/>
    <w:link w:val="63"/>
    <w:qFormat/>
    <w:uiPriority w:val="0"/>
    <w:pPr>
      <w:ind w:left="100" w:leftChars="2500"/>
    </w:pPr>
  </w:style>
  <w:style w:type="paragraph" w:styleId="21">
    <w:name w:val="Body Text Indent 2"/>
    <w:basedOn w:val="1"/>
    <w:link w:val="64"/>
    <w:qFormat/>
    <w:uiPriority w:val="0"/>
    <w:pPr>
      <w:spacing w:after="120" w:afterLines="0" w:line="480" w:lineRule="auto"/>
      <w:ind w:left="420" w:leftChars="200"/>
    </w:pPr>
  </w:style>
  <w:style w:type="paragraph" w:styleId="22">
    <w:name w:val="Balloon Text"/>
    <w:basedOn w:val="1"/>
    <w:link w:val="65"/>
    <w:qFormat/>
    <w:uiPriority w:val="0"/>
    <w:rPr>
      <w:sz w:val="18"/>
      <w:szCs w:val="18"/>
    </w:rPr>
  </w:style>
  <w:style w:type="paragraph" w:styleId="23">
    <w:name w:val="footer"/>
    <w:basedOn w:val="1"/>
    <w:link w:val="66"/>
    <w:qFormat/>
    <w:uiPriority w:val="99"/>
    <w:pPr>
      <w:tabs>
        <w:tab w:val="center" w:pos="4153"/>
        <w:tab w:val="right" w:pos="8306"/>
      </w:tabs>
      <w:snapToGrid w:val="0"/>
      <w:jc w:val="left"/>
    </w:pPr>
    <w:rPr>
      <w:sz w:val="18"/>
      <w:szCs w:val="18"/>
    </w:rPr>
  </w:style>
  <w:style w:type="paragraph" w:styleId="24">
    <w:name w:val="header"/>
    <w:basedOn w:val="1"/>
    <w:link w:val="67"/>
    <w:qFormat/>
    <w:uiPriority w:val="99"/>
    <w:pPr>
      <w:pBdr>
        <w:bottom w:val="single" w:color="auto" w:sz="6" w:space="1"/>
      </w:pBdr>
      <w:tabs>
        <w:tab w:val="center" w:pos="4153"/>
        <w:tab w:val="right" w:pos="8306"/>
      </w:tabs>
      <w:snapToGrid w:val="0"/>
      <w:jc w:val="center"/>
    </w:pPr>
    <w:rPr>
      <w:sz w:val="18"/>
      <w:szCs w:val="18"/>
    </w:rPr>
  </w:style>
  <w:style w:type="paragraph" w:styleId="25">
    <w:name w:val="toc 1"/>
    <w:basedOn w:val="1"/>
    <w:next w:val="1"/>
    <w:qFormat/>
    <w:uiPriority w:val="39"/>
    <w:pPr>
      <w:spacing w:before="360" w:after="360"/>
      <w:jc w:val="left"/>
    </w:pPr>
    <w:rPr>
      <w:rFonts w:ascii="Calibri" w:hAnsi="Calibri"/>
      <w:b/>
      <w:bCs/>
      <w:caps/>
      <w:sz w:val="22"/>
      <w:szCs w:val="22"/>
      <w:u w:val="single"/>
    </w:rPr>
  </w:style>
  <w:style w:type="paragraph" w:styleId="26">
    <w:name w:val="toc 4"/>
    <w:basedOn w:val="1"/>
    <w:next w:val="1"/>
    <w:unhideWhenUsed/>
    <w:qFormat/>
    <w:uiPriority w:val="39"/>
    <w:pPr>
      <w:jc w:val="left"/>
    </w:pPr>
    <w:rPr>
      <w:rFonts w:ascii="Calibri" w:hAnsi="Calibri"/>
      <w:sz w:val="22"/>
      <w:szCs w:val="22"/>
    </w:rPr>
  </w:style>
  <w:style w:type="paragraph" w:styleId="27">
    <w:name w:val="List"/>
    <w:basedOn w:val="1"/>
    <w:qFormat/>
    <w:uiPriority w:val="0"/>
    <w:pPr>
      <w:ind w:left="200" w:hanging="200" w:hangingChars="200"/>
    </w:pPr>
    <w:rPr>
      <w:sz w:val="28"/>
    </w:rPr>
  </w:style>
  <w:style w:type="paragraph" w:styleId="28">
    <w:name w:val="toc 6"/>
    <w:basedOn w:val="1"/>
    <w:next w:val="1"/>
    <w:unhideWhenUsed/>
    <w:qFormat/>
    <w:uiPriority w:val="39"/>
    <w:pPr>
      <w:jc w:val="left"/>
    </w:pPr>
    <w:rPr>
      <w:rFonts w:ascii="Calibri" w:hAnsi="Calibri"/>
      <w:sz w:val="22"/>
      <w:szCs w:val="22"/>
    </w:rPr>
  </w:style>
  <w:style w:type="paragraph" w:styleId="29">
    <w:name w:val="toc 2"/>
    <w:basedOn w:val="1"/>
    <w:next w:val="1"/>
    <w:qFormat/>
    <w:uiPriority w:val="39"/>
    <w:pPr>
      <w:jc w:val="left"/>
    </w:pPr>
    <w:rPr>
      <w:rFonts w:ascii="Calibri" w:hAnsi="Calibri"/>
      <w:b/>
      <w:bCs/>
      <w:smallCaps/>
      <w:sz w:val="22"/>
      <w:szCs w:val="22"/>
    </w:rPr>
  </w:style>
  <w:style w:type="paragraph" w:styleId="30">
    <w:name w:val="toc 9"/>
    <w:basedOn w:val="1"/>
    <w:next w:val="1"/>
    <w:unhideWhenUsed/>
    <w:qFormat/>
    <w:uiPriority w:val="39"/>
    <w:pPr>
      <w:jc w:val="left"/>
    </w:pPr>
    <w:rPr>
      <w:rFonts w:ascii="Calibri" w:hAnsi="Calibri"/>
      <w:sz w:val="22"/>
      <w:szCs w:val="22"/>
    </w:rPr>
  </w:style>
  <w:style w:type="paragraph" w:styleId="31">
    <w:name w:val="index 1"/>
    <w:basedOn w:val="1"/>
    <w:next w:val="1"/>
    <w:qFormat/>
    <w:uiPriority w:val="0"/>
    <w:pPr>
      <w:spacing w:line="240" w:lineRule="exact"/>
      <w:ind w:firstLine="420" w:firstLineChars="200"/>
    </w:pPr>
    <w:rPr>
      <w:rFonts w:ascii="宋体" w:hAnsi="宋体"/>
      <w:bCs/>
      <w:szCs w:val="21"/>
    </w:rPr>
  </w:style>
  <w:style w:type="paragraph" w:styleId="32">
    <w:name w:val="annotation subject"/>
    <w:basedOn w:val="13"/>
    <w:next w:val="13"/>
    <w:link w:val="68"/>
    <w:unhideWhenUsed/>
    <w:qFormat/>
    <w:uiPriority w:val="99"/>
    <w:rPr>
      <w:b/>
      <w:bCs/>
    </w:rPr>
  </w:style>
  <w:style w:type="paragraph" w:styleId="33">
    <w:name w:val="Body Text First Indent"/>
    <w:basedOn w:val="3"/>
    <w:next w:val="34"/>
    <w:qFormat/>
    <w:uiPriority w:val="0"/>
    <w:pPr>
      <w:spacing w:after="120" w:line="240" w:lineRule="auto"/>
      <w:ind w:firstLine="420" w:firstLineChars="100"/>
    </w:pPr>
    <w:rPr>
      <w:sz w:val="21"/>
    </w:rPr>
  </w:style>
  <w:style w:type="paragraph" w:customStyle="1" w:styleId="34">
    <w:name w:val="样式 正文首行缩进 + 首行缩进:  1 字符1"/>
    <w:basedOn w:val="1"/>
    <w:next w:val="1"/>
    <w:qFormat/>
    <w:uiPriority w:val="0"/>
    <w:pPr>
      <w:spacing w:line="360" w:lineRule="auto"/>
      <w:ind w:firstLine="480" w:firstLineChars="200"/>
      <w:jc w:val="left"/>
    </w:pPr>
    <w:rPr>
      <w:rFonts w:hint="eastAsia" w:ascii="宋体" w:hAnsi="宋体" w:cs="宋体"/>
      <w:szCs w:val="20"/>
    </w:rPr>
  </w:style>
  <w:style w:type="table" w:styleId="36">
    <w:name w:val="Table Grid"/>
    <w:basedOn w:val="3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Strong"/>
    <w:basedOn w:val="37"/>
    <w:qFormat/>
    <w:uiPriority w:val="22"/>
    <w:rPr>
      <w:b/>
      <w:bCs/>
    </w:rPr>
  </w:style>
  <w:style w:type="character" w:styleId="39">
    <w:name w:val="page number"/>
    <w:basedOn w:val="37"/>
    <w:qFormat/>
    <w:uiPriority w:val="0"/>
  </w:style>
  <w:style w:type="character" w:styleId="40">
    <w:name w:val="FollowedHyperlink"/>
    <w:basedOn w:val="37"/>
    <w:qFormat/>
    <w:uiPriority w:val="0"/>
    <w:rPr>
      <w:color w:val="800080"/>
      <w:u w:val="none"/>
    </w:rPr>
  </w:style>
  <w:style w:type="character" w:styleId="41">
    <w:name w:val="Emphasis"/>
    <w:basedOn w:val="37"/>
    <w:qFormat/>
    <w:uiPriority w:val="20"/>
    <w:rPr>
      <w:b/>
      <w:bCs/>
    </w:rPr>
  </w:style>
  <w:style w:type="character" w:styleId="42">
    <w:name w:val="HTML Definition"/>
    <w:basedOn w:val="37"/>
    <w:unhideWhenUsed/>
    <w:qFormat/>
    <w:uiPriority w:val="99"/>
  </w:style>
  <w:style w:type="character" w:styleId="43">
    <w:name w:val="HTML Typewriter"/>
    <w:basedOn w:val="37"/>
    <w:unhideWhenUsed/>
    <w:qFormat/>
    <w:uiPriority w:val="99"/>
    <w:rPr>
      <w:rFonts w:hint="default" w:ascii="monospace" w:hAnsi="monospace" w:eastAsia="monospace" w:cs="monospace"/>
      <w:sz w:val="20"/>
    </w:rPr>
  </w:style>
  <w:style w:type="character" w:styleId="44">
    <w:name w:val="HTML Acronym"/>
    <w:basedOn w:val="37"/>
    <w:unhideWhenUsed/>
    <w:qFormat/>
    <w:uiPriority w:val="99"/>
  </w:style>
  <w:style w:type="character" w:styleId="45">
    <w:name w:val="HTML Variable"/>
    <w:basedOn w:val="37"/>
    <w:unhideWhenUsed/>
    <w:qFormat/>
    <w:uiPriority w:val="99"/>
  </w:style>
  <w:style w:type="character" w:styleId="46">
    <w:name w:val="Hyperlink"/>
    <w:basedOn w:val="37"/>
    <w:qFormat/>
    <w:uiPriority w:val="99"/>
    <w:rPr>
      <w:color w:val="0000FF"/>
      <w:u w:val="none"/>
    </w:rPr>
  </w:style>
  <w:style w:type="character" w:styleId="47">
    <w:name w:val="HTML Code"/>
    <w:basedOn w:val="37"/>
    <w:unhideWhenUsed/>
    <w:qFormat/>
    <w:uiPriority w:val="99"/>
    <w:rPr>
      <w:rFonts w:hint="default" w:ascii="monospace" w:hAnsi="monospace" w:eastAsia="monospace" w:cs="monospace"/>
      <w:sz w:val="20"/>
    </w:rPr>
  </w:style>
  <w:style w:type="character" w:styleId="48">
    <w:name w:val="annotation reference"/>
    <w:qFormat/>
    <w:uiPriority w:val="99"/>
    <w:rPr>
      <w:sz w:val="21"/>
      <w:szCs w:val="21"/>
    </w:rPr>
  </w:style>
  <w:style w:type="character" w:styleId="49">
    <w:name w:val="HTML Cite"/>
    <w:basedOn w:val="37"/>
    <w:unhideWhenUsed/>
    <w:qFormat/>
    <w:uiPriority w:val="99"/>
  </w:style>
  <w:style w:type="character" w:styleId="50">
    <w:name w:val="HTML Keyboard"/>
    <w:basedOn w:val="37"/>
    <w:unhideWhenUsed/>
    <w:qFormat/>
    <w:uiPriority w:val="99"/>
    <w:rPr>
      <w:rFonts w:ascii="monospace" w:hAnsi="monospace" w:eastAsia="monospace" w:cs="monospace"/>
      <w:sz w:val="20"/>
    </w:rPr>
  </w:style>
  <w:style w:type="character" w:styleId="51">
    <w:name w:val="HTML Sample"/>
    <w:basedOn w:val="37"/>
    <w:unhideWhenUsed/>
    <w:qFormat/>
    <w:uiPriority w:val="99"/>
    <w:rPr>
      <w:rFonts w:hint="default" w:ascii="monospace" w:hAnsi="monospace" w:eastAsia="monospace" w:cs="monospace"/>
    </w:rPr>
  </w:style>
  <w:style w:type="character" w:customStyle="1" w:styleId="52">
    <w:name w:val="正文文本 Char"/>
    <w:link w:val="3"/>
    <w:semiHidden/>
    <w:qFormat/>
    <w:uiPriority w:val="99"/>
    <w:rPr>
      <w:kern w:val="2"/>
      <w:sz w:val="21"/>
      <w:szCs w:val="24"/>
    </w:rPr>
  </w:style>
  <w:style w:type="character" w:customStyle="1" w:styleId="53">
    <w:name w:val="标题 1 Char"/>
    <w:link w:val="4"/>
    <w:qFormat/>
    <w:uiPriority w:val="0"/>
    <w:rPr>
      <w:b/>
      <w:bCs/>
      <w:kern w:val="44"/>
      <w:sz w:val="44"/>
      <w:szCs w:val="44"/>
    </w:rPr>
  </w:style>
  <w:style w:type="character" w:customStyle="1" w:styleId="54">
    <w:name w:val="标题 2 Char"/>
    <w:link w:val="5"/>
    <w:qFormat/>
    <w:uiPriority w:val="0"/>
    <w:rPr>
      <w:rFonts w:ascii="Arial" w:hAnsi="Arial" w:eastAsia="黑体"/>
      <w:b/>
      <w:bCs/>
      <w:kern w:val="2"/>
      <w:sz w:val="32"/>
      <w:szCs w:val="32"/>
    </w:rPr>
  </w:style>
  <w:style w:type="character" w:customStyle="1" w:styleId="55">
    <w:name w:val="标题 3 Char"/>
    <w:link w:val="6"/>
    <w:qFormat/>
    <w:uiPriority w:val="0"/>
    <w:rPr>
      <w:b/>
      <w:bCs/>
      <w:kern w:val="2"/>
      <w:sz w:val="32"/>
      <w:szCs w:val="32"/>
    </w:rPr>
  </w:style>
  <w:style w:type="character" w:customStyle="1" w:styleId="56">
    <w:name w:val="标题 4 Char"/>
    <w:link w:val="7"/>
    <w:qFormat/>
    <w:uiPriority w:val="0"/>
    <w:rPr>
      <w:rFonts w:ascii="Arial" w:eastAsia="黑体"/>
      <w:sz w:val="28"/>
    </w:rPr>
  </w:style>
  <w:style w:type="character" w:customStyle="1" w:styleId="57">
    <w:name w:val="标题 5 Char"/>
    <w:link w:val="8"/>
    <w:qFormat/>
    <w:uiPriority w:val="9"/>
    <w:rPr>
      <w:b/>
      <w:bCs/>
      <w:kern w:val="2"/>
      <w:sz w:val="28"/>
      <w:szCs w:val="28"/>
    </w:rPr>
  </w:style>
  <w:style w:type="character" w:customStyle="1" w:styleId="58">
    <w:name w:val="文档结构图 Char"/>
    <w:link w:val="12"/>
    <w:qFormat/>
    <w:uiPriority w:val="0"/>
    <w:rPr>
      <w:rFonts w:ascii="宋体"/>
      <w:kern w:val="2"/>
      <w:sz w:val="18"/>
      <w:szCs w:val="18"/>
    </w:rPr>
  </w:style>
  <w:style w:type="character" w:customStyle="1" w:styleId="59">
    <w:name w:val="批注文字 Char"/>
    <w:link w:val="13"/>
    <w:qFormat/>
    <w:uiPriority w:val="0"/>
    <w:rPr>
      <w:kern w:val="2"/>
      <w:sz w:val="21"/>
      <w:szCs w:val="24"/>
    </w:rPr>
  </w:style>
  <w:style w:type="character" w:customStyle="1" w:styleId="60">
    <w:name w:val="正文文本 3 Char"/>
    <w:link w:val="14"/>
    <w:semiHidden/>
    <w:qFormat/>
    <w:uiPriority w:val="99"/>
    <w:rPr>
      <w:kern w:val="2"/>
      <w:sz w:val="16"/>
      <w:szCs w:val="16"/>
    </w:rPr>
  </w:style>
  <w:style w:type="character" w:customStyle="1" w:styleId="61">
    <w:name w:val="正文文本缩进 Char"/>
    <w:link w:val="15"/>
    <w:qFormat/>
    <w:uiPriority w:val="0"/>
    <w:rPr>
      <w:rFonts w:ascii="宋体" w:hAnsi="Courier New" w:eastAsia="宋体"/>
      <w:spacing w:val="-4"/>
      <w:kern w:val="2"/>
      <w:sz w:val="18"/>
      <w:lang w:val="en-US" w:eastAsia="zh-CN" w:bidi="ar-SA"/>
    </w:rPr>
  </w:style>
  <w:style w:type="character" w:customStyle="1" w:styleId="62">
    <w:name w:val="纯文本 Char"/>
    <w:link w:val="18"/>
    <w:qFormat/>
    <w:uiPriority w:val="0"/>
    <w:rPr>
      <w:rFonts w:ascii="宋体" w:hAnsi="Courier New" w:eastAsia="宋体"/>
      <w:kern w:val="2"/>
      <w:sz w:val="21"/>
      <w:lang w:val="en-US" w:eastAsia="zh-CN" w:bidi="ar-SA"/>
    </w:rPr>
  </w:style>
  <w:style w:type="character" w:customStyle="1" w:styleId="63">
    <w:name w:val="日期 Char"/>
    <w:link w:val="20"/>
    <w:qFormat/>
    <w:uiPriority w:val="0"/>
    <w:rPr>
      <w:kern w:val="2"/>
      <w:sz w:val="21"/>
      <w:szCs w:val="24"/>
    </w:rPr>
  </w:style>
  <w:style w:type="character" w:customStyle="1" w:styleId="64">
    <w:name w:val="正文文本缩进 2 Char"/>
    <w:link w:val="21"/>
    <w:qFormat/>
    <w:uiPriority w:val="0"/>
    <w:rPr>
      <w:kern w:val="2"/>
      <w:sz w:val="21"/>
      <w:szCs w:val="24"/>
    </w:rPr>
  </w:style>
  <w:style w:type="character" w:customStyle="1" w:styleId="65">
    <w:name w:val="批注框文本 Char"/>
    <w:link w:val="22"/>
    <w:qFormat/>
    <w:uiPriority w:val="0"/>
    <w:rPr>
      <w:kern w:val="2"/>
      <w:sz w:val="18"/>
      <w:szCs w:val="18"/>
    </w:rPr>
  </w:style>
  <w:style w:type="character" w:customStyle="1" w:styleId="66">
    <w:name w:val="页脚 Char"/>
    <w:link w:val="23"/>
    <w:qFormat/>
    <w:uiPriority w:val="99"/>
    <w:rPr>
      <w:kern w:val="2"/>
      <w:sz w:val="18"/>
      <w:szCs w:val="18"/>
    </w:rPr>
  </w:style>
  <w:style w:type="character" w:customStyle="1" w:styleId="67">
    <w:name w:val="页眉 Char"/>
    <w:link w:val="24"/>
    <w:qFormat/>
    <w:uiPriority w:val="99"/>
    <w:rPr>
      <w:kern w:val="2"/>
      <w:sz w:val="18"/>
      <w:szCs w:val="18"/>
    </w:rPr>
  </w:style>
  <w:style w:type="character" w:customStyle="1" w:styleId="68">
    <w:name w:val="批注主题 Char"/>
    <w:link w:val="32"/>
    <w:semiHidden/>
    <w:qFormat/>
    <w:uiPriority w:val="99"/>
    <w:rPr>
      <w:b/>
      <w:bCs/>
      <w:kern w:val="2"/>
      <w:sz w:val="21"/>
      <w:szCs w:val="24"/>
    </w:rPr>
  </w:style>
  <w:style w:type="paragraph" w:customStyle="1" w:styleId="69">
    <w:name w:val="Default"/>
    <w:next w:val="70"/>
    <w:qFormat/>
    <w:uiPriority w:val="0"/>
    <w:pPr>
      <w:autoSpaceDE w:val="0"/>
      <w:autoSpaceDN w:val="0"/>
      <w:adjustRightInd w:val="0"/>
    </w:pPr>
    <w:rPr>
      <w:rFonts w:ascii="Arial" w:hAnsi="Arial" w:eastAsia="宋体" w:cs="Arial"/>
      <w:color w:val="000000"/>
      <w:sz w:val="24"/>
      <w:szCs w:val="24"/>
      <w:lang w:val="en-US" w:eastAsia="zh-CN" w:bidi="ar-SA"/>
    </w:rPr>
  </w:style>
  <w:style w:type="paragraph" w:customStyle="1" w:styleId="70">
    <w:name w:val="正文文字 6"/>
    <w:next w:val="1"/>
    <w:qFormat/>
    <w:uiPriority w:val="0"/>
    <w:pPr>
      <w:widowControl w:val="0"/>
      <w:ind w:left="240"/>
      <w:jc w:val="both"/>
    </w:pPr>
    <w:rPr>
      <w:rFonts w:ascii="宋体" w:hAnsi="Calibri" w:eastAsia="宋体" w:cs="Times New Roman"/>
      <w:b/>
      <w:bCs/>
      <w:kern w:val="2"/>
      <w:sz w:val="32"/>
      <w:szCs w:val="32"/>
      <w:lang w:val="en-US" w:eastAsia="zh-CN" w:bidi="ar-SA"/>
    </w:rPr>
  </w:style>
  <w:style w:type="character" w:customStyle="1" w:styleId="71">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2">
    <w:name w:val="正文2 Char Char"/>
    <w:link w:val="73"/>
    <w:qFormat/>
    <w:uiPriority w:val="0"/>
    <w:rPr>
      <w:kern w:val="2"/>
      <w:sz w:val="24"/>
    </w:rPr>
  </w:style>
  <w:style w:type="paragraph" w:customStyle="1" w:styleId="73">
    <w:name w:val="正文2"/>
    <w:basedOn w:val="1"/>
    <w:link w:val="72"/>
    <w:qFormat/>
    <w:uiPriority w:val="0"/>
    <w:pPr>
      <w:adjustRightInd w:val="0"/>
      <w:spacing w:before="156" w:line="360" w:lineRule="auto"/>
      <w:ind w:firstLine="510" w:firstLineChars="200"/>
    </w:pPr>
    <w:rPr>
      <w:sz w:val="24"/>
      <w:szCs w:val="20"/>
    </w:rPr>
  </w:style>
  <w:style w:type="character" w:customStyle="1" w:styleId="74">
    <w:name w:val="页眉 字符"/>
    <w:qFormat/>
    <w:uiPriority w:val="99"/>
    <w:rPr>
      <w:rFonts w:ascii="Times New Roman" w:hAnsi="Times New Roman"/>
      <w:kern w:val="2"/>
      <w:sz w:val="18"/>
      <w:szCs w:val="18"/>
    </w:rPr>
  </w:style>
  <w:style w:type="character" w:customStyle="1" w:styleId="75">
    <w:name w:val="hover2"/>
    <w:basedOn w:val="37"/>
    <w:qFormat/>
    <w:uiPriority w:val="0"/>
    <w:rPr>
      <w:color w:val="2590EB"/>
    </w:rPr>
  </w:style>
  <w:style w:type="character" w:customStyle="1" w:styleId="76">
    <w:name w:val="纯文本 Char1"/>
    <w:link w:val="77"/>
    <w:qFormat/>
    <w:uiPriority w:val="0"/>
    <w:rPr>
      <w:rFonts w:ascii="宋体" w:hAnsi="Courier New" w:eastAsia="宋体"/>
      <w:kern w:val="2"/>
      <w:sz w:val="21"/>
      <w:lang w:val="en-US" w:eastAsia="zh-CN" w:bidi="ar-SA"/>
    </w:rPr>
  </w:style>
  <w:style w:type="paragraph" w:customStyle="1" w:styleId="77">
    <w:name w:val="纯文本1"/>
    <w:basedOn w:val="1"/>
    <w:link w:val="76"/>
    <w:qFormat/>
    <w:uiPriority w:val="0"/>
    <w:rPr>
      <w:rFonts w:ascii="宋体" w:hAnsi="Courier New"/>
      <w:szCs w:val="20"/>
    </w:rPr>
  </w:style>
  <w:style w:type="character" w:customStyle="1" w:styleId="78">
    <w:name w:val="批注文字 Char1"/>
    <w:qFormat/>
    <w:uiPriority w:val="0"/>
    <w:rPr>
      <w:rFonts w:ascii="Times New Roman" w:hAnsi="Times New Roman"/>
      <w:kern w:val="2"/>
      <w:sz w:val="21"/>
      <w:szCs w:val="24"/>
    </w:rPr>
  </w:style>
  <w:style w:type="character" w:customStyle="1" w:styleId="79">
    <w:name w:val="正文文本_"/>
    <w:link w:val="80"/>
    <w:qFormat/>
    <w:uiPriority w:val="0"/>
    <w:rPr>
      <w:rFonts w:ascii="MingLiU" w:hAnsi="MingLiU" w:eastAsia="MingLiU" w:cs="MingLiU"/>
      <w:spacing w:val="9"/>
      <w:sz w:val="19"/>
      <w:szCs w:val="19"/>
      <w:shd w:val="clear" w:color="auto" w:fill="FFFFFF"/>
    </w:rPr>
  </w:style>
  <w:style w:type="paragraph" w:customStyle="1" w:styleId="80">
    <w:name w:val="正文文本1"/>
    <w:basedOn w:val="1"/>
    <w:link w:val="79"/>
    <w:qFormat/>
    <w:uiPriority w:val="0"/>
    <w:pPr>
      <w:shd w:val="clear" w:color="auto" w:fill="FFFFFF"/>
      <w:spacing w:line="302" w:lineRule="exact"/>
      <w:ind w:firstLine="460"/>
      <w:jc w:val="left"/>
    </w:pPr>
    <w:rPr>
      <w:rFonts w:ascii="MingLiU" w:hAnsi="MingLiU" w:eastAsia="MingLiU"/>
      <w:spacing w:val="9"/>
      <w:kern w:val="0"/>
      <w:sz w:val="19"/>
      <w:szCs w:val="19"/>
    </w:rPr>
  </w:style>
  <w:style w:type="character" w:customStyle="1" w:styleId="81">
    <w:name w:val="正文文本 + 10 pt"/>
    <w:qFormat/>
    <w:uiPriority w:val="0"/>
    <w:rPr>
      <w:rFonts w:ascii="MingLiU" w:hAnsi="MingLiU" w:eastAsia="MingLiU" w:cs="MingLiU"/>
      <w:color w:val="000000"/>
      <w:spacing w:val="8"/>
      <w:w w:val="100"/>
      <w:position w:val="0"/>
      <w:sz w:val="20"/>
      <w:szCs w:val="20"/>
      <w:shd w:val="clear" w:color="auto" w:fill="FFFFFF"/>
      <w:lang w:val="zh-TW"/>
    </w:rPr>
  </w:style>
  <w:style w:type="character" w:customStyle="1" w:styleId="82">
    <w:name w:val="页脚 字符"/>
    <w:qFormat/>
    <w:uiPriority w:val="99"/>
    <w:rPr>
      <w:sz w:val="18"/>
      <w:szCs w:val="18"/>
    </w:rPr>
  </w:style>
  <w:style w:type="character" w:customStyle="1" w:styleId="83">
    <w:name w:val="Char Char1"/>
    <w:qFormat/>
    <w:uiPriority w:val="0"/>
    <w:rPr>
      <w:rFonts w:ascii="宋体" w:hAnsi="Courier New" w:eastAsia="宋体"/>
      <w:kern w:val="2"/>
      <w:sz w:val="21"/>
      <w:lang w:val="en-US" w:eastAsia="zh-CN" w:bidi="ar-SA"/>
    </w:rPr>
  </w:style>
  <w:style w:type="character" w:customStyle="1" w:styleId="84">
    <w:name w:val="纯文本 Char_0"/>
    <w:link w:val="85"/>
    <w:uiPriority w:val="0"/>
    <w:rPr>
      <w:rFonts w:ascii="宋体" w:hAnsi="Courier New"/>
      <w:kern w:val="2"/>
      <w:sz w:val="21"/>
      <w:szCs w:val="21"/>
    </w:rPr>
  </w:style>
  <w:style w:type="paragraph" w:customStyle="1" w:styleId="85">
    <w:name w:val="纯文本_0_0"/>
    <w:basedOn w:val="1"/>
    <w:link w:val="84"/>
    <w:qFormat/>
    <w:uiPriority w:val="0"/>
    <w:rPr>
      <w:rFonts w:ascii="宋体" w:hAnsi="Courier New"/>
      <w:szCs w:val="21"/>
    </w:rPr>
  </w:style>
  <w:style w:type="character" w:customStyle="1" w:styleId="86">
    <w:name w:val="批注文字 字符1"/>
    <w:qFormat/>
    <w:uiPriority w:val="0"/>
    <w:rPr>
      <w:rFonts w:ascii="Times New Roman" w:hAnsi="Times New Roman"/>
      <w:kern w:val="2"/>
      <w:sz w:val="21"/>
      <w:szCs w:val="24"/>
    </w:rPr>
  </w:style>
  <w:style w:type="character" w:customStyle="1" w:styleId="87">
    <w:name w:val="纯文本 字符2"/>
    <w:qFormat/>
    <w:uiPriority w:val="0"/>
    <w:rPr>
      <w:rFonts w:ascii="宋体" w:hAnsi="Courier New" w:eastAsia="宋体" w:cs="Courier New"/>
      <w:szCs w:val="21"/>
    </w:rPr>
  </w:style>
  <w:style w:type="character" w:customStyle="1" w:styleId="88">
    <w:name w:val="hover1"/>
    <w:basedOn w:val="37"/>
    <w:qFormat/>
    <w:uiPriority w:val="0"/>
    <w:rPr>
      <w:color w:val="2590EB"/>
    </w:rPr>
  </w:style>
  <w:style w:type="character" w:customStyle="1" w:styleId="89">
    <w:name w:val="hover3"/>
    <w:basedOn w:val="37"/>
    <w:qFormat/>
    <w:uiPriority w:val="0"/>
  </w:style>
  <w:style w:type="character" w:customStyle="1" w:styleId="90">
    <w:name w:val="hover"/>
    <w:basedOn w:val="37"/>
    <w:qFormat/>
    <w:uiPriority w:val="0"/>
    <w:rPr>
      <w:color w:val="2590EB"/>
    </w:rPr>
  </w:style>
  <w:style w:type="paragraph" w:styleId="91">
    <w:name w:val="List Paragraph"/>
    <w:basedOn w:val="1"/>
    <w:qFormat/>
    <w:uiPriority w:val="34"/>
    <w:pPr>
      <w:ind w:firstLine="420" w:firstLineChars="200"/>
    </w:pPr>
  </w:style>
  <w:style w:type="paragraph" w:customStyle="1" w:styleId="92">
    <w:name w:val="正文缩进1"/>
    <w:basedOn w:val="1"/>
    <w:next w:val="15"/>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93">
    <w:name w:val="Table Paragraph"/>
    <w:basedOn w:val="1"/>
    <w:qFormat/>
    <w:uiPriority w:val="1"/>
    <w:pPr>
      <w:jc w:val="left"/>
    </w:pPr>
    <w:rPr>
      <w:rFonts w:ascii="Calibri" w:hAnsi="Calibri"/>
      <w:kern w:val="0"/>
      <w:sz w:val="22"/>
      <w:szCs w:val="22"/>
      <w:lang w:eastAsia="en-US"/>
    </w:rPr>
  </w:style>
  <w:style w:type="paragraph" w:customStyle="1" w:styleId="94">
    <w:name w:val="默认段落字体 Para Char Char Char Char Char Char Char Char Char1 Char Char Char Char"/>
    <w:basedOn w:val="1"/>
    <w:qFormat/>
    <w:uiPriority w:val="0"/>
    <w:rPr>
      <w:rFonts w:ascii="Tahoma" w:hAnsi="Tahoma"/>
      <w:sz w:val="24"/>
      <w:szCs w:val="20"/>
    </w:rPr>
  </w:style>
  <w:style w:type="paragraph" w:customStyle="1" w:styleId="95">
    <w:name w:val="样式 标题 2 + 非加粗 首行缩进:  2 字符"/>
    <w:basedOn w:val="5"/>
    <w:qFormat/>
    <w:uiPriority w:val="0"/>
    <w:pPr>
      <w:spacing w:before="0" w:beforeLines="0" w:after="0" w:afterLines="0" w:line="600" w:lineRule="exact"/>
      <w:ind w:firstLine="640" w:firstLineChars="200"/>
      <w:jc w:val="left"/>
    </w:pPr>
    <w:rPr>
      <w:rFonts w:cs="宋体"/>
      <w:b w:val="0"/>
      <w:bCs w:val="0"/>
      <w:szCs w:val="20"/>
    </w:rPr>
  </w:style>
  <w:style w:type="paragraph" w:customStyle="1" w:styleId="96">
    <w:name w:val="Char Char Char1 Char Char Char Char Char Char Char"/>
    <w:basedOn w:val="1"/>
    <w:qFormat/>
    <w:uiPriority w:val="0"/>
  </w:style>
  <w:style w:type="paragraph" w:customStyle="1" w:styleId="97">
    <w:name w:val=" Char"/>
    <w:basedOn w:val="1"/>
    <w:qFormat/>
    <w:uiPriority w:val="0"/>
    <w:rPr>
      <w:szCs w:val="21"/>
    </w:rPr>
  </w:style>
  <w:style w:type="paragraph" w:customStyle="1" w:styleId="98">
    <w:name w:val="正文段"/>
    <w:basedOn w:val="1"/>
    <w:qFormat/>
    <w:uiPriority w:val="0"/>
    <w:pPr>
      <w:widowControl/>
      <w:snapToGrid w:val="0"/>
      <w:spacing w:after="156" w:afterLines="50"/>
      <w:ind w:firstLine="200" w:firstLineChars="200"/>
    </w:pPr>
    <w:rPr>
      <w:kern w:val="0"/>
      <w:sz w:val="24"/>
      <w:szCs w:val="20"/>
    </w:rPr>
  </w:style>
  <w:style w:type="paragraph" w:customStyle="1" w:styleId="99">
    <w:name w:val="样式 标题 1 + 居中 段前: 0 磅 段后: 0 磅 行距: 固定值 30 磅"/>
    <w:basedOn w:val="4"/>
    <w:qFormat/>
    <w:uiPriority w:val="0"/>
    <w:pPr>
      <w:spacing w:before="0" w:beforeLines="0" w:after="0" w:afterLines="0" w:line="600" w:lineRule="exact"/>
      <w:jc w:val="center"/>
    </w:pPr>
    <w:rPr>
      <w:rFonts w:cs="宋体"/>
      <w:szCs w:val="20"/>
    </w:rPr>
  </w:style>
  <w:style w:type="paragraph" w:customStyle="1" w:styleId="100">
    <w:name w:val=" Char Char Char Char Char Char Char"/>
    <w:basedOn w:val="1"/>
    <w:qFormat/>
    <w:uiPriority w:val="0"/>
  </w:style>
  <w:style w:type="paragraph" w:customStyle="1" w:styleId="101">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102">
    <w:name w:val="p0"/>
    <w:basedOn w:val="1"/>
    <w:qFormat/>
    <w:uiPriority w:val="0"/>
    <w:pPr>
      <w:widowControl/>
    </w:pPr>
    <w:rPr>
      <w:kern w:val="0"/>
      <w:szCs w:val="21"/>
    </w:rPr>
  </w:style>
  <w:style w:type="paragraph" w:customStyle="1" w:styleId="103">
    <w:name w:val="_Style 102"/>
    <w:basedOn w:val="4"/>
    <w:next w:val="1"/>
    <w:qFormat/>
    <w:uiPriority w:val="39"/>
    <w:pPr>
      <w:widowControl/>
      <w:spacing w:before="480" w:after="0" w:line="276" w:lineRule="auto"/>
      <w:jc w:val="left"/>
      <w:outlineLvl w:val="9"/>
    </w:pPr>
    <w:rPr>
      <w:rFonts w:ascii="Cambria" w:hAnsi="Cambria" w:eastAsia="宋体" w:cs="Times New Roman"/>
      <w:color w:val="365F91"/>
      <w:kern w:val="0"/>
      <w:sz w:val="28"/>
      <w:szCs w:val="28"/>
      <w:lang w:val="en-US" w:eastAsia="zh-CN"/>
    </w:rPr>
  </w:style>
  <w:style w:type="paragraph" w:customStyle="1" w:styleId="104">
    <w:name w:val="Char Char Char"/>
    <w:basedOn w:val="1"/>
    <w:qFormat/>
    <w:uiPriority w:val="0"/>
    <w:rPr>
      <w:szCs w:val="20"/>
    </w:rPr>
  </w:style>
  <w:style w:type="paragraph" w:customStyle="1" w:styleId="105">
    <w:name w:val="Char"/>
    <w:basedOn w:val="1"/>
    <w:qFormat/>
    <w:uiPriority w:val="0"/>
  </w:style>
  <w:style w:type="paragraph" w:customStyle="1" w:styleId="106">
    <w:name w:val=" Char Char Char Char"/>
    <w:basedOn w:val="1"/>
    <w:qFormat/>
    <w:uiPriority w:val="0"/>
    <w:pPr>
      <w:widowControl/>
      <w:spacing w:after="160" w:afterLines="0" w:line="240" w:lineRule="exact"/>
      <w:jc w:val="left"/>
    </w:pPr>
  </w:style>
  <w:style w:type="paragraph" w:customStyle="1" w:styleId="107">
    <w:name w:val="Char Char Char Char Char Char Char"/>
    <w:basedOn w:val="1"/>
    <w:qFormat/>
    <w:uiPriority w:val="0"/>
  </w:style>
  <w:style w:type="paragraph" w:customStyle="1" w:styleId="108">
    <w:name w:val=" Char Char Char Char Char Char Char Char Char Char Char Char"/>
    <w:basedOn w:val="1"/>
    <w:qFormat/>
    <w:uiPriority w:val="0"/>
    <w:pPr>
      <w:widowControl/>
      <w:spacing w:after="160" w:afterLines="0" w:line="240" w:lineRule="exact"/>
      <w:jc w:val="left"/>
    </w:pPr>
  </w:style>
  <w:style w:type="paragraph" w:customStyle="1" w:styleId="109">
    <w:name w:val="列出段落1"/>
    <w:basedOn w:val="1"/>
    <w:qFormat/>
    <w:uiPriority w:val="34"/>
    <w:pPr>
      <w:spacing w:before="100" w:beforeAutospacing="1" w:after="100" w:afterAutospacing="1" w:line="360" w:lineRule="auto"/>
      <w:ind w:firstLine="420" w:firstLineChars="200"/>
    </w:pPr>
  </w:style>
  <w:style w:type="paragraph" w:customStyle="1" w:styleId="110">
    <w:name w:val="_Style 182"/>
    <w:basedOn w:val="1"/>
    <w:next w:val="1"/>
    <w:qFormat/>
    <w:uiPriority w:val="0"/>
    <w:pPr>
      <w:tabs>
        <w:tab w:val="right" w:leader="dot" w:pos="8398"/>
      </w:tabs>
      <w:spacing w:before="120" w:after="120"/>
      <w:ind w:firstLine="240" w:firstLineChars="100"/>
      <w:jc w:val="left"/>
    </w:pPr>
    <w:rPr>
      <w:rFonts w:ascii="宋体" w:hAnsi="宋体"/>
      <w:b/>
      <w:bCs/>
      <w:caps/>
      <w:sz w:val="24"/>
    </w:rPr>
  </w:style>
  <w:style w:type="paragraph" w:customStyle="1" w:styleId="111">
    <w:name w:val="_Style 110"/>
    <w:qFormat/>
    <w:uiPriority w:val="0"/>
    <w:rPr>
      <w:rFonts w:ascii="Times New Roman" w:hAnsi="Times New Roman" w:eastAsia="宋体" w:cs="Times New Roman"/>
      <w:kern w:val="2"/>
      <w:sz w:val="21"/>
      <w:szCs w:val="24"/>
      <w:lang w:val="en-US" w:eastAsia="zh-CN" w:bidi="ar-SA"/>
    </w:rPr>
  </w:style>
  <w:style w:type="paragraph" w:customStyle="1" w:styleId="112">
    <w:name w:val="Char Char Char Char"/>
    <w:basedOn w:val="1"/>
    <w:qFormat/>
    <w:uiPriority w:val="0"/>
    <w:pPr>
      <w:widowControl/>
      <w:spacing w:after="160" w:afterLines="0" w:line="240" w:lineRule="exact"/>
      <w:jc w:val="left"/>
    </w:pPr>
  </w:style>
  <w:style w:type="paragraph" w:customStyle="1" w:styleId="113">
    <w:name w:val="Char Char Char Char Char Char Char Char Char Char Char Char"/>
    <w:basedOn w:val="1"/>
    <w:qFormat/>
    <w:uiPriority w:val="0"/>
    <w:pPr>
      <w:widowControl/>
      <w:spacing w:after="160" w:afterLines="0" w:line="240" w:lineRule="exact"/>
      <w:jc w:val="left"/>
    </w:pPr>
  </w:style>
  <w:style w:type="paragraph" w:customStyle="1" w:styleId="114">
    <w:name w:val="段"/>
    <w:next w:val="1"/>
    <w:qFormat/>
    <w:uiPriority w:val="99"/>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 w:type="paragraph" w:customStyle="1" w:styleId="115">
    <w:name w:val="WPSOffice手动目录 1"/>
    <w:qFormat/>
    <w:uiPriority w:val="0"/>
    <w:rPr>
      <w:rFonts w:ascii="Times New Roman" w:hAnsi="Times New Roman" w:eastAsia="宋体" w:cs="Times New Roman"/>
      <w:lang w:val="en-US" w:eastAsia="zh-CN" w:bidi="ar-SA"/>
    </w:rPr>
  </w:style>
  <w:style w:type="table" w:customStyle="1" w:styleId="116">
    <w:name w:val="网格型1"/>
    <w:basedOn w:val="35"/>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admin</Company>
  <Pages>40</Pages>
  <Words>7591</Words>
  <Characters>8417</Characters>
  <Lines>351</Lines>
  <Paragraphs>98</Paragraphs>
  <TotalTime>2</TotalTime>
  <ScaleCrop>false</ScaleCrop>
  <LinksUpToDate>false</LinksUpToDate>
  <CharactersWithSpaces>8780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2021-10-22T07:13:00Z</dcterms:created>
  <dc:creator>丁琳</dc:creator>
  <cp:lastModifiedBy>嵐</cp:lastModifiedBy>
  <cp:lastPrinted>2024-02-23T08:21:00Z</cp:lastPrinted>
  <dcterms:modified xsi:type="dcterms:W3CDTF">2026-07-27T01:44:04Z</dcterms:modified>
  <dc:title>南财采管〔2012〕3号</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72F445AE930B4B528BC84ED2C6049400_13</vt:lpwstr>
  </property>
  <property fmtid="{D5CDD505-2E9C-101B-9397-08002B2CF9AE}" pid="4" name="KSOTemplateDocerSaveRecord">
    <vt:lpwstr>eyJoZGlkIjoiN2M3NzliYjlmY2U4ZDM3NWIzOTNiZGYyYWUwNGU2OGMiLCJ1c2VySWQiOiIzMTY1NDY5MjAifQ==</vt:lpwstr>
  </property>
</Properties>
</file>