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F2AC2">
      <w:pPr>
        <w:jc w:val="center"/>
        <w:outlineLvl w:val="0"/>
        <w:rPr>
          <w:rFonts w:ascii="宋体" w:hAnsi="宋体" w:eastAsia="宋体"/>
          <w:color w:val="auto"/>
          <w:sz w:val="72"/>
        </w:rPr>
      </w:pPr>
      <w:r>
        <w:rPr>
          <w:rFonts w:hint="eastAsia" w:ascii="宋体" w:hAnsi="宋体" w:eastAsia="宋体"/>
          <w:b/>
          <w:color w:val="auto"/>
          <w:sz w:val="48"/>
          <w:szCs w:val="48"/>
          <w:lang w:eastAsia="zh-CN"/>
        </w:rPr>
        <w:t>广西壮锦工程管理咨询有限公司</w:t>
      </w:r>
    </w:p>
    <w:p w14:paraId="05F9B3B2">
      <w:pPr>
        <w:jc w:val="center"/>
        <w:rPr>
          <w:rFonts w:ascii="宋体" w:hAnsi="宋体" w:eastAsia="宋体"/>
          <w:color w:val="auto"/>
          <w:sz w:val="72"/>
        </w:rPr>
      </w:pPr>
      <w:r>
        <w:rPr>
          <w:color w:val="auto"/>
        </w:rPr>
        <mc:AlternateContent>
          <mc:Choice Requires="wps">
            <w:drawing>
              <wp:anchor distT="0" distB="0" distL="114300" distR="114300" simplePos="0" relativeHeight="251662336" behindDoc="0" locked="0" layoutInCell="1" allowOverlap="1">
                <wp:simplePos x="0" y="0"/>
                <wp:positionH relativeFrom="column">
                  <wp:posOffset>95250</wp:posOffset>
                </wp:positionH>
                <wp:positionV relativeFrom="paragraph">
                  <wp:posOffset>31115</wp:posOffset>
                </wp:positionV>
                <wp:extent cx="5654675" cy="1778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54675" cy="17780"/>
                        </a:xfrm>
                        <a:prstGeom prst="line">
                          <a:avLst/>
                        </a:prstGeom>
                        <a:ln w="285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7.5pt;margin-top:2.45pt;height:1.4pt;width:445.25pt;z-index:251662336;mso-width-relative:page;mso-height-relative:page;" filled="f" stroked="t" coordsize="21600,21600" o:gfxdata="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ExFkVNUAAAAGAQAADwAAAAAAAAABACAAAAAiAAAAZHJzL2Rvd25yZXYueG1sUEsBAhQA&#10;FAAAAAgAh07iQK+UXY31AQAA6wMAAA4AAAAAAAAAAQAgAAAAJAEAAGRycy9lMm9Eb2MueG1sUEsF&#10;BgAAAAAGAAYAWQEAAIsFAAAAAA==&#10;">
                <v:fill on="f" focussize="0,0"/>
                <v:stroke weight="2.25pt" color="#000000" joinstyle="round"/>
                <v:imagedata o:title=""/>
                <o:lock v:ext="edit" aspectratio="f"/>
              </v:line>
            </w:pict>
          </mc:Fallback>
        </mc:AlternateContent>
      </w:r>
    </w:p>
    <w:p w14:paraId="2C5BF630">
      <w:pPr>
        <w:rPr>
          <w:color w:val="auto"/>
        </w:rPr>
      </w:pPr>
    </w:p>
    <w:p w14:paraId="24AB6AF3">
      <w:pPr>
        <w:jc w:val="center"/>
        <w:rPr>
          <w:rFonts w:ascii="宋体" w:hAnsi="宋体" w:eastAsia="宋体"/>
          <w:color w:val="auto"/>
          <w:sz w:val="84"/>
          <w:szCs w:val="84"/>
        </w:rPr>
      </w:pPr>
      <w:r>
        <w:rPr>
          <w:rFonts w:hint="eastAsia" w:ascii="宋体" w:hAnsi="宋体" w:eastAsia="宋体"/>
          <w:color w:val="auto"/>
          <w:sz w:val="84"/>
          <w:szCs w:val="84"/>
          <w:lang w:val="en-US" w:eastAsia="zh-CN"/>
        </w:rPr>
        <w:t>公开招标</w:t>
      </w:r>
      <w:r>
        <w:rPr>
          <w:rFonts w:hint="eastAsia" w:ascii="宋体" w:hAnsi="宋体" w:eastAsia="宋体"/>
          <w:color w:val="auto"/>
          <w:sz w:val="84"/>
          <w:szCs w:val="84"/>
        </w:rPr>
        <w:t>文件</w:t>
      </w:r>
    </w:p>
    <w:p w14:paraId="73B5B526">
      <w:pPr>
        <w:spacing w:before="94" w:line="227" w:lineRule="auto"/>
        <w:jc w:val="center"/>
        <w:outlineLvl w:val="0"/>
        <w:rPr>
          <w:rFonts w:ascii="宋体" w:hAnsi="宋体" w:eastAsia="宋体" w:cs="宋体"/>
          <w:color w:val="auto"/>
          <w:spacing w:val="21"/>
          <w:sz w:val="29"/>
          <w:szCs w:val="29"/>
        </w:rPr>
      </w:pPr>
      <w:bookmarkStart w:id="0" w:name="_Toc23563"/>
      <w:bookmarkStart w:id="1" w:name="_Toc18452"/>
      <w:bookmarkStart w:id="2" w:name="_Toc12728"/>
      <w:bookmarkStart w:id="3" w:name="_Toc32723"/>
      <w:bookmarkStart w:id="4" w:name="_Toc21705"/>
      <w:bookmarkStart w:id="5" w:name="_Toc11601"/>
      <w:bookmarkStart w:id="6" w:name="_Toc22821"/>
    </w:p>
    <w:p w14:paraId="1F22C38D">
      <w:pPr>
        <w:spacing w:before="94" w:line="227" w:lineRule="auto"/>
        <w:jc w:val="center"/>
        <w:outlineLvl w:val="0"/>
        <w:rPr>
          <w:rFonts w:ascii="宋体" w:hAnsi="宋体" w:eastAsia="宋体" w:cs="宋体"/>
          <w:color w:val="auto"/>
          <w:sz w:val="29"/>
          <w:szCs w:val="29"/>
        </w:rPr>
      </w:pPr>
      <w:r>
        <w:rPr>
          <w:rFonts w:hint="eastAsia" w:ascii="Arial" w:eastAsia="宋体"/>
          <w:color w:val="auto"/>
          <w:sz w:val="21"/>
          <w:lang w:eastAsia="zh-CN"/>
        </w:rPr>
        <w:drawing>
          <wp:anchor distT="0" distB="0" distL="114300" distR="114300" simplePos="0" relativeHeight="251661312" behindDoc="1" locked="0" layoutInCell="1" allowOverlap="1">
            <wp:simplePos x="0" y="0"/>
            <wp:positionH relativeFrom="column">
              <wp:posOffset>1320165</wp:posOffset>
            </wp:positionH>
            <wp:positionV relativeFrom="paragraph">
              <wp:posOffset>282575</wp:posOffset>
            </wp:positionV>
            <wp:extent cx="3143250" cy="2682875"/>
            <wp:effectExtent l="0" t="0" r="0" b="0"/>
            <wp:wrapNone/>
            <wp:docPr id="1" name="图片 1" descr="白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白面"/>
                    <pic:cNvPicPr>
                      <a:picLocks noChangeAspect="1"/>
                    </pic:cNvPicPr>
                  </pic:nvPicPr>
                  <pic:blipFill>
                    <a:blip r:embed="rId43"/>
                    <a:srcRect l="20945" t="15750" r="19538" b="16488"/>
                    <a:stretch>
                      <a:fillRect/>
                    </a:stretch>
                  </pic:blipFill>
                  <pic:spPr>
                    <a:xfrm>
                      <a:off x="0" y="0"/>
                      <a:ext cx="3143250" cy="2682875"/>
                    </a:xfrm>
                    <a:prstGeom prst="rect">
                      <a:avLst/>
                    </a:prstGeom>
                  </pic:spPr>
                </pic:pic>
              </a:graphicData>
            </a:graphic>
          </wp:anchor>
        </w:drawing>
      </w:r>
      <w:r>
        <w:rPr>
          <w:rFonts w:ascii="宋体" w:hAnsi="宋体" w:eastAsia="宋体" w:cs="宋体"/>
          <w:color w:val="auto"/>
          <w:spacing w:val="21"/>
          <w:sz w:val="29"/>
          <w:szCs w:val="29"/>
        </w:rPr>
        <w:t>(全流程电子化评标)</w:t>
      </w:r>
      <w:bookmarkEnd w:id="0"/>
      <w:bookmarkEnd w:id="1"/>
      <w:bookmarkEnd w:id="2"/>
      <w:bookmarkEnd w:id="3"/>
      <w:bookmarkEnd w:id="4"/>
      <w:bookmarkEnd w:id="5"/>
      <w:bookmarkEnd w:id="6"/>
    </w:p>
    <w:p w14:paraId="2623D6E9">
      <w:pPr>
        <w:spacing w:line="244" w:lineRule="auto"/>
        <w:rPr>
          <w:rFonts w:hint="eastAsia" w:ascii="Arial" w:eastAsia="宋体"/>
          <w:color w:val="auto"/>
          <w:sz w:val="21"/>
          <w:lang w:eastAsia="zh-CN"/>
        </w:rPr>
      </w:pPr>
    </w:p>
    <w:p w14:paraId="1D142CBC">
      <w:pPr>
        <w:spacing w:line="244" w:lineRule="auto"/>
        <w:rPr>
          <w:rFonts w:hint="eastAsia" w:ascii="Arial" w:eastAsia="宋体"/>
          <w:color w:val="auto"/>
          <w:sz w:val="21"/>
          <w:lang w:eastAsia="zh-CN"/>
        </w:rPr>
      </w:pPr>
    </w:p>
    <w:p w14:paraId="0C4E51B5">
      <w:pPr>
        <w:spacing w:line="244" w:lineRule="auto"/>
        <w:rPr>
          <w:rFonts w:hint="eastAsia" w:ascii="Arial" w:eastAsia="宋体"/>
          <w:color w:val="auto"/>
          <w:sz w:val="21"/>
          <w:lang w:eastAsia="zh-CN"/>
        </w:rPr>
      </w:pPr>
    </w:p>
    <w:p w14:paraId="3390B512">
      <w:pPr>
        <w:spacing w:line="244" w:lineRule="auto"/>
        <w:rPr>
          <w:rFonts w:hint="eastAsia" w:ascii="Arial" w:eastAsia="宋体"/>
          <w:color w:val="auto"/>
          <w:sz w:val="21"/>
          <w:lang w:eastAsia="zh-CN"/>
        </w:rPr>
      </w:pPr>
    </w:p>
    <w:p w14:paraId="7502F889">
      <w:pPr>
        <w:spacing w:line="244" w:lineRule="auto"/>
        <w:rPr>
          <w:rFonts w:hint="eastAsia" w:ascii="Arial" w:eastAsia="宋体"/>
          <w:color w:val="auto"/>
          <w:sz w:val="21"/>
          <w:lang w:eastAsia="zh-CN"/>
        </w:rPr>
      </w:pPr>
    </w:p>
    <w:p w14:paraId="17115D7D">
      <w:pPr>
        <w:spacing w:line="244" w:lineRule="auto"/>
        <w:rPr>
          <w:rFonts w:hint="eastAsia" w:ascii="Arial" w:eastAsia="宋体"/>
          <w:color w:val="auto"/>
          <w:sz w:val="21"/>
          <w:lang w:eastAsia="zh-CN"/>
        </w:rPr>
      </w:pPr>
    </w:p>
    <w:p w14:paraId="2587D146">
      <w:pPr>
        <w:spacing w:line="244" w:lineRule="auto"/>
        <w:rPr>
          <w:rFonts w:hint="eastAsia" w:ascii="Arial" w:eastAsia="宋体"/>
          <w:color w:val="auto"/>
          <w:sz w:val="21"/>
          <w:lang w:eastAsia="zh-CN"/>
        </w:rPr>
      </w:pPr>
    </w:p>
    <w:p w14:paraId="7E202BD6">
      <w:pPr>
        <w:spacing w:line="244" w:lineRule="auto"/>
        <w:rPr>
          <w:rFonts w:hint="eastAsia" w:ascii="Arial" w:eastAsia="宋体"/>
          <w:color w:val="auto"/>
          <w:sz w:val="21"/>
          <w:lang w:eastAsia="zh-CN"/>
        </w:rPr>
      </w:pPr>
    </w:p>
    <w:p w14:paraId="3885EB67">
      <w:pPr>
        <w:spacing w:line="244" w:lineRule="auto"/>
        <w:rPr>
          <w:rFonts w:hint="eastAsia" w:ascii="Arial" w:eastAsia="宋体"/>
          <w:color w:val="auto"/>
          <w:sz w:val="21"/>
          <w:lang w:eastAsia="zh-CN"/>
        </w:rPr>
      </w:pPr>
    </w:p>
    <w:p w14:paraId="4C533DFC">
      <w:pPr>
        <w:spacing w:line="244" w:lineRule="auto"/>
        <w:rPr>
          <w:rFonts w:hint="eastAsia" w:ascii="Arial" w:eastAsia="宋体"/>
          <w:color w:val="auto"/>
          <w:sz w:val="21"/>
          <w:lang w:eastAsia="zh-CN"/>
        </w:rPr>
      </w:pPr>
    </w:p>
    <w:p w14:paraId="7D11A8C0">
      <w:pPr>
        <w:spacing w:line="244" w:lineRule="auto"/>
        <w:rPr>
          <w:rFonts w:hint="eastAsia" w:ascii="Arial" w:eastAsia="宋体"/>
          <w:color w:val="auto"/>
          <w:sz w:val="21"/>
          <w:lang w:eastAsia="zh-CN"/>
        </w:rPr>
      </w:pPr>
    </w:p>
    <w:p w14:paraId="0C109455">
      <w:pPr>
        <w:spacing w:line="244" w:lineRule="auto"/>
        <w:rPr>
          <w:rFonts w:hint="eastAsia" w:ascii="Arial" w:eastAsia="宋体"/>
          <w:color w:val="auto"/>
          <w:sz w:val="21"/>
          <w:lang w:eastAsia="zh-CN"/>
        </w:rPr>
      </w:pPr>
    </w:p>
    <w:p w14:paraId="0B740E3D">
      <w:pPr>
        <w:spacing w:line="244" w:lineRule="auto"/>
        <w:rPr>
          <w:rFonts w:hint="eastAsia" w:ascii="Arial" w:eastAsia="宋体"/>
          <w:color w:val="auto"/>
          <w:sz w:val="21"/>
          <w:lang w:eastAsia="zh-CN"/>
        </w:rPr>
      </w:pPr>
    </w:p>
    <w:p w14:paraId="421E9EBD">
      <w:pPr>
        <w:spacing w:line="244" w:lineRule="auto"/>
        <w:rPr>
          <w:rFonts w:hint="eastAsia" w:ascii="Arial" w:eastAsia="宋体"/>
          <w:color w:val="auto"/>
          <w:sz w:val="21"/>
          <w:lang w:eastAsia="zh-CN"/>
        </w:rPr>
      </w:pPr>
    </w:p>
    <w:p w14:paraId="7CB11DAA">
      <w:pPr>
        <w:spacing w:line="244" w:lineRule="auto"/>
        <w:rPr>
          <w:rFonts w:hint="eastAsia" w:ascii="Arial" w:eastAsia="宋体"/>
          <w:color w:val="auto"/>
          <w:sz w:val="21"/>
          <w:lang w:eastAsia="zh-CN"/>
        </w:rPr>
      </w:pPr>
    </w:p>
    <w:p w14:paraId="01DEFB79">
      <w:pPr>
        <w:spacing w:line="244" w:lineRule="auto"/>
        <w:rPr>
          <w:rFonts w:hint="eastAsia" w:ascii="Arial" w:eastAsia="宋体"/>
          <w:color w:val="auto"/>
          <w:sz w:val="21"/>
          <w:lang w:eastAsia="zh-CN"/>
        </w:rPr>
      </w:pPr>
    </w:p>
    <w:p w14:paraId="493D73A1">
      <w:pPr>
        <w:spacing w:line="244" w:lineRule="auto"/>
        <w:rPr>
          <w:rFonts w:hint="eastAsia" w:ascii="Arial" w:eastAsia="宋体"/>
          <w:color w:val="auto"/>
          <w:sz w:val="21"/>
          <w:lang w:eastAsia="zh-CN"/>
        </w:rPr>
      </w:pPr>
    </w:p>
    <w:p w14:paraId="30FD7857">
      <w:pPr>
        <w:spacing w:line="244" w:lineRule="auto"/>
        <w:rPr>
          <w:rFonts w:hint="eastAsia" w:ascii="Arial" w:eastAsia="宋体"/>
          <w:color w:val="auto"/>
          <w:sz w:val="21"/>
          <w:lang w:eastAsia="zh-CN"/>
        </w:rPr>
      </w:pPr>
    </w:p>
    <w:p w14:paraId="132452E2">
      <w:pPr>
        <w:spacing w:line="244" w:lineRule="auto"/>
        <w:rPr>
          <w:rFonts w:hint="eastAsia" w:ascii="Arial" w:eastAsia="宋体"/>
          <w:color w:val="auto"/>
          <w:sz w:val="21"/>
          <w:lang w:eastAsia="zh-CN"/>
        </w:rPr>
      </w:pPr>
    </w:p>
    <w:p w14:paraId="4E382526">
      <w:pPr>
        <w:pStyle w:val="6"/>
        <w:rPr>
          <w:rFonts w:hint="eastAsia"/>
          <w:color w:val="auto"/>
          <w:lang w:eastAsia="zh-CN"/>
        </w:rPr>
      </w:pPr>
    </w:p>
    <w:p w14:paraId="4878154C">
      <w:pPr>
        <w:pStyle w:val="26"/>
        <w:rPr>
          <w:color w:val="auto"/>
        </w:rPr>
      </w:pPr>
    </w:p>
    <w:p w14:paraId="625CC525">
      <w:pPr>
        <w:spacing w:line="360" w:lineRule="auto"/>
        <w:ind w:firstLine="843" w:firstLineChars="300"/>
        <w:outlineLvl w:val="0"/>
        <w:rPr>
          <w:rFonts w:hint="eastAsia" w:ascii="宋体" w:hAnsi="宋体" w:eastAsia="宋体"/>
          <w:b/>
          <w:color w:val="auto"/>
          <w:sz w:val="28"/>
          <w:szCs w:val="28"/>
          <w:lang w:eastAsia="zh-CN"/>
        </w:rPr>
      </w:pPr>
      <w:r>
        <w:rPr>
          <w:rFonts w:hint="eastAsia" w:ascii="宋体" w:hAnsi="宋体" w:eastAsia="宋体"/>
          <w:b/>
          <w:color w:val="auto"/>
          <w:sz w:val="28"/>
          <w:szCs w:val="28"/>
        </w:rPr>
        <w:t>项目名称：</w:t>
      </w:r>
      <w:r>
        <w:rPr>
          <w:rFonts w:hint="eastAsia" w:ascii="宋体" w:hAnsi="宋体" w:eastAsia="宋体"/>
          <w:b/>
          <w:color w:val="auto"/>
          <w:sz w:val="28"/>
          <w:szCs w:val="28"/>
          <w:lang w:eastAsia="zh-CN"/>
        </w:rPr>
        <w:t>百色市森林防火智慧预警项目</w:t>
      </w:r>
    </w:p>
    <w:p w14:paraId="76CFC031">
      <w:pPr>
        <w:spacing w:line="360" w:lineRule="auto"/>
        <w:ind w:firstLine="843" w:firstLineChars="300"/>
        <w:rPr>
          <w:rFonts w:hint="eastAsia" w:ascii="宋体" w:hAnsi="宋体" w:eastAsia="宋体"/>
          <w:b/>
          <w:color w:val="auto"/>
          <w:sz w:val="28"/>
          <w:szCs w:val="28"/>
        </w:rPr>
      </w:pPr>
    </w:p>
    <w:p w14:paraId="5B81DBF2">
      <w:pPr>
        <w:spacing w:line="360" w:lineRule="auto"/>
        <w:ind w:firstLine="843" w:firstLineChars="300"/>
        <w:rPr>
          <w:color w:val="auto"/>
          <w:sz w:val="28"/>
          <w:szCs w:val="28"/>
          <w:highlight w:val="none"/>
        </w:rPr>
      </w:pPr>
      <w:r>
        <w:rPr>
          <w:rFonts w:hint="eastAsia" w:ascii="宋体" w:hAnsi="宋体" w:eastAsia="宋体"/>
          <w:b/>
          <w:color w:val="auto"/>
          <w:sz w:val="28"/>
          <w:szCs w:val="28"/>
          <w:highlight w:val="none"/>
        </w:rPr>
        <w:t>项目编号：BSZC2026-G3-9902</w:t>
      </w:r>
      <w:bookmarkStart w:id="78" w:name="_GoBack"/>
      <w:bookmarkEnd w:id="78"/>
      <w:r>
        <w:rPr>
          <w:rFonts w:hint="eastAsia" w:ascii="宋体" w:hAnsi="宋体" w:eastAsia="宋体"/>
          <w:b/>
          <w:color w:val="auto"/>
          <w:sz w:val="28"/>
          <w:szCs w:val="28"/>
          <w:highlight w:val="none"/>
        </w:rPr>
        <w:t>15-ZJGC</w:t>
      </w:r>
    </w:p>
    <w:p w14:paraId="77F9B85B">
      <w:pPr>
        <w:jc w:val="center"/>
        <w:rPr>
          <w:rFonts w:ascii="宋体" w:hAnsi="宋体" w:eastAsia="宋体"/>
          <w:color w:val="auto"/>
          <w:sz w:val="28"/>
          <w:szCs w:val="28"/>
        </w:rPr>
      </w:pPr>
      <w:r>
        <w:rPr>
          <w:color w:val="auto"/>
          <w:sz w:val="28"/>
          <w:szCs w:val="28"/>
        </w:rPr>
        <mc:AlternateContent>
          <mc:Choice Requires="wps">
            <w:drawing>
              <wp:anchor distT="0" distB="0" distL="114300" distR="114300" simplePos="0" relativeHeight="251663360" behindDoc="0" locked="0" layoutInCell="1" allowOverlap="1">
                <wp:simplePos x="0" y="0"/>
                <wp:positionH relativeFrom="column">
                  <wp:posOffset>169545</wp:posOffset>
                </wp:positionH>
                <wp:positionV relativeFrom="paragraph">
                  <wp:posOffset>137795</wp:posOffset>
                </wp:positionV>
                <wp:extent cx="5572125" cy="24130"/>
                <wp:effectExtent l="0" t="13970" r="9525" b="19050"/>
                <wp:wrapNone/>
                <wp:docPr id="3" name="直接连接符 3"/>
                <wp:cNvGraphicFramePr/>
                <a:graphic xmlns:a="http://schemas.openxmlformats.org/drawingml/2006/main">
                  <a:graphicData uri="http://schemas.microsoft.com/office/word/2010/wordprocessingShape">
                    <wps:wsp>
                      <wps:cNvCnPr/>
                      <wps:spPr>
                        <a:xfrm>
                          <a:off x="0" y="0"/>
                          <a:ext cx="5572125" cy="24130"/>
                        </a:xfrm>
                        <a:prstGeom prst="line">
                          <a:avLst/>
                        </a:prstGeom>
                        <a:ln w="285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3.35pt;margin-top:10.85pt;height:1.9pt;width:438.75pt;z-index:251663360;mso-width-relative:page;mso-height-relative:page;" filled="f" stroked="t" coordsize="21600,21600" o:gfxdata="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eC+i29cAAAAIAQAADwAAAAAAAAABACAAAAAiAAAAZHJzL2Rvd25yZXYueG1sUEsB&#10;AhQAFAAAAAgAh07iQJ7quhT2AQAA6wMAAA4AAAAAAAAAAQAgAAAAJgEAAGRycy9lMm9Eb2MueG1s&#10;UEsFBgAAAAAGAAYAWQEAAI4FAAAAAA==&#10;">
                <v:fill on="f" focussize="0,0"/>
                <v:stroke weight="2.25pt" color="#000000" joinstyle="round"/>
                <v:imagedata o:title=""/>
                <o:lock v:ext="edit" aspectratio="f"/>
              </v:line>
            </w:pict>
          </mc:Fallback>
        </mc:AlternateContent>
      </w:r>
    </w:p>
    <w:p w14:paraId="296C0834">
      <w:pPr>
        <w:ind w:firstLine="843" w:firstLineChars="300"/>
        <w:jc w:val="both"/>
        <w:rPr>
          <w:rFonts w:hint="eastAsia" w:ascii="宋体" w:hAnsi="宋体" w:eastAsia="宋体"/>
          <w:b/>
          <w:color w:val="auto"/>
          <w:sz w:val="28"/>
          <w:szCs w:val="28"/>
        </w:rPr>
      </w:pPr>
    </w:p>
    <w:p w14:paraId="71F40BEF">
      <w:pPr>
        <w:ind w:firstLine="843" w:firstLineChars="300"/>
        <w:jc w:val="both"/>
        <w:outlineLvl w:val="0"/>
        <w:rPr>
          <w:rFonts w:ascii="宋体" w:hAnsi="宋体" w:eastAsia="宋体"/>
          <w:b/>
          <w:color w:val="auto"/>
          <w:sz w:val="28"/>
          <w:szCs w:val="28"/>
          <w:u w:val="single"/>
        </w:rPr>
      </w:pPr>
      <w:bookmarkStart w:id="7" w:name="_Toc19497"/>
      <w:bookmarkStart w:id="8" w:name="_Toc18376"/>
      <w:bookmarkStart w:id="9" w:name="_Toc18212"/>
      <w:bookmarkStart w:id="10" w:name="_Toc17276"/>
      <w:bookmarkStart w:id="11" w:name="_Toc15575"/>
      <w:bookmarkStart w:id="12" w:name="_Toc28328"/>
      <w:bookmarkStart w:id="13" w:name="_Toc21344"/>
      <w:r>
        <w:rPr>
          <w:rFonts w:hint="eastAsia" w:ascii="宋体" w:hAnsi="宋体" w:eastAsia="宋体"/>
          <w:b/>
          <w:color w:val="auto"/>
          <w:sz w:val="28"/>
          <w:szCs w:val="28"/>
        </w:rPr>
        <w:t>采购单位：</w:t>
      </w:r>
      <w:bookmarkEnd w:id="7"/>
      <w:bookmarkEnd w:id="8"/>
      <w:bookmarkEnd w:id="9"/>
      <w:bookmarkEnd w:id="10"/>
      <w:bookmarkEnd w:id="11"/>
      <w:bookmarkEnd w:id="12"/>
      <w:bookmarkEnd w:id="13"/>
      <w:r>
        <w:rPr>
          <w:rFonts w:hint="eastAsia" w:ascii="宋体" w:hAnsi="宋体" w:eastAsia="宋体"/>
          <w:b/>
          <w:color w:val="auto"/>
          <w:sz w:val="28"/>
          <w:szCs w:val="28"/>
          <w:lang w:val="en-US" w:eastAsia="zh-CN"/>
        </w:rPr>
        <w:t>百色市林业局</w:t>
      </w:r>
    </w:p>
    <w:p w14:paraId="121F93A9">
      <w:pPr>
        <w:pStyle w:val="26"/>
        <w:ind w:firstLine="330"/>
        <w:rPr>
          <w:color w:val="auto"/>
          <w:sz w:val="28"/>
          <w:szCs w:val="28"/>
        </w:rPr>
      </w:pPr>
    </w:p>
    <w:p w14:paraId="3FC66C91">
      <w:pPr>
        <w:spacing w:line="600" w:lineRule="exact"/>
        <w:ind w:firstLine="843" w:firstLineChars="300"/>
        <w:outlineLvl w:val="0"/>
        <w:rPr>
          <w:rFonts w:hint="eastAsia" w:ascii="宋体" w:hAnsi="宋体" w:eastAsia="宋体"/>
          <w:b/>
          <w:color w:val="auto"/>
          <w:sz w:val="28"/>
          <w:szCs w:val="28"/>
          <w:u w:val="none"/>
          <w:lang w:eastAsia="zh-CN"/>
        </w:rPr>
      </w:pPr>
      <w:bookmarkStart w:id="14" w:name="_Toc13875"/>
      <w:bookmarkStart w:id="15" w:name="_Toc27281"/>
      <w:bookmarkStart w:id="16" w:name="_Toc30235"/>
      <w:bookmarkStart w:id="17" w:name="_Toc18677"/>
      <w:bookmarkStart w:id="18" w:name="_Toc18102"/>
      <w:bookmarkStart w:id="19" w:name="_Toc28392"/>
      <w:bookmarkStart w:id="20" w:name="_Toc21498"/>
      <w:r>
        <w:rPr>
          <w:rFonts w:hint="eastAsia" w:ascii="宋体" w:hAnsi="宋体" w:eastAsia="宋体"/>
          <w:b/>
          <w:color w:val="auto"/>
          <w:sz w:val="28"/>
          <w:szCs w:val="28"/>
        </w:rPr>
        <w:t>采购代理机构：</w:t>
      </w:r>
      <w:bookmarkEnd w:id="14"/>
      <w:bookmarkEnd w:id="15"/>
      <w:bookmarkEnd w:id="16"/>
      <w:bookmarkEnd w:id="17"/>
      <w:bookmarkEnd w:id="18"/>
      <w:bookmarkEnd w:id="19"/>
      <w:bookmarkEnd w:id="20"/>
      <w:r>
        <w:rPr>
          <w:rFonts w:hint="eastAsia" w:ascii="宋体" w:hAnsi="宋体" w:eastAsia="宋体"/>
          <w:b/>
          <w:color w:val="auto"/>
          <w:sz w:val="28"/>
          <w:szCs w:val="28"/>
          <w:u w:val="none"/>
          <w:lang w:eastAsia="zh-CN"/>
        </w:rPr>
        <w:t>广西壮锦工程管理咨询有限公司</w:t>
      </w:r>
    </w:p>
    <w:p w14:paraId="09585111">
      <w:pPr>
        <w:spacing w:line="600" w:lineRule="exact"/>
        <w:jc w:val="center"/>
        <w:rPr>
          <w:rFonts w:hint="default" w:ascii="宋体" w:hAnsi="宋体" w:eastAsia="宋体"/>
          <w:color w:val="auto"/>
          <w:sz w:val="28"/>
          <w:szCs w:val="28"/>
          <w:lang w:val="en-US"/>
        </w:rPr>
        <w:sectPr>
          <w:headerReference r:id="rId7" w:type="first"/>
          <w:footerReference r:id="rId8" w:type="default"/>
          <w:pgSz w:w="11905" w:h="16838"/>
          <w:pgMar w:top="1417" w:right="1417" w:bottom="1417" w:left="1417" w:header="0" w:footer="1196" w:gutter="0"/>
          <w:pgNumType w:start="1"/>
          <w:cols w:space="0" w:num="1"/>
          <w:rtlGutter w:val="0"/>
          <w:docGrid w:linePitch="312" w:charSpace="0"/>
        </w:sectPr>
      </w:pPr>
      <w:r>
        <w:rPr>
          <w:rFonts w:hint="eastAsia" w:ascii="宋体" w:hAnsi="宋体" w:eastAsia="宋体"/>
          <w:b/>
          <w:color w:val="auto"/>
          <w:sz w:val="28"/>
          <w:szCs w:val="28"/>
        </w:rPr>
        <w:t>二</w:t>
      </w:r>
      <w:r>
        <w:rPr>
          <w:rFonts w:hint="eastAsia" w:ascii="宋体" w:hAnsi="宋体" w:eastAsia="宋体"/>
          <w:b/>
          <w:color w:val="auto"/>
          <w:sz w:val="28"/>
          <w:szCs w:val="28"/>
          <w:lang w:val="en-US" w:eastAsia="zh-CN"/>
        </w:rPr>
        <w:t>〇</w:t>
      </w:r>
      <w:r>
        <w:rPr>
          <w:rFonts w:hint="eastAsia" w:ascii="宋体" w:hAnsi="宋体" w:eastAsia="宋体"/>
          <w:b/>
          <w:color w:val="auto"/>
          <w:sz w:val="28"/>
          <w:szCs w:val="28"/>
        </w:rPr>
        <w:t>二</w:t>
      </w:r>
      <w:r>
        <w:rPr>
          <w:rFonts w:hint="eastAsia" w:ascii="宋体" w:hAnsi="宋体" w:eastAsia="宋体"/>
          <w:b/>
          <w:color w:val="auto"/>
          <w:sz w:val="28"/>
          <w:szCs w:val="28"/>
          <w:lang w:val="en-US" w:eastAsia="zh-CN"/>
        </w:rPr>
        <w:t>六</w:t>
      </w:r>
      <w:r>
        <w:rPr>
          <w:rFonts w:hint="eastAsia" w:ascii="宋体" w:hAnsi="宋体" w:eastAsia="宋体"/>
          <w:b/>
          <w:color w:val="auto"/>
          <w:sz w:val="28"/>
          <w:szCs w:val="28"/>
        </w:rPr>
        <w:t>年</w:t>
      </w:r>
      <w:r>
        <w:rPr>
          <w:rFonts w:hint="eastAsia" w:ascii="宋体" w:hAnsi="宋体" w:eastAsia="宋体"/>
          <w:b/>
          <w:color w:val="auto"/>
          <w:sz w:val="28"/>
          <w:szCs w:val="28"/>
          <w:lang w:val="en-US" w:eastAsia="zh-CN"/>
        </w:rPr>
        <w:t xml:space="preserve">  月  日</w:t>
      </w:r>
    </w:p>
    <w:sdt>
      <w:sdtPr>
        <w:rPr>
          <w:rFonts w:ascii="宋体" w:hAnsi="宋体" w:eastAsia="宋体" w:cs="宋体"/>
          <w:color w:val="auto"/>
          <w:sz w:val="43"/>
          <w:szCs w:val="43"/>
        </w:rPr>
        <w:id w:val="147458575"/>
        <w:docPartObj>
          <w:docPartGallery w:val="Table of Contents"/>
          <w:docPartUnique/>
        </w:docPartObj>
      </w:sdtPr>
      <w:sdtEndPr>
        <w:rPr>
          <w:rFonts w:ascii="宋体" w:hAnsi="宋体" w:eastAsia="宋体" w:cs="宋体"/>
          <w:color w:val="auto"/>
          <w:sz w:val="24"/>
          <w:szCs w:val="24"/>
        </w:rPr>
      </w:sdtEndPr>
      <w:sdtContent>
        <w:p w14:paraId="2CAA8002">
          <w:pPr>
            <w:spacing w:before="140" w:line="226" w:lineRule="auto"/>
            <w:ind w:left="3605"/>
            <w:rPr>
              <w:rFonts w:ascii="Arial"/>
              <w:color w:val="auto"/>
              <w:sz w:val="21"/>
            </w:rPr>
          </w:pPr>
          <w:r>
            <w:rPr>
              <w:rFonts w:ascii="宋体" w:hAnsi="宋体" w:eastAsia="宋体" w:cs="宋体"/>
              <w:b/>
              <w:bCs/>
              <w:color w:val="auto"/>
              <w:spacing w:val="-51"/>
              <w:sz w:val="43"/>
              <w:szCs w:val="43"/>
            </w:rPr>
            <w:t>目</w:t>
          </w:r>
          <w:r>
            <w:rPr>
              <w:rFonts w:ascii="宋体" w:hAnsi="宋体" w:eastAsia="宋体" w:cs="宋体"/>
              <w:color w:val="auto"/>
              <w:spacing w:val="17"/>
              <w:sz w:val="43"/>
              <w:szCs w:val="43"/>
            </w:rPr>
            <w:t xml:space="preserve">  </w:t>
          </w:r>
          <w:r>
            <w:rPr>
              <w:rFonts w:ascii="宋体" w:hAnsi="宋体" w:eastAsia="宋体" w:cs="宋体"/>
              <w:b/>
              <w:bCs/>
              <w:color w:val="auto"/>
              <w:spacing w:val="-51"/>
              <w:sz w:val="43"/>
              <w:szCs w:val="43"/>
            </w:rPr>
            <w:t>录</w:t>
          </w:r>
        </w:p>
        <w:p w14:paraId="5A3022C4">
          <w:pPr>
            <w:tabs>
              <w:tab w:val="right" w:leader="dot" w:pos="8315"/>
            </w:tabs>
            <w:spacing w:before="78" w:line="185" w:lineRule="auto"/>
            <w:ind w:left="165"/>
            <w:rPr>
              <w:rFonts w:ascii="宋体" w:hAnsi="宋体" w:eastAsia="宋体" w:cs="宋体"/>
              <w:color w:val="auto"/>
              <w:sz w:val="24"/>
              <w:szCs w:val="24"/>
            </w:rPr>
          </w:pPr>
          <w:bookmarkStart w:id="21" w:name="bookmark1"/>
          <w:bookmarkEnd w:id="21"/>
          <w:r>
            <w:rPr>
              <w:color w:val="auto"/>
            </w:rPr>
            <w:fldChar w:fldCharType="begin"/>
          </w:r>
          <w:r>
            <w:rPr>
              <w:color w:val="auto"/>
            </w:rPr>
            <w:instrText xml:space="preserve"> HYPERLINK \l "bookmark2" </w:instrText>
          </w:r>
          <w:r>
            <w:rPr>
              <w:color w:val="auto"/>
            </w:rPr>
            <w:fldChar w:fldCharType="separate"/>
          </w:r>
          <w:r>
            <w:rPr>
              <w:rFonts w:ascii="宋体" w:hAnsi="宋体" w:eastAsia="宋体" w:cs="宋体"/>
              <w:b/>
              <w:bCs/>
              <w:color w:val="auto"/>
              <w:spacing w:val="-3"/>
              <w:sz w:val="24"/>
              <w:szCs w:val="24"/>
            </w:rPr>
            <w:t>第一章</w:t>
          </w:r>
          <w:r>
            <w:rPr>
              <w:rFonts w:ascii="宋体" w:hAnsi="宋体" w:eastAsia="宋体" w:cs="宋体"/>
              <w:color w:val="auto"/>
              <w:spacing w:val="-3"/>
              <w:sz w:val="24"/>
              <w:szCs w:val="24"/>
            </w:rPr>
            <w:t xml:space="preserve"> </w:t>
          </w:r>
          <w:r>
            <w:rPr>
              <w:rFonts w:ascii="宋体" w:hAnsi="宋体" w:eastAsia="宋体" w:cs="宋体"/>
              <w:b/>
              <w:bCs/>
              <w:color w:val="auto"/>
              <w:spacing w:val="-3"/>
              <w:sz w:val="24"/>
              <w:szCs w:val="24"/>
            </w:rPr>
            <w:t>招标公告</w:t>
          </w:r>
          <w:r>
            <w:rPr>
              <w:rFonts w:ascii="宋体" w:hAnsi="宋体" w:eastAsia="宋体" w:cs="宋体"/>
              <w:color w:val="auto"/>
              <w:sz w:val="24"/>
              <w:szCs w:val="24"/>
              <w14:textOutline w14:w="4354" w14:cap="flat" w14:cmpd="sng">
                <w14:solidFill>
                  <w14:srgbClr w14:val="000000"/>
                </w14:solidFill>
                <w14:prstDash w14:val="solid"/>
                <w14:miter w14:val="0"/>
              </w14:textOutline>
            </w:rPr>
            <w:tab/>
          </w:r>
          <w:r>
            <w:rPr>
              <w:rFonts w:hint="eastAsia" w:ascii="宋体" w:hAnsi="宋体" w:eastAsia="宋体" w:cs="宋体"/>
              <w:b/>
              <w:bCs/>
              <w:color w:val="auto"/>
              <w:spacing w:val="-3"/>
              <w:sz w:val="24"/>
              <w:szCs w:val="24"/>
              <w:lang w:val="en-US" w:eastAsia="zh-CN"/>
            </w:rPr>
            <w:t>2</w:t>
          </w:r>
          <w:r>
            <w:rPr>
              <w:rFonts w:ascii="宋体" w:hAnsi="宋体" w:eastAsia="宋体" w:cs="宋体"/>
              <w:b/>
              <w:bCs/>
              <w:color w:val="auto"/>
              <w:spacing w:val="-3"/>
              <w:sz w:val="24"/>
              <w:szCs w:val="24"/>
            </w:rPr>
            <w:fldChar w:fldCharType="end"/>
          </w:r>
        </w:p>
        <w:p w14:paraId="12AB02FF">
          <w:pPr>
            <w:tabs>
              <w:tab w:val="right" w:leader="dot" w:pos="8315"/>
            </w:tabs>
            <w:spacing w:before="191" w:line="185" w:lineRule="auto"/>
            <w:ind w:left="165"/>
            <w:rPr>
              <w:rFonts w:ascii="宋体" w:hAnsi="宋体" w:eastAsia="宋体" w:cs="宋体"/>
              <w:color w:val="auto"/>
              <w:sz w:val="24"/>
              <w:szCs w:val="24"/>
            </w:rPr>
          </w:pPr>
          <w:bookmarkStart w:id="22" w:name="bookmark3"/>
          <w:bookmarkEnd w:id="22"/>
          <w:r>
            <w:rPr>
              <w:color w:val="auto"/>
            </w:rPr>
            <w:fldChar w:fldCharType="begin"/>
          </w:r>
          <w:r>
            <w:rPr>
              <w:color w:val="auto"/>
            </w:rPr>
            <w:instrText xml:space="preserve"> HYPERLINK \l "bookmark4" </w:instrText>
          </w:r>
          <w:r>
            <w:rPr>
              <w:color w:val="auto"/>
            </w:rPr>
            <w:fldChar w:fldCharType="separate"/>
          </w:r>
          <w:r>
            <w:rPr>
              <w:rFonts w:ascii="宋体" w:hAnsi="宋体" w:eastAsia="宋体" w:cs="宋体"/>
              <w:b/>
              <w:bCs/>
              <w:color w:val="auto"/>
              <w:spacing w:val="-3"/>
              <w:sz w:val="24"/>
              <w:szCs w:val="24"/>
            </w:rPr>
            <w:t>第二章</w:t>
          </w:r>
          <w:r>
            <w:rPr>
              <w:rFonts w:ascii="宋体" w:hAnsi="宋体" w:eastAsia="宋体" w:cs="宋体"/>
              <w:color w:val="auto"/>
              <w:spacing w:val="-3"/>
              <w:sz w:val="24"/>
              <w:szCs w:val="24"/>
            </w:rPr>
            <w:t xml:space="preserve"> </w:t>
          </w:r>
          <w:r>
            <w:rPr>
              <w:rFonts w:ascii="宋体" w:hAnsi="宋体" w:eastAsia="宋体" w:cs="宋体"/>
              <w:b/>
              <w:bCs/>
              <w:color w:val="auto"/>
              <w:spacing w:val="-3"/>
              <w:sz w:val="24"/>
              <w:szCs w:val="24"/>
            </w:rPr>
            <w:t>采购需求</w:t>
          </w:r>
          <w:r>
            <w:rPr>
              <w:rFonts w:ascii="宋体" w:hAnsi="宋体" w:eastAsia="宋体" w:cs="宋体"/>
              <w:color w:val="auto"/>
              <w:sz w:val="24"/>
              <w:szCs w:val="24"/>
              <w14:textOutline w14:w="4354" w14:cap="flat" w14:cmpd="sng">
                <w14:solidFill>
                  <w14:srgbClr w14:val="000000"/>
                </w14:solidFill>
                <w14:prstDash w14:val="solid"/>
                <w14:miter w14:val="0"/>
              </w14:textOutline>
            </w:rPr>
            <w:tab/>
          </w:r>
          <w:r>
            <w:rPr>
              <w:rFonts w:hint="eastAsia" w:ascii="宋体" w:hAnsi="宋体" w:eastAsia="宋体" w:cs="宋体"/>
              <w:b/>
              <w:bCs/>
              <w:color w:val="auto"/>
              <w:spacing w:val="-9"/>
              <w:sz w:val="24"/>
              <w:szCs w:val="24"/>
              <w:lang w:val="en-US" w:eastAsia="zh-CN"/>
            </w:rPr>
            <w:t>6</w:t>
          </w:r>
          <w:r>
            <w:rPr>
              <w:rFonts w:ascii="宋体" w:hAnsi="宋体" w:eastAsia="宋体" w:cs="宋体"/>
              <w:b/>
              <w:bCs/>
              <w:color w:val="auto"/>
              <w:spacing w:val="-9"/>
              <w:sz w:val="24"/>
              <w:szCs w:val="24"/>
            </w:rPr>
            <w:fldChar w:fldCharType="end"/>
          </w:r>
        </w:p>
        <w:p w14:paraId="0311B932">
          <w:pPr>
            <w:tabs>
              <w:tab w:val="right" w:leader="dot" w:pos="8315"/>
            </w:tabs>
            <w:spacing w:before="189" w:line="185" w:lineRule="auto"/>
            <w:ind w:left="165"/>
            <w:rPr>
              <w:rFonts w:hint="eastAsia" w:ascii="宋体" w:hAnsi="宋体" w:eastAsia="宋体" w:cs="宋体"/>
              <w:color w:val="auto"/>
              <w:sz w:val="24"/>
              <w:szCs w:val="24"/>
              <w:lang w:val="en-US" w:eastAsia="zh-CN"/>
            </w:rPr>
          </w:pPr>
          <w:bookmarkStart w:id="23" w:name="bookmark5"/>
          <w:bookmarkEnd w:id="23"/>
          <w:r>
            <w:rPr>
              <w:color w:val="auto"/>
            </w:rPr>
            <w:fldChar w:fldCharType="begin"/>
          </w:r>
          <w:r>
            <w:rPr>
              <w:color w:val="auto"/>
            </w:rPr>
            <w:instrText xml:space="preserve"> HYPERLINK \l "bookmark6" </w:instrText>
          </w:r>
          <w:r>
            <w:rPr>
              <w:color w:val="auto"/>
            </w:rPr>
            <w:fldChar w:fldCharType="separate"/>
          </w:r>
          <w:r>
            <w:rPr>
              <w:rFonts w:ascii="宋体" w:hAnsi="宋体" w:eastAsia="宋体" w:cs="宋体"/>
              <w:b/>
              <w:bCs/>
              <w:color w:val="auto"/>
              <w:spacing w:val="-3"/>
              <w:sz w:val="24"/>
              <w:szCs w:val="24"/>
            </w:rPr>
            <w:t>第三章</w:t>
          </w:r>
          <w:r>
            <w:rPr>
              <w:rFonts w:ascii="宋体" w:hAnsi="宋体" w:eastAsia="宋体" w:cs="宋体"/>
              <w:color w:val="auto"/>
              <w:spacing w:val="-3"/>
              <w:sz w:val="24"/>
              <w:szCs w:val="24"/>
            </w:rPr>
            <w:t xml:space="preserve"> </w:t>
          </w:r>
          <w:r>
            <w:rPr>
              <w:rFonts w:ascii="宋体" w:hAnsi="宋体" w:eastAsia="宋体" w:cs="宋体"/>
              <w:b/>
              <w:bCs/>
              <w:color w:val="auto"/>
              <w:spacing w:val="-3"/>
              <w:sz w:val="24"/>
              <w:szCs w:val="24"/>
            </w:rPr>
            <w:t>投标人须知</w:t>
          </w:r>
          <w:r>
            <w:rPr>
              <w:rFonts w:ascii="宋体" w:hAnsi="宋体" w:eastAsia="宋体" w:cs="宋体"/>
              <w:color w:val="auto"/>
              <w:sz w:val="24"/>
              <w:szCs w:val="24"/>
              <w14:textOutline w14:w="4354" w14:cap="flat" w14:cmpd="sng">
                <w14:solidFill>
                  <w14:srgbClr w14:val="000000"/>
                </w14:solidFill>
                <w14:prstDash w14:val="solid"/>
                <w14:miter w14:val="0"/>
              </w14:textOutline>
            </w:rPr>
            <w:tab/>
          </w:r>
          <w:r>
            <w:rPr>
              <w:rFonts w:hint="eastAsia" w:ascii="宋体" w:hAnsi="宋体" w:eastAsia="宋体" w:cs="宋体"/>
              <w:b/>
              <w:bCs/>
              <w:color w:val="auto"/>
              <w:spacing w:val="-9"/>
              <w:sz w:val="24"/>
              <w:szCs w:val="24"/>
              <w:lang w:val="en-US" w:eastAsia="zh-CN"/>
            </w:rPr>
            <w:t>2</w:t>
          </w:r>
          <w:r>
            <w:rPr>
              <w:rFonts w:ascii="宋体" w:hAnsi="宋体" w:eastAsia="宋体" w:cs="宋体"/>
              <w:b/>
              <w:bCs/>
              <w:color w:val="auto"/>
              <w:spacing w:val="-9"/>
              <w:sz w:val="24"/>
              <w:szCs w:val="24"/>
            </w:rPr>
            <w:fldChar w:fldCharType="end"/>
          </w:r>
          <w:r>
            <w:rPr>
              <w:rFonts w:hint="eastAsia" w:ascii="宋体" w:hAnsi="宋体" w:eastAsia="宋体" w:cs="宋体"/>
              <w:b/>
              <w:bCs/>
              <w:color w:val="auto"/>
              <w:spacing w:val="-9"/>
              <w:sz w:val="24"/>
              <w:szCs w:val="24"/>
              <w:lang w:val="en-US" w:eastAsia="zh-CN"/>
            </w:rPr>
            <w:t>3</w:t>
          </w:r>
        </w:p>
        <w:p w14:paraId="0827C5C3">
          <w:pPr>
            <w:tabs>
              <w:tab w:val="right" w:leader="dot" w:pos="8315"/>
            </w:tabs>
            <w:spacing w:before="191" w:line="185" w:lineRule="auto"/>
            <w:ind w:left="165"/>
            <w:rPr>
              <w:rFonts w:hint="eastAsia" w:ascii="宋体" w:hAnsi="宋体" w:eastAsia="宋体" w:cs="宋体"/>
              <w:color w:val="auto"/>
              <w:sz w:val="24"/>
              <w:szCs w:val="24"/>
              <w:lang w:val="en-US" w:eastAsia="zh-CN"/>
            </w:rPr>
          </w:pPr>
          <w:bookmarkStart w:id="24" w:name="bookmark7"/>
          <w:bookmarkEnd w:id="24"/>
          <w:r>
            <w:rPr>
              <w:color w:val="auto"/>
            </w:rPr>
            <w:fldChar w:fldCharType="begin"/>
          </w:r>
          <w:r>
            <w:rPr>
              <w:color w:val="auto"/>
            </w:rPr>
            <w:instrText xml:space="preserve"> HYPERLINK \l "bookmark8" </w:instrText>
          </w:r>
          <w:r>
            <w:rPr>
              <w:color w:val="auto"/>
            </w:rPr>
            <w:fldChar w:fldCharType="separate"/>
          </w:r>
          <w:r>
            <w:rPr>
              <w:rFonts w:ascii="宋体" w:hAnsi="宋体" w:eastAsia="宋体" w:cs="宋体"/>
              <w:b/>
              <w:bCs/>
              <w:color w:val="auto"/>
              <w:spacing w:val="-3"/>
              <w:sz w:val="24"/>
              <w:szCs w:val="24"/>
            </w:rPr>
            <w:t>第四章</w:t>
          </w:r>
          <w:r>
            <w:rPr>
              <w:rFonts w:ascii="宋体" w:hAnsi="宋体" w:eastAsia="宋体" w:cs="宋体"/>
              <w:color w:val="auto"/>
              <w:spacing w:val="-3"/>
              <w:sz w:val="24"/>
              <w:szCs w:val="24"/>
            </w:rPr>
            <w:t xml:space="preserve"> </w:t>
          </w:r>
          <w:r>
            <w:rPr>
              <w:rFonts w:ascii="宋体" w:hAnsi="宋体" w:eastAsia="宋体" w:cs="宋体"/>
              <w:b/>
              <w:bCs/>
              <w:color w:val="auto"/>
              <w:spacing w:val="-3"/>
              <w:sz w:val="24"/>
              <w:szCs w:val="24"/>
            </w:rPr>
            <w:t>评标方法及评标标准</w:t>
          </w:r>
          <w:r>
            <w:rPr>
              <w:rFonts w:ascii="宋体" w:hAnsi="宋体" w:eastAsia="宋体" w:cs="宋体"/>
              <w:color w:val="auto"/>
              <w:sz w:val="24"/>
              <w:szCs w:val="24"/>
              <w14:textOutline w14:w="4354" w14:cap="flat" w14:cmpd="sng">
                <w14:solidFill>
                  <w14:srgbClr w14:val="000000"/>
                </w14:solidFill>
                <w14:prstDash w14:val="solid"/>
                <w14:miter w14:val="0"/>
              </w14:textOutline>
            </w:rPr>
            <w:tab/>
          </w:r>
          <w:r>
            <w:rPr>
              <w:rFonts w:hint="eastAsia" w:ascii="宋体" w:hAnsi="宋体" w:eastAsia="宋体" w:cs="宋体"/>
              <w:b/>
              <w:bCs/>
              <w:color w:val="auto"/>
              <w:spacing w:val="-6"/>
              <w:sz w:val="24"/>
              <w:szCs w:val="24"/>
              <w:lang w:val="en-US" w:eastAsia="zh-CN"/>
            </w:rPr>
            <w:t>4</w:t>
          </w:r>
          <w:r>
            <w:rPr>
              <w:rFonts w:ascii="宋体" w:hAnsi="宋体" w:eastAsia="宋体" w:cs="宋体"/>
              <w:b/>
              <w:bCs/>
              <w:color w:val="auto"/>
              <w:spacing w:val="-6"/>
              <w:sz w:val="24"/>
              <w:szCs w:val="24"/>
            </w:rPr>
            <w:fldChar w:fldCharType="end"/>
          </w:r>
          <w:r>
            <w:rPr>
              <w:rFonts w:hint="eastAsia" w:ascii="宋体" w:hAnsi="宋体" w:eastAsia="宋体" w:cs="宋体"/>
              <w:b/>
              <w:bCs/>
              <w:color w:val="auto"/>
              <w:spacing w:val="-6"/>
              <w:sz w:val="24"/>
              <w:szCs w:val="24"/>
              <w:lang w:val="en-US" w:eastAsia="zh-CN"/>
            </w:rPr>
            <w:t>3</w:t>
          </w:r>
        </w:p>
        <w:p w14:paraId="5E6F22A9">
          <w:pPr>
            <w:tabs>
              <w:tab w:val="right" w:leader="dot" w:pos="8315"/>
            </w:tabs>
            <w:spacing w:before="191" w:line="185" w:lineRule="auto"/>
            <w:ind w:left="165"/>
            <w:rPr>
              <w:rFonts w:hint="eastAsia" w:ascii="宋体" w:hAnsi="宋体" w:eastAsia="宋体" w:cs="宋体"/>
              <w:color w:val="auto"/>
              <w:sz w:val="24"/>
              <w:szCs w:val="24"/>
              <w:lang w:val="en-US" w:eastAsia="zh-CN"/>
            </w:rPr>
          </w:pPr>
          <w:bookmarkStart w:id="25" w:name="bookmark9"/>
          <w:bookmarkEnd w:id="25"/>
          <w:r>
            <w:rPr>
              <w:color w:val="auto"/>
            </w:rPr>
            <w:fldChar w:fldCharType="begin"/>
          </w:r>
          <w:r>
            <w:rPr>
              <w:color w:val="auto"/>
            </w:rPr>
            <w:instrText xml:space="preserve"> HYPERLINK \l "bookmark10" </w:instrText>
          </w:r>
          <w:r>
            <w:rPr>
              <w:color w:val="auto"/>
            </w:rPr>
            <w:fldChar w:fldCharType="separate"/>
          </w:r>
          <w:r>
            <w:rPr>
              <w:rFonts w:ascii="宋体" w:hAnsi="宋体" w:eastAsia="宋体" w:cs="宋体"/>
              <w:b/>
              <w:bCs/>
              <w:color w:val="auto"/>
              <w:spacing w:val="-2"/>
              <w:sz w:val="24"/>
              <w:szCs w:val="24"/>
            </w:rPr>
            <w:t>第五章</w:t>
          </w:r>
          <w:r>
            <w:rPr>
              <w:rFonts w:ascii="宋体" w:hAnsi="宋体" w:eastAsia="宋体" w:cs="宋体"/>
              <w:color w:val="auto"/>
              <w:spacing w:val="-2"/>
              <w:sz w:val="24"/>
              <w:szCs w:val="24"/>
            </w:rPr>
            <w:t xml:space="preserve"> </w:t>
          </w:r>
          <w:r>
            <w:rPr>
              <w:rFonts w:ascii="宋体" w:hAnsi="宋体" w:eastAsia="宋体" w:cs="宋体"/>
              <w:b/>
              <w:bCs/>
              <w:color w:val="auto"/>
              <w:spacing w:val="-2"/>
              <w:sz w:val="24"/>
              <w:szCs w:val="24"/>
            </w:rPr>
            <w:t>拟签订的合同文本</w:t>
          </w:r>
          <w:r>
            <w:rPr>
              <w:rFonts w:ascii="宋体" w:hAnsi="宋体" w:eastAsia="宋体" w:cs="宋体"/>
              <w:color w:val="auto"/>
              <w:sz w:val="24"/>
              <w:szCs w:val="24"/>
              <w14:textOutline w14:w="4354" w14:cap="flat" w14:cmpd="sng">
                <w14:solidFill>
                  <w14:srgbClr w14:val="000000"/>
                </w14:solidFill>
                <w14:prstDash w14:val="solid"/>
                <w14:miter w14:val="0"/>
              </w14:textOutline>
            </w:rPr>
            <w:tab/>
          </w:r>
          <w:r>
            <w:rPr>
              <w:rFonts w:hint="eastAsia" w:ascii="宋体" w:hAnsi="宋体" w:eastAsia="宋体" w:cs="宋体"/>
              <w:b/>
              <w:bCs/>
              <w:color w:val="auto"/>
              <w:spacing w:val="-6"/>
              <w:sz w:val="24"/>
              <w:szCs w:val="24"/>
              <w:lang w:val="en-US" w:eastAsia="zh-CN"/>
            </w:rPr>
            <w:t>5</w:t>
          </w:r>
          <w:r>
            <w:rPr>
              <w:rFonts w:ascii="宋体" w:hAnsi="宋体" w:eastAsia="宋体" w:cs="宋体"/>
              <w:b/>
              <w:bCs/>
              <w:color w:val="auto"/>
              <w:spacing w:val="-6"/>
              <w:sz w:val="24"/>
              <w:szCs w:val="24"/>
            </w:rPr>
            <w:fldChar w:fldCharType="end"/>
          </w:r>
          <w:r>
            <w:rPr>
              <w:rFonts w:hint="eastAsia" w:ascii="宋体" w:hAnsi="宋体" w:eastAsia="宋体" w:cs="宋体"/>
              <w:b/>
              <w:bCs/>
              <w:color w:val="auto"/>
              <w:spacing w:val="-6"/>
              <w:sz w:val="24"/>
              <w:szCs w:val="24"/>
              <w:lang w:val="en-US" w:eastAsia="zh-CN"/>
            </w:rPr>
            <w:t>3</w:t>
          </w:r>
        </w:p>
        <w:p w14:paraId="61D5D26D">
          <w:pPr>
            <w:tabs>
              <w:tab w:val="right" w:leader="dot" w:pos="8315"/>
            </w:tabs>
            <w:spacing w:before="190" w:line="219" w:lineRule="auto"/>
            <w:ind w:left="165"/>
            <w:rPr>
              <w:rFonts w:ascii="宋体" w:hAnsi="宋体" w:eastAsia="宋体" w:cs="宋体"/>
              <w:color w:val="auto"/>
              <w:sz w:val="24"/>
              <w:szCs w:val="24"/>
            </w:rPr>
          </w:pPr>
          <w:bookmarkStart w:id="26" w:name="bookmark11"/>
          <w:bookmarkEnd w:id="26"/>
          <w:r>
            <w:rPr>
              <w:color w:val="auto"/>
            </w:rPr>
            <w:fldChar w:fldCharType="begin"/>
          </w:r>
          <w:r>
            <w:rPr>
              <w:color w:val="auto"/>
            </w:rPr>
            <w:instrText xml:space="preserve"> HYPERLINK \l "bookmark12" </w:instrText>
          </w:r>
          <w:r>
            <w:rPr>
              <w:color w:val="auto"/>
            </w:rPr>
            <w:fldChar w:fldCharType="separate"/>
          </w:r>
          <w:r>
            <w:rPr>
              <w:rFonts w:ascii="宋体" w:hAnsi="宋体" w:eastAsia="宋体" w:cs="宋体"/>
              <w:b/>
              <w:bCs/>
              <w:color w:val="auto"/>
              <w:spacing w:val="-3"/>
              <w:sz w:val="24"/>
              <w:szCs w:val="24"/>
            </w:rPr>
            <w:t>第六章</w:t>
          </w:r>
          <w:r>
            <w:rPr>
              <w:rFonts w:ascii="宋体" w:hAnsi="宋体" w:eastAsia="宋体" w:cs="宋体"/>
              <w:color w:val="auto"/>
              <w:spacing w:val="-3"/>
              <w:sz w:val="24"/>
              <w:szCs w:val="24"/>
            </w:rPr>
            <w:t xml:space="preserve"> </w:t>
          </w:r>
          <w:r>
            <w:rPr>
              <w:rFonts w:ascii="宋体" w:hAnsi="宋体" w:eastAsia="宋体" w:cs="宋体"/>
              <w:b/>
              <w:bCs/>
              <w:color w:val="auto"/>
              <w:spacing w:val="-3"/>
              <w:sz w:val="24"/>
              <w:szCs w:val="24"/>
            </w:rPr>
            <w:t>投标文件格式</w:t>
          </w:r>
          <w:r>
            <w:rPr>
              <w:rFonts w:ascii="宋体" w:hAnsi="宋体" w:eastAsia="宋体" w:cs="宋体"/>
              <w:color w:val="auto"/>
              <w:sz w:val="24"/>
              <w:szCs w:val="24"/>
              <w14:textOutline w14:w="4354" w14:cap="flat" w14:cmpd="sng">
                <w14:solidFill>
                  <w14:srgbClr w14:val="000000"/>
                </w14:solidFill>
                <w14:prstDash w14:val="solid"/>
                <w14:miter w14:val="0"/>
              </w14:textOutline>
            </w:rPr>
            <w:tab/>
          </w:r>
          <w:r>
            <w:rPr>
              <w:rFonts w:hint="eastAsia" w:ascii="宋体" w:hAnsi="宋体" w:eastAsia="宋体" w:cs="宋体"/>
              <w:b/>
              <w:bCs/>
              <w:color w:val="auto"/>
              <w:spacing w:val="-5"/>
              <w:sz w:val="24"/>
              <w:szCs w:val="24"/>
              <w:lang w:val="en-US" w:eastAsia="zh-CN"/>
            </w:rPr>
            <w:t>5</w:t>
          </w:r>
          <w:r>
            <w:rPr>
              <w:rFonts w:ascii="宋体" w:hAnsi="宋体" w:eastAsia="宋体" w:cs="宋体"/>
              <w:b/>
              <w:bCs/>
              <w:color w:val="auto"/>
              <w:spacing w:val="-5"/>
              <w:sz w:val="24"/>
              <w:szCs w:val="24"/>
            </w:rPr>
            <w:fldChar w:fldCharType="end"/>
          </w:r>
          <w:r>
            <w:rPr>
              <w:rFonts w:hint="eastAsia" w:ascii="宋体" w:hAnsi="宋体" w:eastAsia="宋体" w:cs="宋体"/>
              <w:b/>
              <w:bCs/>
              <w:color w:val="auto"/>
              <w:spacing w:val="-5"/>
              <w:sz w:val="24"/>
              <w:szCs w:val="24"/>
              <w:lang w:val="en-US" w:eastAsia="zh-CN"/>
            </w:rPr>
            <w:t>8</w:t>
          </w:r>
        </w:p>
      </w:sdtContent>
    </w:sdt>
    <w:p w14:paraId="0DB58D1B">
      <w:pPr>
        <w:spacing w:line="219" w:lineRule="auto"/>
        <w:rPr>
          <w:rFonts w:ascii="宋体" w:hAnsi="宋体" w:eastAsia="宋体" w:cs="宋体"/>
          <w:color w:val="auto"/>
          <w:sz w:val="24"/>
          <w:szCs w:val="24"/>
        </w:rPr>
        <w:sectPr>
          <w:headerReference r:id="rId9" w:type="default"/>
          <w:footerReference r:id="rId10" w:type="default"/>
          <w:pgSz w:w="11905" w:h="16838"/>
          <w:pgMar w:top="1417" w:right="1417" w:bottom="1417" w:left="1417" w:header="0" w:footer="1196" w:gutter="0"/>
          <w:pgNumType w:fmt="decimal" w:start="1"/>
          <w:cols w:space="0" w:num="1"/>
          <w:rtlGutter w:val="0"/>
          <w:docGrid w:linePitch="0" w:charSpace="0"/>
        </w:sectPr>
      </w:pPr>
    </w:p>
    <w:p w14:paraId="76D0EE91">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240" w:lineRule="auto"/>
        <w:jc w:val="center"/>
        <w:textAlignment w:val="baseline"/>
        <w:outlineLvl w:val="0"/>
        <w:rPr>
          <w:rFonts w:hint="eastAsia" w:ascii="宋体" w:hAnsi="宋体" w:eastAsia="宋体" w:cs="宋体"/>
          <w:b/>
          <w:bCs/>
          <w:color w:val="auto"/>
          <w:spacing w:val="4"/>
          <w:sz w:val="43"/>
          <w:szCs w:val="43"/>
          <w:lang w:eastAsia="zh-CN"/>
        </w:rPr>
      </w:pPr>
      <w:bookmarkStart w:id="27" w:name="bookmark1"/>
      <w:bookmarkEnd w:id="27"/>
      <w:bookmarkStart w:id="28" w:name="bookmark2"/>
      <w:bookmarkEnd w:id="28"/>
      <w:r>
        <w:rPr>
          <w:rFonts w:ascii="宋体" w:hAnsi="宋体" w:eastAsia="宋体" w:cs="宋体"/>
          <w:b/>
          <w:bCs/>
          <w:color w:val="auto"/>
          <w:spacing w:val="4"/>
          <w:sz w:val="43"/>
          <w:szCs w:val="43"/>
        </w:rPr>
        <w:t>第一章</w:t>
      </w:r>
      <w:r>
        <w:rPr>
          <w:rFonts w:ascii="宋体" w:hAnsi="宋体" w:eastAsia="宋体" w:cs="宋体"/>
          <w:color w:val="auto"/>
          <w:spacing w:val="4"/>
          <w:sz w:val="43"/>
          <w:szCs w:val="43"/>
        </w:rPr>
        <w:t xml:space="preserve"> </w:t>
      </w:r>
      <w:r>
        <w:rPr>
          <w:rFonts w:ascii="宋体" w:hAnsi="宋体" w:eastAsia="宋体" w:cs="宋体"/>
          <w:b/>
          <w:bCs/>
          <w:color w:val="auto"/>
          <w:spacing w:val="4"/>
          <w:sz w:val="43"/>
          <w:szCs w:val="43"/>
        </w:rPr>
        <w:t>招标公告</w:t>
      </w:r>
      <w:r>
        <w:rPr>
          <w:rFonts w:hint="eastAsia" w:ascii="宋体" w:hAnsi="宋体" w:eastAsia="宋体" w:cs="宋体"/>
          <w:b/>
          <w:bCs/>
          <w:color w:val="auto"/>
          <w:spacing w:val="4"/>
          <w:sz w:val="43"/>
          <w:szCs w:val="43"/>
          <w:lang w:val="en-US" w:eastAsia="zh-CN"/>
        </w:rPr>
        <w:t>（远程异地评标）</w:t>
      </w:r>
    </w:p>
    <w:tbl>
      <w:tblPr>
        <w:tblStyle w:val="24"/>
        <w:tblpPr w:leftFromText="180" w:rightFromText="180" w:vertAnchor="text" w:horzAnchor="page" w:tblpXSpec="center" w:tblpY="123"/>
        <w:tblOverlap w:val="never"/>
        <w:tblW w:w="9220" w:type="dxa"/>
        <w:jc w:val="center"/>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20"/>
      </w:tblGrid>
      <w:tr w14:paraId="5F334C3A">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569" w:hRule="atLeast"/>
          <w:jc w:val="center"/>
        </w:trPr>
        <w:tc>
          <w:tcPr>
            <w:tcW w:w="9220" w:type="dxa"/>
            <w:vAlign w:val="top"/>
          </w:tcPr>
          <w:p w14:paraId="23FC88B2">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项</w:t>
            </w:r>
            <w:r>
              <w:rPr>
                <w:rFonts w:hint="eastAsia" w:asciiTheme="minorEastAsia" w:hAnsiTheme="minorEastAsia" w:eastAsiaTheme="minorEastAsia" w:cstheme="minorEastAsia"/>
                <w:color w:val="auto"/>
                <w:spacing w:val="6"/>
                <w:sz w:val="21"/>
                <w:szCs w:val="21"/>
              </w:rPr>
              <w:t>目概况</w:t>
            </w:r>
          </w:p>
          <w:p w14:paraId="41C4BF37">
            <w:pPr>
              <w:keepNext w:val="0"/>
              <w:keepLines w:val="0"/>
              <w:pageBreakBefore w:val="0"/>
              <w:widowControl/>
              <w:kinsoku/>
              <w:wordWrap w:val="0"/>
              <w:overflowPunct w:val="0"/>
              <w:topLinePunct w:val="0"/>
              <w:autoSpaceDE/>
              <w:autoSpaceDN/>
              <w:bidi w:val="0"/>
              <w:adjustRightInd w:val="0"/>
              <w:snapToGrid w:val="0"/>
              <w:spacing w:line="520" w:lineRule="exact"/>
              <w:ind w:left="0" w:leftChars="0" w:right="0" w:firstLine="533"/>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2"/>
                <w:sz w:val="21"/>
                <w:szCs w:val="21"/>
                <w:u w:val="single" w:color="auto"/>
                <w:lang w:eastAsia="zh-CN"/>
              </w:rPr>
              <w:t>百色市森林防火智慧预警项目</w:t>
            </w:r>
            <w:r>
              <w:rPr>
                <w:rFonts w:hint="eastAsia" w:asciiTheme="minorEastAsia" w:hAnsiTheme="minorEastAsia" w:eastAsiaTheme="minorEastAsia" w:cstheme="minorEastAsia"/>
                <w:color w:val="auto"/>
                <w:spacing w:val="6"/>
                <w:sz w:val="21"/>
                <w:szCs w:val="21"/>
              </w:rPr>
              <w:t>招标项目的潜在投标人应在</w:t>
            </w:r>
            <w:r>
              <w:rPr>
                <w:rFonts w:hint="eastAsia" w:asciiTheme="minorEastAsia" w:hAnsiTheme="minorEastAsia" w:eastAsiaTheme="minorEastAsia" w:cstheme="minorEastAsia"/>
                <w:color w:val="auto"/>
                <w:sz w:val="21"/>
                <w:szCs w:val="21"/>
                <w:u w:val="single"/>
                <w:lang w:val="en-US" w:eastAsia="zh-CN"/>
              </w:rPr>
              <w:t>广西</w:t>
            </w:r>
            <w:r>
              <w:rPr>
                <w:rFonts w:hint="eastAsia" w:asciiTheme="minorEastAsia" w:hAnsiTheme="minorEastAsia" w:eastAsiaTheme="minorEastAsia" w:cstheme="minorEastAsia"/>
                <w:color w:val="auto"/>
                <w:spacing w:val="1"/>
                <w:sz w:val="21"/>
                <w:szCs w:val="21"/>
                <w:u w:val="single" w:color="auto"/>
              </w:rPr>
              <w:t>政府采购云平台(</w:t>
            </w:r>
            <w:r>
              <w:rPr>
                <w:rFonts w:hint="eastAsia" w:asciiTheme="minorEastAsia" w:hAnsiTheme="minorEastAsia" w:eastAsiaTheme="minorEastAsia" w:cstheme="minorEastAsia"/>
                <w:color w:val="auto"/>
                <w:spacing w:val="1"/>
                <w:sz w:val="21"/>
                <w:szCs w:val="21"/>
                <w:u w:val="single" w:color="auto"/>
                <w:lang w:eastAsia="zh-CN"/>
              </w:rPr>
              <w:t>https://www.gcy.zfcg.gxzf.gov.cn/</w:t>
            </w:r>
            <w:r>
              <w:rPr>
                <w:rFonts w:hint="eastAsia" w:asciiTheme="minorEastAsia" w:hAnsiTheme="minorEastAsia" w:eastAsiaTheme="minorEastAsia" w:cstheme="minorEastAsia"/>
                <w:color w:val="auto"/>
                <w:spacing w:val="1"/>
                <w:sz w:val="21"/>
                <w:szCs w:val="21"/>
                <w:u w:val="single" w:color="auto"/>
              </w:rPr>
              <w:t>)</w:t>
            </w:r>
            <w:r>
              <w:rPr>
                <w:rFonts w:hint="eastAsia" w:asciiTheme="minorEastAsia" w:hAnsiTheme="minorEastAsia" w:eastAsiaTheme="minorEastAsia" w:cstheme="minorEastAsia"/>
                <w:color w:val="auto"/>
                <w:spacing w:val="1"/>
                <w:sz w:val="21"/>
                <w:szCs w:val="21"/>
              </w:rPr>
              <w:t>获取(下载)招标文件，并于</w:t>
            </w:r>
            <w:r>
              <w:rPr>
                <w:rFonts w:hint="eastAsia" w:asciiTheme="minorEastAsia" w:hAnsiTheme="minorEastAsia" w:eastAsiaTheme="minorEastAsia" w:cstheme="minorEastAsia"/>
                <w:color w:val="auto"/>
                <w:spacing w:val="1"/>
                <w:sz w:val="21"/>
                <w:szCs w:val="21"/>
                <w:u w:val="single" w:color="auto"/>
              </w:rPr>
              <w:t>202</w:t>
            </w:r>
            <w:r>
              <w:rPr>
                <w:rFonts w:hint="eastAsia" w:asciiTheme="minorEastAsia" w:hAnsiTheme="minorEastAsia" w:eastAsiaTheme="minorEastAsia" w:cstheme="minorEastAsia"/>
                <w:color w:val="auto"/>
                <w:spacing w:val="1"/>
                <w:sz w:val="21"/>
                <w:szCs w:val="21"/>
                <w:u w:val="single" w:color="auto"/>
                <w:lang w:val="en-US" w:eastAsia="zh-CN"/>
              </w:rPr>
              <w:t>6</w:t>
            </w:r>
            <w:r>
              <w:rPr>
                <w:rFonts w:hint="eastAsia" w:asciiTheme="minorEastAsia" w:hAnsiTheme="minorEastAsia" w:eastAsiaTheme="minorEastAsia" w:cstheme="minorEastAsia"/>
                <w:color w:val="auto"/>
                <w:sz w:val="21"/>
                <w:szCs w:val="21"/>
                <w:u w:val="single" w:color="auto"/>
              </w:rPr>
              <w:t>年</w:t>
            </w:r>
            <w:r>
              <w:rPr>
                <w:rFonts w:hint="eastAsia" w:asciiTheme="minorEastAsia" w:hAnsiTheme="minorEastAsia" w:eastAsiaTheme="minorEastAsia" w:cstheme="minorEastAsia"/>
                <w:color w:val="auto"/>
                <w:sz w:val="21"/>
                <w:szCs w:val="21"/>
                <w:u w:val="single" w:color="auto"/>
                <w:lang w:val="en-US" w:eastAsia="zh-CN"/>
              </w:rPr>
              <w:t xml:space="preserve">  </w:t>
            </w:r>
            <w:r>
              <w:rPr>
                <w:rFonts w:hint="eastAsia" w:asciiTheme="minorEastAsia" w:hAnsiTheme="minorEastAsia" w:eastAsiaTheme="minorEastAsia" w:cstheme="minorEastAsia"/>
                <w:color w:val="auto"/>
                <w:sz w:val="21"/>
                <w:szCs w:val="21"/>
                <w:u w:val="single" w:color="auto"/>
              </w:rPr>
              <w:t>月</w:t>
            </w:r>
            <w:r>
              <w:rPr>
                <w:rFonts w:hint="eastAsia" w:asciiTheme="minorEastAsia" w:hAnsiTheme="minorEastAsia" w:eastAsiaTheme="minorEastAsia" w:cstheme="minorEastAsia"/>
                <w:color w:val="auto"/>
                <w:sz w:val="21"/>
                <w:szCs w:val="21"/>
                <w:u w:val="single" w:color="auto"/>
                <w:lang w:val="en-US" w:eastAsia="zh-CN"/>
              </w:rPr>
              <w:t xml:space="preserve">  </w:t>
            </w:r>
            <w:r>
              <w:rPr>
                <w:rFonts w:hint="eastAsia" w:asciiTheme="minorEastAsia" w:hAnsiTheme="minorEastAsia" w:eastAsiaTheme="minorEastAsia" w:cstheme="minorEastAsia"/>
                <w:color w:val="auto"/>
                <w:sz w:val="21"/>
                <w:szCs w:val="21"/>
                <w:u w:val="single" w:color="auto"/>
              </w:rPr>
              <w:t>日</w:t>
            </w:r>
            <w:r>
              <w:rPr>
                <w:rFonts w:hint="eastAsia" w:asciiTheme="minorEastAsia" w:hAnsiTheme="minorEastAsia" w:eastAsiaTheme="minorEastAsia" w:cstheme="minorEastAsia"/>
                <w:color w:val="auto"/>
                <w:sz w:val="21"/>
                <w:szCs w:val="21"/>
                <w:u w:val="single" w:color="auto"/>
                <w:lang w:val="en-US" w:eastAsia="zh-CN"/>
              </w:rPr>
              <w:t>0</w:t>
            </w:r>
            <w:r>
              <w:rPr>
                <w:rFonts w:hint="eastAsia" w:asciiTheme="minorEastAsia" w:hAnsiTheme="minorEastAsia" w:eastAsiaTheme="minorEastAsia" w:cstheme="minorEastAsia"/>
                <w:color w:val="auto"/>
                <w:sz w:val="21"/>
                <w:szCs w:val="21"/>
                <w:u w:val="single" w:color="auto"/>
              </w:rPr>
              <w:t>9时</w:t>
            </w:r>
            <w:r>
              <w:rPr>
                <w:rFonts w:hint="eastAsia" w:asciiTheme="minorEastAsia" w:hAnsiTheme="minorEastAsia" w:eastAsiaTheme="minorEastAsia" w:cstheme="minorEastAsia"/>
                <w:color w:val="auto"/>
                <w:sz w:val="21"/>
                <w:szCs w:val="21"/>
                <w:u w:val="single" w:color="auto"/>
                <w:lang w:val="en-US" w:eastAsia="zh-CN"/>
              </w:rPr>
              <w:t>00</w:t>
            </w:r>
            <w:r>
              <w:rPr>
                <w:rFonts w:hint="eastAsia" w:asciiTheme="minorEastAsia" w:hAnsiTheme="minorEastAsia" w:eastAsiaTheme="minorEastAsia" w:cstheme="minorEastAsia"/>
                <w:color w:val="auto"/>
                <w:sz w:val="21"/>
                <w:szCs w:val="21"/>
                <w:u w:val="single" w:color="auto"/>
              </w:rPr>
              <w:t>分</w:t>
            </w:r>
            <w:r>
              <w:rPr>
                <w:rFonts w:hint="eastAsia" w:asciiTheme="minorEastAsia" w:hAnsiTheme="minorEastAsia" w:eastAsiaTheme="minorEastAsia" w:cstheme="minorEastAsia"/>
                <w:color w:val="auto"/>
                <w:spacing w:val="12"/>
                <w:sz w:val="21"/>
                <w:szCs w:val="21"/>
              </w:rPr>
              <w:t>(北京时间)前递交投标文件</w:t>
            </w:r>
            <w:r>
              <w:rPr>
                <w:rFonts w:hint="eastAsia" w:asciiTheme="minorEastAsia" w:hAnsiTheme="minorEastAsia" w:eastAsiaTheme="minorEastAsia" w:cstheme="minorEastAsia"/>
                <w:color w:val="auto"/>
                <w:spacing w:val="8"/>
                <w:sz w:val="21"/>
                <w:szCs w:val="21"/>
              </w:rPr>
              <w:t>。</w:t>
            </w:r>
          </w:p>
        </w:tc>
      </w:tr>
    </w:tbl>
    <w:p w14:paraId="22F72E89">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textAlignment w:val="baseline"/>
        <w:outlineLvl w:val="1"/>
        <w:rPr>
          <w:rFonts w:hint="eastAsia" w:asciiTheme="minorEastAsia" w:hAnsiTheme="minorEastAsia" w:eastAsiaTheme="minorEastAsia" w:cstheme="minorEastAsia"/>
          <w:color w:val="auto"/>
          <w:sz w:val="21"/>
          <w:szCs w:val="21"/>
        </w:rPr>
      </w:pPr>
      <w:bookmarkStart w:id="29" w:name="_Toc19099"/>
      <w:bookmarkStart w:id="30" w:name="_Toc9389"/>
      <w:bookmarkStart w:id="31" w:name="_Toc28740"/>
      <w:bookmarkStart w:id="32" w:name="_Toc2646"/>
      <w:r>
        <w:rPr>
          <w:rFonts w:hint="eastAsia" w:asciiTheme="minorEastAsia" w:hAnsiTheme="minorEastAsia" w:eastAsiaTheme="minorEastAsia" w:cstheme="minorEastAsia"/>
          <w:color w:val="auto"/>
          <w:spacing w:val="10"/>
          <w:position w:val="2"/>
          <w:sz w:val="21"/>
          <w:szCs w:val="21"/>
          <w14:textOutline w14:w="3795" w14:cap="sq" w14:cmpd="sng">
            <w14:solidFill>
              <w14:srgbClr w14:val="000000"/>
            </w14:solidFill>
            <w14:prstDash w14:val="solid"/>
            <w14:bevel/>
          </w14:textOutline>
        </w:rPr>
        <w:t>一</w:t>
      </w:r>
      <w:r>
        <w:rPr>
          <w:rFonts w:hint="eastAsia" w:asciiTheme="minorEastAsia" w:hAnsiTheme="minorEastAsia" w:eastAsiaTheme="minorEastAsia" w:cstheme="minorEastAsia"/>
          <w:color w:val="auto"/>
          <w:spacing w:val="9"/>
          <w:position w:val="2"/>
          <w:sz w:val="21"/>
          <w:szCs w:val="21"/>
          <w14:textOutline w14:w="3795" w14:cap="sq" w14:cmpd="sng">
            <w14:solidFill>
              <w14:srgbClr w14:val="000000"/>
            </w14:solidFill>
            <w14:prstDash w14:val="solid"/>
            <w14:bevel/>
          </w14:textOutline>
        </w:rPr>
        <w:t>、项目基本情况</w:t>
      </w:r>
      <w:bookmarkEnd w:id="29"/>
      <w:bookmarkEnd w:id="30"/>
      <w:bookmarkEnd w:id="31"/>
      <w:bookmarkEnd w:id="32"/>
    </w:p>
    <w:p w14:paraId="0C40E7C1">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left="0" w:leftChars="0" w:right="0" w:firstLine="0" w:firstLineChars="0"/>
        <w:jc w:val="both"/>
        <w:textAlignment w:val="baseline"/>
        <w:rPr>
          <w:rFonts w:hint="eastAsia" w:asciiTheme="minorEastAsia" w:hAnsiTheme="minorEastAsia" w:eastAsiaTheme="minorEastAsia" w:cstheme="minorEastAsia"/>
          <w:color w:val="auto"/>
          <w:spacing w:val="14"/>
          <w:sz w:val="21"/>
          <w:szCs w:val="21"/>
          <w:highlight w:val="none"/>
          <w:lang w:val="en-US" w:eastAsia="zh-CN"/>
        </w:rPr>
      </w:pPr>
      <w:r>
        <w:rPr>
          <w:rFonts w:hint="eastAsia" w:asciiTheme="minorEastAsia" w:hAnsiTheme="minorEastAsia" w:eastAsiaTheme="minorEastAsia" w:cstheme="minorEastAsia"/>
          <w:color w:val="auto"/>
          <w:spacing w:val="14"/>
          <w:sz w:val="21"/>
          <w:szCs w:val="21"/>
          <w:highlight w:val="none"/>
          <w:lang w:val="en-US" w:eastAsia="zh-CN"/>
        </w:rPr>
        <w:t>项目编号：BSZC2026-G3-990215-ZJGC（采购计划文号：BSZC[2026]1943号）</w:t>
      </w:r>
    </w:p>
    <w:p w14:paraId="49B036C1">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left="0" w:leftChars="0" w:right="0" w:firstLine="0" w:firstLineChars="0"/>
        <w:jc w:val="both"/>
        <w:textAlignment w:val="baseline"/>
        <w:rPr>
          <w:rFonts w:hint="eastAsia" w:asciiTheme="minorEastAsia" w:hAnsiTheme="minorEastAsia" w:eastAsiaTheme="minorEastAsia" w:cstheme="minorEastAsia"/>
          <w:color w:val="auto"/>
          <w:spacing w:val="14"/>
          <w:sz w:val="21"/>
          <w:szCs w:val="21"/>
          <w:lang w:val="en-US" w:eastAsia="zh-CN"/>
        </w:rPr>
      </w:pPr>
      <w:r>
        <w:rPr>
          <w:rFonts w:hint="eastAsia" w:asciiTheme="minorEastAsia" w:hAnsiTheme="minorEastAsia" w:eastAsiaTheme="minorEastAsia" w:cstheme="minorEastAsia"/>
          <w:color w:val="auto"/>
          <w:spacing w:val="14"/>
          <w:sz w:val="21"/>
          <w:szCs w:val="21"/>
          <w:lang w:val="en-US" w:eastAsia="zh-CN"/>
        </w:rPr>
        <w:t>项目名称：百色市森林防火智慧预警项目</w:t>
      </w:r>
    </w:p>
    <w:p w14:paraId="76755034">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left="0" w:leftChars="0" w:right="0" w:firstLine="0" w:firstLineChars="0"/>
        <w:jc w:val="both"/>
        <w:textAlignment w:val="baseline"/>
        <w:rPr>
          <w:rFonts w:hint="eastAsia" w:asciiTheme="minorEastAsia" w:hAnsiTheme="minorEastAsia" w:eastAsiaTheme="minorEastAsia" w:cstheme="minorEastAsia"/>
          <w:color w:val="auto"/>
          <w:spacing w:val="14"/>
          <w:sz w:val="21"/>
          <w:szCs w:val="21"/>
          <w:lang w:val="en-US" w:eastAsia="zh-CN"/>
        </w:rPr>
      </w:pPr>
      <w:r>
        <w:rPr>
          <w:rFonts w:hint="eastAsia" w:asciiTheme="minorEastAsia" w:hAnsiTheme="minorEastAsia" w:eastAsiaTheme="minorEastAsia" w:cstheme="minorEastAsia"/>
          <w:color w:val="auto"/>
          <w:spacing w:val="14"/>
          <w:sz w:val="21"/>
          <w:szCs w:val="21"/>
          <w:lang w:val="en-US" w:eastAsia="zh-CN"/>
        </w:rPr>
        <w:t>预算总金额（元）：5000000</w:t>
      </w:r>
    </w:p>
    <w:p w14:paraId="2860F5D1">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left="0" w:leftChars="0" w:right="0" w:firstLine="238" w:firstLineChars="100"/>
        <w:jc w:val="both"/>
        <w:textAlignment w:val="baseline"/>
        <w:rPr>
          <w:rFonts w:hint="eastAsia" w:asciiTheme="minorEastAsia" w:hAnsiTheme="minorEastAsia" w:eastAsiaTheme="minorEastAsia" w:cstheme="minorEastAsia"/>
          <w:color w:val="auto"/>
          <w:spacing w:val="14"/>
          <w:sz w:val="21"/>
          <w:szCs w:val="21"/>
          <w:lang w:val="en-US" w:eastAsia="zh-CN"/>
        </w:rPr>
      </w:pPr>
      <w:r>
        <w:rPr>
          <w:rFonts w:hint="eastAsia" w:asciiTheme="minorEastAsia" w:hAnsiTheme="minorEastAsia" w:eastAsiaTheme="minorEastAsia" w:cstheme="minorEastAsia"/>
          <w:color w:val="auto"/>
          <w:spacing w:val="14"/>
          <w:sz w:val="21"/>
          <w:szCs w:val="21"/>
          <w:lang w:val="en-US" w:eastAsia="zh-CN"/>
        </w:rPr>
        <w:t>采购需求：</w:t>
      </w:r>
      <w:r>
        <w:rPr>
          <w:rFonts w:hint="eastAsia" w:asciiTheme="minorEastAsia" w:hAnsiTheme="minorEastAsia" w:eastAsiaTheme="minorEastAsia" w:cstheme="minorEastAsia"/>
          <w:color w:val="auto"/>
          <w:spacing w:val="14"/>
          <w:sz w:val="21"/>
          <w:szCs w:val="21"/>
          <w:lang w:val="en-US" w:eastAsia="zh-CN"/>
        </w:rPr>
        <w:br w:type="textWrapping"/>
      </w:r>
      <w:r>
        <w:rPr>
          <w:rFonts w:hint="eastAsia" w:asciiTheme="minorEastAsia" w:hAnsiTheme="minorEastAsia" w:eastAsiaTheme="minorEastAsia" w:cstheme="minorEastAsia"/>
          <w:color w:val="auto"/>
          <w:spacing w:val="14"/>
          <w:sz w:val="21"/>
          <w:szCs w:val="21"/>
          <w:lang w:val="en-US" w:eastAsia="zh-CN"/>
        </w:rPr>
        <w:t>标项名称:百色市森林防火智慧预警项目</w:t>
      </w:r>
      <w:r>
        <w:rPr>
          <w:rFonts w:hint="eastAsia" w:asciiTheme="minorEastAsia" w:hAnsiTheme="minorEastAsia" w:eastAsiaTheme="minorEastAsia" w:cstheme="minorEastAsia"/>
          <w:color w:val="auto"/>
          <w:spacing w:val="14"/>
          <w:sz w:val="21"/>
          <w:szCs w:val="21"/>
          <w:lang w:val="en-US" w:eastAsia="zh-CN"/>
        </w:rPr>
        <w:br w:type="textWrapping"/>
      </w:r>
      <w:r>
        <w:rPr>
          <w:rFonts w:hint="eastAsia" w:asciiTheme="minorEastAsia" w:hAnsiTheme="minorEastAsia" w:eastAsiaTheme="minorEastAsia" w:cstheme="minorEastAsia"/>
          <w:color w:val="auto"/>
          <w:spacing w:val="14"/>
          <w:sz w:val="21"/>
          <w:szCs w:val="21"/>
          <w:lang w:val="en-US" w:eastAsia="zh-CN"/>
        </w:rPr>
        <w:t>数量:1</w:t>
      </w:r>
      <w:r>
        <w:rPr>
          <w:rFonts w:hint="eastAsia" w:asciiTheme="minorEastAsia" w:hAnsiTheme="minorEastAsia" w:eastAsiaTheme="minorEastAsia" w:cstheme="minorEastAsia"/>
          <w:color w:val="auto"/>
          <w:spacing w:val="14"/>
          <w:sz w:val="21"/>
          <w:szCs w:val="21"/>
          <w:lang w:val="en-US" w:eastAsia="zh-CN"/>
        </w:rPr>
        <w:br w:type="textWrapping"/>
      </w:r>
      <w:r>
        <w:rPr>
          <w:rFonts w:hint="eastAsia" w:asciiTheme="minorEastAsia" w:hAnsiTheme="minorEastAsia" w:eastAsiaTheme="minorEastAsia" w:cstheme="minorEastAsia"/>
          <w:color w:val="auto"/>
          <w:spacing w:val="14"/>
          <w:sz w:val="21"/>
          <w:szCs w:val="21"/>
          <w:lang w:val="en-US" w:eastAsia="zh-CN"/>
        </w:rPr>
        <w:t>预算金额（元）:5000000</w:t>
      </w:r>
      <w:r>
        <w:rPr>
          <w:rFonts w:hint="eastAsia" w:asciiTheme="minorEastAsia" w:hAnsiTheme="minorEastAsia" w:eastAsiaTheme="minorEastAsia" w:cstheme="minorEastAsia"/>
          <w:color w:val="auto"/>
          <w:spacing w:val="14"/>
          <w:sz w:val="21"/>
          <w:szCs w:val="21"/>
          <w:lang w:val="en-US" w:eastAsia="zh-CN"/>
        </w:rPr>
        <w:br w:type="textWrapping"/>
      </w:r>
      <w:r>
        <w:rPr>
          <w:rFonts w:hint="eastAsia" w:asciiTheme="minorEastAsia" w:hAnsiTheme="minorEastAsia" w:eastAsiaTheme="minorEastAsia" w:cstheme="minorEastAsia"/>
          <w:color w:val="auto"/>
          <w:spacing w:val="14"/>
          <w:sz w:val="21"/>
          <w:szCs w:val="21"/>
          <w:lang w:val="en-US" w:eastAsia="zh-CN"/>
        </w:rPr>
        <w:t>简要规格描述或项目基本概况介绍、用途：（具体内容详见招标文件采购需求）</w:t>
      </w:r>
    </w:p>
    <w:p w14:paraId="254C49D0">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left="0" w:leftChars="0" w:right="0"/>
        <w:jc w:val="both"/>
        <w:textAlignment w:val="baseline"/>
        <w:rPr>
          <w:rFonts w:hint="eastAsia" w:asciiTheme="minorEastAsia" w:hAnsiTheme="minorEastAsia" w:eastAsiaTheme="minorEastAsia" w:cstheme="minorEastAsia"/>
          <w:color w:val="auto"/>
          <w:spacing w:val="14"/>
          <w:sz w:val="21"/>
          <w:szCs w:val="21"/>
          <w:lang w:val="en-US" w:eastAsia="zh-CN"/>
        </w:rPr>
      </w:pPr>
      <w:r>
        <w:rPr>
          <w:rFonts w:hint="eastAsia" w:asciiTheme="minorEastAsia" w:hAnsiTheme="minorEastAsia" w:eastAsiaTheme="minorEastAsia" w:cstheme="minorEastAsia"/>
          <w:color w:val="auto"/>
          <w:spacing w:val="14"/>
          <w:sz w:val="21"/>
          <w:szCs w:val="21"/>
          <w:lang w:val="en-US" w:eastAsia="zh-CN"/>
        </w:rPr>
        <w:t>最高限价（如有）：5000000</w:t>
      </w:r>
    </w:p>
    <w:p w14:paraId="518A4238">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left="0" w:leftChars="0" w:right="0"/>
        <w:jc w:val="both"/>
        <w:textAlignment w:val="baseline"/>
        <w:rPr>
          <w:rFonts w:hint="eastAsia" w:asciiTheme="minorEastAsia" w:hAnsiTheme="minorEastAsia" w:eastAsiaTheme="minorEastAsia" w:cstheme="minorEastAsia"/>
          <w:color w:val="auto"/>
          <w:spacing w:val="14"/>
          <w:sz w:val="21"/>
          <w:szCs w:val="21"/>
          <w:highlight w:val="none"/>
          <w:lang w:val="en-US" w:eastAsia="zh-CN"/>
        </w:rPr>
      </w:pPr>
      <w:r>
        <w:rPr>
          <w:rFonts w:hint="eastAsia" w:asciiTheme="minorEastAsia" w:hAnsiTheme="minorEastAsia" w:eastAsiaTheme="minorEastAsia" w:cstheme="minorEastAsia"/>
          <w:color w:val="auto"/>
          <w:spacing w:val="14"/>
          <w:sz w:val="21"/>
          <w:szCs w:val="21"/>
          <w:highlight w:val="none"/>
          <w:lang w:val="en-US" w:eastAsia="zh-CN"/>
        </w:rPr>
        <w:t>合同履约期限：自签订合同之日起60天内交货安装调试完毕并交付正常使用；自项目竣工验收通过之日起，提供现场运维服务期为3年。</w:t>
      </w:r>
    </w:p>
    <w:p w14:paraId="5CD71DE0">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left="0" w:leftChars="0" w:right="0"/>
        <w:jc w:val="both"/>
        <w:textAlignment w:val="baseline"/>
        <w:rPr>
          <w:rFonts w:hint="eastAsia" w:asciiTheme="minorEastAsia" w:hAnsiTheme="minorEastAsia" w:eastAsiaTheme="minorEastAsia" w:cstheme="minorEastAsia"/>
          <w:color w:val="auto"/>
          <w:spacing w:val="14"/>
          <w:sz w:val="21"/>
          <w:szCs w:val="21"/>
          <w:lang w:val="en-US" w:eastAsia="zh-CN"/>
        </w:rPr>
      </w:pPr>
      <w:r>
        <w:rPr>
          <w:rFonts w:hint="eastAsia" w:asciiTheme="minorEastAsia" w:hAnsiTheme="minorEastAsia" w:eastAsiaTheme="minorEastAsia" w:cstheme="minorEastAsia"/>
          <w:color w:val="auto"/>
          <w:spacing w:val="14"/>
          <w:sz w:val="21"/>
          <w:szCs w:val="21"/>
          <w:highlight w:val="none"/>
          <w:lang w:val="en-US" w:eastAsia="zh-CN"/>
        </w:rPr>
        <w:t>本项目（是）接受联合体投标</w:t>
      </w:r>
      <w:r>
        <w:rPr>
          <w:rFonts w:hint="eastAsia" w:asciiTheme="minorEastAsia" w:hAnsiTheme="minorEastAsia" w:eastAsiaTheme="minorEastAsia" w:cstheme="minorEastAsia"/>
          <w:color w:val="auto"/>
          <w:spacing w:val="14"/>
          <w:sz w:val="21"/>
          <w:szCs w:val="21"/>
          <w:lang w:val="en-US" w:eastAsia="zh-CN"/>
        </w:rPr>
        <w:br w:type="textWrapping"/>
      </w:r>
      <w:r>
        <w:rPr>
          <w:rFonts w:hint="eastAsia" w:asciiTheme="minorEastAsia" w:hAnsiTheme="minorEastAsia" w:eastAsiaTheme="minorEastAsia" w:cstheme="minorEastAsia"/>
          <w:color w:val="auto"/>
          <w:spacing w:val="14"/>
          <w:sz w:val="21"/>
          <w:szCs w:val="21"/>
          <w:lang w:val="en-US" w:eastAsia="zh-CN"/>
        </w:rPr>
        <w:t>备注：</w:t>
      </w:r>
    </w:p>
    <w:p w14:paraId="0E1821E3">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textAlignment w:val="baseline"/>
        <w:outlineLvl w:val="1"/>
        <w:rPr>
          <w:rFonts w:hint="eastAsia" w:asciiTheme="minorEastAsia" w:hAnsiTheme="minorEastAsia" w:eastAsiaTheme="minorEastAsia" w:cstheme="minorEastAsia"/>
          <w:color w:val="auto"/>
          <w:spacing w:val="9"/>
          <w:position w:val="2"/>
          <w:sz w:val="21"/>
          <w:szCs w:val="21"/>
          <w14:textOutline w14:w="3795" w14:cap="sq" w14:cmpd="sng">
            <w14:solidFill>
              <w14:srgbClr w14:val="000000"/>
            </w14:solidFill>
            <w14:prstDash w14:val="solid"/>
            <w14:bevel/>
          </w14:textOutline>
        </w:rPr>
      </w:pPr>
      <w:bookmarkStart w:id="33" w:name="_Toc3059"/>
      <w:bookmarkStart w:id="34" w:name="_Toc2001"/>
      <w:r>
        <w:rPr>
          <w:rFonts w:hint="eastAsia" w:asciiTheme="minorEastAsia" w:hAnsiTheme="minorEastAsia" w:eastAsiaTheme="minorEastAsia" w:cstheme="minorEastAsia"/>
          <w:color w:val="auto"/>
          <w:spacing w:val="9"/>
          <w:position w:val="2"/>
          <w:sz w:val="21"/>
          <w:szCs w:val="21"/>
          <w14:textOutline w14:w="3795" w14:cap="sq" w14:cmpd="sng">
            <w14:solidFill>
              <w14:srgbClr w14:val="000000"/>
            </w14:solidFill>
            <w14:prstDash w14:val="solid"/>
            <w14:bevel/>
          </w14:textOutline>
        </w:rPr>
        <w:t>二、申请人的资格要求：</w:t>
      </w:r>
    </w:p>
    <w:p w14:paraId="185958E7">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left="0" w:leftChars="0" w:right="0" w:firstLine="476" w:firstLineChars="200"/>
        <w:jc w:val="both"/>
        <w:textAlignment w:val="baseline"/>
        <w:outlineLvl w:val="2"/>
        <w:rPr>
          <w:rFonts w:hint="eastAsia" w:asciiTheme="minorEastAsia" w:hAnsiTheme="minorEastAsia" w:eastAsiaTheme="minorEastAsia" w:cstheme="minorEastAsia"/>
          <w:color w:val="auto"/>
          <w:spacing w:val="14"/>
          <w:sz w:val="21"/>
          <w:szCs w:val="21"/>
          <w:lang w:val="en-US" w:eastAsia="zh-CN"/>
        </w:rPr>
      </w:pPr>
      <w:r>
        <w:rPr>
          <w:rFonts w:hint="eastAsia" w:asciiTheme="minorEastAsia" w:hAnsiTheme="minorEastAsia" w:eastAsiaTheme="minorEastAsia" w:cstheme="minorEastAsia"/>
          <w:color w:val="auto"/>
          <w:spacing w:val="14"/>
          <w:sz w:val="21"/>
          <w:szCs w:val="21"/>
          <w:lang w:val="en-US" w:eastAsia="zh-CN"/>
        </w:rPr>
        <w:t>1.满足《中华人民共和国政府采购法》第二十二条规定；</w:t>
      </w:r>
    </w:p>
    <w:p w14:paraId="1585B8B6">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left="0" w:leftChars="0" w:right="0" w:firstLine="476" w:firstLineChars="200"/>
        <w:jc w:val="both"/>
        <w:textAlignment w:val="baseline"/>
        <w:rPr>
          <w:rFonts w:hint="eastAsia" w:asciiTheme="minorEastAsia" w:hAnsiTheme="minorEastAsia" w:eastAsiaTheme="minorEastAsia" w:cstheme="minorEastAsia"/>
          <w:color w:val="auto"/>
          <w:spacing w:val="14"/>
          <w:sz w:val="21"/>
          <w:szCs w:val="21"/>
          <w:highlight w:val="none"/>
          <w:lang w:val="en-US" w:eastAsia="zh-CN"/>
        </w:rPr>
      </w:pPr>
      <w:r>
        <w:rPr>
          <w:rFonts w:hint="eastAsia" w:asciiTheme="minorEastAsia" w:hAnsiTheme="minorEastAsia" w:eastAsiaTheme="minorEastAsia" w:cstheme="minorEastAsia"/>
          <w:color w:val="auto"/>
          <w:spacing w:val="14"/>
          <w:sz w:val="21"/>
          <w:szCs w:val="21"/>
          <w:highlight w:val="none"/>
          <w:lang w:val="en-US" w:eastAsia="zh-CN"/>
        </w:rPr>
        <w:t>2.落实政府采购政策需满足的资格要求：非专门面向中小企业。</w:t>
      </w:r>
    </w:p>
    <w:p w14:paraId="31FC0AD7">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left="0" w:leftChars="0" w:right="0" w:firstLine="476" w:firstLineChars="200"/>
        <w:jc w:val="both"/>
        <w:textAlignment w:val="baseline"/>
        <w:rPr>
          <w:rFonts w:hint="eastAsia" w:asciiTheme="minorEastAsia" w:hAnsiTheme="minorEastAsia" w:eastAsiaTheme="minorEastAsia" w:cstheme="minorEastAsia"/>
          <w:color w:val="auto"/>
          <w:spacing w:val="14"/>
          <w:sz w:val="21"/>
          <w:szCs w:val="21"/>
          <w:highlight w:val="none"/>
          <w:lang w:val="en-US" w:eastAsia="zh-CN"/>
        </w:rPr>
      </w:pPr>
      <w:r>
        <w:rPr>
          <w:rFonts w:hint="eastAsia" w:asciiTheme="minorEastAsia" w:hAnsiTheme="minorEastAsia" w:eastAsiaTheme="minorEastAsia" w:cstheme="minorEastAsia"/>
          <w:color w:val="auto"/>
          <w:spacing w:val="14"/>
          <w:sz w:val="21"/>
          <w:szCs w:val="21"/>
          <w:highlight w:val="none"/>
          <w:lang w:val="en-US" w:eastAsia="zh-CN"/>
        </w:rPr>
        <w:t>3.本项目的特定资格要求：无。</w:t>
      </w:r>
    </w:p>
    <w:p w14:paraId="09E34B0F">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left="0" w:leftChars="0" w:right="0" w:firstLine="476" w:firstLineChars="200"/>
        <w:jc w:val="both"/>
        <w:textAlignment w:val="baseline"/>
        <w:rPr>
          <w:rFonts w:hint="eastAsia" w:asciiTheme="minorEastAsia" w:hAnsiTheme="minorEastAsia" w:eastAsiaTheme="minorEastAsia" w:cstheme="minorEastAsia"/>
          <w:color w:val="auto"/>
          <w:spacing w:val="14"/>
          <w:sz w:val="21"/>
          <w:szCs w:val="21"/>
          <w:lang w:val="en-US" w:eastAsia="zh-CN"/>
        </w:rPr>
      </w:pPr>
      <w:r>
        <w:rPr>
          <w:rFonts w:hint="eastAsia" w:asciiTheme="minorEastAsia" w:hAnsiTheme="minorEastAsia" w:eastAsiaTheme="minorEastAsia" w:cstheme="minorEastAsia"/>
          <w:color w:val="auto"/>
          <w:spacing w:val="14"/>
          <w:sz w:val="21"/>
          <w:szCs w:val="21"/>
          <w:lang w:val="en-US" w:eastAsia="zh-CN"/>
        </w:rPr>
        <w:t>4.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C7A548E">
      <w:pPr>
        <w:keepNext w:val="0"/>
        <w:keepLines w:val="0"/>
        <w:pageBreakBefore w:val="0"/>
        <w:widowControl/>
        <w:tabs>
          <w:tab w:val="left" w:pos="207"/>
        </w:tabs>
        <w:kinsoku/>
        <w:wordWrap w:val="0"/>
        <w:overflowPunct w:val="0"/>
        <w:topLinePunct w:val="0"/>
        <w:autoSpaceDE w:val="0"/>
        <w:autoSpaceDN w:val="0"/>
        <w:bidi w:val="0"/>
        <w:adjustRightInd w:val="0"/>
        <w:snapToGrid w:val="0"/>
        <w:spacing w:line="520" w:lineRule="exact"/>
        <w:ind w:left="0" w:leftChars="0" w:right="0" w:firstLine="476" w:firstLineChars="200"/>
        <w:jc w:val="left"/>
        <w:textAlignment w:val="baseline"/>
        <w:rPr>
          <w:rFonts w:hint="eastAsia" w:asciiTheme="minorEastAsia" w:hAnsiTheme="minorEastAsia" w:eastAsiaTheme="minorEastAsia" w:cstheme="minorEastAsia"/>
          <w:color w:val="auto"/>
          <w:spacing w:val="14"/>
          <w:sz w:val="21"/>
          <w:szCs w:val="21"/>
          <w:lang w:val="en-US" w:eastAsia="zh-CN"/>
        </w:rPr>
      </w:pPr>
      <w:r>
        <w:rPr>
          <w:rFonts w:hint="eastAsia" w:asciiTheme="minorEastAsia" w:hAnsiTheme="minorEastAsia" w:eastAsiaTheme="minorEastAsia" w:cstheme="minorEastAsia"/>
          <w:color w:val="auto"/>
          <w:spacing w:val="14"/>
          <w:sz w:val="21"/>
          <w:szCs w:val="21"/>
          <w:lang w:val="en-US" w:eastAsia="zh-CN"/>
        </w:rPr>
        <w:t>5.对在“信用中国”网站(www.creditchina.gov.cn)、中国政府采购网(www.ccgp.gov.cn)被列入失信被执行人、重大税收违法案件失信主体、政府采购严重违法失信行为记录名单及其他不符合《中华人民共和国政府采购法》第二十二条规定条件的供应商，不得参与政府采购活动。</w:t>
      </w:r>
    </w:p>
    <w:bookmarkEnd w:id="33"/>
    <w:bookmarkEnd w:id="34"/>
    <w:p w14:paraId="1550AE08">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textAlignment w:val="baseline"/>
        <w:outlineLvl w:val="1"/>
        <w:rPr>
          <w:rFonts w:hint="eastAsia" w:asciiTheme="minorEastAsia" w:hAnsiTheme="minorEastAsia" w:eastAsiaTheme="minorEastAsia" w:cstheme="minorEastAsia"/>
          <w:color w:val="auto"/>
          <w:sz w:val="21"/>
          <w:szCs w:val="21"/>
        </w:rPr>
      </w:pPr>
      <w:bookmarkStart w:id="35" w:name="_Toc2519"/>
      <w:bookmarkStart w:id="36" w:name="_Toc31333"/>
      <w:bookmarkStart w:id="37" w:name="_Toc1038"/>
      <w:bookmarkStart w:id="38" w:name="_Toc662"/>
      <w:r>
        <w:rPr>
          <w:rFonts w:hint="eastAsia" w:asciiTheme="minorEastAsia" w:hAnsiTheme="minorEastAsia" w:eastAsiaTheme="minorEastAsia" w:cstheme="minorEastAsia"/>
          <w:color w:val="auto"/>
          <w:spacing w:val="13"/>
          <w:position w:val="1"/>
          <w:sz w:val="21"/>
          <w:szCs w:val="21"/>
          <w14:textOutline w14:w="3795" w14:cap="sq" w14:cmpd="sng">
            <w14:solidFill>
              <w14:srgbClr w14:val="000000"/>
            </w14:solidFill>
            <w14:prstDash w14:val="solid"/>
            <w14:bevel/>
          </w14:textOutline>
        </w:rPr>
        <w:t>三</w:t>
      </w:r>
      <w:r>
        <w:rPr>
          <w:rFonts w:hint="eastAsia" w:asciiTheme="minorEastAsia" w:hAnsiTheme="minorEastAsia" w:eastAsiaTheme="minorEastAsia" w:cstheme="minorEastAsia"/>
          <w:color w:val="auto"/>
          <w:spacing w:val="9"/>
          <w:position w:val="1"/>
          <w:sz w:val="21"/>
          <w:szCs w:val="21"/>
          <w14:textOutline w14:w="3795" w14:cap="sq" w14:cmpd="sng">
            <w14:solidFill>
              <w14:srgbClr w14:val="000000"/>
            </w14:solidFill>
            <w14:prstDash w14:val="solid"/>
            <w14:bevel/>
          </w14:textOutline>
        </w:rPr>
        <w:t>、获取招标文件</w:t>
      </w:r>
      <w:bookmarkEnd w:id="35"/>
      <w:bookmarkEnd w:id="36"/>
      <w:bookmarkEnd w:id="37"/>
      <w:bookmarkEnd w:id="38"/>
    </w:p>
    <w:p w14:paraId="07A404FB">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left="0" w:leftChars="0" w:right="0" w:firstLine="476" w:firstLineChars="200"/>
        <w:jc w:val="both"/>
        <w:textAlignment w:val="baseline"/>
        <w:rPr>
          <w:rFonts w:hint="eastAsia" w:asciiTheme="minorEastAsia" w:hAnsiTheme="minorEastAsia" w:eastAsiaTheme="minorEastAsia" w:cstheme="minorEastAsia"/>
          <w:color w:val="auto"/>
          <w:spacing w:val="14"/>
          <w:sz w:val="21"/>
          <w:szCs w:val="21"/>
          <w:lang w:val="en-US" w:eastAsia="zh-CN"/>
        </w:rPr>
      </w:pPr>
      <w:r>
        <w:rPr>
          <w:rFonts w:hint="eastAsia" w:asciiTheme="minorEastAsia" w:hAnsiTheme="minorEastAsia" w:eastAsiaTheme="minorEastAsia" w:cstheme="minorEastAsia"/>
          <w:color w:val="auto"/>
          <w:spacing w:val="14"/>
          <w:sz w:val="21"/>
          <w:szCs w:val="21"/>
          <w:lang w:val="en-US" w:eastAsia="zh-CN"/>
        </w:rPr>
        <w:t>时间：2026年  月  日至2026年  月  日，每天上午00:00至12:00，下午12:00至23:59（北京时间，法定节假日除外）。</w:t>
      </w:r>
    </w:p>
    <w:p w14:paraId="3E46C1F8">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left="0" w:leftChars="0" w:right="0" w:firstLine="476" w:firstLineChars="200"/>
        <w:jc w:val="both"/>
        <w:textAlignment w:val="baseline"/>
        <w:rPr>
          <w:rFonts w:hint="eastAsia" w:asciiTheme="minorEastAsia" w:hAnsiTheme="minorEastAsia" w:eastAsiaTheme="minorEastAsia" w:cstheme="minorEastAsia"/>
          <w:color w:val="auto"/>
          <w:spacing w:val="14"/>
          <w:sz w:val="21"/>
          <w:szCs w:val="21"/>
          <w:lang w:val="en-US" w:eastAsia="zh-CN"/>
        </w:rPr>
      </w:pPr>
      <w:r>
        <w:rPr>
          <w:rFonts w:hint="eastAsia" w:asciiTheme="minorEastAsia" w:hAnsiTheme="minorEastAsia" w:eastAsiaTheme="minorEastAsia" w:cstheme="minorEastAsia"/>
          <w:color w:val="auto"/>
          <w:spacing w:val="14"/>
          <w:sz w:val="21"/>
          <w:szCs w:val="21"/>
          <w:lang w:val="en-US" w:eastAsia="zh-CN"/>
        </w:rPr>
        <w:t>地点（网址）：广西政府采购云平台(https://www.gcy.zfcg.gxzf.gov.cn/)。</w:t>
      </w:r>
    </w:p>
    <w:p w14:paraId="5C7FD6D2">
      <w:pPr>
        <w:keepNext w:val="0"/>
        <w:keepLines w:val="0"/>
        <w:pageBreakBefore w:val="0"/>
        <w:widowControl w:val="0"/>
        <w:kinsoku w:val="0"/>
        <w:wordWrap/>
        <w:overflowPunct/>
        <w:topLinePunct w:val="0"/>
        <w:autoSpaceDE/>
        <w:autoSpaceDN w:val="0"/>
        <w:bidi w:val="0"/>
        <w:adjustRightInd w:val="0"/>
        <w:snapToGrid w:val="0"/>
        <w:spacing w:line="520" w:lineRule="exact"/>
        <w:ind w:left="0" w:leftChars="0" w:right="0" w:firstLine="448" w:firstLineChars="200"/>
        <w:jc w:val="both"/>
        <w:textAlignment w:val="baseline"/>
        <w:rPr>
          <w:rFonts w:hint="eastAsia" w:asciiTheme="minorEastAsia" w:hAnsiTheme="minorEastAsia" w:eastAsiaTheme="minorEastAsia" w:cstheme="minorEastAsia"/>
          <w:color w:val="auto"/>
          <w:spacing w:val="7"/>
          <w:sz w:val="21"/>
          <w:szCs w:val="21"/>
        </w:rPr>
      </w:pPr>
      <w:r>
        <w:rPr>
          <w:rFonts w:hint="eastAsia" w:asciiTheme="minorEastAsia" w:hAnsiTheme="minorEastAsia" w:eastAsiaTheme="minorEastAsia" w:cstheme="minorEastAsia"/>
          <w:color w:val="auto"/>
          <w:spacing w:val="7"/>
          <w:sz w:val="21"/>
          <w:szCs w:val="21"/>
        </w:rPr>
        <w:t>方式:</w:t>
      </w:r>
      <w:r>
        <w:rPr>
          <w:rFonts w:hint="eastAsia" w:asciiTheme="minorEastAsia" w:hAnsiTheme="minorEastAsia" w:eastAsiaTheme="minorEastAsia" w:cstheme="minorEastAsia"/>
          <w:color w:val="auto"/>
          <w:spacing w:val="7"/>
          <w:sz w:val="21"/>
          <w:szCs w:val="21"/>
          <w:lang w:val="en-US" w:eastAsia="zh-CN"/>
        </w:rPr>
        <w:t>广西</w:t>
      </w:r>
      <w:r>
        <w:rPr>
          <w:rFonts w:hint="eastAsia" w:asciiTheme="minorEastAsia" w:hAnsiTheme="minorEastAsia" w:eastAsiaTheme="minorEastAsia" w:cstheme="minorEastAsia"/>
          <w:color w:val="auto"/>
          <w:spacing w:val="7"/>
          <w:sz w:val="21"/>
          <w:szCs w:val="21"/>
        </w:rPr>
        <w:t>政府采购云平台下载。本项目不提供纸质招标文件，潜在供应商均可于报名截止时间前通过CA登录“广西政府采购云平台”平台（https://www.gcy.zfcg.gxzf.gov.cn/）”投标客户端在线自行下载采购文件；未注册的供应商可在”广西政府采购云平台”网上招投标系统完成注册后再进行文件下载。提示：供应商只有在“广西政府采购云平台”网上招投标系统完成获取采购文件申请并下载了采购文件后才视作依法获取</w:t>
      </w:r>
      <w:r>
        <w:rPr>
          <w:rFonts w:hint="eastAsia" w:asciiTheme="minorEastAsia" w:hAnsiTheme="minorEastAsia" w:eastAsiaTheme="minorEastAsia" w:cstheme="minorEastAsia"/>
          <w:color w:val="auto"/>
          <w:spacing w:val="7"/>
          <w:sz w:val="21"/>
          <w:szCs w:val="21"/>
          <w:lang w:eastAsia="zh-CN"/>
        </w:rPr>
        <w:t>招标</w:t>
      </w:r>
      <w:r>
        <w:rPr>
          <w:rFonts w:hint="eastAsia" w:asciiTheme="minorEastAsia" w:hAnsiTheme="minorEastAsia" w:eastAsiaTheme="minorEastAsia" w:cstheme="minorEastAsia"/>
          <w:color w:val="auto"/>
          <w:spacing w:val="7"/>
          <w:sz w:val="21"/>
          <w:szCs w:val="21"/>
        </w:rPr>
        <w:t>文件（法律法规所指的供应商获取采购文件时间以供应商完成获取采购文件申请后下载采购文件的时间为准）。</w:t>
      </w:r>
      <w:r>
        <w:rPr>
          <w:rFonts w:hint="eastAsia" w:asciiTheme="minorEastAsia" w:hAnsiTheme="minorEastAsia" w:eastAsiaTheme="minorEastAsia" w:cstheme="minorEastAsia"/>
          <w:color w:val="auto"/>
          <w:spacing w:val="7"/>
          <w:sz w:val="21"/>
          <w:szCs w:val="21"/>
          <w:lang w:eastAsia="zh-CN"/>
        </w:rPr>
        <w:t>招标</w:t>
      </w:r>
      <w:r>
        <w:rPr>
          <w:rFonts w:hint="eastAsia" w:asciiTheme="minorEastAsia" w:hAnsiTheme="minorEastAsia" w:eastAsiaTheme="minorEastAsia" w:cstheme="minorEastAsia"/>
          <w:color w:val="auto"/>
          <w:spacing w:val="7"/>
          <w:sz w:val="21"/>
          <w:szCs w:val="21"/>
        </w:rPr>
        <w:t>文件免费向供应商提供。</w:t>
      </w:r>
    </w:p>
    <w:p w14:paraId="60679135">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448" w:firstLineChars="200"/>
        <w:jc w:val="both"/>
        <w:textAlignment w:val="baseline"/>
        <w:rPr>
          <w:rFonts w:hint="eastAsia" w:asciiTheme="minorEastAsia" w:hAnsiTheme="minorEastAsia" w:eastAsiaTheme="minorEastAsia" w:cstheme="minorEastAsia"/>
          <w:color w:val="auto"/>
          <w:spacing w:val="7"/>
          <w:sz w:val="21"/>
          <w:szCs w:val="21"/>
        </w:rPr>
      </w:pPr>
      <w:bookmarkStart w:id="39" w:name="_Toc27871"/>
      <w:bookmarkStart w:id="40" w:name="_Toc4572"/>
      <w:bookmarkStart w:id="41" w:name="_Toc30832"/>
      <w:bookmarkStart w:id="42" w:name="_Toc1120"/>
      <w:r>
        <w:rPr>
          <w:rFonts w:hint="eastAsia" w:asciiTheme="minorEastAsia" w:hAnsiTheme="minorEastAsia" w:eastAsiaTheme="minorEastAsia" w:cstheme="minorEastAsia"/>
          <w:color w:val="auto"/>
          <w:spacing w:val="7"/>
          <w:sz w:val="21"/>
          <w:szCs w:val="21"/>
        </w:rPr>
        <w:t>售价（元）：0</w:t>
      </w:r>
    </w:p>
    <w:p w14:paraId="184C2899">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textAlignment w:val="baseline"/>
        <w:outlineLvl w:val="1"/>
        <w:rPr>
          <w:rFonts w:hint="eastAsia" w:asciiTheme="minorEastAsia" w:hAnsiTheme="minorEastAsia" w:eastAsiaTheme="minorEastAsia" w:cstheme="minorEastAsia"/>
          <w:color w:val="auto"/>
          <w:spacing w:val="9"/>
          <w:position w:val="1"/>
          <w:sz w:val="21"/>
          <w:szCs w:val="21"/>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color w:val="auto"/>
          <w:spacing w:val="9"/>
          <w:position w:val="1"/>
          <w:sz w:val="21"/>
          <w:szCs w:val="21"/>
          <w14:textOutline w14:w="3795" w14:cap="sq" w14:cmpd="sng">
            <w14:solidFill>
              <w14:srgbClr w14:val="000000"/>
            </w14:solidFill>
            <w14:prstDash w14:val="solid"/>
            <w14:bevel/>
          </w14:textOutline>
        </w:rPr>
        <w:t>四、响应文件提交</w:t>
      </w:r>
    </w:p>
    <w:p w14:paraId="682AC064">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0" w:firstLineChars="0"/>
        <w:jc w:val="left"/>
        <w:textAlignment w:val="baseline"/>
        <w:rPr>
          <w:rFonts w:hint="eastAsia" w:asciiTheme="minorEastAsia" w:hAnsiTheme="minorEastAsia" w:eastAsiaTheme="minorEastAsia" w:cstheme="minorEastAsia"/>
          <w:color w:val="auto"/>
          <w:spacing w:val="7"/>
          <w:sz w:val="21"/>
          <w:szCs w:val="21"/>
        </w:rPr>
      </w:pPr>
      <w:r>
        <w:rPr>
          <w:rFonts w:hint="eastAsia" w:asciiTheme="minorEastAsia" w:hAnsiTheme="minorEastAsia" w:eastAsiaTheme="minorEastAsia" w:cstheme="minorEastAsia"/>
          <w:color w:val="auto"/>
          <w:spacing w:val="7"/>
          <w:sz w:val="21"/>
          <w:szCs w:val="21"/>
        </w:rPr>
        <w:t>截止时间：202</w:t>
      </w:r>
      <w:r>
        <w:rPr>
          <w:rFonts w:hint="eastAsia" w:asciiTheme="minorEastAsia" w:hAnsiTheme="minorEastAsia" w:eastAsiaTheme="minorEastAsia" w:cstheme="minorEastAsia"/>
          <w:color w:val="auto"/>
          <w:spacing w:val="7"/>
          <w:sz w:val="21"/>
          <w:szCs w:val="21"/>
          <w:lang w:val="en-US" w:eastAsia="zh-CN"/>
        </w:rPr>
        <w:t>6</w:t>
      </w:r>
      <w:r>
        <w:rPr>
          <w:rFonts w:hint="eastAsia" w:asciiTheme="minorEastAsia" w:hAnsiTheme="minorEastAsia" w:eastAsiaTheme="minorEastAsia" w:cstheme="minorEastAsia"/>
          <w:color w:val="auto"/>
          <w:spacing w:val="7"/>
          <w:sz w:val="21"/>
          <w:szCs w:val="21"/>
        </w:rPr>
        <w:t>年</w:t>
      </w:r>
      <w:r>
        <w:rPr>
          <w:rFonts w:hint="eastAsia" w:asciiTheme="minorEastAsia" w:hAnsiTheme="minorEastAsia" w:eastAsiaTheme="minorEastAsia" w:cstheme="minorEastAsia"/>
          <w:color w:val="auto"/>
          <w:spacing w:val="7"/>
          <w:sz w:val="21"/>
          <w:szCs w:val="21"/>
          <w:lang w:val="en-US" w:eastAsia="zh-CN"/>
        </w:rPr>
        <w:t xml:space="preserve">  </w:t>
      </w:r>
      <w:r>
        <w:rPr>
          <w:rFonts w:hint="eastAsia" w:asciiTheme="minorEastAsia" w:hAnsiTheme="minorEastAsia" w:eastAsiaTheme="minorEastAsia" w:cstheme="minorEastAsia"/>
          <w:color w:val="auto"/>
          <w:spacing w:val="7"/>
          <w:sz w:val="21"/>
          <w:szCs w:val="21"/>
        </w:rPr>
        <w:t>月</w:t>
      </w:r>
      <w:r>
        <w:rPr>
          <w:rFonts w:hint="eastAsia" w:asciiTheme="minorEastAsia" w:hAnsiTheme="minorEastAsia" w:eastAsiaTheme="minorEastAsia" w:cstheme="minorEastAsia"/>
          <w:color w:val="auto"/>
          <w:spacing w:val="7"/>
          <w:sz w:val="21"/>
          <w:szCs w:val="21"/>
          <w:lang w:val="en-US" w:eastAsia="zh-CN"/>
        </w:rPr>
        <w:t xml:space="preserve">  </w:t>
      </w:r>
      <w:r>
        <w:rPr>
          <w:rFonts w:hint="eastAsia" w:asciiTheme="minorEastAsia" w:hAnsiTheme="minorEastAsia" w:eastAsiaTheme="minorEastAsia" w:cstheme="minorEastAsia"/>
          <w:color w:val="auto"/>
          <w:spacing w:val="7"/>
          <w:sz w:val="21"/>
          <w:szCs w:val="21"/>
        </w:rPr>
        <w:t>日09:</w:t>
      </w:r>
      <w:r>
        <w:rPr>
          <w:rFonts w:hint="eastAsia" w:asciiTheme="minorEastAsia" w:hAnsiTheme="minorEastAsia" w:eastAsiaTheme="minorEastAsia" w:cstheme="minorEastAsia"/>
          <w:color w:val="auto"/>
          <w:spacing w:val="7"/>
          <w:sz w:val="21"/>
          <w:szCs w:val="21"/>
          <w:lang w:val="en-US" w:eastAsia="zh-CN"/>
        </w:rPr>
        <w:t>00</w:t>
      </w:r>
      <w:r>
        <w:rPr>
          <w:rFonts w:hint="eastAsia" w:asciiTheme="minorEastAsia" w:hAnsiTheme="minorEastAsia" w:eastAsiaTheme="minorEastAsia" w:cstheme="minorEastAsia"/>
          <w:color w:val="auto"/>
          <w:spacing w:val="7"/>
          <w:sz w:val="21"/>
          <w:szCs w:val="21"/>
        </w:rPr>
        <w:t>（北京时间）</w:t>
      </w:r>
    </w:p>
    <w:p w14:paraId="46F53D9F">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0" w:firstLineChars="0"/>
        <w:jc w:val="left"/>
        <w:textAlignment w:val="baseline"/>
        <w:rPr>
          <w:rFonts w:hint="eastAsia" w:asciiTheme="minorEastAsia" w:hAnsiTheme="minorEastAsia" w:eastAsiaTheme="minorEastAsia" w:cstheme="minorEastAsia"/>
          <w:color w:val="auto"/>
          <w:spacing w:val="7"/>
          <w:sz w:val="21"/>
          <w:szCs w:val="21"/>
        </w:rPr>
      </w:pPr>
      <w:r>
        <w:rPr>
          <w:rFonts w:hint="eastAsia" w:asciiTheme="minorEastAsia" w:hAnsiTheme="minorEastAsia" w:eastAsiaTheme="minorEastAsia" w:cstheme="minorEastAsia"/>
          <w:color w:val="auto"/>
          <w:spacing w:val="7"/>
          <w:sz w:val="21"/>
          <w:szCs w:val="21"/>
        </w:rPr>
        <w:t>地点（网址）：广西政府采购云平台(https://www.gcy.zfcg.gxzf.gov.cn/) </w:t>
      </w:r>
    </w:p>
    <w:p w14:paraId="46529242">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textAlignment w:val="baseline"/>
        <w:outlineLvl w:val="1"/>
        <w:rPr>
          <w:rFonts w:hint="eastAsia" w:asciiTheme="minorEastAsia" w:hAnsiTheme="minorEastAsia" w:eastAsiaTheme="minorEastAsia" w:cstheme="minorEastAsia"/>
          <w:color w:val="auto"/>
          <w:spacing w:val="9"/>
          <w:position w:val="1"/>
          <w:sz w:val="21"/>
          <w:szCs w:val="21"/>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color w:val="auto"/>
          <w:spacing w:val="9"/>
          <w:position w:val="1"/>
          <w:sz w:val="21"/>
          <w:szCs w:val="21"/>
          <w14:textOutline w14:w="3795" w14:cap="sq" w14:cmpd="sng">
            <w14:solidFill>
              <w14:srgbClr w14:val="000000"/>
            </w14:solidFill>
            <w14:prstDash w14:val="solid"/>
            <w14:bevel/>
          </w14:textOutline>
        </w:rPr>
        <w:t>五、响应文件开启 </w:t>
      </w:r>
    </w:p>
    <w:p w14:paraId="0FC63BEA">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0" w:firstLineChars="0"/>
        <w:jc w:val="left"/>
        <w:textAlignment w:val="baseline"/>
        <w:rPr>
          <w:rFonts w:hint="eastAsia" w:asciiTheme="minorEastAsia" w:hAnsiTheme="minorEastAsia" w:eastAsiaTheme="minorEastAsia" w:cstheme="minorEastAsia"/>
          <w:color w:val="auto"/>
          <w:spacing w:val="7"/>
          <w:sz w:val="21"/>
          <w:szCs w:val="21"/>
        </w:rPr>
      </w:pPr>
      <w:r>
        <w:rPr>
          <w:rFonts w:hint="eastAsia" w:asciiTheme="minorEastAsia" w:hAnsiTheme="minorEastAsia" w:eastAsiaTheme="minorEastAsia" w:cstheme="minorEastAsia"/>
          <w:color w:val="auto"/>
          <w:spacing w:val="7"/>
          <w:sz w:val="21"/>
          <w:szCs w:val="21"/>
        </w:rPr>
        <w:t>开启时间：202</w:t>
      </w:r>
      <w:r>
        <w:rPr>
          <w:rFonts w:hint="eastAsia" w:asciiTheme="minorEastAsia" w:hAnsiTheme="minorEastAsia" w:eastAsiaTheme="minorEastAsia" w:cstheme="minorEastAsia"/>
          <w:color w:val="auto"/>
          <w:spacing w:val="7"/>
          <w:sz w:val="21"/>
          <w:szCs w:val="21"/>
          <w:lang w:val="en-US" w:eastAsia="zh-CN"/>
        </w:rPr>
        <w:t>6</w:t>
      </w:r>
      <w:r>
        <w:rPr>
          <w:rFonts w:hint="eastAsia" w:asciiTheme="minorEastAsia" w:hAnsiTheme="minorEastAsia" w:eastAsiaTheme="minorEastAsia" w:cstheme="minorEastAsia"/>
          <w:color w:val="auto"/>
          <w:spacing w:val="7"/>
          <w:sz w:val="21"/>
          <w:szCs w:val="21"/>
        </w:rPr>
        <w:t>年</w:t>
      </w:r>
      <w:r>
        <w:rPr>
          <w:rFonts w:hint="eastAsia" w:asciiTheme="minorEastAsia" w:hAnsiTheme="minorEastAsia" w:eastAsiaTheme="minorEastAsia" w:cstheme="minorEastAsia"/>
          <w:color w:val="auto"/>
          <w:spacing w:val="7"/>
          <w:sz w:val="21"/>
          <w:szCs w:val="21"/>
          <w:lang w:val="en-US" w:eastAsia="zh-CN"/>
        </w:rPr>
        <w:t xml:space="preserve">  </w:t>
      </w:r>
      <w:r>
        <w:rPr>
          <w:rFonts w:hint="eastAsia" w:asciiTheme="minorEastAsia" w:hAnsiTheme="minorEastAsia" w:eastAsiaTheme="minorEastAsia" w:cstheme="minorEastAsia"/>
          <w:color w:val="auto"/>
          <w:spacing w:val="7"/>
          <w:sz w:val="21"/>
          <w:szCs w:val="21"/>
        </w:rPr>
        <w:t>月</w:t>
      </w:r>
      <w:r>
        <w:rPr>
          <w:rFonts w:hint="eastAsia" w:asciiTheme="minorEastAsia" w:hAnsiTheme="minorEastAsia" w:eastAsiaTheme="minorEastAsia" w:cstheme="minorEastAsia"/>
          <w:color w:val="auto"/>
          <w:spacing w:val="7"/>
          <w:sz w:val="21"/>
          <w:szCs w:val="21"/>
          <w:lang w:val="en-US" w:eastAsia="zh-CN"/>
        </w:rPr>
        <w:t xml:space="preserve">  </w:t>
      </w:r>
      <w:r>
        <w:rPr>
          <w:rFonts w:hint="eastAsia" w:asciiTheme="minorEastAsia" w:hAnsiTheme="minorEastAsia" w:eastAsiaTheme="minorEastAsia" w:cstheme="minorEastAsia"/>
          <w:color w:val="auto"/>
          <w:spacing w:val="7"/>
          <w:sz w:val="21"/>
          <w:szCs w:val="21"/>
        </w:rPr>
        <w:t>日09:</w:t>
      </w:r>
      <w:r>
        <w:rPr>
          <w:rFonts w:hint="eastAsia" w:asciiTheme="minorEastAsia" w:hAnsiTheme="minorEastAsia" w:eastAsiaTheme="minorEastAsia" w:cstheme="minorEastAsia"/>
          <w:color w:val="auto"/>
          <w:spacing w:val="7"/>
          <w:sz w:val="21"/>
          <w:szCs w:val="21"/>
          <w:lang w:val="en-US" w:eastAsia="zh-CN"/>
        </w:rPr>
        <w:t>00</w:t>
      </w:r>
      <w:r>
        <w:rPr>
          <w:rFonts w:hint="eastAsia" w:asciiTheme="minorEastAsia" w:hAnsiTheme="minorEastAsia" w:eastAsiaTheme="minorEastAsia" w:cstheme="minorEastAsia"/>
          <w:color w:val="auto"/>
          <w:spacing w:val="7"/>
          <w:sz w:val="21"/>
          <w:szCs w:val="21"/>
        </w:rPr>
        <w:t>（北京时间）</w:t>
      </w:r>
    </w:p>
    <w:p w14:paraId="3278ED6B">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0" w:firstLineChars="0"/>
        <w:jc w:val="left"/>
        <w:textAlignment w:val="baseline"/>
        <w:rPr>
          <w:rFonts w:hint="eastAsia" w:asciiTheme="minorEastAsia" w:hAnsiTheme="minorEastAsia" w:eastAsiaTheme="minorEastAsia" w:cstheme="minorEastAsia"/>
          <w:color w:val="auto"/>
          <w:spacing w:val="7"/>
          <w:sz w:val="21"/>
          <w:szCs w:val="21"/>
        </w:rPr>
      </w:pPr>
      <w:r>
        <w:rPr>
          <w:rFonts w:hint="eastAsia" w:asciiTheme="minorEastAsia" w:hAnsiTheme="minorEastAsia" w:eastAsiaTheme="minorEastAsia" w:cstheme="minorEastAsia"/>
          <w:color w:val="auto"/>
          <w:spacing w:val="7"/>
          <w:sz w:val="21"/>
          <w:szCs w:val="21"/>
        </w:rPr>
        <w:t>地点：广西政府采购云平台(https://www.gcy.zfcg.gxzf.gov.cn/) </w:t>
      </w:r>
    </w:p>
    <w:p w14:paraId="5AA99054">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textAlignment w:val="baseline"/>
        <w:outlineLvl w:val="1"/>
        <w:rPr>
          <w:rFonts w:hint="eastAsia" w:asciiTheme="minorEastAsia" w:hAnsiTheme="minorEastAsia" w:eastAsiaTheme="minorEastAsia" w:cstheme="minorEastAsia"/>
          <w:color w:val="auto"/>
          <w:spacing w:val="9"/>
          <w:position w:val="1"/>
          <w:sz w:val="21"/>
          <w:szCs w:val="21"/>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color w:val="auto"/>
          <w:spacing w:val="9"/>
          <w:position w:val="1"/>
          <w:sz w:val="21"/>
          <w:szCs w:val="21"/>
          <w:lang w:eastAsia="zh-CN"/>
          <w14:textOutline w14:w="3795" w14:cap="sq" w14:cmpd="sng">
            <w14:solidFill>
              <w14:srgbClr w14:val="000000"/>
            </w14:solidFill>
            <w14:prstDash w14:val="solid"/>
            <w14:bevel/>
          </w14:textOutline>
        </w:rPr>
        <w:t>六</w:t>
      </w:r>
      <w:r>
        <w:rPr>
          <w:rFonts w:hint="eastAsia" w:asciiTheme="minorEastAsia" w:hAnsiTheme="minorEastAsia" w:eastAsiaTheme="minorEastAsia" w:cstheme="minorEastAsia"/>
          <w:color w:val="auto"/>
          <w:spacing w:val="9"/>
          <w:position w:val="1"/>
          <w:sz w:val="21"/>
          <w:szCs w:val="21"/>
          <w14:textOutline w14:w="3795" w14:cap="sq" w14:cmpd="sng">
            <w14:solidFill>
              <w14:srgbClr w14:val="000000"/>
            </w14:solidFill>
            <w14:prstDash w14:val="solid"/>
            <w14:bevel/>
          </w14:textOutline>
        </w:rPr>
        <w:t>、公告期限</w:t>
      </w:r>
      <w:bookmarkEnd w:id="39"/>
      <w:bookmarkEnd w:id="40"/>
      <w:bookmarkEnd w:id="41"/>
      <w:bookmarkEnd w:id="42"/>
    </w:p>
    <w:p w14:paraId="129BFCF8">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224" w:firstLineChars="100"/>
        <w:jc w:val="left"/>
        <w:textAlignment w:val="baseline"/>
        <w:rPr>
          <w:rFonts w:hint="eastAsia" w:asciiTheme="minorEastAsia" w:hAnsiTheme="minorEastAsia" w:eastAsiaTheme="minorEastAsia" w:cstheme="minorEastAsia"/>
          <w:color w:val="auto"/>
          <w:spacing w:val="7"/>
          <w:sz w:val="21"/>
          <w:szCs w:val="21"/>
        </w:rPr>
      </w:pPr>
      <w:r>
        <w:rPr>
          <w:rFonts w:hint="eastAsia" w:asciiTheme="minorEastAsia" w:hAnsiTheme="minorEastAsia" w:eastAsiaTheme="minorEastAsia" w:cstheme="minorEastAsia"/>
          <w:color w:val="auto"/>
          <w:spacing w:val="7"/>
          <w:sz w:val="21"/>
          <w:szCs w:val="21"/>
        </w:rPr>
        <w:t>自本公告发布之日起5个工作日。</w:t>
      </w:r>
    </w:p>
    <w:p w14:paraId="1F519D53">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textAlignment w:val="baseline"/>
        <w:outlineLvl w:val="1"/>
        <w:rPr>
          <w:rFonts w:hint="eastAsia" w:asciiTheme="minorEastAsia" w:hAnsiTheme="minorEastAsia" w:eastAsiaTheme="minorEastAsia" w:cstheme="minorEastAsia"/>
          <w:color w:val="auto"/>
          <w:spacing w:val="9"/>
          <w:position w:val="1"/>
          <w:sz w:val="21"/>
          <w:szCs w:val="21"/>
          <w14:textOutline w14:w="3795" w14:cap="sq" w14:cmpd="sng">
            <w14:solidFill>
              <w14:srgbClr w14:val="000000"/>
            </w14:solidFill>
            <w14:prstDash w14:val="solid"/>
            <w14:bevel/>
          </w14:textOutline>
        </w:rPr>
      </w:pPr>
      <w:bookmarkStart w:id="43" w:name="_Toc24282"/>
      <w:bookmarkStart w:id="44" w:name="_Toc20232"/>
      <w:bookmarkStart w:id="45" w:name="_Toc13092"/>
      <w:bookmarkStart w:id="46" w:name="_Toc1074"/>
      <w:r>
        <w:rPr>
          <w:rFonts w:hint="eastAsia" w:asciiTheme="minorEastAsia" w:hAnsiTheme="minorEastAsia" w:eastAsiaTheme="minorEastAsia" w:cstheme="minorEastAsia"/>
          <w:color w:val="auto"/>
          <w:spacing w:val="9"/>
          <w:position w:val="1"/>
          <w:sz w:val="21"/>
          <w:szCs w:val="21"/>
          <w:lang w:eastAsia="zh-CN"/>
          <w14:textOutline w14:w="3795" w14:cap="sq" w14:cmpd="sng">
            <w14:solidFill>
              <w14:srgbClr w14:val="000000"/>
            </w14:solidFill>
            <w14:prstDash w14:val="solid"/>
            <w14:bevel/>
          </w14:textOutline>
        </w:rPr>
        <w:t>七</w:t>
      </w:r>
      <w:r>
        <w:rPr>
          <w:rFonts w:hint="eastAsia" w:asciiTheme="minorEastAsia" w:hAnsiTheme="minorEastAsia" w:eastAsiaTheme="minorEastAsia" w:cstheme="minorEastAsia"/>
          <w:color w:val="auto"/>
          <w:spacing w:val="9"/>
          <w:position w:val="1"/>
          <w:sz w:val="21"/>
          <w:szCs w:val="21"/>
          <w14:textOutline w14:w="3795" w14:cap="sq" w14:cmpd="sng">
            <w14:solidFill>
              <w14:srgbClr w14:val="000000"/>
            </w14:solidFill>
            <w14:prstDash w14:val="solid"/>
            <w14:bevel/>
          </w14:textOutline>
        </w:rPr>
        <w:t>、其他补充事宜</w:t>
      </w:r>
      <w:bookmarkEnd w:id="43"/>
      <w:bookmarkEnd w:id="44"/>
      <w:bookmarkEnd w:id="45"/>
      <w:bookmarkEnd w:id="46"/>
    </w:p>
    <w:p w14:paraId="1686B2C2">
      <w:pPr>
        <w:keepNext w:val="0"/>
        <w:keepLines w:val="0"/>
        <w:pageBreakBefore w:val="0"/>
        <w:widowControl/>
        <w:kinsoku/>
        <w:wordWrap w:val="0"/>
        <w:overflowPunct w:val="0"/>
        <w:topLinePunct w:val="0"/>
        <w:autoSpaceDE/>
        <w:autoSpaceDN w:val="0"/>
        <w:bidi w:val="0"/>
        <w:adjustRightInd w:val="0"/>
        <w:snapToGrid w:val="0"/>
        <w:spacing w:line="520" w:lineRule="exact"/>
        <w:ind w:left="0" w:leftChars="0" w:right="0" w:firstLine="448" w:firstLineChars="200"/>
        <w:jc w:val="both"/>
        <w:textAlignment w:val="baseline"/>
        <w:rPr>
          <w:rFonts w:hint="eastAsia" w:asciiTheme="minorEastAsia" w:hAnsiTheme="minorEastAsia" w:eastAsiaTheme="minorEastAsia" w:cstheme="minorEastAsia"/>
          <w:color w:val="auto"/>
          <w:spacing w:val="7"/>
          <w:sz w:val="21"/>
          <w:szCs w:val="21"/>
        </w:rPr>
      </w:pPr>
      <w:bookmarkStart w:id="47" w:name="_Toc14209"/>
      <w:bookmarkStart w:id="48" w:name="_Toc3184"/>
      <w:r>
        <w:rPr>
          <w:rFonts w:hint="eastAsia" w:asciiTheme="minorEastAsia" w:hAnsiTheme="minorEastAsia" w:eastAsiaTheme="minorEastAsia" w:cstheme="minorEastAsia"/>
          <w:color w:val="auto"/>
          <w:spacing w:val="7"/>
          <w:sz w:val="21"/>
          <w:szCs w:val="21"/>
        </w:rPr>
        <w:t>1.网上查询地址</w:t>
      </w:r>
      <w:bookmarkEnd w:id="47"/>
      <w:bookmarkEnd w:id="48"/>
      <w:r>
        <w:rPr>
          <w:rFonts w:hint="eastAsia" w:asciiTheme="minorEastAsia" w:hAnsiTheme="minorEastAsia" w:eastAsiaTheme="minorEastAsia" w:cstheme="minorEastAsia"/>
          <w:color w:val="auto"/>
          <w:spacing w:val="7"/>
          <w:sz w:val="21"/>
          <w:szCs w:val="21"/>
          <w:lang w:eastAsia="zh-CN"/>
        </w:rPr>
        <w:t>：</w:t>
      </w:r>
      <w:r>
        <w:rPr>
          <w:rFonts w:hint="eastAsia" w:asciiTheme="minorEastAsia" w:hAnsiTheme="minorEastAsia" w:eastAsiaTheme="minorEastAsia" w:cstheme="minorEastAsia"/>
          <w:color w:val="auto"/>
          <w:spacing w:val="7"/>
          <w:sz w:val="21"/>
          <w:szCs w:val="21"/>
        </w:rPr>
        <w:t>中国政府采购网(www.ccgp.gov.cn)、广西壮族自治区政府采购(http://zfcg.gxzf.gov.cn/)、全国公共资源交易平台(广西•百色)(http://ggzy.jgswj.gxzf.gov.cn/bsggzy)。</w:t>
      </w:r>
    </w:p>
    <w:p w14:paraId="2C521382">
      <w:pPr>
        <w:keepNext w:val="0"/>
        <w:keepLines w:val="0"/>
        <w:pageBreakBefore w:val="0"/>
        <w:widowControl/>
        <w:kinsoku/>
        <w:wordWrap w:val="0"/>
        <w:overflowPunct w:val="0"/>
        <w:topLinePunct w:val="0"/>
        <w:autoSpaceDE/>
        <w:autoSpaceDN w:val="0"/>
        <w:bidi w:val="0"/>
        <w:adjustRightInd w:val="0"/>
        <w:snapToGrid w:val="0"/>
        <w:spacing w:line="520" w:lineRule="exact"/>
        <w:ind w:left="0" w:leftChars="0" w:right="0" w:firstLine="448" w:firstLineChars="200"/>
        <w:jc w:val="both"/>
        <w:textAlignment w:val="baseline"/>
        <w:rPr>
          <w:rFonts w:hint="eastAsia" w:asciiTheme="minorEastAsia" w:hAnsiTheme="minorEastAsia" w:eastAsiaTheme="minorEastAsia" w:cstheme="minorEastAsia"/>
          <w:color w:val="auto"/>
          <w:spacing w:val="7"/>
          <w:sz w:val="21"/>
          <w:szCs w:val="21"/>
          <w:lang w:val="en-US" w:eastAsia="zh-CN"/>
        </w:rPr>
      </w:pPr>
      <w:r>
        <w:rPr>
          <w:rFonts w:hint="eastAsia" w:asciiTheme="minorEastAsia" w:hAnsiTheme="minorEastAsia" w:eastAsiaTheme="minorEastAsia" w:cstheme="minorEastAsia"/>
          <w:color w:val="auto"/>
          <w:spacing w:val="7"/>
          <w:sz w:val="21"/>
          <w:szCs w:val="21"/>
        </w:rPr>
        <w:t>2.本项目需要落实的政府采购政策</w:t>
      </w:r>
      <w:r>
        <w:rPr>
          <w:rFonts w:hint="eastAsia" w:asciiTheme="minorEastAsia" w:hAnsiTheme="minorEastAsia" w:eastAsiaTheme="minorEastAsia" w:cstheme="minorEastAsia"/>
          <w:color w:val="auto"/>
          <w:spacing w:val="7"/>
          <w:sz w:val="21"/>
          <w:szCs w:val="21"/>
          <w:lang w:eastAsia="zh-CN"/>
        </w:rPr>
        <w:t>：</w:t>
      </w:r>
      <w:r>
        <w:rPr>
          <w:rFonts w:hint="eastAsia" w:asciiTheme="minorEastAsia" w:hAnsiTheme="minorEastAsia" w:eastAsiaTheme="minorEastAsia" w:cstheme="minorEastAsia"/>
          <w:color w:val="auto"/>
          <w:spacing w:val="7"/>
          <w:sz w:val="21"/>
          <w:szCs w:val="21"/>
          <w:lang w:val="en-US" w:eastAsia="zh-CN"/>
        </w:rPr>
        <w:t>《关于进一步加大政府采购支持中小企业力度的通知》财库【2022】19号、《政府采购促进中小企业发展管理办法》的通知（财库〔2020〕46号）、《财政部、司法部关于政府采购支持监狱企业发展有关问题的通知》（财库[2014]68号）《三部门联合发布关于促进残疾人就业政府采购政策的通知》（财库〔2017〕141号）。</w:t>
      </w:r>
    </w:p>
    <w:p w14:paraId="558FFCEA">
      <w:pPr>
        <w:keepNext w:val="0"/>
        <w:keepLines w:val="0"/>
        <w:pageBreakBefore w:val="0"/>
        <w:widowControl/>
        <w:kinsoku/>
        <w:wordWrap w:val="0"/>
        <w:overflowPunct w:val="0"/>
        <w:topLinePunct w:val="0"/>
        <w:autoSpaceDE/>
        <w:autoSpaceDN w:val="0"/>
        <w:bidi w:val="0"/>
        <w:adjustRightInd w:val="0"/>
        <w:snapToGrid w:val="0"/>
        <w:spacing w:line="520" w:lineRule="exact"/>
        <w:ind w:left="0" w:leftChars="0" w:right="0" w:firstLine="448" w:firstLineChars="200"/>
        <w:jc w:val="both"/>
        <w:textAlignment w:val="baseline"/>
        <w:rPr>
          <w:rFonts w:hint="eastAsia" w:asciiTheme="minorEastAsia" w:hAnsiTheme="minorEastAsia" w:eastAsiaTheme="minorEastAsia" w:cstheme="minorEastAsia"/>
          <w:color w:val="auto"/>
          <w:spacing w:val="7"/>
          <w:sz w:val="21"/>
          <w:szCs w:val="21"/>
          <w:lang w:val="en-US" w:eastAsia="zh-CN"/>
        </w:rPr>
      </w:pPr>
      <w:r>
        <w:rPr>
          <w:rFonts w:hint="eastAsia" w:asciiTheme="minorEastAsia" w:hAnsiTheme="minorEastAsia" w:eastAsiaTheme="minorEastAsia" w:cstheme="minorEastAsia"/>
          <w:color w:val="auto"/>
          <w:spacing w:val="7"/>
          <w:sz w:val="21"/>
          <w:szCs w:val="21"/>
          <w:lang w:val="en-US" w:eastAsia="zh-CN"/>
        </w:rPr>
        <w:t>3.</w:t>
      </w:r>
      <w:r>
        <w:rPr>
          <w:rFonts w:hint="eastAsia" w:asciiTheme="minorEastAsia" w:hAnsiTheme="minorEastAsia" w:eastAsiaTheme="minorEastAsia" w:cstheme="minorEastAsia"/>
          <w:color w:val="auto"/>
          <w:spacing w:val="7"/>
          <w:sz w:val="21"/>
          <w:szCs w:val="21"/>
        </w:rPr>
        <w:t>根据“2021年自治区优化营商环境要求，鼓励免收投标保证金”，本项目无需缴纳</w:t>
      </w:r>
      <w:r>
        <w:rPr>
          <w:rFonts w:hint="eastAsia" w:asciiTheme="minorEastAsia" w:hAnsiTheme="minorEastAsia" w:eastAsiaTheme="minorEastAsia" w:cstheme="minorEastAsia"/>
          <w:color w:val="auto"/>
          <w:spacing w:val="7"/>
          <w:sz w:val="21"/>
          <w:szCs w:val="21"/>
          <w:lang w:eastAsia="zh-CN"/>
        </w:rPr>
        <w:t>投标</w:t>
      </w:r>
      <w:r>
        <w:rPr>
          <w:rFonts w:hint="eastAsia" w:asciiTheme="minorEastAsia" w:hAnsiTheme="minorEastAsia" w:eastAsiaTheme="minorEastAsia" w:cstheme="minorEastAsia"/>
          <w:color w:val="auto"/>
          <w:spacing w:val="7"/>
          <w:sz w:val="21"/>
          <w:szCs w:val="21"/>
        </w:rPr>
        <w:t>保证金。</w:t>
      </w:r>
    </w:p>
    <w:p w14:paraId="5163E8D5">
      <w:pPr>
        <w:keepNext w:val="0"/>
        <w:keepLines w:val="0"/>
        <w:pageBreakBefore w:val="0"/>
        <w:widowControl/>
        <w:kinsoku/>
        <w:wordWrap w:val="0"/>
        <w:overflowPunct w:val="0"/>
        <w:topLinePunct w:val="0"/>
        <w:autoSpaceDE/>
        <w:autoSpaceDN w:val="0"/>
        <w:bidi w:val="0"/>
        <w:adjustRightInd w:val="0"/>
        <w:snapToGrid w:val="0"/>
        <w:spacing w:line="520" w:lineRule="exact"/>
        <w:ind w:left="0" w:leftChars="0" w:right="0" w:firstLine="448" w:firstLineChars="200"/>
        <w:jc w:val="both"/>
        <w:textAlignment w:val="baseline"/>
        <w:rPr>
          <w:rFonts w:hint="eastAsia" w:asciiTheme="minorEastAsia" w:hAnsiTheme="minorEastAsia" w:eastAsiaTheme="minorEastAsia" w:cstheme="minorEastAsia"/>
          <w:color w:val="auto"/>
          <w:spacing w:val="7"/>
          <w:sz w:val="21"/>
          <w:szCs w:val="21"/>
        </w:rPr>
      </w:pPr>
      <w:bookmarkStart w:id="49" w:name="_Toc8548"/>
      <w:bookmarkStart w:id="50" w:name="_Toc25322"/>
      <w:r>
        <w:rPr>
          <w:rFonts w:hint="eastAsia" w:asciiTheme="minorEastAsia" w:hAnsiTheme="minorEastAsia" w:eastAsiaTheme="minorEastAsia" w:cstheme="minorEastAsia"/>
          <w:color w:val="auto"/>
          <w:spacing w:val="7"/>
          <w:sz w:val="21"/>
          <w:szCs w:val="21"/>
          <w:lang w:val="en-US" w:eastAsia="zh-CN"/>
        </w:rPr>
        <w:t>4</w:t>
      </w:r>
      <w:r>
        <w:rPr>
          <w:rFonts w:hint="eastAsia" w:asciiTheme="minorEastAsia" w:hAnsiTheme="minorEastAsia" w:eastAsiaTheme="minorEastAsia" w:cstheme="minorEastAsia"/>
          <w:color w:val="auto"/>
          <w:spacing w:val="7"/>
          <w:sz w:val="21"/>
          <w:szCs w:val="21"/>
        </w:rPr>
        <w:t>.投标人投标注意事项</w:t>
      </w:r>
      <w:bookmarkEnd w:id="49"/>
      <w:bookmarkEnd w:id="50"/>
    </w:p>
    <w:p w14:paraId="1E95746C">
      <w:pPr>
        <w:keepNext w:val="0"/>
        <w:keepLines w:val="0"/>
        <w:pageBreakBefore w:val="0"/>
        <w:widowControl/>
        <w:kinsoku/>
        <w:wordWrap w:val="0"/>
        <w:overflowPunct w:val="0"/>
        <w:topLinePunct w:val="0"/>
        <w:autoSpaceDE/>
        <w:autoSpaceDN w:val="0"/>
        <w:bidi w:val="0"/>
        <w:adjustRightInd w:val="0"/>
        <w:snapToGrid w:val="0"/>
        <w:spacing w:line="520" w:lineRule="exact"/>
        <w:ind w:left="0" w:leftChars="0" w:right="0" w:firstLine="448" w:firstLineChars="200"/>
        <w:jc w:val="both"/>
        <w:textAlignment w:val="baseline"/>
        <w:rPr>
          <w:rFonts w:hint="eastAsia" w:asciiTheme="minorEastAsia" w:hAnsiTheme="minorEastAsia" w:eastAsiaTheme="minorEastAsia" w:cstheme="minorEastAsia"/>
          <w:color w:val="auto"/>
          <w:spacing w:val="7"/>
          <w:sz w:val="21"/>
          <w:szCs w:val="21"/>
        </w:rPr>
      </w:pPr>
      <w:r>
        <w:rPr>
          <w:rFonts w:hint="eastAsia" w:asciiTheme="minorEastAsia" w:hAnsiTheme="minorEastAsia" w:eastAsiaTheme="minorEastAsia" w:cstheme="minorEastAsia"/>
          <w:color w:val="auto"/>
          <w:spacing w:val="7"/>
          <w:sz w:val="21"/>
          <w:szCs w:val="21"/>
        </w:rPr>
        <w:t>（1）本项目为全流程电子化采购项目，通过“</w:t>
      </w:r>
      <w:r>
        <w:rPr>
          <w:rFonts w:hint="eastAsia" w:asciiTheme="minorEastAsia" w:hAnsiTheme="minorEastAsia" w:eastAsiaTheme="minorEastAsia" w:cstheme="minorEastAsia"/>
          <w:color w:val="auto"/>
          <w:spacing w:val="7"/>
          <w:sz w:val="21"/>
          <w:szCs w:val="21"/>
          <w:lang w:val="en-US" w:eastAsia="zh-CN"/>
        </w:rPr>
        <w:t>广西政府采购</w:t>
      </w:r>
      <w:r>
        <w:rPr>
          <w:rFonts w:hint="eastAsia" w:asciiTheme="minorEastAsia" w:hAnsiTheme="minorEastAsia" w:eastAsiaTheme="minorEastAsia" w:cstheme="minorEastAsia"/>
          <w:color w:val="auto"/>
          <w:spacing w:val="7"/>
          <w:sz w:val="21"/>
          <w:szCs w:val="21"/>
        </w:rPr>
        <w:t>云平台”（</w:t>
      </w:r>
      <w:r>
        <w:rPr>
          <w:rFonts w:hint="eastAsia" w:asciiTheme="minorEastAsia" w:hAnsiTheme="minorEastAsia" w:eastAsiaTheme="minorEastAsia" w:cstheme="minorEastAsia"/>
          <w:color w:val="auto"/>
          <w:spacing w:val="7"/>
          <w:sz w:val="21"/>
          <w:szCs w:val="21"/>
          <w:lang w:eastAsia="zh-CN"/>
        </w:rPr>
        <w:t>https://www.gcy.zfcg.gxzf.gov.cn/</w:t>
      </w:r>
      <w:r>
        <w:rPr>
          <w:rFonts w:hint="eastAsia" w:asciiTheme="minorEastAsia" w:hAnsiTheme="minorEastAsia" w:eastAsiaTheme="minorEastAsia" w:cstheme="minorEastAsia"/>
          <w:color w:val="auto"/>
          <w:spacing w:val="7"/>
          <w:sz w:val="21"/>
          <w:szCs w:val="21"/>
        </w:rPr>
        <w:t>）实行在线电子投标，投标人应先安装“</w:t>
      </w:r>
      <w:r>
        <w:rPr>
          <w:rFonts w:hint="eastAsia" w:asciiTheme="minorEastAsia" w:hAnsiTheme="minorEastAsia" w:eastAsiaTheme="minorEastAsia" w:cstheme="minorEastAsia"/>
          <w:color w:val="auto"/>
          <w:spacing w:val="7"/>
          <w:sz w:val="21"/>
          <w:szCs w:val="21"/>
          <w:lang w:val="en-US" w:eastAsia="zh-CN"/>
        </w:rPr>
        <w:t>广西政府采购云平台</w:t>
      </w:r>
      <w:r>
        <w:rPr>
          <w:rFonts w:hint="eastAsia" w:asciiTheme="minorEastAsia" w:hAnsiTheme="minorEastAsia" w:eastAsiaTheme="minorEastAsia" w:cstheme="minorEastAsia"/>
          <w:color w:val="auto"/>
          <w:spacing w:val="7"/>
          <w:sz w:val="21"/>
          <w:szCs w:val="21"/>
        </w:rPr>
        <w:t>电子投标客户端”（请自行前往</w:t>
      </w:r>
      <w:r>
        <w:rPr>
          <w:rFonts w:hint="eastAsia" w:asciiTheme="minorEastAsia" w:hAnsiTheme="minorEastAsia" w:eastAsiaTheme="minorEastAsia" w:cstheme="minorEastAsia"/>
          <w:color w:val="auto"/>
          <w:spacing w:val="7"/>
          <w:sz w:val="21"/>
          <w:szCs w:val="21"/>
          <w:lang w:val="en-US" w:eastAsia="zh-CN"/>
        </w:rPr>
        <w:t>广西政府采购网-办事服务-下载专区</w:t>
      </w:r>
      <w:r>
        <w:rPr>
          <w:rFonts w:hint="eastAsia" w:asciiTheme="minorEastAsia" w:hAnsiTheme="minorEastAsia" w:eastAsiaTheme="minorEastAsia" w:cstheme="minorEastAsia"/>
          <w:color w:val="auto"/>
          <w:spacing w:val="7"/>
          <w:sz w:val="21"/>
          <w:szCs w:val="21"/>
        </w:rPr>
        <w:t>进行下载），并按照本项目招标文件和“</w:t>
      </w:r>
      <w:r>
        <w:rPr>
          <w:rFonts w:hint="eastAsia" w:asciiTheme="minorEastAsia" w:hAnsiTheme="minorEastAsia" w:eastAsiaTheme="minorEastAsia" w:cstheme="minorEastAsia"/>
          <w:color w:val="auto"/>
          <w:spacing w:val="7"/>
          <w:sz w:val="21"/>
          <w:szCs w:val="21"/>
          <w:lang w:val="en-US" w:eastAsia="zh-CN"/>
        </w:rPr>
        <w:t>广西政府采购</w:t>
      </w:r>
      <w:r>
        <w:rPr>
          <w:rFonts w:hint="eastAsia" w:asciiTheme="minorEastAsia" w:hAnsiTheme="minorEastAsia" w:eastAsiaTheme="minorEastAsia" w:cstheme="minorEastAsia"/>
          <w:color w:val="auto"/>
          <w:spacing w:val="7"/>
          <w:sz w:val="21"/>
          <w:szCs w:val="21"/>
        </w:rPr>
        <w:t>云平台”的要求编制、加密后在投标截止时间前通过网络上传至“</w:t>
      </w:r>
      <w:r>
        <w:rPr>
          <w:rFonts w:hint="eastAsia" w:asciiTheme="minorEastAsia" w:hAnsiTheme="minorEastAsia" w:eastAsiaTheme="minorEastAsia" w:cstheme="minorEastAsia"/>
          <w:color w:val="auto"/>
          <w:spacing w:val="7"/>
          <w:sz w:val="21"/>
          <w:szCs w:val="21"/>
          <w:lang w:val="en-US" w:eastAsia="zh-CN"/>
        </w:rPr>
        <w:t>广西政府采购</w:t>
      </w:r>
      <w:r>
        <w:rPr>
          <w:rFonts w:hint="eastAsia" w:asciiTheme="minorEastAsia" w:hAnsiTheme="minorEastAsia" w:eastAsiaTheme="minorEastAsia" w:cstheme="minorEastAsia"/>
          <w:color w:val="auto"/>
          <w:spacing w:val="7"/>
          <w:sz w:val="21"/>
          <w:szCs w:val="21"/>
        </w:rPr>
        <w:t>云平台”，投标人在“</w:t>
      </w:r>
      <w:r>
        <w:rPr>
          <w:rFonts w:hint="eastAsia" w:asciiTheme="minorEastAsia" w:hAnsiTheme="minorEastAsia" w:eastAsiaTheme="minorEastAsia" w:cstheme="minorEastAsia"/>
          <w:color w:val="auto"/>
          <w:spacing w:val="7"/>
          <w:sz w:val="21"/>
          <w:szCs w:val="21"/>
          <w:lang w:val="en-US" w:eastAsia="zh-CN"/>
        </w:rPr>
        <w:t>广西政府采购</w:t>
      </w:r>
      <w:r>
        <w:rPr>
          <w:rFonts w:hint="eastAsia" w:asciiTheme="minorEastAsia" w:hAnsiTheme="minorEastAsia" w:eastAsiaTheme="minorEastAsia" w:cstheme="minorEastAsia"/>
          <w:color w:val="auto"/>
          <w:spacing w:val="7"/>
          <w:sz w:val="21"/>
          <w:szCs w:val="21"/>
        </w:rPr>
        <w:t>云平台”提交电子投标文件时，请填写参加远程开标活动经办人联系方式。投标人登录“</w:t>
      </w:r>
      <w:r>
        <w:rPr>
          <w:rFonts w:hint="eastAsia" w:asciiTheme="minorEastAsia" w:hAnsiTheme="minorEastAsia" w:eastAsiaTheme="minorEastAsia" w:cstheme="minorEastAsia"/>
          <w:color w:val="auto"/>
          <w:spacing w:val="7"/>
          <w:sz w:val="21"/>
          <w:szCs w:val="21"/>
          <w:lang w:val="en-US" w:eastAsia="zh-CN"/>
        </w:rPr>
        <w:t>广西政府采购</w:t>
      </w:r>
      <w:r>
        <w:rPr>
          <w:rFonts w:hint="eastAsia" w:asciiTheme="minorEastAsia" w:hAnsiTheme="minorEastAsia" w:eastAsiaTheme="minorEastAsia" w:cstheme="minorEastAsia"/>
          <w:color w:val="auto"/>
          <w:spacing w:val="7"/>
          <w:sz w:val="21"/>
          <w:szCs w:val="21"/>
        </w:rPr>
        <w:t>云平台”，依次进入“服务中心-项目采购-操作流程-电子招投标-政府采购项目电子交易管理操作指南-供应商”查看电子投标具体操作流程。</w:t>
      </w:r>
      <w:r>
        <w:rPr>
          <w:rFonts w:hint="eastAsia" w:asciiTheme="minorEastAsia" w:hAnsiTheme="minorEastAsia" w:eastAsiaTheme="minorEastAsia" w:cstheme="minorEastAsia"/>
          <w:color w:val="auto"/>
          <w:spacing w:val="7"/>
          <w:sz w:val="21"/>
          <w:szCs w:val="21"/>
          <w:lang w:val="en-US" w:eastAsia="zh-CN"/>
        </w:rPr>
        <w:t>通过广西政府采购云平台参与在线投标时如遇平台技术问题详询广西政府采购云平台服务热线95763获取热线服务帮助。</w:t>
      </w:r>
    </w:p>
    <w:p w14:paraId="32407803">
      <w:pPr>
        <w:keepNext w:val="0"/>
        <w:keepLines w:val="0"/>
        <w:pageBreakBefore w:val="0"/>
        <w:widowControl/>
        <w:kinsoku/>
        <w:wordWrap w:val="0"/>
        <w:overflowPunct w:val="0"/>
        <w:topLinePunct w:val="0"/>
        <w:autoSpaceDE/>
        <w:autoSpaceDN w:val="0"/>
        <w:bidi w:val="0"/>
        <w:adjustRightInd w:val="0"/>
        <w:snapToGrid w:val="0"/>
        <w:spacing w:line="520" w:lineRule="exact"/>
        <w:ind w:left="0" w:leftChars="0" w:right="0" w:firstLine="448" w:firstLineChars="200"/>
        <w:jc w:val="both"/>
        <w:textAlignment w:val="baseline"/>
        <w:rPr>
          <w:rFonts w:hint="eastAsia" w:asciiTheme="minorEastAsia" w:hAnsiTheme="minorEastAsia" w:eastAsiaTheme="minorEastAsia" w:cstheme="minorEastAsia"/>
          <w:color w:val="auto"/>
          <w:spacing w:val="7"/>
          <w:sz w:val="21"/>
          <w:szCs w:val="21"/>
        </w:rPr>
      </w:pPr>
      <w:r>
        <w:rPr>
          <w:rFonts w:hint="eastAsia" w:asciiTheme="minorEastAsia" w:hAnsiTheme="minorEastAsia" w:eastAsiaTheme="minorEastAsia" w:cstheme="minorEastAsia"/>
          <w:color w:val="auto"/>
          <w:spacing w:val="7"/>
          <w:sz w:val="21"/>
          <w:szCs w:val="21"/>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w:t>
      </w:r>
      <w:r>
        <w:rPr>
          <w:rFonts w:hint="eastAsia" w:asciiTheme="minorEastAsia" w:hAnsiTheme="minorEastAsia" w:eastAsiaTheme="minorEastAsia" w:cstheme="minorEastAsia"/>
          <w:color w:val="auto"/>
          <w:spacing w:val="7"/>
          <w:sz w:val="21"/>
          <w:szCs w:val="21"/>
          <w:lang w:eastAsia="zh-CN"/>
        </w:rPr>
        <w:t>录</w:t>
      </w:r>
      <w:r>
        <w:rPr>
          <w:rFonts w:hint="eastAsia" w:asciiTheme="minorEastAsia" w:hAnsiTheme="minorEastAsia" w:eastAsiaTheme="minorEastAsia" w:cstheme="minorEastAsia"/>
          <w:color w:val="auto"/>
          <w:spacing w:val="7"/>
          <w:sz w:val="21"/>
          <w:szCs w:val="21"/>
        </w:rPr>
        <w:t>“</w:t>
      </w:r>
      <w:r>
        <w:rPr>
          <w:rFonts w:hint="eastAsia" w:asciiTheme="minorEastAsia" w:hAnsiTheme="minorEastAsia" w:eastAsiaTheme="minorEastAsia" w:cstheme="minorEastAsia"/>
          <w:color w:val="auto"/>
          <w:spacing w:val="7"/>
          <w:sz w:val="21"/>
          <w:szCs w:val="21"/>
          <w:lang w:val="en-US" w:eastAsia="zh-CN"/>
        </w:rPr>
        <w:t>广西政府采购</w:t>
      </w:r>
      <w:r>
        <w:rPr>
          <w:rFonts w:hint="eastAsia" w:asciiTheme="minorEastAsia" w:hAnsiTheme="minorEastAsia" w:eastAsiaTheme="minorEastAsia" w:cstheme="minorEastAsia"/>
          <w:color w:val="auto"/>
          <w:spacing w:val="7"/>
          <w:sz w:val="21"/>
          <w:szCs w:val="21"/>
        </w:rPr>
        <w:t>云平台”，依次进入“服务中心-入驻与配置”中查看CA数字证书办理操作流程。</w:t>
      </w:r>
    </w:p>
    <w:p w14:paraId="12C76B62">
      <w:pPr>
        <w:keepNext w:val="0"/>
        <w:keepLines w:val="0"/>
        <w:pageBreakBefore w:val="0"/>
        <w:widowControl/>
        <w:kinsoku/>
        <w:wordWrap w:val="0"/>
        <w:overflowPunct w:val="0"/>
        <w:topLinePunct w:val="0"/>
        <w:autoSpaceDE/>
        <w:autoSpaceDN w:val="0"/>
        <w:bidi w:val="0"/>
        <w:adjustRightInd w:val="0"/>
        <w:snapToGrid w:val="0"/>
        <w:spacing w:line="520" w:lineRule="exact"/>
        <w:ind w:left="0" w:leftChars="0" w:right="0" w:firstLine="448" w:firstLineChars="200"/>
        <w:jc w:val="both"/>
        <w:textAlignment w:val="baseline"/>
        <w:rPr>
          <w:rFonts w:hint="eastAsia" w:asciiTheme="minorEastAsia" w:hAnsiTheme="minorEastAsia" w:eastAsiaTheme="minorEastAsia" w:cstheme="minorEastAsia"/>
          <w:color w:val="auto"/>
          <w:spacing w:val="7"/>
          <w:sz w:val="21"/>
          <w:szCs w:val="21"/>
        </w:rPr>
      </w:pPr>
      <w:r>
        <w:rPr>
          <w:rFonts w:hint="eastAsia" w:asciiTheme="minorEastAsia" w:hAnsiTheme="minorEastAsia" w:eastAsiaTheme="minorEastAsia" w:cstheme="minorEastAsia"/>
          <w:color w:val="auto"/>
          <w:spacing w:val="7"/>
          <w:sz w:val="21"/>
          <w:szCs w:val="21"/>
        </w:rPr>
        <w:t>（3）CA证书在线解密：投标人投标时，需凭制作投标文件时用来加密的有效数字证书（CA认证）登录“</w:t>
      </w:r>
      <w:r>
        <w:rPr>
          <w:rFonts w:hint="eastAsia" w:asciiTheme="minorEastAsia" w:hAnsiTheme="minorEastAsia" w:eastAsiaTheme="minorEastAsia" w:cstheme="minorEastAsia"/>
          <w:color w:val="auto"/>
          <w:spacing w:val="7"/>
          <w:sz w:val="21"/>
          <w:szCs w:val="21"/>
          <w:lang w:val="en-US" w:eastAsia="zh-CN"/>
        </w:rPr>
        <w:t>广西政府采购</w:t>
      </w:r>
      <w:r>
        <w:rPr>
          <w:rFonts w:hint="eastAsia" w:asciiTheme="minorEastAsia" w:hAnsiTheme="minorEastAsia" w:eastAsiaTheme="minorEastAsia" w:cstheme="minorEastAsia"/>
          <w:color w:val="auto"/>
          <w:spacing w:val="7"/>
          <w:sz w:val="21"/>
          <w:szCs w:val="21"/>
        </w:rPr>
        <w:t>云平台”电子开标大厅现场按规定时间对加密的投标文件进行解密，否则后果自负。</w:t>
      </w:r>
    </w:p>
    <w:p w14:paraId="53A7ED80">
      <w:pPr>
        <w:keepNext w:val="0"/>
        <w:keepLines w:val="0"/>
        <w:pageBreakBefore w:val="0"/>
        <w:widowControl/>
        <w:kinsoku/>
        <w:wordWrap w:val="0"/>
        <w:overflowPunct w:val="0"/>
        <w:topLinePunct w:val="0"/>
        <w:autoSpaceDE/>
        <w:autoSpaceDN w:val="0"/>
        <w:bidi w:val="0"/>
        <w:adjustRightInd w:val="0"/>
        <w:snapToGrid w:val="0"/>
        <w:spacing w:line="520" w:lineRule="exact"/>
        <w:ind w:left="0" w:leftChars="0" w:right="0" w:firstLine="448" w:firstLineChars="200"/>
        <w:jc w:val="both"/>
        <w:textAlignment w:val="baseline"/>
        <w:rPr>
          <w:rFonts w:hint="eastAsia" w:asciiTheme="minorEastAsia" w:hAnsiTheme="minorEastAsia" w:eastAsiaTheme="minorEastAsia" w:cstheme="minorEastAsia"/>
          <w:color w:val="auto"/>
          <w:spacing w:val="7"/>
          <w:sz w:val="21"/>
          <w:szCs w:val="21"/>
          <w:lang w:eastAsia="zh-CN"/>
        </w:rPr>
      </w:pPr>
      <w:r>
        <w:rPr>
          <w:rFonts w:hint="eastAsia" w:asciiTheme="minorEastAsia" w:hAnsiTheme="minorEastAsia" w:eastAsiaTheme="minorEastAsia" w:cstheme="minorEastAsia"/>
          <w:color w:val="auto"/>
          <w:spacing w:val="7"/>
          <w:sz w:val="21"/>
          <w:szCs w:val="21"/>
        </w:rPr>
        <w:t>注：1）为确保网上操作合法、有效和安全，请投标人确保在电子投标过程中能够对相关数据电文进行加密和使用电子签章，妥善保管CA数字证书并使用有效的CA数字证书参与整个招标活动。2）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w:t>
      </w:r>
      <w:r>
        <w:rPr>
          <w:rFonts w:hint="eastAsia" w:asciiTheme="minorEastAsia" w:hAnsiTheme="minorEastAsia" w:eastAsiaTheme="minorEastAsia" w:cstheme="minorEastAsia"/>
          <w:color w:val="auto"/>
          <w:spacing w:val="7"/>
          <w:sz w:val="21"/>
          <w:szCs w:val="21"/>
          <w:lang w:val="en-US" w:eastAsia="zh-CN"/>
        </w:rPr>
        <w:t>广西政府采购</w:t>
      </w:r>
      <w:r>
        <w:rPr>
          <w:rFonts w:hint="eastAsia" w:asciiTheme="minorEastAsia" w:hAnsiTheme="minorEastAsia" w:eastAsiaTheme="minorEastAsia" w:cstheme="minorEastAsia"/>
          <w:color w:val="auto"/>
          <w:spacing w:val="7"/>
          <w:sz w:val="21"/>
          <w:szCs w:val="21"/>
        </w:rPr>
        <w:t>云平台”将予以拒收。</w:t>
      </w:r>
      <w:bookmarkStart w:id="51" w:name="_Toc18757"/>
      <w:bookmarkStart w:id="52" w:name="_Toc7300"/>
      <w:bookmarkStart w:id="53" w:name="_Toc11023"/>
      <w:bookmarkStart w:id="54" w:name="_Toc16460"/>
    </w:p>
    <w:p w14:paraId="48AF92ED">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textAlignment w:val="baseline"/>
        <w:outlineLvl w:val="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0"/>
          <w:sz w:val="21"/>
          <w:szCs w:val="21"/>
          <w:lang w:eastAsia="zh-CN"/>
          <w14:textOutline w14:w="3795" w14:cap="sq" w14:cmpd="sng">
            <w14:solidFill>
              <w14:srgbClr w14:val="000000"/>
            </w14:solidFill>
            <w14:prstDash w14:val="solid"/>
            <w14:bevel/>
          </w14:textOutline>
        </w:rPr>
        <w:t>八</w:t>
      </w:r>
      <w:r>
        <w:rPr>
          <w:rFonts w:hint="eastAsia" w:asciiTheme="minorEastAsia" w:hAnsiTheme="minorEastAsia" w:eastAsiaTheme="minorEastAsia" w:cstheme="minorEastAsia"/>
          <w:color w:val="auto"/>
          <w:spacing w:val="10"/>
          <w:sz w:val="21"/>
          <w:szCs w:val="21"/>
          <w14:textOutline w14:w="3795" w14:cap="sq" w14:cmpd="sng">
            <w14:solidFill>
              <w14:srgbClr w14:val="000000"/>
            </w14:solidFill>
            <w14:prstDash w14:val="solid"/>
            <w14:bevel/>
          </w14:textOutline>
        </w:rPr>
        <w:t>、对本次招标提出询问，请按以下方式联系</w:t>
      </w:r>
      <w:r>
        <w:rPr>
          <w:rFonts w:hint="eastAsia" w:asciiTheme="minorEastAsia" w:hAnsiTheme="minorEastAsia" w:eastAsiaTheme="minorEastAsia" w:cstheme="minorEastAsia"/>
          <w:color w:val="auto"/>
          <w:spacing w:val="7"/>
          <w:sz w:val="21"/>
          <w:szCs w:val="21"/>
          <w14:textOutline w14:w="3795" w14:cap="sq" w14:cmpd="sng">
            <w14:solidFill>
              <w14:srgbClr w14:val="000000"/>
            </w14:solidFill>
            <w14:prstDash w14:val="solid"/>
            <w14:bevel/>
          </w14:textOutline>
        </w:rPr>
        <w:t>。</w:t>
      </w:r>
      <w:bookmarkEnd w:id="51"/>
      <w:bookmarkEnd w:id="52"/>
      <w:bookmarkEnd w:id="53"/>
      <w:bookmarkEnd w:id="54"/>
    </w:p>
    <w:p w14:paraId="0A685452">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220" w:firstLineChars="100"/>
        <w:textAlignment w:val="baseline"/>
        <w:outlineLvl w:val="2"/>
        <w:rPr>
          <w:rFonts w:hint="eastAsia" w:asciiTheme="minorEastAsia" w:hAnsiTheme="minorEastAsia" w:eastAsiaTheme="minorEastAsia" w:cstheme="minorEastAsia"/>
          <w:color w:val="auto"/>
          <w:sz w:val="21"/>
          <w:szCs w:val="21"/>
        </w:rPr>
      </w:pPr>
      <w:bookmarkStart w:id="55" w:name="_Toc25688"/>
      <w:bookmarkStart w:id="56" w:name="_Toc29368"/>
      <w:r>
        <w:rPr>
          <w:rFonts w:hint="eastAsia" w:asciiTheme="minorEastAsia" w:hAnsiTheme="minorEastAsia" w:eastAsiaTheme="minorEastAsia" w:cstheme="minorEastAsia"/>
          <w:color w:val="auto"/>
          <w:spacing w:val="5"/>
          <w:position w:val="1"/>
          <w:sz w:val="21"/>
          <w:szCs w:val="21"/>
        </w:rPr>
        <w:t>1.招标人信</w:t>
      </w:r>
      <w:r>
        <w:rPr>
          <w:rFonts w:hint="eastAsia" w:asciiTheme="minorEastAsia" w:hAnsiTheme="minorEastAsia" w:eastAsiaTheme="minorEastAsia" w:cstheme="minorEastAsia"/>
          <w:color w:val="auto"/>
          <w:spacing w:val="4"/>
          <w:position w:val="1"/>
          <w:sz w:val="21"/>
          <w:szCs w:val="21"/>
        </w:rPr>
        <w:t>息</w:t>
      </w:r>
      <w:bookmarkEnd w:id="55"/>
      <w:bookmarkEnd w:id="56"/>
    </w:p>
    <w:p w14:paraId="429652A5">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234" w:firstLineChars="100"/>
        <w:textAlignment w:val="baseline"/>
        <w:outlineLvl w:val="3"/>
        <w:rPr>
          <w:rFonts w:hint="eastAsia" w:asciiTheme="minorEastAsia" w:hAnsiTheme="minorEastAsia" w:eastAsiaTheme="minorEastAsia" w:cstheme="minorEastAsia"/>
          <w:color w:val="auto"/>
          <w:spacing w:val="12"/>
          <w:position w:val="1"/>
          <w:sz w:val="21"/>
          <w:szCs w:val="21"/>
          <w:lang w:val="en-US" w:eastAsia="zh-CN"/>
        </w:rPr>
      </w:pPr>
      <w:bookmarkStart w:id="57" w:name="_Toc24077"/>
      <w:bookmarkStart w:id="58" w:name="_Toc26115"/>
      <w:r>
        <w:rPr>
          <w:rFonts w:hint="eastAsia" w:asciiTheme="minorEastAsia" w:hAnsiTheme="minorEastAsia" w:eastAsiaTheme="minorEastAsia" w:cstheme="minorEastAsia"/>
          <w:color w:val="auto"/>
          <w:spacing w:val="12"/>
          <w:position w:val="1"/>
          <w:sz w:val="21"/>
          <w:szCs w:val="21"/>
          <w:lang w:val="en-US" w:eastAsia="zh-CN"/>
        </w:rPr>
        <w:t>名称：</w:t>
      </w:r>
      <w:bookmarkEnd w:id="57"/>
      <w:bookmarkEnd w:id="58"/>
      <w:r>
        <w:rPr>
          <w:rFonts w:hint="eastAsia" w:asciiTheme="minorEastAsia" w:hAnsiTheme="minorEastAsia" w:eastAsiaTheme="minorEastAsia" w:cstheme="minorEastAsia"/>
          <w:color w:val="auto"/>
          <w:spacing w:val="12"/>
          <w:position w:val="1"/>
          <w:sz w:val="21"/>
          <w:szCs w:val="21"/>
          <w:lang w:val="en-US" w:eastAsia="zh-CN"/>
        </w:rPr>
        <w:t>百色市林业局</w:t>
      </w:r>
    </w:p>
    <w:p w14:paraId="6928172F">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234" w:firstLineChars="100"/>
        <w:textAlignment w:val="baseline"/>
        <w:outlineLvl w:val="2"/>
        <w:rPr>
          <w:rFonts w:hint="eastAsia" w:asciiTheme="minorEastAsia" w:hAnsiTheme="minorEastAsia" w:eastAsiaTheme="minorEastAsia" w:cstheme="minorEastAsia"/>
          <w:color w:val="auto"/>
          <w:spacing w:val="12"/>
          <w:position w:val="1"/>
          <w:sz w:val="21"/>
          <w:szCs w:val="21"/>
          <w:lang w:val="en-US" w:eastAsia="zh-CN"/>
        </w:rPr>
      </w:pPr>
      <w:bookmarkStart w:id="59" w:name="_Toc17460"/>
      <w:bookmarkStart w:id="60" w:name="_Toc28770"/>
      <w:r>
        <w:rPr>
          <w:rFonts w:hint="eastAsia" w:asciiTheme="minorEastAsia" w:hAnsiTheme="minorEastAsia" w:eastAsiaTheme="minorEastAsia" w:cstheme="minorEastAsia"/>
          <w:color w:val="auto"/>
          <w:spacing w:val="12"/>
          <w:position w:val="1"/>
          <w:sz w:val="21"/>
          <w:szCs w:val="21"/>
          <w:lang w:val="en-US" w:eastAsia="zh-CN"/>
        </w:rPr>
        <w:t>地址：百色市城北一路17号</w:t>
      </w:r>
      <w:bookmarkEnd w:id="59"/>
      <w:bookmarkEnd w:id="60"/>
    </w:p>
    <w:p w14:paraId="4A8AAC07">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234" w:firstLineChars="100"/>
        <w:textAlignment w:val="baseline"/>
        <w:outlineLvl w:val="2"/>
        <w:rPr>
          <w:rFonts w:hint="eastAsia" w:asciiTheme="minorEastAsia" w:hAnsiTheme="minorEastAsia" w:eastAsiaTheme="minorEastAsia" w:cstheme="minorEastAsia"/>
          <w:color w:val="auto"/>
          <w:spacing w:val="12"/>
          <w:position w:val="1"/>
          <w:sz w:val="21"/>
          <w:szCs w:val="21"/>
          <w:highlight w:val="none"/>
          <w:lang w:val="en-US" w:eastAsia="zh-CN"/>
        </w:rPr>
      </w:pPr>
      <w:bookmarkStart w:id="61" w:name="_Toc15292"/>
      <w:bookmarkStart w:id="62" w:name="_Toc6994"/>
      <w:r>
        <w:rPr>
          <w:rFonts w:hint="eastAsia" w:asciiTheme="minorEastAsia" w:hAnsiTheme="minorEastAsia" w:eastAsiaTheme="minorEastAsia" w:cstheme="minorEastAsia"/>
          <w:color w:val="auto"/>
          <w:spacing w:val="12"/>
          <w:position w:val="1"/>
          <w:sz w:val="21"/>
          <w:szCs w:val="21"/>
          <w:highlight w:val="none"/>
          <w:lang w:val="en-US" w:eastAsia="zh-CN"/>
        </w:rPr>
        <w:t>项目联系人：梁靖</w:t>
      </w:r>
    </w:p>
    <w:p w14:paraId="5C6D940E">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234" w:firstLineChars="100"/>
        <w:textAlignment w:val="baseline"/>
        <w:outlineLvl w:val="2"/>
        <w:rPr>
          <w:rFonts w:hint="eastAsia" w:asciiTheme="minorEastAsia" w:hAnsiTheme="minorEastAsia" w:eastAsiaTheme="minorEastAsia" w:cstheme="minorEastAsia"/>
          <w:color w:val="auto"/>
          <w:spacing w:val="12"/>
          <w:position w:val="1"/>
          <w:sz w:val="21"/>
          <w:szCs w:val="21"/>
          <w:highlight w:val="none"/>
          <w:lang w:val="en-US" w:eastAsia="zh-CN"/>
        </w:rPr>
      </w:pPr>
      <w:r>
        <w:rPr>
          <w:rFonts w:hint="eastAsia" w:asciiTheme="minorEastAsia" w:hAnsiTheme="minorEastAsia" w:eastAsiaTheme="minorEastAsia" w:cstheme="minorEastAsia"/>
          <w:color w:val="auto"/>
          <w:spacing w:val="12"/>
          <w:position w:val="1"/>
          <w:sz w:val="21"/>
          <w:szCs w:val="21"/>
          <w:highlight w:val="none"/>
          <w:lang w:val="en-US" w:eastAsia="zh-CN"/>
        </w:rPr>
        <w:t>项目联系方式：</w:t>
      </w:r>
      <w:bookmarkEnd w:id="61"/>
      <w:bookmarkEnd w:id="62"/>
      <w:r>
        <w:rPr>
          <w:rFonts w:hint="eastAsia" w:asciiTheme="minorEastAsia" w:hAnsiTheme="minorEastAsia" w:eastAsiaTheme="minorEastAsia" w:cstheme="minorEastAsia"/>
          <w:color w:val="auto"/>
          <w:spacing w:val="12"/>
          <w:position w:val="1"/>
          <w:sz w:val="21"/>
          <w:szCs w:val="21"/>
          <w:highlight w:val="none"/>
          <w:lang w:val="en-US" w:eastAsia="zh-CN"/>
        </w:rPr>
        <w:t>0776-2831696</w:t>
      </w:r>
    </w:p>
    <w:p w14:paraId="6A8ADFE1">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234" w:firstLineChars="100"/>
        <w:textAlignment w:val="baseline"/>
        <w:outlineLvl w:val="2"/>
        <w:rPr>
          <w:rFonts w:hint="eastAsia" w:asciiTheme="minorEastAsia" w:hAnsiTheme="minorEastAsia" w:eastAsiaTheme="minorEastAsia" w:cstheme="minorEastAsia"/>
          <w:color w:val="auto"/>
          <w:spacing w:val="12"/>
          <w:position w:val="1"/>
          <w:sz w:val="21"/>
          <w:szCs w:val="21"/>
          <w:lang w:eastAsia="zh-CN"/>
        </w:rPr>
      </w:pPr>
      <w:bookmarkStart w:id="63" w:name="_Toc12250"/>
      <w:bookmarkStart w:id="64" w:name="_Toc5060"/>
      <w:r>
        <w:rPr>
          <w:rFonts w:hint="eastAsia" w:asciiTheme="minorEastAsia" w:hAnsiTheme="minorEastAsia" w:eastAsiaTheme="minorEastAsia" w:cstheme="minorEastAsia"/>
          <w:color w:val="auto"/>
          <w:spacing w:val="12"/>
          <w:position w:val="1"/>
          <w:sz w:val="21"/>
          <w:szCs w:val="21"/>
          <w:lang w:val="en-US" w:eastAsia="zh-CN"/>
        </w:rPr>
        <w:t>2.</w:t>
      </w:r>
      <w:r>
        <w:rPr>
          <w:rFonts w:hint="eastAsia" w:asciiTheme="minorEastAsia" w:hAnsiTheme="minorEastAsia" w:eastAsiaTheme="minorEastAsia" w:cstheme="minorEastAsia"/>
          <w:color w:val="auto"/>
          <w:spacing w:val="12"/>
          <w:position w:val="1"/>
          <w:sz w:val="21"/>
          <w:szCs w:val="21"/>
          <w:lang w:eastAsia="zh-CN"/>
        </w:rPr>
        <w:t>采购代理机构信息</w:t>
      </w:r>
      <w:bookmarkEnd w:id="63"/>
      <w:bookmarkEnd w:id="64"/>
    </w:p>
    <w:p w14:paraId="222BA433">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234" w:firstLineChars="100"/>
        <w:textAlignment w:val="baseline"/>
        <w:outlineLvl w:val="0"/>
        <w:rPr>
          <w:rFonts w:hint="eastAsia" w:asciiTheme="minorEastAsia" w:hAnsiTheme="minorEastAsia" w:eastAsiaTheme="minorEastAsia" w:cstheme="minorEastAsia"/>
          <w:color w:val="auto"/>
          <w:spacing w:val="12"/>
          <w:position w:val="1"/>
          <w:sz w:val="21"/>
          <w:szCs w:val="21"/>
          <w:lang w:val="en-US" w:eastAsia="zh-CN"/>
        </w:rPr>
      </w:pPr>
      <w:bookmarkStart w:id="65" w:name="_Toc31056"/>
      <w:bookmarkStart w:id="66" w:name="_Toc30806"/>
      <w:r>
        <w:rPr>
          <w:rFonts w:hint="eastAsia" w:asciiTheme="minorEastAsia" w:hAnsiTheme="minorEastAsia" w:eastAsiaTheme="minorEastAsia" w:cstheme="minorEastAsia"/>
          <w:color w:val="auto"/>
          <w:spacing w:val="12"/>
          <w:position w:val="1"/>
          <w:sz w:val="21"/>
          <w:szCs w:val="21"/>
          <w:lang w:val="en-US" w:eastAsia="zh-CN"/>
        </w:rPr>
        <w:t>名称：</w:t>
      </w:r>
      <w:bookmarkEnd w:id="65"/>
      <w:bookmarkEnd w:id="66"/>
      <w:r>
        <w:rPr>
          <w:rFonts w:hint="eastAsia" w:asciiTheme="minorEastAsia" w:hAnsiTheme="minorEastAsia" w:eastAsiaTheme="minorEastAsia" w:cstheme="minorEastAsia"/>
          <w:color w:val="auto"/>
          <w:spacing w:val="12"/>
          <w:position w:val="1"/>
          <w:sz w:val="21"/>
          <w:szCs w:val="21"/>
          <w:lang w:val="en-US" w:eastAsia="zh-CN"/>
        </w:rPr>
        <w:t xml:space="preserve">广西壮锦工程管理咨询有限公司 </w:t>
      </w:r>
    </w:p>
    <w:p w14:paraId="691A19EA">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234" w:firstLineChars="100"/>
        <w:textAlignment w:val="baseline"/>
        <w:outlineLvl w:val="2"/>
        <w:rPr>
          <w:rFonts w:hint="eastAsia" w:asciiTheme="minorEastAsia" w:hAnsiTheme="minorEastAsia" w:eastAsiaTheme="minorEastAsia" w:cstheme="minorEastAsia"/>
          <w:color w:val="auto"/>
          <w:spacing w:val="12"/>
          <w:position w:val="1"/>
          <w:sz w:val="21"/>
          <w:szCs w:val="21"/>
          <w:lang w:val="en-US" w:eastAsia="zh-CN"/>
        </w:rPr>
      </w:pPr>
      <w:bookmarkStart w:id="67" w:name="_Toc18858"/>
      <w:bookmarkStart w:id="68" w:name="_Toc29657"/>
      <w:r>
        <w:rPr>
          <w:rFonts w:hint="eastAsia" w:asciiTheme="minorEastAsia" w:hAnsiTheme="minorEastAsia" w:eastAsiaTheme="minorEastAsia" w:cstheme="minorEastAsia"/>
          <w:color w:val="auto"/>
          <w:spacing w:val="12"/>
          <w:position w:val="1"/>
          <w:sz w:val="21"/>
          <w:szCs w:val="21"/>
          <w:lang w:val="en-US" w:eastAsia="zh-CN"/>
        </w:rPr>
        <w:t>地址：百色市右江区前程路4号长乐星城写字楼10楼1006号 </w:t>
      </w:r>
      <w:bookmarkEnd w:id="67"/>
      <w:bookmarkEnd w:id="68"/>
    </w:p>
    <w:p w14:paraId="53F5B8B4">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234" w:firstLineChars="100"/>
        <w:textAlignment w:val="baseline"/>
        <w:outlineLvl w:val="2"/>
        <w:rPr>
          <w:rFonts w:hint="eastAsia" w:asciiTheme="minorEastAsia" w:hAnsiTheme="minorEastAsia" w:eastAsiaTheme="minorEastAsia" w:cstheme="minorEastAsia"/>
          <w:color w:val="auto"/>
          <w:spacing w:val="12"/>
          <w:position w:val="1"/>
          <w:sz w:val="21"/>
          <w:szCs w:val="21"/>
          <w:lang w:val="en-US" w:eastAsia="zh-CN"/>
        </w:rPr>
      </w:pPr>
      <w:bookmarkStart w:id="69" w:name="_Toc3290"/>
      <w:bookmarkStart w:id="70" w:name="_Toc14299"/>
      <w:r>
        <w:rPr>
          <w:rFonts w:hint="eastAsia" w:asciiTheme="minorEastAsia" w:hAnsiTheme="minorEastAsia" w:eastAsiaTheme="minorEastAsia" w:cstheme="minorEastAsia"/>
          <w:color w:val="auto"/>
          <w:spacing w:val="12"/>
          <w:position w:val="1"/>
          <w:sz w:val="21"/>
          <w:szCs w:val="21"/>
          <w:lang w:val="en-US" w:eastAsia="zh-CN"/>
        </w:rPr>
        <w:t>项目联系人：</w:t>
      </w:r>
      <w:r>
        <w:rPr>
          <w:rFonts w:hint="eastAsia" w:asciiTheme="minorEastAsia" w:hAnsiTheme="minorEastAsia" w:eastAsiaTheme="minorEastAsia" w:cstheme="minorEastAsia"/>
          <w:color w:val="auto"/>
          <w:sz w:val="21"/>
          <w:szCs w:val="21"/>
          <w:highlight w:val="none"/>
          <w:lang w:eastAsia="zh-CN"/>
        </w:rPr>
        <w:t>陆叶</w:t>
      </w:r>
    </w:p>
    <w:p w14:paraId="6925CBB2">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234" w:firstLineChars="100"/>
        <w:textAlignment w:val="baseline"/>
        <w:outlineLvl w:val="2"/>
        <w:rPr>
          <w:rFonts w:hint="eastAsia" w:asciiTheme="minorEastAsia" w:hAnsiTheme="minorEastAsia" w:eastAsiaTheme="minorEastAsia" w:cstheme="minorEastAsia"/>
          <w:color w:val="auto"/>
          <w:spacing w:val="12"/>
          <w:position w:val="1"/>
          <w:sz w:val="21"/>
          <w:szCs w:val="21"/>
          <w:lang w:val="en-US" w:eastAsia="zh-CN"/>
        </w:rPr>
      </w:pPr>
      <w:r>
        <w:rPr>
          <w:rFonts w:hint="eastAsia" w:asciiTheme="minorEastAsia" w:hAnsiTheme="minorEastAsia" w:eastAsiaTheme="minorEastAsia" w:cstheme="minorEastAsia"/>
          <w:color w:val="auto"/>
          <w:spacing w:val="12"/>
          <w:position w:val="1"/>
          <w:sz w:val="21"/>
          <w:szCs w:val="21"/>
          <w:lang w:val="en-US" w:eastAsia="zh-CN"/>
        </w:rPr>
        <w:t>项目联系方式：</w:t>
      </w:r>
      <w:bookmarkEnd w:id="69"/>
      <w:bookmarkEnd w:id="70"/>
      <w:r>
        <w:rPr>
          <w:rFonts w:hint="eastAsia" w:asciiTheme="minorEastAsia" w:hAnsiTheme="minorEastAsia" w:eastAsiaTheme="minorEastAsia" w:cstheme="minorEastAsia"/>
          <w:color w:val="auto"/>
          <w:spacing w:val="12"/>
          <w:position w:val="1"/>
          <w:sz w:val="21"/>
          <w:szCs w:val="21"/>
          <w:lang w:val="en-US" w:eastAsia="zh-CN"/>
        </w:rPr>
        <w:t>0776-5062589</w:t>
      </w:r>
    </w:p>
    <w:p w14:paraId="7D2BF191">
      <w:pPr>
        <w:pStyle w:val="23"/>
        <w:rPr>
          <w:rFonts w:hint="eastAsia" w:asciiTheme="minorEastAsia" w:hAnsiTheme="minorEastAsia" w:eastAsiaTheme="minorEastAsia" w:cstheme="minorEastAsia"/>
          <w:color w:val="auto"/>
          <w:spacing w:val="12"/>
          <w:position w:val="1"/>
          <w:sz w:val="21"/>
          <w:szCs w:val="21"/>
          <w:lang w:val="en-US" w:eastAsia="zh-CN"/>
        </w:rPr>
      </w:pPr>
    </w:p>
    <w:p w14:paraId="654E0339">
      <w:pPr>
        <w:pStyle w:val="23"/>
        <w:rPr>
          <w:rFonts w:hint="eastAsia" w:asciiTheme="minorEastAsia" w:hAnsiTheme="minorEastAsia" w:eastAsiaTheme="minorEastAsia" w:cstheme="minorEastAsia"/>
          <w:color w:val="auto"/>
          <w:spacing w:val="12"/>
          <w:position w:val="1"/>
          <w:sz w:val="21"/>
          <w:szCs w:val="21"/>
          <w:lang w:val="en-US" w:eastAsia="zh-CN"/>
        </w:rPr>
      </w:pPr>
    </w:p>
    <w:p w14:paraId="077546EE">
      <w:pPr>
        <w:pStyle w:val="23"/>
        <w:rPr>
          <w:rFonts w:hint="eastAsia" w:asciiTheme="minorEastAsia" w:hAnsiTheme="minorEastAsia" w:eastAsiaTheme="minorEastAsia" w:cstheme="minorEastAsia"/>
          <w:color w:val="auto"/>
          <w:spacing w:val="12"/>
          <w:position w:val="1"/>
          <w:sz w:val="21"/>
          <w:szCs w:val="21"/>
          <w:lang w:val="en-US" w:eastAsia="zh-CN"/>
        </w:rPr>
      </w:pPr>
    </w:p>
    <w:p w14:paraId="2DFAF3F5">
      <w:pPr>
        <w:pStyle w:val="23"/>
        <w:rPr>
          <w:rFonts w:hint="eastAsia" w:asciiTheme="minorEastAsia" w:hAnsiTheme="minorEastAsia" w:eastAsiaTheme="minorEastAsia" w:cstheme="minorEastAsia"/>
          <w:color w:val="auto"/>
          <w:spacing w:val="12"/>
          <w:position w:val="1"/>
          <w:sz w:val="21"/>
          <w:szCs w:val="21"/>
          <w:lang w:val="en-US" w:eastAsia="zh-CN"/>
        </w:rPr>
      </w:pPr>
    </w:p>
    <w:p w14:paraId="0F3A1B1F">
      <w:pPr>
        <w:keepNext w:val="0"/>
        <w:keepLines w:val="0"/>
        <w:pageBreakBefore w:val="0"/>
        <w:widowControl/>
        <w:tabs>
          <w:tab w:val="left" w:pos="5460"/>
        </w:tabs>
        <w:kinsoku w:val="0"/>
        <w:wordWrap/>
        <w:overflowPunct/>
        <w:topLinePunct w:val="0"/>
        <w:autoSpaceDE w:val="0"/>
        <w:autoSpaceDN w:val="0"/>
        <w:bidi w:val="0"/>
        <w:adjustRightInd w:val="0"/>
        <w:snapToGrid w:val="0"/>
        <w:spacing w:line="360" w:lineRule="auto"/>
        <w:ind w:left="0" w:leftChars="0" w:right="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ab/>
      </w:r>
      <w:r>
        <w:rPr>
          <w:rFonts w:hint="eastAsia" w:ascii="宋体" w:hAnsi="宋体" w:eastAsia="宋体" w:cs="宋体"/>
          <w:color w:val="auto"/>
          <w:sz w:val="21"/>
          <w:szCs w:val="21"/>
          <w:highlight w:val="none"/>
          <w:lang w:eastAsia="zh-CN"/>
        </w:rPr>
        <w:t xml:space="preserve">广西壮锦工程管理咨询有限公司 </w:t>
      </w:r>
    </w:p>
    <w:p w14:paraId="69FB0E4D">
      <w:pPr>
        <w:keepNext w:val="0"/>
        <w:keepLines w:val="0"/>
        <w:pageBreakBefore w:val="0"/>
        <w:widowControl/>
        <w:tabs>
          <w:tab w:val="left" w:pos="5670"/>
        </w:tabs>
        <w:kinsoku w:val="0"/>
        <w:wordWrap/>
        <w:overflowPunct/>
        <w:topLinePunct w:val="0"/>
        <w:autoSpaceDE w:val="0"/>
        <w:autoSpaceDN w:val="0"/>
        <w:bidi w:val="0"/>
        <w:adjustRightInd w:val="0"/>
        <w:snapToGrid w:val="0"/>
        <w:spacing w:line="360" w:lineRule="auto"/>
        <w:ind w:left="0" w:leftChars="0" w:right="0"/>
        <w:jc w:val="both"/>
        <w:textAlignment w:val="baseline"/>
        <w:rPr>
          <w:rFonts w:ascii="宋体" w:hAnsi="宋体" w:eastAsia="宋体" w:cs="宋体"/>
          <w:color w:val="auto"/>
          <w:spacing w:val="7"/>
          <w:sz w:val="21"/>
          <w:szCs w:val="21"/>
        </w:rPr>
      </w:pPr>
      <w:r>
        <w:rPr>
          <w:rFonts w:hint="eastAsia" w:ascii="宋体" w:hAnsi="宋体" w:eastAsia="宋体" w:cs="宋体"/>
          <w:color w:val="auto"/>
          <w:spacing w:val="12"/>
          <w:sz w:val="21"/>
          <w:szCs w:val="21"/>
          <w:lang w:val="en-US" w:eastAsia="zh-CN"/>
        </w:rPr>
        <w:tab/>
      </w:r>
      <w:r>
        <w:rPr>
          <w:rFonts w:ascii="宋体" w:hAnsi="宋体" w:eastAsia="宋体" w:cs="宋体"/>
          <w:color w:val="auto"/>
          <w:spacing w:val="12"/>
          <w:sz w:val="21"/>
          <w:szCs w:val="21"/>
        </w:rPr>
        <w:t>2</w:t>
      </w:r>
      <w:r>
        <w:rPr>
          <w:rFonts w:ascii="宋体" w:hAnsi="宋体" w:eastAsia="宋体" w:cs="宋体"/>
          <w:color w:val="auto"/>
          <w:spacing w:val="7"/>
          <w:sz w:val="21"/>
          <w:szCs w:val="21"/>
        </w:rPr>
        <w:t>02</w:t>
      </w:r>
      <w:r>
        <w:rPr>
          <w:rFonts w:hint="eastAsia" w:ascii="宋体" w:hAnsi="宋体" w:eastAsia="宋体" w:cs="宋体"/>
          <w:color w:val="auto"/>
          <w:spacing w:val="7"/>
          <w:sz w:val="21"/>
          <w:szCs w:val="21"/>
          <w:lang w:val="en-US" w:eastAsia="zh-CN"/>
        </w:rPr>
        <w:t>6</w:t>
      </w:r>
      <w:r>
        <w:rPr>
          <w:rFonts w:ascii="宋体" w:hAnsi="宋体" w:eastAsia="宋体" w:cs="宋体"/>
          <w:color w:val="auto"/>
          <w:spacing w:val="7"/>
          <w:sz w:val="21"/>
          <w:szCs w:val="21"/>
        </w:rPr>
        <w:t>年</w:t>
      </w:r>
      <w:r>
        <w:rPr>
          <w:rFonts w:hint="eastAsia" w:ascii="宋体" w:hAnsi="宋体" w:eastAsia="宋体" w:cs="宋体"/>
          <w:color w:val="auto"/>
          <w:spacing w:val="7"/>
          <w:sz w:val="21"/>
          <w:szCs w:val="21"/>
          <w:lang w:val="en-US" w:eastAsia="zh-CN"/>
        </w:rPr>
        <w:t xml:space="preserve">  </w:t>
      </w:r>
      <w:r>
        <w:rPr>
          <w:rFonts w:ascii="宋体" w:hAnsi="宋体" w:eastAsia="宋体" w:cs="宋体"/>
          <w:color w:val="auto"/>
          <w:spacing w:val="7"/>
          <w:sz w:val="21"/>
          <w:szCs w:val="21"/>
        </w:rPr>
        <w:t>月</w:t>
      </w:r>
      <w:r>
        <w:rPr>
          <w:rFonts w:hint="eastAsia" w:ascii="宋体" w:hAnsi="宋体" w:eastAsia="宋体" w:cs="宋体"/>
          <w:color w:val="auto"/>
          <w:spacing w:val="7"/>
          <w:sz w:val="21"/>
          <w:szCs w:val="21"/>
          <w:lang w:val="en-US" w:eastAsia="zh-CN"/>
        </w:rPr>
        <w:t xml:space="preserve">  </w:t>
      </w:r>
      <w:r>
        <w:rPr>
          <w:rFonts w:ascii="宋体" w:hAnsi="宋体" w:eastAsia="宋体" w:cs="宋体"/>
          <w:color w:val="auto"/>
          <w:spacing w:val="7"/>
          <w:sz w:val="21"/>
          <w:szCs w:val="21"/>
        </w:rPr>
        <w:t>日</w:t>
      </w:r>
    </w:p>
    <w:p w14:paraId="57E7A7EC">
      <w:pPr>
        <w:keepNext w:val="0"/>
        <w:keepLines w:val="0"/>
        <w:pageBreakBefore w:val="0"/>
        <w:widowControl/>
        <w:tabs>
          <w:tab w:val="left" w:pos="5670"/>
        </w:tabs>
        <w:kinsoku w:val="0"/>
        <w:wordWrap/>
        <w:overflowPunct/>
        <w:topLinePunct w:val="0"/>
        <w:autoSpaceDE w:val="0"/>
        <w:autoSpaceDN w:val="0"/>
        <w:bidi w:val="0"/>
        <w:adjustRightInd w:val="0"/>
        <w:snapToGrid w:val="0"/>
        <w:spacing w:line="360" w:lineRule="auto"/>
        <w:ind w:left="0" w:leftChars="0" w:right="0"/>
        <w:jc w:val="both"/>
        <w:textAlignment w:val="baseline"/>
        <w:rPr>
          <w:rFonts w:ascii="宋体" w:hAnsi="宋体" w:eastAsia="宋体" w:cs="宋体"/>
          <w:color w:val="auto"/>
          <w:spacing w:val="7"/>
          <w:sz w:val="21"/>
          <w:szCs w:val="21"/>
        </w:rPr>
        <w:sectPr>
          <w:footerReference r:id="rId11" w:type="default"/>
          <w:pgSz w:w="11905" w:h="16838"/>
          <w:pgMar w:top="1417" w:right="1417" w:bottom="1417" w:left="1417" w:header="0" w:footer="1196" w:gutter="0"/>
          <w:pgNumType w:fmt="decimal"/>
          <w:cols w:space="0" w:num="1"/>
          <w:rtlGutter w:val="0"/>
          <w:docGrid w:linePitch="0" w:charSpace="0"/>
        </w:sectPr>
      </w:pPr>
    </w:p>
    <w:p w14:paraId="1258DC94">
      <w:pPr>
        <w:keepNext w:val="0"/>
        <w:keepLines w:val="0"/>
        <w:pageBreakBefore w:val="0"/>
        <w:widowControl/>
        <w:kinsoku w:val="0"/>
        <w:wordWrap/>
        <w:overflowPunct/>
        <w:topLinePunct w:val="0"/>
        <w:autoSpaceDE w:val="0"/>
        <w:autoSpaceDN w:val="0"/>
        <w:bidi w:val="0"/>
        <w:adjustRightInd w:val="0"/>
        <w:snapToGrid w:val="0"/>
        <w:spacing w:before="20" w:after="313" w:afterLines="100" w:line="360" w:lineRule="auto"/>
        <w:jc w:val="center"/>
        <w:textAlignment w:val="baseline"/>
        <w:outlineLvl w:val="0"/>
        <w:rPr>
          <w:rFonts w:ascii="Arial"/>
          <w:color w:val="auto"/>
          <w:sz w:val="21"/>
        </w:rPr>
      </w:pPr>
      <w:bookmarkStart w:id="71" w:name="bookmark4"/>
      <w:bookmarkEnd w:id="71"/>
      <w:r>
        <w:rPr>
          <w:rFonts w:ascii="宋体" w:hAnsi="宋体" w:eastAsia="宋体" w:cs="宋体"/>
          <w:b/>
          <w:bCs/>
          <w:color w:val="auto"/>
          <w:spacing w:val="4"/>
          <w:sz w:val="43"/>
          <w:szCs w:val="43"/>
        </w:rPr>
        <w:t>第二章</w:t>
      </w:r>
      <w:r>
        <w:rPr>
          <w:rFonts w:ascii="宋体" w:hAnsi="宋体" w:eastAsia="宋体" w:cs="宋体"/>
          <w:color w:val="auto"/>
          <w:spacing w:val="4"/>
          <w:sz w:val="43"/>
          <w:szCs w:val="43"/>
        </w:rPr>
        <w:t xml:space="preserve">  </w:t>
      </w:r>
      <w:r>
        <w:rPr>
          <w:rFonts w:ascii="宋体" w:hAnsi="宋体" w:eastAsia="宋体" w:cs="宋体"/>
          <w:b/>
          <w:bCs/>
          <w:color w:val="auto"/>
          <w:spacing w:val="4"/>
          <w:sz w:val="43"/>
          <w:szCs w:val="43"/>
        </w:rPr>
        <w:t>采购需求</w:t>
      </w:r>
    </w:p>
    <w:p w14:paraId="27FB2655">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outlineLvl w:val="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kern w:val="0"/>
          <w:sz w:val="24"/>
          <w:szCs w:val="24"/>
          <w:lang w:eastAsia="zh-CN"/>
        </w:rPr>
        <w:t>（一）</w:t>
      </w:r>
      <w:r>
        <w:rPr>
          <w:rFonts w:hint="eastAsia" w:asciiTheme="minorEastAsia" w:hAnsiTheme="minorEastAsia" w:eastAsiaTheme="minorEastAsia" w:cstheme="minorEastAsia"/>
          <w:b/>
          <w:bCs/>
          <w:color w:val="auto"/>
          <w:sz w:val="24"/>
          <w:szCs w:val="24"/>
        </w:rPr>
        <w:t>说明：</w:t>
      </w:r>
    </w:p>
    <w:p w14:paraId="33506B47">
      <w:pPr>
        <w:keepNext w:val="0"/>
        <w:keepLines w:val="0"/>
        <w:pageBreakBefore w:val="0"/>
        <w:widowControl/>
        <w:kinsoku w:val="0"/>
        <w:wordWrap/>
        <w:overflowPunct/>
        <w:topLinePunct w:val="0"/>
        <w:autoSpaceDE w:val="0"/>
        <w:autoSpaceDN w:val="0"/>
        <w:bidi w:val="0"/>
        <w:adjustRightInd w:val="0"/>
        <w:snapToGrid w:val="0"/>
        <w:spacing w:line="360" w:lineRule="auto"/>
        <w:ind w:firstLine="424" w:firstLineChars="202"/>
        <w:jc w:val="left"/>
        <w:textAlignment w:val="baseline"/>
        <w:outlineLvl w:val="2"/>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rPr>
        <w:t>1.为落实政府采购政策需满足的要求</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详见招标公告</w:t>
      </w:r>
    </w:p>
    <w:p w14:paraId="58CBBD56">
      <w:pPr>
        <w:keepNext w:val="0"/>
        <w:keepLines w:val="0"/>
        <w:pageBreakBefore w:val="0"/>
        <w:widowControl/>
        <w:kinsoku w:val="0"/>
        <w:wordWrap/>
        <w:overflowPunct/>
        <w:topLinePunct w:val="0"/>
        <w:autoSpaceDE w:val="0"/>
        <w:autoSpaceDN w:val="0"/>
        <w:bidi w:val="0"/>
        <w:adjustRightInd w:val="0"/>
        <w:snapToGrid w:val="0"/>
        <w:spacing w:line="360" w:lineRule="auto"/>
        <w:ind w:firstLine="424" w:firstLineChars="202"/>
        <w:jc w:val="left"/>
        <w:textAlignment w:val="baseline"/>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2.“实质性要求”是指招标文件中已经指明不满足则投标无效的条款，或者不能负偏离的条款，或者采购需求中带“▲”的条款。</w:t>
      </w:r>
    </w:p>
    <w:p w14:paraId="2C3E01EC">
      <w:pPr>
        <w:keepNext w:val="0"/>
        <w:keepLines w:val="0"/>
        <w:pageBreakBefore w:val="0"/>
        <w:widowControl/>
        <w:kinsoku w:val="0"/>
        <w:wordWrap/>
        <w:overflowPunct/>
        <w:topLinePunct w:val="0"/>
        <w:autoSpaceDE w:val="0"/>
        <w:autoSpaceDN w:val="0"/>
        <w:bidi w:val="0"/>
        <w:adjustRightInd w:val="0"/>
        <w:snapToGrid w:val="0"/>
        <w:spacing w:line="360" w:lineRule="auto"/>
        <w:ind w:firstLine="424" w:firstLineChars="202"/>
        <w:jc w:val="left"/>
        <w:textAlignment w:val="baseline"/>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3.投标人应根据自身实际情况如实响应招标文件，不得仅将招标文件内容简单复制粘贴作为投标响应，</w:t>
      </w:r>
      <w:r>
        <w:rPr>
          <w:rFonts w:hint="eastAsia" w:asciiTheme="minorEastAsia" w:hAnsiTheme="minorEastAsia" w:eastAsiaTheme="minorEastAsia" w:cstheme="minorEastAsia"/>
          <w:color w:val="auto"/>
          <w:szCs w:val="21"/>
          <w:lang w:val="en-US" w:eastAsia="zh-CN"/>
        </w:rPr>
        <w:t>若有正偏离，</w:t>
      </w:r>
      <w:r>
        <w:rPr>
          <w:rFonts w:hint="eastAsia" w:asciiTheme="minorEastAsia" w:hAnsiTheme="minorEastAsia" w:eastAsiaTheme="minorEastAsia" w:cstheme="minorEastAsia"/>
          <w:color w:val="auto"/>
          <w:szCs w:val="21"/>
        </w:rPr>
        <w:t>还应当提供相关证明材料，</w:t>
      </w:r>
      <w:r>
        <w:rPr>
          <w:rFonts w:hint="eastAsia" w:asciiTheme="minorEastAsia" w:hAnsiTheme="minorEastAsia" w:eastAsiaTheme="minorEastAsia" w:cstheme="minorEastAsia"/>
          <w:b/>
          <w:bCs/>
          <w:color w:val="auto"/>
          <w:szCs w:val="21"/>
        </w:rPr>
        <w:t>否则将作无效响应处理</w:t>
      </w:r>
      <w:r>
        <w:rPr>
          <w:rFonts w:hint="eastAsia" w:asciiTheme="minorEastAsia" w:hAnsiTheme="minorEastAsia" w:eastAsiaTheme="minorEastAsia" w:cstheme="minorEastAsia"/>
          <w:color w:val="auto"/>
          <w:szCs w:val="21"/>
        </w:rPr>
        <w:t>（定制采购不适用本条款）。</w:t>
      </w:r>
      <w:r>
        <w:rPr>
          <w:rFonts w:hint="eastAsia" w:asciiTheme="minorEastAsia" w:hAnsiTheme="minorEastAsia" w:eastAsiaTheme="minorEastAsia" w:cstheme="minorEastAsia"/>
          <w:color w:val="auto"/>
        </w:rPr>
        <w:t>对于重要技术条款或技术参数应当在投标文件中提供技术支持资料，技术支持资料以招标文件中规定的形式为准，</w:t>
      </w:r>
      <w:r>
        <w:rPr>
          <w:rFonts w:hint="eastAsia" w:asciiTheme="minorEastAsia" w:hAnsiTheme="minorEastAsia" w:eastAsiaTheme="minorEastAsia" w:cstheme="minorEastAsia"/>
          <w:b/>
          <w:bCs/>
          <w:color w:val="auto"/>
        </w:rPr>
        <w:t>否则将视为无效技术支持资料</w:t>
      </w:r>
      <w:r>
        <w:rPr>
          <w:rFonts w:hint="eastAsia" w:asciiTheme="minorEastAsia" w:hAnsiTheme="minorEastAsia" w:eastAsiaTheme="minorEastAsia" w:cstheme="minorEastAsia"/>
          <w:color w:val="auto"/>
        </w:rPr>
        <w:t>。</w:t>
      </w:r>
    </w:p>
    <w:p w14:paraId="5C58C0EA">
      <w:pPr>
        <w:keepNext w:val="0"/>
        <w:keepLines w:val="0"/>
        <w:pageBreakBefore w:val="0"/>
        <w:widowControl/>
        <w:kinsoku w:val="0"/>
        <w:wordWrap/>
        <w:overflowPunct/>
        <w:topLinePunct w:val="0"/>
        <w:autoSpaceDE w:val="0"/>
        <w:autoSpaceDN w:val="0"/>
        <w:bidi w:val="0"/>
        <w:adjustRightInd w:val="0"/>
        <w:snapToGrid w:val="0"/>
        <w:spacing w:line="360" w:lineRule="auto"/>
        <w:ind w:firstLine="424" w:firstLineChars="202"/>
        <w:jc w:val="left"/>
        <w:textAlignment w:val="baseline"/>
        <w:rPr>
          <w:rFonts w:hint="eastAsia" w:asciiTheme="minorEastAsia" w:hAnsiTheme="minorEastAsia" w:eastAsiaTheme="minorEastAsia" w:cstheme="minorEastAsia"/>
          <w:b/>
          <w:color w:val="auto"/>
          <w:kern w:val="0"/>
          <w:sz w:val="24"/>
          <w:highlight w:val="none"/>
          <w:lang w:eastAsia="zh-CN"/>
        </w:rPr>
      </w:pPr>
      <w:r>
        <w:rPr>
          <w:rFonts w:hint="eastAsia" w:asciiTheme="minorEastAsia" w:hAnsiTheme="minorEastAsia" w:eastAsiaTheme="minorEastAsia" w:cstheme="minorEastAsia"/>
          <w:color w:val="auto"/>
          <w:highlight w:val="none"/>
          <w:lang w:val="en-US" w:eastAsia="zh-CN"/>
        </w:rPr>
        <w:t>4.本采购项目所属行业：软件和信息技术服务业。</w:t>
      </w:r>
    </w:p>
    <w:p w14:paraId="63285B3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1"/>
        <w:rPr>
          <w:rFonts w:hint="eastAsia" w:asciiTheme="minorEastAsia" w:hAnsiTheme="minorEastAsia" w:eastAsiaTheme="minorEastAsia" w:cstheme="minorEastAsia"/>
          <w:b/>
          <w:color w:val="auto"/>
          <w:kern w:val="0"/>
          <w:sz w:val="24"/>
          <w:lang w:eastAsia="zh-CN"/>
        </w:rPr>
      </w:pPr>
      <w:r>
        <w:rPr>
          <w:rFonts w:hint="eastAsia" w:asciiTheme="minorEastAsia" w:hAnsiTheme="minorEastAsia" w:eastAsiaTheme="minorEastAsia" w:cstheme="minorEastAsia"/>
          <w:b/>
          <w:color w:val="auto"/>
          <w:kern w:val="0"/>
          <w:sz w:val="24"/>
          <w:lang w:eastAsia="zh-CN"/>
        </w:rPr>
        <w:t>（二）本项目概况</w:t>
      </w:r>
    </w:p>
    <w:p w14:paraId="5EAECF08">
      <w:pPr>
        <w:widowControl/>
        <w:spacing w:line="360" w:lineRule="auto"/>
        <w:ind w:firstLine="420" w:firstLineChars="200"/>
        <w:jc w:val="left"/>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eastAsia="zh-CN"/>
        </w:rPr>
        <w:t>项目名称：</w:t>
      </w:r>
      <w:r>
        <w:rPr>
          <w:rFonts w:hint="eastAsia"/>
          <w:highlight w:val="none"/>
        </w:rPr>
        <w:t>百色市森林防火智慧预警项目</w:t>
      </w:r>
    </w:p>
    <w:p w14:paraId="165A66F4">
      <w:pPr>
        <w:widowControl/>
        <w:spacing w:line="360" w:lineRule="auto"/>
        <w:ind w:firstLine="420" w:firstLineChars="200"/>
        <w:jc w:val="left"/>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eastAsia="zh-CN"/>
        </w:rPr>
        <w:t>项目范围：百色市及下辖各县（市、区）</w:t>
      </w:r>
    </w:p>
    <w:p w14:paraId="358FDF31">
      <w:pPr>
        <w:widowControl/>
        <w:spacing w:line="360" w:lineRule="auto"/>
        <w:ind w:firstLine="420" w:firstLineChars="200"/>
        <w:jc w:val="left"/>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eastAsia="zh-CN"/>
        </w:rPr>
        <w:t>项目内容及规模：本项目建设内容和规模依据百色市智慧森林防火预警监测实际需要设计，在原百色市森林防火监测预警平台基础上进行智慧森林防火平台模块及其配套硬件设施建设，建设内容和规模包括：</w:t>
      </w:r>
    </w:p>
    <w:p w14:paraId="229FD349">
      <w:pPr>
        <w:widowControl/>
        <w:spacing w:line="360" w:lineRule="auto"/>
        <w:ind w:firstLine="420" w:firstLineChars="200"/>
        <w:jc w:val="left"/>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eastAsia="zh-CN"/>
        </w:rPr>
        <w:t>（1）智慧森林防火平台模块</w:t>
      </w:r>
    </w:p>
    <w:p w14:paraId="660F7117">
      <w:pPr>
        <w:widowControl/>
        <w:spacing w:line="360" w:lineRule="auto"/>
        <w:ind w:firstLine="420" w:firstLineChars="200"/>
        <w:jc w:val="left"/>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eastAsia="zh-CN"/>
        </w:rPr>
        <w:t>森林火险精细化预测预报功能模块1套、AI综合分析管理功能模块1套。</w:t>
      </w:r>
    </w:p>
    <w:p w14:paraId="299BFE07">
      <w:pPr>
        <w:widowControl/>
        <w:spacing w:line="360" w:lineRule="auto"/>
        <w:ind w:firstLine="420" w:firstLineChars="200"/>
        <w:jc w:val="left"/>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eastAsia="zh-CN"/>
        </w:rPr>
        <w:t>（2）智慧森林防火平台模块前端感知设备</w:t>
      </w:r>
    </w:p>
    <w:p w14:paraId="3084B026">
      <w:pPr>
        <w:widowControl/>
        <w:spacing w:line="360" w:lineRule="auto"/>
        <w:ind w:firstLine="420" w:firstLineChars="200"/>
        <w:jc w:val="left"/>
        <w:rPr>
          <w:rFonts w:hint="eastAsia" w:asciiTheme="minorEastAsia" w:hAnsiTheme="minorEastAsia" w:eastAsiaTheme="minorEastAsia" w:cstheme="minorEastAsia"/>
          <w:b/>
          <w:color w:val="auto"/>
          <w:kern w:val="0"/>
          <w:sz w:val="24"/>
          <w:highlight w:val="none"/>
          <w:lang w:eastAsia="zh-CN"/>
        </w:rPr>
      </w:pPr>
      <w:r>
        <w:rPr>
          <w:rFonts w:hint="eastAsia" w:asciiTheme="minorEastAsia" w:hAnsiTheme="minorEastAsia" w:eastAsiaTheme="minorEastAsia" w:cstheme="minorEastAsia"/>
          <w:szCs w:val="21"/>
          <w:highlight w:val="none"/>
          <w:lang w:eastAsia="zh-CN"/>
        </w:rPr>
        <w:t>全波形三维闪电探测仪1座、可燃物监测系统6套、地面火情监测系统27套。</w:t>
      </w:r>
    </w:p>
    <w:p w14:paraId="4E2A92D4">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1"/>
        <w:rPr>
          <w:rFonts w:hint="eastAsia" w:asciiTheme="minorEastAsia" w:hAnsiTheme="minorEastAsia" w:eastAsiaTheme="minorEastAsia" w:cstheme="minorEastAsia"/>
          <w:b/>
          <w:color w:val="auto"/>
          <w:kern w:val="0"/>
          <w:sz w:val="24"/>
          <w:lang w:eastAsia="zh-CN"/>
        </w:rPr>
      </w:pPr>
      <w:r>
        <w:rPr>
          <w:rFonts w:hint="eastAsia" w:asciiTheme="minorEastAsia" w:hAnsiTheme="minorEastAsia" w:eastAsiaTheme="minorEastAsia" w:cstheme="minorEastAsia"/>
          <w:b/>
          <w:color w:val="auto"/>
          <w:kern w:val="0"/>
          <w:sz w:val="24"/>
          <w:lang w:eastAsia="zh-CN"/>
        </w:rPr>
        <w:t>（三）服务内容及技术指标</w:t>
      </w:r>
    </w:p>
    <w:p w14:paraId="189FF3B0">
      <w:pPr>
        <w:widowControl/>
        <w:spacing w:line="360" w:lineRule="auto"/>
        <w:ind w:firstLine="420" w:firstLineChars="200"/>
        <w:jc w:val="left"/>
        <w:rPr>
          <w:rFonts w:hint="eastAsia" w:asciiTheme="minorEastAsia" w:hAnsiTheme="minorEastAsia" w:eastAsiaTheme="minorEastAsia" w:cstheme="minorEastAsia"/>
          <w:szCs w:val="21"/>
          <w:highlight w:val="none"/>
          <w:vertAlign w:val="baseline"/>
        </w:rPr>
      </w:pPr>
      <w:bookmarkStart w:id="72" w:name="_Hlk153014598"/>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szCs w:val="21"/>
          <w:highlight w:val="none"/>
        </w:rPr>
        <w:t>本次采购服务主要包括</w:t>
      </w:r>
      <w:r>
        <w:rPr>
          <w:rFonts w:hint="eastAsia" w:asciiTheme="minorEastAsia" w:hAnsiTheme="minorEastAsia" w:eastAsiaTheme="minorEastAsia" w:cstheme="minorEastAsia"/>
          <w:color w:val="000000"/>
          <w:kern w:val="0"/>
          <w:szCs w:val="21"/>
          <w:highlight w:val="none"/>
          <w:lang w:bidi="ar"/>
        </w:rPr>
        <w:t>业务智慧森林防火平台模块建设</w:t>
      </w:r>
      <w:r>
        <w:rPr>
          <w:rFonts w:hint="eastAsia" w:asciiTheme="minorEastAsia" w:hAnsiTheme="minorEastAsia" w:eastAsiaTheme="minorEastAsia" w:cstheme="minorEastAsia"/>
          <w:szCs w:val="21"/>
          <w:highlight w:val="none"/>
        </w:rPr>
        <w:t>、</w:t>
      </w:r>
      <w:r>
        <w:rPr>
          <w:rFonts w:hint="eastAsia" w:asciiTheme="minorEastAsia" w:hAnsiTheme="minorEastAsia" w:eastAsiaTheme="minorEastAsia" w:cstheme="minorEastAsia"/>
          <w:color w:val="000000"/>
          <w:kern w:val="0"/>
          <w:szCs w:val="21"/>
          <w:highlight w:val="none"/>
          <w:lang w:bidi="ar"/>
        </w:rPr>
        <w:t>平台数据交互接口集成</w:t>
      </w:r>
      <w:r>
        <w:rPr>
          <w:rFonts w:hint="eastAsia" w:asciiTheme="minorEastAsia" w:hAnsiTheme="minorEastAsia" w:eastAsiaTheme="minorEastAsia" w:cstheme="minorEastAsia"/>
          <w:szCs w:val="21"/>
          <w:highlight w:val="none"/>
        </w:rPr>
        <w:t>、</w:t>
      </w:r>
      <w:r>
        <w:rPr>
          <w:rFonts w:hint="eastAsia" w:asciiTheme="minorEastAsia" w:hAnsiTheme="minorEastAsia" w:eastAsiaTheme="minorEastAsia" w:cstheme="minorEastAsia"/>
          <w:color w:val="000000"/>
          <w:kern w:val="0"/>
          <w:szCs w:val="21"/>
          <w:highlight w:val="none"/>
          <w:lang w:bidi="ar"/>
        </w:rPr>
        <w:t>智慧森林防火平台前端感知设备</w:t>
      </w:r>
      <w:bookmarkEnd w:id="72"/>
      <w:r>
        <w:rPr>
          <w:rFonts w:hint="eastAsia" w:asciiTheme="minorEastAsia" w:hAnsiTheme="minorEastAsia" w:eastAsiaTheme="minorEastAsia" w:cstheme="minorEastAsia"/>
          <w:szCs w:val="21"/>
          <w:highlight w:val="none"/>
        </w:rPr>
        <w:t>，服务内容及配置参数要求如下：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1248"/>
        <w:gridCol w:w="1436"/>
        <w:gridCol w:w="632"/>
        <w:gridCol w:w="582"/>
        <w:gridCol w:w="4659"/>
      </w:tblGrid>
      <w:tr w14:paraId="5B98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14:paraId="5E846FDF">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序号</w:t>
            </w:r>
          </w:p>
        </w:tc>
        <w:tc>
          <w:tcPr>
            <w:tcW w:w="1248" w:type="dxa"/>
            <w:vAlign w:val="center"/>
          </w:tcPr>
          <w:p w14:paraId="5ED0A772">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标的名称</w:t>
            </w:r>
          </w:p>
        </w:tc>
        <w:tc>
          <w:tcPr>
            <w:tcW w:w="1436" w:type="dxa"/>
            <w:vAlign w:val="center"/>
          </w:tcPr>
          <w:p w14:paraId="461EEE12">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模块名称</w:t>
            </w:r>
          </w:p>
        </w:tc>
        <w:tc>
          <w:tcPr>
            <w:tcW w:w="632" w:type="dxa"/>
            <w:vAlign w:val="center"/>
          </w:tcPr>
          <w:p w14:paraId="73CFD956">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单位</w:t>
            </w:r>
          </w:p>
        </w:tc>
        <w:tc>
          <w:tcPr>
            <w:tcW w:w="582" w:type="dxa"/>
            <w:vAlign w:val="center"/>
          </w:tcPr>
          <w:p w14:paraId="0F4BBB6E">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数量</w:t>
            </w:r>
          </w:p>
        </w:tc>
        <w:tc>
          <w:tcPr>
            <w:tcW w:w="4659" w:type="dxa"/>
            <w:vAlign w:val="center"/>
          </w:tcPr>
          <w:p w14:paraId="43E4ED24">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服务内容及技术指标</w:t>
            </w:r>
          </w:p>
        </w:tc>
      </w:tr>
      <w:tr w14:paraId="60FB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restart"/>
            <w:vAlign w:val="center"/>
          </w:tcPr>
          <w:p w14:paraId="3EA16C7B">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一</w:t>
            </w:r>
          </w:p>
        </w:tc>
        <w:tc>
          <w:tcPr>
            <w:tcW w:w="1248" w:type="dxa"/>
            <w:vMerge w:val="restart"/>
            <w:vAlign w:val="center"/>
          </w:tcPr>
          <w:p w14:paraId="3ACEF3B3">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智慧森林防火平台模块建设</w:t>
            </w:r>
          </w:p>
        </w:tc>
        <w:tc>
          <w:tcPr>
            <w:tcW w:w="1436" w:type="dxa"/>
            <w:vAlign w:val="center"/>
          </w:tcPr>
          <w:p w14:paraId="09875F03">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森林火险精细化预测预报功能模块</w:t>
            </w:r>
          </w:p>
        </w:tc>
        <w:tc>
          <w:tcPr>
            <w:tcW w:w="632" w:type="dxa"/>
            <w:vAlign w:val="center"/>
          </w:tcPr>
          <w:p w14:paraId="52230873">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1</w:t>
            </w:r>
          </w:p>
        </w:tc>
        <w:tc>
          <w:tcPr>
            <w:tcW w:w="582" w:type="dxa"/>
            <w:vAlign w:val="center"/>
          </w:tcPr>
          <w:p w14:paraId="7D98BB39">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套</w:t>
            </w:r>
          </w:p>
        </w:tc>
        <w:tc>
          <w:tcPr>
            <w:tcW w:w="4659" w:type="dxa"/>
            <w:vAlign w:val="center"/>
          </w:tcPr>
          <w:p w14:paraId="6E68A417">
            <w:pPr>
              <w:keepNext w:val="0"/>
              <w:keepLines w:val="0"/>
              <w:pageBreakBefore w:val="0"/>
              <w:widowControl/>
              <w:kinsoku/>
              <w:wordWrap w:val="0"/>
              <w:overflowPunct w:val="0"/>
              <w:topLinePunct w:val="0"/>
              <w:autoSpaceDE w:val="0"/>
              <w:autoSpaceDN w:val="0"/>
              <w:bidi w:val="0"/>
              <w:adjustRightInd w:val="0"/>
              <w:snapToGrid w:val="0"/>
              <w:spacing w:line="520" w:lineRule="exact"/>
              <w:ind w:firstLine="420" w:firstLineChars="200"/>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lang w:eastAsia="zh-CN"/>
              </w:rPr>
              <w:t>建</w:t>
            </w:r>
            <w:r>
              <w:rPr>
                <w:rFonts w:hint="eastAsia" w:asciiTheme="minorEastAsia" w:hAnsiTheme="minorEastAsia" w:eastAsiaTheme="minorEastAsia" w:cstheme="minorEastAsia"/>
                <w:sz w:val="21"/>
                <w:szCs w:val="21"/>
                <w:highlight w:val="none"/>
                <w:vertAlign w:val="baseline"/>
              </w:rPr>
              <w:t>设森林火险精细化预测预报功能模块，利用森林火灾风险普查数据，结合卫星遥感、气象站监测和基础地理信息数据，综合林学、气象学、遥感、计算机科学等多学科交叉优势，采用大数据智能挖掘技术，全面整合森林可燃物、气象、地形、承灾体等多源异构数据，分析广西林火的时空分布规律和主要驱动因素，构建多尺度、全要素的森林火险评估体系。在此基础上，采用深度学习等前沿技术构建森林火险评估模型，集成森林火险预测预报系统，实现对格网级空间分辨率的短期精细化森林火灾风险预测预报，为应对极端气候变化下的广西森林防控提供科学合理建议，提高广西森林防火的现代化水平。</w:t>
            </w:r>
          </w:p>
          <w:p w14:paraId="588753ED">
            <w:pPr>
              <w:keepNext w:val="0"/>
              <w:keepLines w:val="0"/>
              <w:pageBreakBefore w:val="0"/>
              <w:widowControl/>
              <w:kinsoku/>
              <w:wordWrap w:val="0"/>
              <w:overflowPunct w:val="0"/>
              <w:topLinePunct w:val="0"/>
              <w:autoSpaceDE w:val="0"/>
              <w:autoSpaceDN w:val="0"/>
              <w:bidi w:val="0"/>
              <w:adjustRightInd w:val="0"/>
              <w:snapToGrid w:val="0"/>
              <w:spacing w:line="520" w:lineRule="exact"/>
              <w:ind w:firstLine="420" w:firstLineChars="200"/>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主要包括：</w:t>
            </w:r>
          </w:p>
          <w:p w14:paraId="309DAC83">
            <w:pPr>
              <w:keepNext w:val="0"/>
              <w:keepLines w:val="0"/>
              <w:pageBreakBefore w:val="0"/>
              <w:widowControl/>
              <w:kinsoku/>
              <w:wordWrap w:val="0"/>
              <w:overflowPunct w:val="0"/>
              <w:topLinePunct w:val="0"/>
              <w:autoSpaceDE w:val="0"/>
              <w:autoSpaceDN w:val="0"/>
              <w:bidi w:val="0"/>
              <w:adjustRightInd w:val="0"/>
              <w:snapToGrid w:val="0"/>
              <w:spacing w:line="520" w:lineRule="exact"/>
              <w:ind w:firstLine="420" w:firstLineChars="200"/>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（1）基础地图管理：行政区域、林区边界、森林资源、道路、水源、居民点等信息展示。</w:t>
            </w:r>
          </w:p>
          <w:p w14:paraId="17844263">
            <w:pPr>
              <w:keepNext w:val="0"/>
              <w:keepLines w:val="0"/>
              <w:pageBreakBefore w:val="0"/>
              <w:widowControl/>
              <w:kinsoku/>
              <w:wordWrap w:val="0"/>
              <w:overflowPunct w:val="0"/>
              <w:topLinePunct w:val="0"/>
              <w:autoSpaceDE w:val="0"/>
              <w:autoSpaceDN w:val="0"/>
              <w:bidi w:val="0"/>
              <w:adjustRightInd w:val="0"/>
              <w:snapToGrid w:val="0"/>
              <w:spacing w:line="520" w:lineRule="exact"/>
              <w:ind w:firstLine="420" w:firstLineChars="200"/>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（2）防火资源展示：视频监控点、无人机巡查区域、护林人员、消防车辆、应急物资等空间展示。</w:t>
            </w:r>
          </w:p>
          <w:p w14:paraId="1B490CD1">
            <w:pPr>
              <w:keepNext w:val="0"/>
              <w:keepLines w:val="0"/>
              <w:pageBreakBefore w:val="0"/>
              <w:widowControl/>
              <w:kinsoku/>
              <w:wordWrap w:val="0"/>
              <w:overflowPunct w:val="0"/>
              <w:topLinePunct w:val="0"/>
              <w:autoSpaceDE w:val="0"/>
              <w:autoSpaceDN w:val="0"/>
              <w:bidi w:val="0"/>
              <w:adjustRightInd w:val="0"/>
              <w:snapToGrid w:val="0"/>
              <w:spacing w:line="520" w:lineRule="exact"/>
              <w:ind w:firstLine="420" w:firstLineChars="200"/>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（3）火情态势展示：火点定位、火灾范围显示、火势等级标识、历史火灾查询分析。</w:t>
            </w:r>
          </w:p>
          <w:p w14:paraId="73C4F3F1">
            <w:pPr>
              <w:keepNext w:val="0"/>
              <w:keepLines w:val="0"/>
              <w:pageBreakBefore w:val="0"/>
              <w:widowControl/>
              <w:kinsoku/>
              <w:wordWrap w:val="0"/>
              <w:overflowPunct w:val="0"/>
              <w:topLinePunct w:val="0"/>
              <w:autoSpaceDE w:val="0"/>
              <w:autoSpaceDN w:val="0"/>
              <w:bidi w:val="0"/>
              <w:adjustRightInd w:val="0"/>
              <w:snapToGrid w:val="0"/>
              <w:spacing w:line="520" w:lineRule="exact"/>
              <w:ind w:firstLine="420" w:firstLineChars="200"/>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（4）遥感智能监测：利用卫星遥感和无人机数据，实现大范围热点检测和火点发现。</w:t>
            </w:r>
          </w:p>
          <w:p w14:paraId="7DB497C3">
            <w:pPr>
              <w:keepNext w:val="0"/>
              <w:keepLines w:val="0"/>
              <w:pageBreakBefore w:val="0"/>
              <w:widowControl/>
              <w:kinsoku/>
              <w:wordWrap w:val="0"/>
              <w:overflowPunct w:val="0"/>
              <w:topLinePunct w:val="0"/>
              <w:autoSpaceDE w:val="0"/>
              <w:autoSpaceDN w:val="0"/>
              <w:bidi w:val="0"/>
              <w:adjustRightInd w:val="0"/>
              <w:snapToGrid w:val="0"/>
              <w:spacing w:line="520" w:lineRule="exact"/>
              <w:ind w:firstLine="420" w:firstLineChars="200"/>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（5）物联网数据接入：支持气象监测、温湿度传感器、烟雾检测设备接入。</w:t>
            </w:r>
          </w:p>
          <w:p w14:paraId="24F67640">
            <w:pPr>
              <w:keepNext w:val="0"/>
              <w:keepLines w:val="0"/>
              <w:pageBreakBefore w:val="0"/>
              <w:widowControl/>
              <w:kinsoku/>
              <w:wordWrap w:val="0"/>
              <w:overflowPunct w:val="0"/>
              <w:topLinePunct w:val="0"/>
              <w:autoSpaceDE w:val="0"/>
              <w:autoSpaceDN w:val="0"/>
              <w:bidi w:val="0"/>
              <w:adjustRightInd w:val="0"/>
              <w:snapToGrid w:val="0"/>
              <w:spacing w:line="520" w:lineRule="exact"/>
              <w:ind w:firstLine="420" w:firstLineChars="200"/>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（6）森林火险等级评估。</w:t>
            </w:r>
          </w:p>
        </w:tc>
      </w:tr>
      <w:tr w14:paraId="750C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5B2F1DAD">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rPr>
            </w:pPr>
          </w:p>
        </w:tc>
        <w:tc>
          <w:tcPr>
            <w:tcW w:w="1248" w:type="dxa"/>
            <w:vMerge w:val="continue"/>
            <w:vAlign w:val="center"/>
          </w:tcPr>
          <w:p w14:paraId="428B4405">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rPr>
            </w:pPr>
          </w:p>
        </w:tc>
        <w:tc>
          <w:tcPr>
            <w:tcW w:w="1436" w:type="dxa"/>
            <w:vAlign w:val="center"/>
          </w:tcPr>
          <w:p w14:paraId="10EF462C">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AI综合分析管理功能模块</w:t>
            </w:r>
          </w:p>
        </w:tc>
        <w:tc>
          <w:tcPr>
            <w:tcW w:w="632" w:type="dxa"/>
            <w:vAlign w:val="center"/>
          </w:tcPr>
          <w:p w14:paraId="077E971C">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1</w:t>
            </w:r>
          </w:p>
        </w:tc>
        <w:tc>
          <w:tcPr>
            <w:tcW w:w="582" w:type="dxa"/>
            <w:vAlign w:val="center"/>
          </w:tcPr>
          <w:p w14:paraId="23BD5C61">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套</w:t>
            </w:r>
          </w:p>
        </w:tc>
        <w:tc>
          <w:tcPr>
            <w:tcW w:w="4659" w:type="dxa"/>
            <w:vAlign w:val="center"/>
          </w:tcPr>
          <w:p w14:paraId="07A9C70C">
            <w:pPr>
              <w:keepNext w:val="0"/>
              <w:keepLines w:val="0"/>
              <w:pageBreakBefore w:val="0"/>
              <w:widowControl/>
              <w:topLinePunct w:val="0"/>
              <w:autoSpaceDN w:val="0"/>
              <w:bidi w:val="0"/>
              <w:adjustRightInd w:val="0"/>
              <w:snapToGrid w:val="0"/>
              <w:spacing w:line="520" w:lineRule="exact"/>
              <w:ind w:firstLine="210" w:firstLineChars="100"/>
              <w:jc w:val="left"/>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建设AI综合分析管理功能模块，利用物联网接入的气象监测、温湿度传感器、烟雾检测设备数据，实现未来24小时、72小时风险趋势预测与高风险区域自动标识和预警。运用历史火灾调查数据，建设林火蔓延模拟分析模型，结合地形、植被、风速风向、温湿度等参数，实现火势扩散方向预测、火场面积预测、影响区域模拟以及灭火路线辅助规划。</w:t>
            </w:r>
          </w:p>
          <w:p w14:paraId="11FA40FA">
            <w:pPr>
              <w:keepNext w:val="0"/>
              <w:keepLines w:val="0"/>
              <w:pageBreakBefore w:val="0"/>
              <w:widowControl/>
              <w:topLinePunct w:val="0"/>
              <w:autoSpaceDN w:val="0"/>
              <w:bidi w:val="0"/>
              <w:adjustRightInd w:val="0"/>
              <w:snapToGrid w:val="0"/>
              <w:spacing w:line="520" w:lineRule="exact"/>
              <w:ind w:firstLine="210" w:firstLineChars="100"/>
              <w:jc w:val="left"/>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主要功能：</w:t>
            </w:r>
          </w:p>
          <w:p w14:paraId="00AA9B2B">
            <w:pPr>
              <w:keepNext w:val="0"/>
              <w:keepLines w:val="0"/>
              <w:pageBreakBefore w:val="0"/>
              <w:widowControl/>
              <w:topLinePunct w:val="0"/>
              <w:autoSpaceDN w:val="0"/>
              <w:bidi w:val="0"/>
              <w:adjustRightInd w:val="0"/>
              <w:snapToGrid w:val="0"/>
              <w:spacing w:line="520" w:lineRule="exact"/>
              <w:ind w:firstLine="210" w:firstLineChars="100"/>
              <w:jc w:val="left"/>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（1）火势扩散方向预测。</w:t>
            </w:r>
          </w:p>
          <w:p w14:paraId="6F143D7A">
            <w:pPr>
              <w:keepNext w:val="0"/>
              <w:keepLines w:val="0"/>
              <w:pageBreakBefore w:val="0"/>
              <w:widowControl/>
              <w:topLinePunct w:val="0"/>
              <w:autoSpaceDN w:val="0"/>
              <w:bidi w:val="0"/>
              <w:adjustRightInd w:val="0"/>
              <w:snapToGrid w:val="0"/>
              <w:spacing w:line="520" w:lineRule="exact"/>
              <w:ind w:firstLine="210" w:firstLineChars="100"/>
              <w:jc w:val="left"/>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（2）火场面积预测。</w:t>
            </w:r>
          </w:p>
          <w:p w14:paraId="3B6A1FC1">
            <w:pPr>
              <w:keepNext w:val="0"/>
              <w:keepLines w:val="0"/>
              <w:pageBreakBefore w:val="0"/>
              <w:widowControl/>
              <w:topLinePunct w:val="0"/>
              <w:autoSpaceDN w:val="0"/>
              <w:bidi w:val="0"/>
              <w:adjustRightInd w:val="0"/>
              <w:snapToGrid w:val="0"/>
              <w:spacing w:line="520" w:lineRule="exact"/>
              <w:ind w:firstLine="210" w:firstLineChars="100"/>
              <w:jc w:val="left"/>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（3）影响区域模拟。</w:t>
            </w:r>
          </w:p>
          <w:p w14:paraId="59D296A0">
            <w:pPr>
              <w:keepNext w:val="0"/>
              <w:keepLines w:val="0"/>
              <w:pageBreakBefore w:val="0"/>
              <w:widowControl/>
              <w:topLinePunct w:val="0"/>
              <w:autoSpaceDN w:val="0"/>
              <w:bidi w:val="0"/>
              <w:adjustRightInd w:val="0"/>
              <w:snapToGrid w:val="0"/>
              <w:spacing w:line="520" w:lineRule="exact"/>
              <w:ind w:firstLine="210" w:firstLineChars="100"/>
              <w:jc w:val="left"/>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（4）灭火路线辅助规划。</w:t>
            </w:r>
          </w:p>
          <w:p w14:paraId="74CCCA02">
            <w:pPr>
              <w:keepNext w:val="0"/>
              <w:keepLines w:val="0"/>
              <w:pageBreakBefore w:val="0"/>
              <w:widowControl/>
              <w:topLinePunct w:val="0"/>
              <w:autoSpaceDN w:val="0"/>
              <w:bidi w:val="0"/>
              <w:adjustRightInd w:val="0"/>
              <w:snapToGrid w:val="0"/>
              <w:spacing w:line="520" w:lineRule="exact"/>
              <w:ind w:firstLine="210" w:firstLineChars="100"/>
              <w:jc w:val="left"/>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（5）火灾事件管理：报警接收、事件分级、任务创建、处置跟踪。</w:t>
            </w:r>
          </w:p>
          <w:p w14:paraId="46A5F905">
            <w:pPr>
              <w:keepNext w:val="0"/>
              <w:keepLines w:val="0"/>
              <w:pageBreakBefore w:val="0"/>
              <w:widowControl/>
              <w:topLinePunct w:val="0"/>
              <w:autoSpaceDN w:val="0"/>
              <w:bidi w:val="0"/>
              <w:adjustRightInd w:val="0"/>
              <w:snapToGrid w:val="0"/>
              <w:spacing w:line="520" w:lineRule="exact"/>
              <w:ind w:firstLine="210" w:firstLineChars="100"/>
              <w:jc w:val="left"/>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（6）智能资源调度：根据火点位置、人员距离、装备状态推荐救援方案。</w:t>
            </w:r>
          </w:p>
          <w:p w14:paraId="1C3D5534">
            <w:pPr>
              <w:keepNext w:val="0"/>
              <w:keepLines w:val="0"/>
              <w:pageBreakBefore w:val="0"/>
              <w:widowControl/>
              <w:topLinePunct w:val="0"/>
              <w:autoSpaceDN w:val="0"/>
              <w:bidi w:val="0"/>
              <w:adjustRightInd w:val="0"/>
              <w:snapToGrid w:val="0"/>
              <w:spacing w:line="520" w:lineRule="exact"/>
              <w:ind w:firstLine="210" w:firstLineChars="100"/>
              <w:jc w:val="left"/>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（7）指挥态势展示：展示火场、人员、车辆、装备和救援路线。</w:t>
            </w:r>
          </w:p>
        </w:tc>
      </w:tr>
      <w:tr w14:paraId="02CC8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Align w:val="center"/>
          </w:tcPr>
          <w:p w14:paraId="72DF133B">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二</w:t>
            </w:r>
          </w:p>
        </w:tc>
        <w:tc>
          <w:tcPr>
            <w:tcW w:w="1248" w:type="dxa"/>
            <w:vAlign w:val="center"/>
          </w:tcPr>
          <w:p w14:paraId="0ED1F42F">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平台数据交互接口集成</w:t>
            </w:r>
          </w:p>
        </w:tc>
        <w:tc>
          <w:tcPr>
            <w:tcW w:w="1436" w:type="dxa"/>
            <w:vAlign w:val="center"/>
          </w:tcPr>
          <w:p w14:paraId="75ADF5C1">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系统集成服务</w:t>
            </w:r>
          </w:p>
        </w:tc>
        <w:tc>
          <w:tcPr>
            <w:tcW w:w="632" w:type="dxa"/>
            <w:vAlign w:val="center"/>
          </w:tcPr>
          <w:p w14:paraId="1794B74D">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1</w:t>
            </w:r>
          </w:p>
        </w:tc>
        <w:tc>
          <w:tcPr>
            <w:tcW w:w="582" w:type="dxa"/>
            <w:vAlign w:val="center"/>
          </w:tcPr>
          <w:p w14:paraId="5AAF8CC7">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项</w:t>
            </w:r>
          </w:p>
        </w:tc>
        <w:tc>
          <w:tcPr>
            <w:tcW w:w="4659" w:type="dxa"/>
            <w:vAlign w:val="center"/>
          </w:tcPr>
          <w:p w14:paraId="7498968C">
            <w:pPr>
              <w:keepNext w:val="0"/>
              <w:keepLines w:val="0"/>
              <w:pageBreakBefore w:val="0"/>
              <w:widowControl/>
              <w:topLinePunct w:val="0"/>
              <w:autoSpaceDN w:val="0"/>
              <w:bidi w:val="0"/>
              <w:adjustRightInd w:val="0"/>
              <w:snapToGrid w:val="0"/>
              <w:spacing w:line="520" w:lineRule="exact"/>
              <w:ind w:firstLine="420" w:firstLineChars="200"/>
              <w:jc w:val="left"/>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系统集成技术服务，保障气象部门森林火险监测数据、卫星遥感监测数据、前端感知设备实时探测数据等多源数据实时接入，保障平台稳定运行</w:t>
            </w:r>
          </w:p>
        </w:tc>
      </w:tr>
      <w:tr w14:paraId="0EE8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8" w:type="dxa"/>
            <w:vMerge w:val="restart"/>
            <w:vAlign w:val="center"/>
          </w:tcPr>
          <w:p w14:paraId="137F3121">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三</w:t>
            </w:r>
          </w:p>
        </w:tc>
        <w:tc>
          <w:tcPr>
            <w:tcW w:w="1248" w:type="dxa"/>
            <w:vMerge w:val="restart"/>
            <w:vAlign w:val="center"/>
          </w:tcPr>
          <w:p w14:paraId="71FF9E8E">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智慧森林防火平台前端感知设备</w:t>
            </w:r>
          </w:p>
        </w:tc>
        <w:tc>
          <w:tcPr>
            <w:tcW w:w="1436" w:type="dxa"/>
            <w:vAlign w:val="center"/>
          </w:tcPr>
          <w:p w14:paraId="454FA249">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全波形三维闪电探测仪</w:t>
            </w:r>
          </w:p>
        </w:tc>
        <w:tc>
          <w:tcPr>
            <w:tcW w:w="632" w:type="dxa"/>
            <w:vAlign w:val="center"/>
          </w:tcPr>
          <w:p w14:paraId="4BAA00AF">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1</w:t>
            </w:r>
          </w:p>
        </w:tc>
        <w:tc>
          <w:tcPr>
            <w:tcW w:w="582" w:type="dxa"/>
            <w:vAlign w:val="center"/>
          </w:tcPr>
          <w:p w14:paraId="532FD0BE">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val="en-US" w:eastAsia="zh-CN"/>
              </w:rPr>
              <w:t>座</w:t>
            </w:r>
          </w:p>
        </w:tc>
        <w:tc>
          <w:tcPr>
            <w:tcW w:w="4659" w:type="dxa"/>
            <w:vAlign w:val="center"/>
          </w:tcPr>
          <w:p w14:paraId="03E7129E">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1.闪电类型：包括云闪、云地闪、袖珍云闪</w:t>
            </w:r>
          </w:p>
          <w:p w14:paraId="1BAEA5A1">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2.探测效率：云地闪≥9</w:t>
            </w:r>
            <w:r>
              <w:rPr>
                <w:rFonts w:hint="eastAsia" w:asciiTheme="minorEastAsia" w:hAnsiTheme="minorEastAsia" w:eastAsiaTheme="minorEastAsia" w:cstheme="minorEastAsia"/>
                <w:sz w:val="21"/>
                <w:szCs w:val="21"/>
                <w:highlight w:val="none"/>
                <w:vertAlign w:val="baseline"/>
                <w:lang w:val="en-US" w:eastAsia="zh-CN"/>
              </w:rPr>
              <w:t>6</w:t>
            </w:r>
            <w:r>
              <w:rPr>
                <w:rFonts w:hint="eastAsia" w:asciiTheme="minorEastAsia" w:hAnsiTheme="minorEastAsia" w:eastAsiaTheme="minorEastAsia" w:cstheme="minorEastAsia"/>
                <w:sz w:val="21"/>
                <w:szCs w:val="21"/>
                <w:highlight w:val="none"/>
                <w:vertAlign w:val="baseline"/>
              </w:rPr>
              <w:t>%，云闪≥75%；</w:t>
            </w:r>
          </w:p>
          <w:p w14:paraId="523F57AE">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3.定位精度：平均定位精度</w:t>
            </w:r>
            <w:r>
              <w:rPr>
                <w:rFonts w:hint="eastAsia" w:asciiTheme="minorEastAsia" w:hAnsiTheme="minorEastAsia" w:eastAsiaTheme="minorEastAsia" w:cstheme="minorEastAsia"/>
                <w:sz w:val="21"/>
                <w:szCs w:val="21"/>
                <w:highlight w:val="none"/>
                <w:vertAlign w:val="baseline"/>
                <w:lang w:val="en-US" w:eastAsia="zh-CN"/>
              </w:rPr>
              <w:t>≤450m</w:t>
            </w:r>
            <w:r>
              <w:rPr>
                <w:rFonts w:hint="eastAsia" w:asciiTheme="minorEastAsia" w:hAnsiTheme="minorEastAsia" w:eastAsiaTheme="minorEastAsia" w:cstheme="minorEastAsia"/>
                <w:sz w:val="21"/>
                <w:szCs w:val="21"/>
                <w:highlight w:val="none"/>
                <w:vertAlign w:val="baseline"/>
              </w:rPr>
              <w:t>（无遮挡）</w:t>
            </w:r>
          </w:p>
          <w:p w14:paraId="1262E95B">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4.信号及频率范围：发生时间、方位角、极性、磁场强度、电场，并识别雷电的波形。带宽3kHz～350kHz</w:t>
            </w:r>
          </w:p>
          <w:p w14:paraId="5402C96D">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5.通讯类型：UDP、TCP/IP，支持有线网络或4G网络</w:t>
            </w:r>
          </w:p>
          <w:p w14:paraId="6AA0D913">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6.性能：全自动系统校准与自检</w:t>
            </w:r>
          </w:p>
          <w:p w14:paraId="2EEE5759">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7.AD采样参数：数字分频，最多16通道</w:t>
            </w:r>
          </w:p>
          <w:p w14:paraId="1CBE486D">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8.采样率：≥2Msps</w:t>
            </w:r>
          </w:p>
          <w:p w14:paraId="7F1109AA">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9.采样方式：连续触发采样</w:t>
            </w:r>
          </w:p>
          <w:p w14:paraId="798D0DC3">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10.采样长度：≥1min</w:t>
            </w:r>
          </w:p>
          <w:p w14:paraId="4B42CE15">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11.采样位宽：16bit</w:t>
            </w:r>
          </w:p>
          <w:p w14:paraId="47CEA3F4">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12.探测仪存储能力：本地存储≥250G，SSD</w:t>
            </w:r>
          </w:p>
          <w:p w14:paraId="4B3061A6">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13.时钟精度：授时精度≤100ns，稳定度≤20ns，相对精度≤1ns</w:t>
            </w:r>
          </w:p>
          <w:p w14:paraId="2F0A7A4C">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14.回击分辨率：≤</w:t>
            </w:r>
            <w:r>
              <w:rPr>
                <w:rFonts w:hint="eastAsia" w:asciiTheme="minorEastAsia" w:hAnsiTheme="minorEastAsia" w:eastAsiaTheme="minorEastAsia" w:cstheme="minorEastAsia"/>
                <w:sz w:val="21"/>
                <w:szCs w:val="21"/>
                <w:highlight w:val="none"/>
                <w:vertAlign w:val="baseline"/>
                <w:lang w:val="en-US" w:eastAsia="zh-CN"/>
              </w:rPr>
              <w:t>0.9</w:t>
            </w:r>
            <w:r>
              <w:rPr>
                <w:rFonts w:hint="eastAsia" w:asciiTheme="minorEastAsia" w:hAnsiTheme="minorEastAsia" w:eastAsiaTheme="minorEastAsia" w:cstheme="minorEastAsia"/>
                <w:sz w:val="21"/>
                <w:szCs w:val="21"/>
                <w:highlight w:val="none"/>
                <w:vertAlign w:val="baseline"/>
              </w:rPr>
              <w:t>ms</w:t>
            </w:r>
          </w:p>
          <w:p w14:paraId="2F6874A2">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15.定位模块：单北斗或GPS，实现纳秒级的高精度时间同步</w:t>
            </w:r>
          </w:p>
          <w:p w14:paraId="6F3A50B9">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16.供电电源：AC220V（±15%），50Hz±3Hz</w:t>
            </w:r>
          </w:p>
          <w:p w14:paraId="1E03AB39">
            <w:pPr>
              <w:keepNext w:val="0"/>
              <w:keepLines w:val="0"/>
              <w:pageBreakBefore w:val="0"/>
              <w:widowControl w:val="0"/>
              <w:kinsoku w:val="0"/>
              <w:wordWrap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w:t>
            </w:r>
            <w:r>
              <w:rPr>
                <w:rFonts w:hint="eastAsia" w:asciiTheme="minorEastAsia" w:hAnsiTheme="minorEastAsia" w:eastAsiaTheme="minorEastAsia" w:cstheme="minorEastAsia"/>
                <w:sz w:val="21"/>
                <w:szCs w:val="21"/>
                <w:highlight w:val="none"/>
                <w:vertAlign w:val="baseline"/>
                <w:lang w:val="en-US" w:eastAsia="zh-CN"/>
              </w:rPr>
              <w:t>7.</w:t>
            </w:r>
            <w:r>
              <w:rPr>
                <w:rFonts w:hint="eastAsia" w:asciiTheme="minorEastAsia" w:hAnsiTheme="minorEastAsia" w:eastAsiaTheme="minorEastAsia" w:cstheme="minorEastAsia"/>
                <w:sz w:val="21"/>
                <w:szCs w:val="21"/>
                <w:highlight w:val="none"/>
                <w:vertAlign w:val="baseline"/>
              </w:rPr>
              <w:t>工作环境：工作温度-35~﹢50℃，相对湿度：5~100%，电磁兼容性：站址位置避免产生探测频段(1kHz~410kHz)的其他电磁信号。</w:t>
            </w:r>
          </w:p>
        </w:tc>
      </w:tr>
      <w:tr w14:paraId="141EC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5B110E9A">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p>
        </w:tc>
        <w:tc>
          <w:tcPr>
            <w:tcW w:w="1248" w:type="dxa"/>
            <w:vMerge w:val="continue"/>
            <w:vAlign w:val="center"/>
          </w:tcPr>
          <w:p w14:paraId="6928F42A">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rPr>
            </w:pPr>
          </w:p>
        </w:tc>
        <w:tc>
          <w:tcPr>
            <w:tcW w:w="1436" w:type="dxa"/>
            <w:vAlign w:val="center"/>
          </w:tcPr>
          <w:p w14:paraId="74F20C10">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可燃物监测系统</w:t>
            </w:r>
          </w:p>
        </w:tc>
        <w:tc>
          <w:tcPr>
            <w:tcW w:w="632" w:type="dxa"/>
            <w:vAlign w:val="center"/>
          </w:tcPr>
          <w:p w14:paraId="42630577">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6</w:t>
            </w:r>
          </w:p>
        </w:tc>
        <w:tc>
          <w:tcPr>
            <w:tcW w:w="582" w:type="dxa"/>
            <w:vAlign w:val="center"/>
          </w:tcPr>
          <w:p w14:paraId="0ED59CAF">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套</w:t>
            </w:r>
          </w:p>
        </w:tc>
        <w:tc>
          <w:tcPr>
            <w:tcW w:w="4659" w:type="dxa"/>
            <w:vAlign w:val="center"/>
          </w:tcPr>
          <w:p w14:paraId="1E9EECAD">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一、核心部件参数</w:t>
            </w:r>
          </w:p>
          <w:p w14:paraId="553D7CF8">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可燃物监测系统（又称森林草原火险多因子综合监测系统）主要由温度湿度、风速风向、雨量、太阳辐射、气压、1H可燃物及土壤含水率、10H可燃物含水率等传感器及数据采集器、视频监控、供电系统等其他配套设施设备组成，主要用于采集林区内气象、可燃物含水率等火险因子数据。系统全天候、一体化采集关键火险因子，通过“感知—传输—预警”闭环设计，为森林火灾提供分钟级预警。</w:t>
            </w:r>
          </w:p>
          <w:p w14:paraId="2F6E7D7F">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(一)气象要素</w:t>
            </w:r>
          </w:p>
          <w:p w14:paraId="6A359822">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1.空气温度:测量范围:-40~60℃；分辨力：≤0.1℃；最大允许误差:±0.2℃。</w:t>
            </w:r>
          </w:p>
          <w:p w14:paraId="4D813A67">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2.空气湿度:测量范围:0%RH~100%RH；分辨力:≤1%；最大允许误差:≤±4.0%RH（≤80%），±8%RH（＞80%）。</w:t>
            </w:r>
          </w:p>
          <w:p w14:paraId="3A6CB427">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3.太阳总辐射:测量范围:0W/m²～2000 W/m²；分辨力:≤1W/m²；最大允许误差:≤±5.0%</w:t>
            </w:r>
          </w:p>
          <w:p w14:paraId="065799AF">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4.风速:测量范围:0m/s~60m/s；分辨力:≤0.1m/s；最大允许误差: ±(0.5+0.03V)m/s(V实际风速)。设备安装高度：≥6米。</w:t>
            </w:r>
          </w:p>
          <w:p w14:paraId="136F09B6">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5.风向:测量范围:0°~360°；分辨力:≤0.1°；最大允许误差:±5°。设备安装高度：≥6米。</w:t>
            </w:r>
          </w:p>
          <w:p w14:paraId="52C71B9F">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6.大气压:测量范围:500-1100hPa；分辨力:≤0.1hPa；最大允许误差:±0.3hPa。</w:t>
            </w:r>
          </w:p>
          <w:p w14:paraId="0CD5DD73">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7.降雨量：测量范围：雨强＜4mm/min；分辨</w:t>
            </w:r>
            <w:r>
              <w:rPr>
                <w:rFonts w:hint="eastAsia" w:asciiTheme="minorEastAsia" w:hAnsiTheme="minorEastAsia" w:eastAsiaTheme="minorEastAsia" w:cstheme="minorEastAsia"/>
                <w:sz w:val="21"/>
                <w:szCs w:val="21"/>
                <w:highlight w:val="none"/>
                <w:vertAlign w:val="baseline"/>
                <w:lang w:val="en-US" w:eastAsia="zh-CN"/>
              </w:rPr>
              <w:t>率</w:t>
            </w:r>
            <w:r>
              <w:rPr>
                <w:rFonts w:hint="eastAsia" w:asciiTheme="minorEastAsia" w:hAnsiTheme="minorEastAsia" w:eastAsiaTheme="minorEastAsia" w:cstheme="minorEastAsia"/>
                <w:sz w:val="21"/>
                <w:szCs w:val="21"/>
                <w:highlight w:val="none"/>
                <w:vertAlign w:val="baseline"/>
              </w:rPr>
              <w:t>：0.</w:t>
            </w:r>
            <w:r>
              <w:rPr>
                <w:rFonts w:hint="eastAsia" w:asciiTheme="minorEastAsia" w:hAnsiTheme="minorEastAsia" w:eastAsiaTheme="minorEastAsia" w:cstheme="minorEastAsia"/>
                <w:sz w:val="21"/>
                <w:szCs w:val="21"/>
                <w:highlight w:val="none"/>
                <w:vertAlign w:val="baseline"/>
                <w:lang w:val="en-US" w:eastAsia="zh-CN"/>
              </w:rPr>
              <w:t>1</w:t>
            </w:r>
            <w:r>
              <w:rPr>
                <w:rFonts w:hint="eastAsia" w:asciiTheme="minorEastAsia" w:hAnsiTheme="minorEastAsia" w:eastAsiaTheme="minorEastAsia" w:cstheme="minorEastAsia"/>
                <w:sz w:val="21"/>
                <w:szCs w:val="21"/>
                <w:highlight w:val="none"/>
                <w:vertAlign w:val="baseline"/>
              </w:rPr>
              <w:t>mm；最大允许误差：≤±0.</w:t>
            </w:r>
            <w:r>
              <w:rPr>
                <w:rFonts w:hint="eastAsia" w:asciiTheme="minorEastAsia" w:hAnsiTheme="minorEastAsia" w:eastAsiaTheme="minorEastAsia" w:cstheme="minorEastAsia"/>
                <w:sz w:val="21"/>
                <w:szCs w:val="21"/>
                <w:highlight w:val="none"/>
                <w:vertAlign w:val="baseline"/>
                <w:lang w:val="en-US" w:eastAsia="zh-CN"/>
              </w:rPr>
              <w:t>3</w:t>
            </w:r>
            <w:r>
              <w:rPr>
                <w:rFonts w:hint="eastAsia" w:asciiTheme="minorEastAsia" w:hAnsiTheme="minorEastAsia" w:eastAsiaTheme="minorEastAsia" w:cstheme="minorEastAsia"/>
                <w:sz w:val="21"/>
                <w:szCs w:val="21"/>
                <w:highlight w:val="none"/>
                <w:vertAlign w:val="baseline"/>
              </w:rPr>
              <w:t>mm（≤10mm）</w:t>
            </w:r>
            <w:r>
              <w:rPr>
                <w:rFonts w:hint="eastAsia" w:asciiTheme="minorEastAsia" w:hAnsiTheme="minorEastAsia" w:eastAsiaTheme="minorEastAsia" w:cstheme="minorEastAsia"/>
                <w:sz w:val="21"/>
                <w:szCs w:val="21"/>
                <w:highlight w:val="none"/>
                <w:vertAlign w:val="baseline"/>
                <w:lang w:eastAsia="zh-CN"/>
              </w:rPr>
              <w:t>、</w:t>
            </w:r>
            <w:r>
              <w:rPr>
                <w:rFonts w:hint="eastAsia" w:asciiTheme="minorEastAsia" w:hAnsiTheme="minorEastAsia" w:eastAsiaTheme="minorEastAsia" w:cstheme="minorEastAsia"/>
                <w:sz w:val="21"/>
                <w:szCs w:val="21"/>
                <w:highlight w:val="none"/>
                <w:vertAlign w:val="baseline"/>
              </w:rPr>
              <w:t>≤±</w:t>
            </w:r>
            <w:r>
              <w:rPr>
                <w:rFonts w:hint="eastAsia" w:asciiTheme="minorEastAsia" w:hAnsiTheme="minorEastAsia" w:eastAsiaTheme="minorEastAsia" w:cstheme="minorEastAsia"/>
                <w:sz w:val="21"/>
                <w:szCs w:val="21"/>
                <w:highlight w:val="none"/>
                <w:vertAlign w:val="baseline"/>
                <w:lang w:val="en-US" w:eastAsia="zh-CN"/>
              </w:rPr>
              <w:t>3.5</w:t>
            </w:r>
            <w:r>
              <w:rPr>
                <w:rFonts w:hint="eastAsia" w:asciiTheme="minorEastAsia" w:hAnsiTheme="minorEastAsia" w:eastAsiaTheme="minorEastAsia" w:cstheme="minorEastAsia"/>
                <w:sz w:val="21"/>
                <w:szCs w:val="21"/>
                <w:highlight w:val="none"/>
                <w:vertAlign w:val="baseline"/>
              </w:rPr>
              <w:t>%（＞10mm）。</w:t>
            </w:r>
            <w:r>
              <w:rPr>
                <w:rFonts w:hint="eastAsia" w:asciiTheme="minorEastAsia" w:hAnsiTheme="minorEastAsia" w:eastAsiaTheme="minorEastAsia" w:cstheme="minorEastAsia"/>
                <w:sz w:val="21"/>
                <w:szCs w:val="21"/>
                <w:highlight w:val="none"/>
                <w:vertAlign w:val="baseline"/>
                <w:lang w:val="en-US" w:eastAsia="zh-CN"/>
              </w:rPr>
              <w:t>雨量传感器</w:t>
            </w:r>
            <w:r>
              <w:rPr>
                <w:rFonts w:hint="eastAsia" w:asciiTheme="minorEastAsia" w:hAnsiTheme="minorEastAsia" w:eastAsiaTheme="minorEastAsia" w:cstheme="minorEastAsia"/>
                <w:sz w:val="21"/>
                <w:szCs w:val="21"/>
                <w:highlight w:val="none"/>
                <w:vertAlign w:val="baseline"/>
              </w:rPr>
              <w:t>采用双翻斗设计，主体使用304不锈钢材质</w:t>
            </w:r>
          </w:p>
          <w:p w14:paraId="6F283558">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(二)关键火险因子</w:t>
            </w:r>
          </w:p>
          <w:p w14:paraId="520C6E1F">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1.1小时可燃物含水率传感器：测量范围：0~100%，分辨力：0.1%，最大允许误差：≤±5% Vol(含水率≤35%时）；≤±10% Vol(35%＜含水率≤100%时）。</w:t>
            </w:r>
          </w:p>
          <w:p w14:paraId="74761EE0">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2.土壤含水率传感器：测量范围：0~100%，分辨力：0.1%，最大允许误差：≤±5% Vol</w:t>
            </w:r>
          </w:p>
          <w:p w14:paraId="222209DE">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3.土壤温度传感器：测量范围：-40℃～60℃，分辨力：0.1℃，最大允许误差：≤±0.2℃</w:t>
            </w:r>
          </w:p>
          <w:p w14:paraId="65ECFE6D">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4.10小时可燃物温度传感器：测量范围：-40℃～60℃，分辨力：≤0.1℃，最大允许误差：±0.2℃</w:t>
            </w:r>
          </w:p>
          <w:p w14:paraId="7B9FE6B5">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5.10小时可燃物含水率传感器：测量范围：0~70% Vol，分辨力：0.1% Vol，最大允许误差：≤±3%（含水率≤25%），材质为松木制成，直径13cm，长度40cm。</w:t>
            </w:r>
          </w:p>
          <w:p w14:paraId="734D67AB">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（三）辅助传感器</w:t>
            </w:r>
          </w:p>
          <w:p w14:paraId="4A8234A4">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1.防盗相机：支持移动侦测报警功能。</w:t>
            </w:r>
          </w:p>
          <w:p w14:paraId="3288AF88">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（四）管理单元</w:t>
            </w:r>
          </w:p>
          <w:p w14:paraId="1F33B449">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1.管理单元：具备IP67防水防尘功能</w:t>
            </w:r>
          </w:p>
          <w:p w14:paraId="10BCE2F2">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2.网关：支持4G/5G公网通讯。</w:t>
            </w:r>
          </w:p>
          <w:p w14:paraId="5A73B171">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w:t>
            </w:r>
            <w:r>
              <w:rPr>
                <w:rFonts w:hint="eastAsia" w:asciiTheme="minorEastAsia" w:hAnsiTheme="minorEastAsia" w:eastAsiaTheme="minorEastAsia" w:cstheme="minorEastAsia"/>
                <w:sz w:val="21"/>
                <w:szCs w:val="21"/>
                <w:highlight w:val="none"/>
                <w:vertAlign w:val="baseline"/>
                <w:lang w:val="en-US" w:eastAsia="zh-CN"/>
              </w:rPr>
              <w:t>.</w:t>
            </w:r>
            <w:r>
              <w:rPr>
                <w:rFonts w:hint="eastAsia" w:asciiTheme="minorEastAsia" w:hAnsiTheme="minorEastAsia" w:eastAsiaTheme="minorEastAsia" w:cstheme="minorEastAsia"/>
                <w:sz w:val="21"/>
                <w:szCs w:val="21"/>
                <w:highlight w:val="none"/>
                <w:vertAlign w:val="baseline"/>
              </w:rPr>
              <w:t>数据支持本地存储，数据无线上报</w:t>
            </w:r>
          </w:p>
          <w:p w14:paraId="6B37CB7C">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4.国产化自主可控能力</w:t>
            </w:r>
          </w:p>
          <w:p w14:paraId="5D88E0C0">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 xml:space="preserve"> (五)供电单元</w:t>
            </w:r>
          </w:p>
          <w:p w14:paraId="4B01301D">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1.太阳能电池板:与整机功耗相适应，与蓄电池联合供电，≥12V，100W</w:t>
            </w:r>
          </w:p>
          <w:p w14:paraId="373D8151">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2.免维护蓄电池:与整机功耗相适应，与太阳能电池板联合供电，12V100AH，满足监测站连续阴雨情况下15天的供电</w:t>
            </w:r>
          </w:p>
          <w:p w14:paraId="5D20150A">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3.供电控制和防雷单元：防雷单元模块冲击耐受能力5kV&amp;2.5kA，接地电阻小于10 Ω 。</w:t>
            </w:r>
          </w:p>
          <w:p w14:paraId="41E245CB">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（六）整体系统性能</w:t>
            </w:r>
          </w:p>
          <w:p w14:paraId="4E72EDCE">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rPr>
              <w:t>1.系统需</w:t>
            </w:r>
            <w:r>
              <w:rPr>
                <w:rFonts w:hint="eastAsia" w:asciiTheme="minorEastAsia" w:hAnsiTheme="minorEastAsia" w:eastAsiaTheme="minorEastAsia" w:cstheme="minorEastAsia"/>
                <w:sz w:val="21"/>
                <w:szCs w:val="21"/>
                <w:highlight w:val="none"/>
                <w:vertAlign w:val="baseline"/>
                <w:lang w:val="en-US" w:eastAsia="zh-CN"/>
              </w:rPr>
              <w:t>支持</w:t>
            </w:r>
            <w:r>
              <w:rPr>
                <w:rFonts w:hint="eastAsia" w:asciiTheme="minorEastAsia" w:hAnsiTheme="minorEastAsia" w:eastAsiaTheme="minorEastAsia" w:cstheme="minorEastAsia"/>
                <w:sz w:val="21"/>
                <w:szCs w:val="21"/>
                <w:highlight w:val="none"/>
                <w:vertAlign w:val="baseline"/>
              </w:rPr>
              <w:t>具备不少于10000小时的运行时间</w:t>
            </w:r>
            <w:r>
              <w:rPr>
                <w:rFonts w:hint="eastAsia" w:asciiTheme="minorEastAsia" w:hAnsiTheme="minorEastAsia" w:eastAsiaTheme="minorEastAsia" w:cstheme="minorEastAsia"/>
                <w:sz w:val="21"/>
                <w:szCs w:val="21"/>
                <w:highlight w:val="none"/>
                <w:vertAlign w:val="baseline"/>
                <w:lang w:eastAsia="zh-CN"/>
              </w:rPr>
              <w:t>。</w:t>
            </w:r>
          </w:p>
          <w:p w14:paraId="4FF64497">
            <w:pPr>
              <w:keepNext w:val="0"/>
              <w:keepLines w:val="0"/>
              <w:pageBreakBefore w:val="0"/>
              <w:widowControl w:val="0"/>
              <w:kinsoku w:val="0"/>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2.设备主杆高度≥6米，围栏高度≥1.5米。</w:t>
            </w:r>
          </w:p>
        </w:tc>
      </w:tr>
      <w:tr w14:paraId="717AD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vMerge w:val="continue"/>
            <w:vAlign w:val="center"/>
          </w:tcPr>
          <w:p w14:paraId="1D36C15F">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p>
        </w:tc>
        <w:tc>
          <w:tcPr>
            <w:tcW w:w="1248" w:type="dxa"/>
            <w:vMerge w:val="continue"/>
            <w:vAlign w:val="center"/>
          </w:tcPr>
          <w:p w14:paraId="0A3B995B">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rPr>
            </w:pPr>
          </w:p>
        </w:tc>
        <w:tc>
          <w:tcPr>
            <w:tcW w:w="1436" w:type="dxa"/>
            <w:vAlign w:val="center"/>
          </w:tcPr>
          <w:p w14:paraId="171C1F6D">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地表火探测器</w:t>
            </w:r>
          </w:p>
        </w:tc>
        <w:tc>
          <w:tcPr>
            <w:tcW w:w="632" w:type="dxa"/>
            <w:vAlign w:val="center"/>
          </w:tcPr>
          <w:p w14:paraId="5C1AD72B">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27</w:t>
            </w:r>
          </w:p>
        </w:tc>
        <w:tc>
          <w:tcPr>
            <w:tcW w:w="582" w:type="dxa"/>
            <w:vAlign w:val="center"/>
          </w:tcPr>
          <w:p w14:paraId="3CC5C8F5">
            <w:pPr>
              <w:keepNext w:val="0"/>
              <w:keepLines w:val="0"/>
              <w:pageBreakBefore w:val="0"/>
              <w:widowControl/>
              <w:topLinePunct w:val="0"/>
              <w:autoSpaceDN w:val="0"/>
              <w:bidi w:val="0"/>
              <w:adjustRightInd w:val="0"/>
              <w:snapToGrid w:val="0"/>
              <w:spacing w:line="520" w:lineRule="exact"/>
              <w:jc w:val="center"/>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套</w:t>
            </w:r>
          </w:p>
        </w:tc>
        <w:tc>
          <w:tcPr>
            <w:tcW w:w="4659" w:type="dxa"/>
            <w:vAlign w:val="center"/>
          </w:tcPr>
          <w:p w14:paraId="7EB803F5">
            <w:pPr>
              <w:keepNext w:val="0"/>
              <w:keepLines w:val="0"/>
              <w:pageBreakBefore w:val="0"/>
              <w:widowControl w:val="0"/>
              <w:numPr>
                <w:ilvl w:val="0"/>
                <w:numId w:val="1"/>
              </w:numPr>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探测器硬件：</w:t>
            </w:r>
          </w:p>
          <w:p w14:paraId="1962D601">
            <w:pPr>
              <w:keepNext w:val="0"/>
              <w:keepLines w:val="0"/>
              <w:pageBreakBefore w:val="0"/>
              <w:widowControl w:val="0"/>
              <w:numPr>
                <w:ilvl w:val="0"/>
                <w:numId w:val="0"/>
              </w:numPr>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1.火情监测：支持IR波段和UV波段复合传感实时监测地表火</w:t>
            </w:r>
          </w:p>
          <w:p w14:paraId="6F5E0D22">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（1）火情监测：支持IR、UV双通道复合传感监测；</w:t>
            </w:r>
          </w:p>
          <w:p w14:paraId="66E4DC9D">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（2）探测窗口：具备1个IR探测窗口和1个UV探测窗口，IR探测窗口透光玻片为窄带中波红外透光片（可见光透过率为0%（人眼不可透视））；</w:t>
            </w:r>
          </w:p>
          <w:p w14:paraId="2F3D6AB6">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（3）检测延迟：基于IR、UV双通道复合传感检测火情延迟≤1s；</w:t>
            </w:r>
          </w:p>
          <w:p w14:paraId="3745BEF0">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rPr>
              <w:t>（4）探测灵敏度：</w:t>
            </w:r>
            <w:r>
              <w:rPr>
                <w:rFonts w:hint="eastAsia" w:asciiTheme="minorEastAsia" w:hAnsiTheme="minorEastAsia" w:eastAsiaTheme="minorEastAsia" w:cstheme="minorEastAsia"/>
                <w:sz w:val="21"/>
                <w:szCs w:val="21"/>
                <w:highlight w:val="none"/>
                <w:vertAlign w:val="baseline"/>
                <w:lang w:val="en-US" w:eastAsia="zh-CN"/>
              </w:rPr>
              <w:t>在</w:t>
            </w:r>
            <w:r>
              <w:rPr>
                <w:rFonts w:hint="eastAsia" w:asciiTheme="minorEastAsia" w:hAnsiTheme="minorEastAsia" w:eastAsiaTheme="minorEastAsia" w:cstheme="minorEastAsia"/>
                <w:sz w:val="21"/>
                <w:szCs w:val="21"/>
                <w:highlight w:val="none"/>
                <w:vertAlign w:val="baseline"/>
              </w:rPr>
              <w:t>测试火</w:t>
            </w:r>
            <w:r>
              <w:rPr>
                <w:rFonts w:hint="eastAsia" w:asciiTheme="minorEastAsia" w:hAnsiTheme="minorEastAsia" w:eastAsiaTheme="minorEastAsia" w:cstheme="minorEastAsia"/>
                <w:sz w:val="21"/>
                <w:szCs w:val="21"/>
                <w:highlight w:val="none"/>
                <w:vertAlign w:val="baseline"/>
                <w:lang w:val="en-US" w:eastAsia="zh-CN"/>
              </w:rPr>
              <w:t>中心</w:t>
            </w:r>
            <w:r>
              <w:rPr>
                <w:rFonts w:hint="eastAsia" w:asciiTheme="minorEastAsia" w:hAnsiTheme="minorEastAsia" w:eastAsiaTheme="minorEastAsia" w:cstheme="minorEastAsia"/>
                <w:sz w:val="21"/>
                <w:szCs w:val="21"/>
                <w:highlight w:val="none"/>
                <w:vertAlign w:val="baseline"/>
              </w:rPr>
              <w:t>距离40m</w:t>
            </w:r>
            <w:r>
              <w:rPr>
                <w:rFonts w:hint="eastAsia" w:asciiTheme="minorEastAsia" w:hAnsiTheme="minorEastAsia" w:eastAsiaTheme="minorEastAsia" w:cstheme="minorEastAsia"/>
                <w:sz w:val="21"/>
                <w:szCs w:val="21"/>
                <w:highlight w:val="none"/>
                <w:vertAlign w:val="baseline"/>
                <w:lang w:val="en-US" w:eastAsia="zh-CN"/>
              </w:rPr>
              <w:t>时</w:t>
            </w:r>
            <w:r>
              <w:rPr>
                <w:rFonts w:hint="eastAsia" w:asciiTheme="minorEastAsia" w:hAnsiTheme="minorEastAsia" w:eastAsiaTheme="minorEastAsia" w:cstheme="minorEastAsia"/>
                <w:sz w:val="21"/>
                <w:szCs w:val="21"/>
                <w:highlight w:val="none"/>
                <w:vertAlign w:val="baseline"/>
                <w:lang w:eastAsia="zh-CN"/>
              </w:rPr>
              <w:t>，</w:t>
            </w:r>
            <w:r>
              <w:rPr>
                <w:rFonts w:hint="eastAsia" w:asciiTheme="minorEastAsia" w:hAnsiTheme="minorEastAsia" w:eastAsiaTheme="minorEastAsia" w:cstheme="minorEastAsia"/>
                <w:sz w:val="21"/>
                <w:szCs w:val="21"/>
                <w:highlight w:val="none"/>
                <w:vertAlign w:val="baseline"/>
              </w:rPr>
              <w:t>满足I级灵敏度要求</w:t>
            </w:r>
            <w:r>
              <w:rPr>
                <w:rFonts w:hint="eastAsia" w:asciiTheme="minorEastAsia" w:hAnsiTheme="minorEastAsia" w:eastAsiaTheme="minorEastAsia" w:cstheme="minorEastAsia"/>
                <w:sz w:val="21"/>
                <w:szCs w:val="21"/>
                <w:highlight w:val="none"/>
                <w:vertAlign w:val="baseline"/>
                <w:lang w:eastAsia="zh-CN"/>
              </w:rPr>
              <w:t>；</w:t>
            </w:r>
          </w:p>
          <w:p w14:paraId="5D3E28C8">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（5）探测范围：水平视场（FV）不小于100°，垂直视场（FV）不小于50°；</w:t>
            </w:r>
          </w:p>
          <w:p w14:paraId="46E3AE33">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（6）响应时间：</w:t>
            </w:r>
            <w:r>
              <w:rPr>
                <w:rFonts w:hint="eastAsia" w:asciiTheme="minorEastAsia" w:hAnsiTheme="minorEastAsia" w:eastAsiaTheme="minorEastAsia" w:cstheme="minorEastAsia"/>
                <w:sz w:val="21"/>
                <w:szCs w:val="21"/>
                <w:highlight w:val="none"/>
                <w:vertAlign w:val="baseline"/>
                <w:lang w:val="en-US" w:eastAsia="zh-CN"/>
              </w:rPr>
              <w:t>探测火情报警响应时间</w:t>
            </w:r>
            <w:r>
              <w:rPr>
                <w:rFonts w:hint="eastAsia" w:asciiTheme="minorEastAsia" w:hAnsiTheme="minorEastAsia" w:eastAsiaTheme="minorEastAsia" w:cstheme="minorEastAsia"/>
                <w:sz w:val="21"/>
                <w:szCs w:val="21"/>
                <w:highlight w:val="none"/>
                <w:vertAlign w:val="baseline"/>
              </w:rPr>
              <w:t>≤35s。</w:t>
            </w:r>
          </w:p>
          <w:p w14:paraId="70E8D153">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（7）开机预热：开机无预热；</w:t>
            </w:r>
          </w:p>
          <w:p w14:paraId="36F9E67B">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（8）火情识别功能：设备具有火情识别功能。</w:t>
            </w:r>
          </w:p>
          <w:p w14:paraId="7670252C">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3.防盗监测：支持空间姿态传感实时监测设备跌落或人为盗取现象</w:t>
            </w:r>
          </w:p>
          <w:p w14:paraId="77AB4466">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（1）姿态传感：支持空间姿态变化传感监测；</w:t>
            </w:r>
          </w:p>
          <w:p w14:paraId="14C9CF23">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（2）响应时间：</w:t>
            </w:r>
            <w:r>
              <w:rPr>
                <w:rFonts w:hint="eastAsia" w:asciiTheme="minorEastAsia" w:hAnsiTheme="minorEastAsia" w:eastAsiaTheme="minorEastAsia" w:cstheme="minorEastAsia"/>
                <w:sz w:val="21"/>
                <w:szCs w:val="21"/>
                <w:highlight w:val="none"/>
                <w:vertAlign w:val="baseline"/>
                <w:lang w:val="en-US" w:eastAsia="zh-CN"/>
              </w:rPr>
              <w:t>防盗告警响应时间</w:t>
            </w:r>
            <w:r>
              <w:rPr>
                <w:rFonts w:hint="eastAsia" w:asciiTheme="minorEastAsia" w:hAnsiTheme="minorEastAsia" w:eastAsiaTheme="minorEastAsia" w:cstheme="minorEastAsia"/>
                <w:sz w:val="21"/>
                <w:szCs w:val="21"/>
                <w:highlight w:val="none"/>
                <w:vertAlign w:val="baseline"/>
              </w:rPr>
              <w:t>≤</w:t>
            </w:r>
            <w:r>
              <w:rPr>
                <w:rFonts w:hint="eastAsia" w:asciiTheme="minorEastAsia" w:hAnsiTheme="minorEastAsia" w:eastAsiaTheme="minorEastAsia" w:cstheme="minorEastAsia"/>
                <w:sz w:val="21"/>
                <w:szCs w:val="21"/>
                <w:highlight w:val="none"/>
                <w:vertAlign w:val="baseline"/>
                <w:lang w:val="en-US" w:eastAsia="zh-CN"/>
              </w:rPr>
              <w:t>9</w:t>
            </w:r>
            <w:r>
              <w:rPr>
                <w:rFonts w:hint="eastAsia" w:asciiTheme="minorEastAsia" w:hAnsiTheme="minorEastAsia" w:eastAsiaTheme="minorEastAsia" w:cstheme="minorEastAsia"/>
                <w:sz w:val="21"/>
                <w:szCs w:val="21"/>
                <w:highlight w:val="none"/>
                <w:vertAlign w:val="baseline"/>
              </w:rPr>
              <w:t>s。</w:t>
            </w:r>
          </w:p>
          <w:p w14:paraId="7B6732EE">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4.图像取证：支持对地表火情、设备跌落、人为盗取等现象照相取证</w:t>
            </w:r>
          </w:p>
          <w:p w14:paraId="49B58C48">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（1）火情抓拍取证：火警触发后，具有火情抓拍取证功能；</w:t>
            </w:r>
          </w:p>
          <w:p w14:paraId="7F42F7B9">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（2）跌落、盗取事件抓拍取证：设备跌落、人为盗取事件触发后照相取证；</w:t>
            </w:r>
          </w:p>
          <w:p w14:paraId="66BF700D">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（3）图像分辨率：200W像素，1080P（1920*1080）分辨率；</w:t>
            </w:r>
          </w:p>
          <w:p w14:paraId="0EE7A7C4">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（4）镜头焦距：f1.8mm/FF定焦；</w:t>
            </w:r>
          </w:p>
          <w:p w14:paraId="19567E3D">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（5）视场角度：广角100°；</w:t>
            </w:r>
          </w:p>
          <w:p w14:paraId="6C03E298">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5.防炫光干扰</w:t>
            </w:r>
          </w:p>
          <w:p w14:paraId="52DDF9D7">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防炫光：防止直射、炫光干扰。</w:t>
            </w:r>
          </w:p>
          <w:p w14:paraId="0A022983">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6.组网通信：支持4G通信及组网上云</w:t>
            </w:r>
          </w:p>
          <w:p w14:paraId="748AB2DB">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（1）运营商：中国电信、中国移动、中国联通（运营商可选）；</w:t>
            </w:r>
          </w:p>
          <w:p w14:paraId="18127E28">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（2）通信方式：4G；</w:t>
            </w:r>
          </w:p>
          <w:p w14:paraId="14AE80C0">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（3）通信天线：全向天线，驻波比≤2.0；</w:t>
            </w:r>
          </w:p>
          <w:p w14:paraId="44C60CE4">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（4）天线材质：全玻璃钢材质棒状天线，应全密封防水、防动物啃食工艺设计。</w:t>
            </w:r>
          </w:p>
          <w:p w14:paraId="56E50FB3">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7.电源供电：支持太阳能自助供电和微功耗控制管理</w:t>
            </w:r>
          </w:p>
          <w:p w14:paraId="6C252D55">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（1）整机能耗：工作≤400mW；</w:t>
            </w:r>
          </w:p>
          <w:p w14:paraId="0AED3E37">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（2）供电方式：太阳能自助供电。</w:t>
            </w:r>
          </w:p>
          <w:p w14:paraId="2F2B289C">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（3）具备太阳能充电功能</w:t>
            </w:r>
          </w:p>
          <w:p w14:paraId="1B0B9B8A">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8.可靠性能：具有电磁兼容、抗干扰和抗振动等可靠性能</w:t>
            </w:r>
          </w:p>
          <w:p w14:paraId="7F3ADBBE">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（1）电磁兼容：</w:t>
            </w:r>
          </w:p>
          <w:p w14:paraId="3C810670">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静电放电抗扰度符合GB/T17626.2中第3等级要求；</w:t>
            </w:r>
          </w:p>
          <w:p w14:paraId="0EA8E2B3">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color w:val="auto"/>
                <w:szCs w:val="21"/>
              </w:rPr>
              <w:t>射频电磁场辐射抗扰度符合GB/T 17626.3-2016等级3要求；</w:t>
            </w:r>
          </w:p>
          <w:p w14:paraId="2D5CA5B6">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工频磁场抗扰度符合GB/T 17626.8要求；</w:t>
            </w:r>
          </w:p>
          <w:p w14:paraId="450FB7A3">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（2）抗干扰：设备应具有抗环境光线干扰功能；</w:t>
            </w:r>
          </w:p>
          <w:p w14:paraId="316B4018">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（3）抗振动：设备应具有抗机械正弦振动功能，符合GB/T 2423.10-2019要求。</w:t>
            </w:r>
          </w:p>
          <w:p w14:paraId="21B125C3">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9.环境适应：适应野外日晒雨淋等气候环境</w:t>
            </w:r>
          </w:p>
          <w:p w14:paraId="7ACF2D83">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（1）环境适应性：</w:t>
            </w:r>
          </w:p>
          <w:p w14:paraId="326CB8D3">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color w:val="auto"/>
                <w:szCs w:val="21"/>
              </w:rPr>
              <w:t>在GB/T 2423.4-2008要求的交变湿热环境下</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rPr>
              <w:t>探测灵敏度</w:t>
            </w:r>
            <w:r>
              <w:rPr>
                <w:rFonts w:hint="eastAsia" w:asciiTheme="minorEastAsia" w:hAnsiTheme="minorEastAsia" w:eastAsiaTheme="minorEastAsia" w:cstheme="minorEastAsia"/>
                <w:color w:val="auto"/>
                <w:szCs w:val="21"/>
                <w:lang w:val="en-US" w:eastAsia="zh-CN"/>
              </w:rPr>
              <w:t>达到</w:t>
            </w:r>
            <w:r>
              <w:rPr>
                <w:rFonts w:hint="eastAsia" w:asciiTheme="minorEastAsia" w:hAnsiTheme="minorEastAsia" w:eastAsiaTheme="minorEastAsia" w:cstheme="minorEastAsia"/>
                <w:color w:val="auto"/>
                <w:szCs w:val="21"/>
              </w:rPr>
              <w:t>I级灵敏度；</w:t>
            </w:r>
          </w:p>
          <w:p w14:paraId="7DC6D8F0">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color w:val="auto"/>
                <w:szCs w:val="21"/>
              </w:rPr>
              <w:t>在GB/T 2423.3-2016要求的恒定湿热环境下</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rPr>
              <w:t>探测灵敏度</w:t>
            </w:r>
            <w:r>
              <w:rPr>
                <w:rFonts w:hint="eastAsia" w:asciiTheme="minorEastAsia" w:hAnsiTheme="minorEastAsia" w:eastAsiaTheme="minorEastAsia" w:cstheme="minorEastAsia"/>
                <w:color w:val="auto"/>
                <w:szCs w:val="21"/>
                <w:lang w:val="en-US" w:eastAsia="zh-CN"/>
              </w:rPr>
              <w:t>达到</w:t>
            </w:r>
            <w:r>
              <w:rPr>
                <w:rFonts w:hint="eastAsia" w:asciiTheme="minorEastAsia" w:hAnsiTheme="minorEastAsia" w:eastAsiaTheme="minorEastAsia" w:cstheme="minorEastAsia"/>
                <w:color w:val="auto"/>
                <w:szCs w:val="21"/>
              </w:rPr>
              <w:t>I级灵敏度；</w:t>
            </w:r>
          </w:p>
          <w:p w14:paraId="5808DC93">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（2）外壳防护：满足IP67；</w:t>
            </w:r>
          </w:p>
          <w:p w14:paraId="75A1F347">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（3）工作温度：-20℃~60℃；</w:t>
            </w:r>
          </w:p>
          <w:p w14:paraId="68B50F4F">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（4）工作湿度：0~95%HR(无凝结)。</w:t>
            </w:r>
          </w:p>
          <w:p w14:paraId="553F7D93">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10.其他</w:t>
            </w:r>
          </w:p>
          <w:p w14:paraId="6D7A7BB8">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（1）壳体材质：铝合金压铸外壳，一体式前盖+后盖压合密封结构；</w:t>
            </w:r>
          </w:p>
          <w:p w14:paraId="3BE027BD">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（2）壳体密封：全密封工艺，设有气密检测专用端口（正下方）；</w:t>
            </w:r>
          </w:p>
          <w:p w14:paraId="598A7A97">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（3）安装方式：立杆或树载安装。</w:t>
            </w:r>
          </w:p>
          <w:p w14:paraId="240FA85E">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二、探测器测控软件：</w:t>
            </w:r>
          </w:p>
          <w:p w14:paraId="0AF06D7D">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 xml:space="preserve">1.状态管理：支持监测、识别、传输、报警等运行状态测控管理；   </w:t>
            </w:r>
          </w:p>
          <w:p w14:paraId="35A40560">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2.火情识别：支持复合传感、多维信息、特征向量的高精度人工智能（AI）识别；</w:t>
            </w:r>
          </w:p>
          <w:p w14:paraId="0546EF0E">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3.防盗识别：支持姿态传感、姿态变化、多维信息的高精度人工智能（AI）识别；</w:t>
            </w:r>
          </w:p>
          <w:p w14:paraId="46BAC7DE">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4.照相取证：支持报警事件照相取证和自动回传；</w:t>
            </w:r>
          </w:p>
          <w:p w14:paraId="359A5858">
            <w:pPr>
              <w:keepNext w:val="0"/>
              <w:keepLines w:val="0"/>
              <w:pageBreakBefore w:val="0"/>
              <w:widowControl w:val="0"/>
              <w:kinsoku/>
              <w:wordWrap w:val="0"/>
              <w:overflowPunct w:val="0"/>
              <w:topLinePunct w:val="0"/>
              <w:autoSpaceDE/>
              <w:autoSpaceDN w:val="0"/>
              <w:bidi w:val="0"/>
              <w:adjustRightInd w:val="0"/>
              <w:snapToGrid w:val="0"/>
              <w:spacing w:line="520" w:lineRule="exact"/>
              <w:jc w:val="both"/>
              <w:textAlignment w:val="baseline"/>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rPr>
              <w:t>5.异常诊断：支持设备异常智能监测和异常告警。</w:t>
            </w:r>
          </w:p>
        </w:tc>
      </w:tr>
    </w:tbl>
    <w:p w14:paraId="227467B4">
      <w:pPr>
        <w:widowControl/>
        <w:spacing w:line="360" w:lineRule="auto"/>
        <w:ind w:firstLine="420" w:firstLineChars="200"/>
        <w:jc w:val="left"/>
        <w:rPr>
          <w:rFonts w:ascii="宋体" w:hAnsi="宋体"/>
          <w:szCs w:val="21"/>
          <w:highlight w:val="cyan"/>
        </w:rPr>
      </w:pPr>
    </w:p>
    <w:p w14:paraId="30480996">
      <w:pPr>
        <w:pStyle w:val="6"/>
        <w:keepNext w:val="0"/>
        <w:keepLines w:val="0"/>
        <w:pageBreakBefore w:val="0"/>
        <w:wordWrap/>
        <w:overflowPunct/>
        <w:topLinePunct w:val="0"/>
        <w:bidi w:val="0"/>
        <w:spacing w:line="360" w:lineRule="auto"/>
        <w:ind w:firstLine="600" w:firstLineChars="200"/>
        <w:rPr>
          <w:rFonts w:hint="eastAsia" w:ascii="宋体" w:hAnsi="宋体" w:eastAsia="宋体" w:cs="宋体"/>
          <w:color w:val="auto"/>
          <w:szCs w:val="21"/>
        </w:rPr>
      </w:pPr>
    </w:p>
    <w:p w14:paraId="15E12C09">
      <w:pPr>
        <w:pStyle w:val="6"/>
        <w:keepNext w:val="0"/>
        <w:keepLines w:val="0"/>
        <w:pageBreakBefore w:val="0"/>
        <w:wordWrap/>
        <w:overflowPunct/>
        <w:topLinePunct w:val="0"/>
        <w:bidi w:val="0"/>
        <w:spacing w:line="360" w:lineRule="auto"/>
        <w:ind w:firstLine="600" w:firstLineChars="200"/>
        <w:rPr>
          <w:rFonts w:hint="eastAsia" w:ascii="宋体" w:hAnsi="宋体" w:eastAsia="宋体" w:cs="宋体"/>
          <w:color w:val="auto"/>
          <w:szCs w:val="21"/>
        </w:rPr>
      </w:pPr>
    </w:p>
    <w:p w14:paraId="528E36FA">
      <w:pPr>
        <w:pStyle w:val="6"/>
        <w:keepNext w:val="0"/>
        <w:keepLines w:val="0"/>
        <w:pageBreakBefore w:val="0"/>
        <w:wordWrap/>
        <w:overflowPunct/>
        <w:topLinePunct w:val="0"/>
        <w:bidi w:val="0"/>
        <w:spacing w:line="360" w:lineRule="auto"/>
        <w:ind w:firstLine="600" w:firstLineChars="200"/>
        <w:rPr>
          <w:rFonts w:hint="eastAsia" w:ascii="宋体" w:hAnsi="宋体" w:eastAsia="宋体" w:cs="宋体"/>
          <w:color w:val="auto"/>
          <w:szCs w:val="21"/>
        </w:rPr>
      </w:pPr>
    </w:p>
    <w:p w14:paraId="47DDDC30">
      <w:pPr>
        <w:pStyle w:val="6"/>
        <w:keepNext w:val="0"/>
        <w:keepLines w:val="0"/>
        <w:pageBreakBefore w:val="0"/>
        <w:wordWrap/>
        <w:overflowPunct/>
        <w:topLinePunct w:val="0"/>
        <w:bidi w:val="0"/>
        <w:spacing w:line="360" w:lineRule="auto"/>
        <w:ind w:firstLine="600" w:firstLineChars="200"/>
        <w:rPr>
          <w:rFonts w:hint="eastAsia" w:ascii="宋体" w:hAnsi="宋体" w:eastAsia="宋体" w:cs="宋体"/>
          <w:color w:val="auto"/>
          <w:szCs w:val="21"/>
        </w:rPr>
      </w:pPr>
    </w:p>
    <w:p w14:paraId="271AA20B">
      <w:pPr>
        <w:pStyle w:val="6"/>
        <w:keepNext w:val="0"/>
        <w:keepLines w:val="0"/>
        <w:pageBreakBefore w:val="0"/>
        <w:wordWrap/>
        <w:overflowPunct/>
        <w:topLinePunct w:val="0"/>
        <w:bidi w:val="0"/>
        <w:spacing w:line="360" w:lineRule="auto"/>
        <w:ind w:firstLine="600" w:firstLineChars="200"/>
        <w:rPr>
          <w:rFonts w:hint="eastAsia" w:ascii="宋体" w:hAnsi="宋体" w:eastAsia="宋体" w:cs="宋体"/>
          <w:color w:val="auto"/>
          <w:szCs w:val="21"/>
        </w:rPr>
      </w:pPr>
    </w:p>
    <w:p w14:paraId="56257050">
      <w:pPr>
        <w:pStyle w:val="6"/>
        <w:keepNext w:val="0"/>
        <w:keepLines w:val="0"/>
        <w:pageBreakBefore w:val="0"/>
        <w:wordWrap/>
        <w:overflowPunct/>
        <w:topLinePunct w:val="0"/>
        <w:bidi w:val="0"/>
        <w:spacing w:line="360" w:lineRule="auto"/>
        <w:ind w:firstLine="600" w:firstLineChars="200"/>
        <w:rPr>
          <w:rFonts w:hint="eastAsia" w:ascii="宋体" w:hAnsi="宋体" w:eastAsia="宋体" w:cs="宋体"/>
          <w:color w:val="auto"/>
          <w:szCs w:val="21"/>
        </w:rPr>
      </w:pPr>
    </w:p>
    <w:p w14:paraId="1F260659">
      <w:pPr>
        <w:pStyle w:val="6"/>
        <w:keepNext w:val="0"/>
        <w:keepLines w:val="0"/>
        <w:pageBreakBefore w:val="0"/>
        <w:wordWrap/>
        <w:overflowPunct/>
        <w:topLinePunct w:val="0"/>
        <w:bidi w:val="0"/>
        <w:spacing w:line="360" w:lineRule="auto"/>
        <w:ind w:firstLine="600" w:firstLineChars="200"/>
        <w:rPr>
          <w:rFonts w:hint="eastAsia" w:ascii="宋体" w:hAnsi="宋体" w:eastAsia="宋体" w:cs="宋体"/>
          <w:color w:val="auto"/>
          <w:szCs w:val="21"/>
        </w:rPr>
      </w:pPr>
    </w:p>
    <w:p w14:paraId="701E5FEC">
      <w:pPr>
        <w:pStyle w:val="6"/>
        <w:keepNext w:val="0"/>
        <w:keepLines w:val="0"/>
        <w:pageBreakBefore w:val="0"/>
        <w:wordWrap/>
        <w:overflowPunct/>
        <w:topLinePunct w:val="0"/>
        <w:bidi w:val="0"/>
        <w:spacing w:line="360" w:lineRule="auto"/>
        <w:ind w:firstLine="600" w:firstLineChars="200"/>
        <w:rPr>
          <w:rFonts w:hint="eastAsia" w:ascii="宋体" w:hAnsi="宋体" w:eastAsia="宋体" w:cs="宋体"/>
          <w:color w:val="auto"/>
          <w:szCs w:val="21"/>
        </w:rPr>
      </w:pPr>
    </w:p>
    <w:p w14:paraId="2CF700A0">
      <w:pPr>
        <w:pStyle w:val="6"/>
        <w:keepNext w:val="0"/>
        <w:keepLines w:val="0"/>
        <w:pageBreakBefore w:val="0"/>
        <w:wordWrap/>
        <w:overflowPunct/>
        <w:topLinePunct w:val="0"/>
        <w:bidi w:val="0"/>
        <w:spacing w:line="360" w:lineRule="auto"/>
        <w:ind w:firstLine="600" w:firstLineChars="200"/>
        <w:rPr>
          <w:rFonts w:hint="eastAsia" w:ascii="宋体" w:hAnsi="宋体" w:eastAsia="宋体" w:cs="宋体"/>
          <w:color w:val="auto"/>
          <w:szCs w:val="21"/>
        </w:rPr>
      </w:pPr>
    </w:p>
    <w:p w14:paraId="5E4E9854">
      <w:pPr>
        <w:pStyle w:val="6"/>
        <w:keepNext w:val="0"/>
        <w:keepLines w:val="0"/>
        <w:pageBreakBefore w:val="0"/>
        <w:wordWrap/>
        <w:overflowPunct/>
        <w:topLinePunct w:val="0"/>
        <w:bidi w:val="0"/>
        <w:spacing w:line="360" w:lineRule="auto"/>
        <w:ind w:firstLine="600" w:firstLineChars="200"/>
        <w:rPr>
          <w:rFonts w:hint="eastAsia" w:ascii="宋体" w:hAnsi="宋体" w:eastAsia="宋体" w:cs="宋体"/>
          <w:color w:val="auto"/>
          <w:szCs w:val="21"/>
        </w:rPr>
      </w:pPr>
    </w:p>
    <w:p w14:paraId="6E925194">
      <w:pPr>
        <w:rPr>
          <w:rFonts w:hint="eastAsia"/>
        </w:rPr>
      </w:pPr>
      <w:r>
        <w:rPr>
          <w:rFonts w:hint="eastAsia"/>
        </w:rPr>
        <w:br w:type="page"/>
      </w:r>
    </w:p>
    <w:p w14:paraId="366345F6">
      <w:pPr>
        <w:rPr>
          <w:rFonts w:hint="eastAsia"/>
        </w:rPr>
      </w:pPr>
    </w:p>
    <w:p w14:paraId="541C9C77">
      <w:pPr>
        <w:pStyle w:val="6"/>
        <w:keepNext w:val="0"/>
        <w:keepLines w:val="0"/>
        <w:pageBreakBefore w:val="0"/>
        <w:wordWrap/>
        <w:overflowPunct/>
        <w:topLinePunct w:val="0"/>
        <w:bidi w:val="0"/>
        <w:spacing w:line="360" w:lineRule="auto"/>
        <w:ind w:firstLine="600" w:firstLineChars="200"/>
        <w:rPr>
          <w:rFonts w:ascii="Arial"/>
          <w:color w:val="auto"/>
          <w:sz w:val="21"/>
        </w:rPr>
      </w:pPr>
      <w:r>
        <w:rPr>
          <w:rFonts w:hint="eastAsia" w:ascii="宋体" w:hAnsi="宋体" w:eastAsia="宋体" w:cs="宋体"/>
          <w:color w:val="auto"/>
          <w:szCs w:val="21"/>
        </w:rPr>
        <w:t>▲</w:t>
      </w:r>
      <w:r>
        <w:rPr>
          <w:rFonts w:hint="eastAsia" w:ascii="宋体" w:hAnsi="宋体" w:eastAsia="宋体" w:cs="宋体"/>
          <w:b/>
          <w:color w:val="auto"/>
          <w:kern w:val="0"/>
          <w:sz w:val="24"/>
          <w:lang w:eastAsia="zh-CN"/>
        </w:rPr>
        <w:t>（四）商务要求</w:t>
      </w:r>
    </w:p>
    <w:tbl>
      <w:tblPr>
        <w:tblStyle w:val="17"/>
        <w:tblW w:w="947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4"/>
        <w:gridCol w:w="1912"/>
        <w:gridCol w:w="6863"/>
      </w:tblGrid>
      <w:tr w14:paraId="06DF20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24" w:hRule="atLeast"/>
        </w:trPr>
        <w:tc>
          <w:tcPr>
            <w:tcW w:w="704" w:type="dxa"/>
            <w:tcBorders>
              <w:top w:val="single" w:color="auto" w:sz="4" w:space="0"/>
              <w:left w:val="single" w:color="auto" w:sz="4" w:space="0"/>
              <w:bottom w:val="single" w:color="auto" w:sz="4" w:space="0"/>
              <w:right w:val="single" w:color="auto" w:sz="4" w:space="0"/>
            </w:tcBorders>
            <w:vAlign w:val="center"/>
          </w:tcPr>
          <w:p w14:paraId="0B408ECD">
            <w:pPr>
              <w:keepNext w:val="0"/>
              <w:keepLines w:val="0"/>
              <w:pageBreakBefore w:val="0"/>
              <w:widowControl w:val="0"/>
              <w:kinsoku/>
              <w:wordWrap w:val="0"/>
              <w:overflowPunct w:val="0"/>
              <w:topLinePunct w:val="0"/>
              <w:autoSpaceDE/>
              <w:autoSpaceDN w:val="0"/>
              <w:bidi w:val="0"/>
              <w:adjustRightInd w:val="0"/>
              <w:snapToGrid w:val="0"/>
              <w:spacing w:line="360" w:lineRule="auto"/>
              <w:jc w:val="center"/>
              <w:textAlignment w:val="baseline"/>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一</w:t>
            </w:r>
          </w:p>
        </w:tc>
        <w:tc>
          <w:tcPr>
            <w:tcW w:w="1912" w:type="dxa"/>
            <w:tcBorders>
              <w:top w:val="single" w:color="auto" w:sz="4" w:space="0"/>
              <w:left w:val="single" w:color="auto" w:sz="4" w:space="0"/>
              <w:bottom w:val="single" w:color="auto" w:sz="4" w:space="0"/>
              <w:right w:val="single" w:color="auto" w:sz="4" w:space="0"/>
            </w:tcBorders>
            <w:vAlign w:val="center"/>
          </w:tcPr>
          <w:p w14:paraId="41D3AF5C">
            <w:pPr>
              <w:keepNext w:val="0"/>
              <w:keepLines w:val="0"/>
              <w:pageBreakBefore w:val="0"/>
              <w:widowControl w:val="0"/>
              <w:kinsoku/>
              <w:wordWrap w:val="0"/>
              <w:overflowPunct w:val="0"/>
              <w:topLinePunct w:val="0"/>
              <w:autoSpaceDE/>
              <w:autoSpaceDN w:val="0"/>
              <w:bidi w:val="0"/>
              <w:adjustRightInd w:val="0"/>
              <w:snapToGrid w:val="0"/>
              <w:spacing w:line="360" w:lineRule="auto"/>
              <w:jc w:val="center"/>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提交服务成果时间</w:t>
            </w:r>
          </w:p>
        </w:tc>
        <w:tc>
          <w:tcPr>
            <w:tcW w:w="6863" w:type="dxa"/>
            <w:tcBorders>
              <w:top w:val="single" w:color="auto" w:sz="4" w:space="0"/>
              <w:left w:val="single" w:color="auto" w:sz="4" w:space="0"/>
              <w:bottom w:val="single" w:color="auto" w:sz="4" w:space="0"/>
              <w:right w:val="single" w:color="auto" w:sz="4" w:space="0"/>
            </w:tcBorders>
            <w:vAlign w:val="center"/>
          </w:tcPr>
          <w:p w14:paraId="68CB39C3">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自签订合同之日起60天内交货安装调试完毕并交付正常使用</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自项目竣工验收通过之日起，提供现场运维服务期为3年</w:t>
            </w:r>
            <w:r>
              <w:rPr>
                <w:rFonts w:hint="eastAsia" w:asciiTheme="minorEastAsia" w:hAnsiTheme="minorEastAsia" w:eastAsiaTheme="minorEastAsia" w:cstheme="minorEastAsia"/>
                <w:color w:val="auto"/>
                <w:sz w:val="21"/>
                <w:szCs w:val="21"/>
                <w:highlight w:val="none"/>
                <w:lang w:eastAsia="zh-CN"/>
              </w:rPr>
              <w:t>。</w:t>
            </w:r>
          </w:p>
        </w:tc>
      </w:tr>
      <w:tr w14:paraId="6000B3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09" w:hRule="atLeast"/>
        </w:trPr>
        <w:tc>
          <w:tcPr>
            <w:tcW w:w="704" w:type="dxa"/>
            <w:tcBorders>
              <w:top w:val="single" w:color="auto" w:sz="4" w:space="0"/>
              <w:left w:val="single" w:color="auto" w:sz="4" w:space="0"/>
              <w:bottom w:val="single" w:color="auto" w:sz="4" w:space="0"/>
              <w:right w:val="single" w:color="auto" w:sz="4" w:space="0"/>
            </w:tcBorders>
            <w:vAlign w:val="center"/>
          </w:tcPr>
          <w:p w14:paraId="6D1B1A2D">
            <w:pPr>
              <w:keepNext w:val="0"/>
              <w:keepLines w:val="0"/>
              <w:pageBreakBefore w:val="0"/>
              <w:widowControl w:val="0"/>
              <w:kinsoku/>
              <w:wordWrap w:val="0"/>
              <w:overflowPunct w:val="0"/>
              <w:topLinePunct w:val="0"/>
              <w:autoSpaceDE/>
              <w:autoSpaceDN w:val="0"/>
              <w:bidi w:val="0"/>
              <w:adjustRightInd w:val="0"/>
              <w:snapToGrid w:val="0"/>
              <w:spacing w:line="360" w:lineRule="auto"/>
              <w:jc w:val="center"/>
              <w:textAlignment w:val="baseline"/>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二</w:t>
            </w:r>
          </w:p>
        </w:tc>
        <w:tc>
          <w:tcPr>
            <w:tcW w:w="1912" w:type="dxa"/>
            <w:tcBorders>
              <w:top w:val="single" w:color="auto" w:sz="4" w:space="0"/>
              <w:left w:val="single" w:color="auto" w:sz="4" w:space="0"/>
              <w:bottom w:val="single" w:color="auto" w:sz="4" w:space="0"/>
              <w:right w:val="single" w:color="auto" w:sz="4" w:space="0"/>
            </w:tcBorders>
            <w:vAlign w:val="center"/>
          </w:tcPr>
          <w:p w14:paraId="02FC4120">
            <w:pPr>
              <w:keepNext w:val="0"/>
              <w:keepLines w:val="0"/>
              <w:pageBreakBefore w:val="0"/>
              <w:widowControl w:val="0"/>
              <w:kinsoku/>
              <w:wordWrap w:val="0"/>
              <w:overflowPunct w:val="0"/>
              <w:topLinePunct w:val="0"/>
              <w:autoSpaceDE/>
              <w:autoSpaceDN w:val="0"/>
              <w:bidi w:val="0"/>
              <w:adjustRightInd w:val="0"/>
              <w:snapToGrid w:val="0"/>
              <w:spacing w:line="360" w:lineRule="auto"/>
              <w:jc w:val="center"/>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提交服务成果地点</w:t>
            </w:r>
          </w:p>
        </w:tc>
        <w:tc>
          <w:tcPr>
            <w:tcW w:w="6863" w:type="dxa"/>
            <w:tcBorders>
              <w:top w:val="single" w:color="auto" w:sz="4" w:space="0"/>
              <w:left w:val="single" w:color="auto" w:sz="4" w:space="0"/>
              <w:bottom w:val="single" w:color="auto" w:sz="4" w:space="0"/>
              <w:right w:val="single" w:color="auto" w:sz="4" w:space="0"/>
            </w:tcBorders>
            <w:vAlign w:val="center"/>
          </w:tcPr>
          <w:p w14:paraId="7A50061A">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百色市林业局指定地点</w:t>
            </w:r>
          </w:p>
        </w:tc>
      </w:tr>
      <w:tr w14:paraId="5C78AD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43" w:hRule="atLeast"/>
        </w:trPr>
        <w:tc>
          <w:tcPr>
            <w:tcW w:w="704" w:type="dxa"/>
            <w:tcBorders>
              <w:top w:val="single" w:color="auto" w:sz="4" w:space="0"/>
              <w:left w:val="single" w:color="auto" w:sz="4" w:space="0"/>
              <w:bottom w:val="single" w:color="auto" w:sz="4" w:space="0"/>
              <w:right w:val="single" w:color="auto" w:sz="4" w:space="0"/>
            </w:tcBorders>
            <w:vAlign w:val="center"/>
          </w:tcPr>
          <w:p w14:paraId="0A797C97">
            <w:pPr>
              <w:keepNext w:val="0"/>
              <w:keepLines w:val="0"/>
              <w:pageBreakBefore w:val="0"/>
              <w:widowControl w:val="0"/>
              <w:kinsoku/>
              <w:wordWrap w:val="0"/>
              <w:overflowPunct w:val="0"/>
              <w:topLinePunct w:val="0"/>
              <w:autoSpaceDE/>
              <w:autoSpaceDN w:val="0"/>
              <w:bidi w:val="0"/>
              <w:adjustRightInd w:val="0"/>
              <w:snapToGrid w:val="0"/>
              <w:spacing w:line="360" w:lineRule="auto"/>
              <w:jc w:val="center"/>
              <w:textAlignment w:val="baseline"/>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三</w:t>
            </w:r>
          </w:p>
        </w:tc>
        <w:tc>
          <w:tcPr>
            <w:tcW w:w="1912" w:type="dxa"/>
            <w:tcBorders>
              <w:top w:val="single" w:color="auto" w:sz="4" w:space="0"/>
              <w:left w:val="single" w:color="auto" w:sz="4" w:space="0"/>
              <w:bottom w:val="single" w:color="auto" w:sz="4" w:space="0"/>
              <w:right w:val="single" w:color="auto" w:sz="4" w:space="0"/>
            </w:tcBorders>
            <w:vAlign w:val="center"/>
          </w:tcPr>
          <w:p w14:paraId="1ACA0B1E">
            <w:pPr>
              <w:keepNext w:val="0"/>
              <w:keepLines w:val="0"/>
              <w:pageBreakBefore w:val="0"/>
              <w:widowControl w:val="0"/>
              <w:kinsoku/>
              <w:wordWrap w:val="0"/>
              <w:overflowPunct w:val="0"/>
              <w:topLinePunct w:val="0"/>
              <w:autoSpaceDE/>
              <w:autoSpaceDN w:val="0"/>
              <w:bidi w:val="0"/>
              <w:adjustRightInd w:val="0"/>
              <w:snapToGrid w:val="0"/>
              <w:spacing w:line="360" w:lineRule="auto"/>
              <w:jc w:val="center"/>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合同签订</w:t>
            </w:r>
          </w:p>
        </w:tc>
        <w:tc>
          <w:tcPr>
            <w:tcW w:w="6863" w:type="dxa"/>
            <w:tcBorders>
              <w:top w:val="single" w:color="auto" w:sz="4" w:space="0"/>
              <w:left w:val="single" w:color="auto" w:sz="4" w:space="0"/>
              <w:bottom w:val="single" w:color="auto" w:sz="4" w:space="0"/>
              <w:right w:val="single" w:color="auto" w:sz="4" w:space="0"/>
            </w:tcBorders>
            <w:vAlign w:val="center"/>
          </w:tcPr>
          <w:p w14:paraId="1B390A7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自中标通知书发出之日起25日内。</w:t>
            </w:r>
          </w:p>
        </w:tc>
      </w:tr>
      <w:tr w14:paraId="5453AE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03" w:hRule="atLeast"/>
        </w:trPr>
        <w:tc>
          <w:tcPr>
            <w:tcW w:w="704" w:type="dxa"/>
            <w:tcBorders>
              <w:top w:val="single" w:color="auto" w:sz="4" w:space="0"/>
              <w:left w:val="single" w:color="auto" w:sz="4" w:space="0"/>
              <w:bottom w:val="single" w:color="auto" w:sz="4" w:space="0"/>
              <w:right w:val="single" w:color="auto" w:sz="4" w:space="0"/>
            </w:tcBorders>
            <w:vAlign w:val="center"/>
          </w:tcPr>
          <w:p w14:paraId="1C79DF28">
            <w:pPr>
              <w:keepNext w:val="0"/>
              <w:keepLines w:val="0"/>
              <w:pageBreakBefore w:val="0"/>
              <w:widowControl w:val="0"/>
              <w:kinsoku/>
              <w:wordWrap w:val="0"/>
              <w:overflowPunct w:val="0"/>
              <w:topLinePunct w:val="0"/>
              <w:autoSpaceDE/>
              <w:autoSpaceDN w:val="0"/>
              <w:bidi w:val="0"/>
              <w:adjustRightInd w:val="0"/>
              <w:snapToGrid w:val="0"/>
              <w:spacing w:line="360" w:lineRule="auto"/>
              <w:jc w:val="center"/>
              <w:textAlignment w:val="baseline"/>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四</w:t>
            </w:r>
          </w:p>
        </w:tc>
        <w:tc>
          <w:tcPr>
            <w:tcW w:w="1912" w:type="dxa"/>
            <w:tcBorders>
              <w:top w:val="single" w:color="auto" w:sz="4" w:space="0"/>
              <w:left w:val="single" w:color="auto" w:sz="4" w:space="0"/>
              <w:bottom w:val="single" w:color="auto" w:sz="4" w:space="0"/>
              <w:right w:val="single" w:color="auto" w:sz="4" w:space="0"/>
            </w:tcBorders>
            <w:vAlign w:val="center"/>
          </w:tcPr>
          <w:p w14:paraId="67811437">
            <w:pPr>
              <w:keepNext w:val="0"/>
              <w:keepLines w:val="0"/>
              <w:pageBreakBefore w:val="0"/>
              <w:widowControl w:val="0"/>
              <w:kinsoku/>
              <w:wordWrap w:val="0"/>
              <w:overflowPunct w:val="0"/>
              <w:topLinePunct w:val="0"/>
              <w:autoSpaceDE/>
              <w:autoSpaceDN w:val="0"/>
              <w:bidi w:val="0"/>
              <w:adjustRightInd w:val="0"/>
              <w:snapToGrid w:val="0"/>
              <w:spacing w:line="360" w:lineRule="auto"/>
              <w:jc w:val="center"/>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eastAsia="zh-CN"/>
              </w:rPr>
              <w:t>售后服务要求</w:t>
            </w:r>
          </w:p>
        </w:tc>
        <w:tc>
          <w:tcPr>
            <w:tcW w:w="6863" w:type="dxa"/>
            <w:tcBorders>
              <w:top w:val="single" w:color="auto" w:sz="4" w:space="0"/>
              <w:left w:val="single" w:color="auto" w:sz="4" w:space="0"/>
              <w:bottom w:val="single" w:color="auto" w:sz="4" w:space="0"/>
              <w:right w:val="single" w:color="auto" w:sz="4" w:space="0"/>
            </w:tcBorders>
            <w:vAlign w:val="center"/>
          </w:tcPr>
          <w:p w14:paraId="4AB5BD1D">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自项目竣工验收通过之日起，提供现场运维服务期为3年，具体要求如下：</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①提供7×24小时通过远程、上门服务、电话、E-mail等方式为用户提供完善的售后技术咨询服务。</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②若发生系统故障，供应商应在1小时内电话服务应答，如问题无法远程解决的，8小时内赶往现场，普通设备故障48小时内修复；硬件故障需要更换配件的，供应商必须提供必要的零配件或备件进行替换，以免影响整套系统的正常运行；</w:t>
            </w:r>
          </w:p>
          <w:p w14:paraId="32890522">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③供应商每半年对应用设备及系统平台进行至少一次全面的现场巡查、保养和维护，根据巡查结果对设备进行校准，保证设备正常使用。</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④供应商应成立专门的运维服务团队，明确运维服务的责任人、售后 技术员、监控中心支撑人员及运维服务车辆、备品备件等资源；运维服务人员应经过专门技术培训，持证上岗，必须保证有足够的人员在现场负责系统运维工作。</w:t>
            </w:r>
          </w:p>
        </w:tc>
      </w:tr>
      <w:tr w14:paraId="683D76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03" w:hRule="atLeast"/>
        </w:trPr>
        <w:tc>
          <w:tcPr>
            <w:tcW w:w="704" w:type="dxa"/>
            <w:tcBorders>
              <w:top w:val="single" w:color="auto" w:sz="4" w:space="0"/>
              <w:left w:val="single" w:color="auto" w:sz="4" w:space="0"/>
              <w:bottom w:val="single" w:color="auto" w:sz="4" w:space="0"/>
              <w:right w:val="single" w:color="auto" w:sz="4" w:space="0"/>
            </w:tcBorders>
            <w:vAlign w:val="center"/>
          </w:tcPr>
          <w:p w14:paraId="7D678633">
            <w:pPr>
              <w:keepNext w:val="0"/>
              <w:keepLines w:val="0"/>
              <w:pageBreakBefore w:val="0"/>
              <w:widowControl w:val="0"/>
              <w:kinsoku/>
              <w:wordWrap w:val="0"/>
              <w:overflowPunct w:val="0"/>
              <w:topLinePunct w:val="0"/>
              <w:autoSpaceDE/>
              <w:autoSpaceDN w:val="0"/>
              <w:bidi w:val="0"/>
              <w:adjustRightInd w:val="0"/>
              <w:snapToGrid w:val="0"/>
              <w:spacing w:line="360" w:lineRule="auto"/>
              <w:jc w:val="center"/>
              <w:textAlignment w:val="baseline"/>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五</w:t>
            </w:r>
          </w:p>
        </w:tc>
        <w:tc>
          <w:tcPr>
            <w:tcW w:w="1912" w:type="dxa"/>
            <w:tcBorders>
              <w:top w:val="single" w:color="auto" w:sz="4" w:space="0"/>
              <w:left w:val="single" w:color="auto" w:sz="4" w:space="0"/>
              <w:bottom w:val="single" w:color="auto" w:sz="4" w:space="0"/>
              <w:right w:val="single" w:color="auto" w:sz="4" w:space="0"/>
            </w:tcBorders>
            <w:vAlign w:val="center"/>
          </w:tcPr>
          <w:p w14:paraId="32A6A653">
            <w:pPr>
              <w:keepNext w:val="0"/>
              <w:keepLines w:val="0"/>
              <w:pageBreakBefore w:val="0"/>
              <w:widowControl w:val="0"/>
              <w:kinsoku/>
              <w:wordWrap w:val="0"/>
              <w:overflowPunct w:val="0"/>
              <w:topLinePunct w:val="0"/>
              <w:autoSpaceDE/>
              <w:autoSpaceDN w:val="0"/>
              <w:bidi w:val="0"/>
              <w:adjustRightInd w:val="0"/>
              <w:snapToGrid w:val="0"/>
              <w:spacing w:line="360" w:lineRule="auto"/>
              <w:jc w:val="center"/>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付款条件（进度和方式）</w:t>
            </w:r>
          </w:p>
        </w:tc>
        <w:tc>
          <w:tcPr>
            <w:tcW w:w="6863" w:type="dxa"/>
            <w:tcBorders>
              <w:top w:val="single" w:color="auto" w:sz="4" w:space="0"/>
              <w:left w:val="single" w:color="auto" w:sz="4" w:space="0"/>
              <w:bottom w:val="single" w:color="auto" w:sz="4" w:space="0"/>
              <w:right w:val="single" w:color="auto" w:sz="4" w:space="0"/>
            </w:tcBorders>
            <w:vAlign w:val="center"/>
          </w:tcPr>
          <w:p w14:paraId="14280393">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eastAsiaTheme="minorEastAsia" w:cstheme="minorEastAsia"/>
                <w:color w:val="auto"/>
                <w:sz w:val="21"/>
                <w:szCs w:val="21"/>
                <w:highlight w:val="none"/>
              </w:rPr>
              <w:t>按交付期在规定时间内</w:t>
            </w:r>
            <w:r>
              <w:rPr>
                <w:rFonts w:hint="eastAsia" w:asciiTheme="minorEastAsia" w:hAnsiTheme="minorEastAsia" w:eastAsiaTheme="minorEastAsia" w:cstheme="minorEastAsia"/>
                <w:color w:val="auto"/>
                <w:sz w:val="21"/>
                <w:szCs w:val="21"/>
                <w:highlight w:val="none"/>
                <w:lang w:val="en-US" w:eastAsia="zh-CN"/>
              </w:rPr>
              <w:t>完成交付整体</w:t>
            </w:r>
            <w:r>
              <w:rPr>
                <w:rFonts w:hint="eastAsia" w:asciiTheme="minorEastAsia" w:hAnsiTheme="minorEastAsia" w:eastAsiaTheme="minorEastAsia" w:cstheme="minorEastAsia"/>
                <w:color w:val="auto"/>
                <w:sz w:val="21"/>
                <w:szCs w:val="21"/>
                <w:highlight w:val="none"/>
              </w:rPr>
              <w:t>服务</w:t>
            </w:r>
            <w:r>
              <w:rPr>
                <w:rFonts w:hint="eastAsia" w:asciiTheme="minorEastAsia" w:hAnsiTheme="minorEastAsia" w:eastAsiaTheme="minorEastAsia" w:cstheme="minorEastAsia"/>
                <w:color w:val="auto"/>
                <w:sz w:val="21"/>
                <w:szCs w:val="21"/>
                <w:highlight w:val="none"/>
                <w:lang w:val="en-US" w:eastAsia="zh-CN"/>
              </w:rPr>
              <w:t>内容</w:t>
            </w:r>
            <w:r>
              <w:rPr>
                <w:rFonts w:hint="eastAsia" w:asciiTheme="minorEastAsia" w:hAnsiTheme="minorEastAsia" w:eastAsiaTheme="minorEastAsia" w:cstheme="minorEastAsia"/>
                <w:color w:val="auto"/>
                <w:sz w:val="21"/>
                <w:szCs w:val="21"/>
                <w:highlight w:val="none"/>
              </w:rPr>
              <w:t>，项目通过</w:t>
            </w:r>
            <w:r>
              <w:rPr>
                <w:rFonts w:hint="eastAsia" w:asciiTheme="minorEastAsia" w:hAnsiTheme="minorEastAsia" w:eastAsiaTheme="minorEastAsia" w:cstheme="minorEastAsia"/>
                <w:color w:val="auto"/>
                <w:sz w:val="21"/>
                <w:szCs w:val="21"/>
                <w:highlight w:val="none"/>
                <w:lang w:val="en-US" w:eastAsia="zh-CN"/>
              </w:rPr>
              <w:t>采购人</w:t>
            </w:r>
            <w:r>
              <w:rPr>
                <w:rFonts w:hint="eastAsia" w:asciiTheme="minorEastAsia" w:hAnsiTheme="minorEastAsia" w:eastAsiaTheme="minorEastAsia" w:cstheme="minorEastAsia"/>
                <w:color w:val="auto"/>
                <w:sz w:val="21"/>
                <w:szCs w:val="21"/>
                <w:highlight w:val="none"/>
              </w:rPr>
              <w:t>竣工验收合格后，</w:t>
            </w:r>
            <w:r>
              <w:rPr>
                <w:rFonts w:hint="eastAsia" w:asciiTheme="minorEastAsia" w:hAnsiTheme="minorEastAsia" w:eastAsiaTheme="minorEastAsia" w:cstheme="minorEastAsia"/>
                <w:color w:val="auto"/>
                <w:sz w:val="21"/>
                <w:szCs w:val="21"/>
                <w:highlight w:val="none"/>
                <w:lang w:val="en-US" w:eastAsia="zh-CN"/>
              </w:rPr>
              <w:t>供应商</w:t>
            </w:r>
            <w:r>
              <w:rPr>
                <w:rFonts w:hint="eastAsia" w:asciiTheme="minorEastAsia" w:hAnsiTheme="minorEastAsia" w:eastAsiaTheme="minorEastAsia" w:cstheme="minorEastAsia"/>
                <w:color w:val="auto"/>
                <w:sz w:val="21"/>
                <w:szCs w:val="21"/>
                <w:highlight w:val="none"/>
              </w:rPr>
              <w:t>提供完税发票、清单，</w:t>
            </w:r>
            <w:r>
              <w:rPr>
                <w:rFonts w:hint="eastAsia" w:asciiTheme="minorEastAsia" w:hAnsiTheme="minorEastAsia" w:eastAsiaTheme="minorEastAsia" w:cstheme="minorEastAsia"/>
                <w:color w:val="auto"/>
                <w:sz w:val="21"/>
                <w:szCs w:val="21"/>
                <w:highlight w:val="none"/>
                <w:lang w:val="en-US" w:eastAsia="zh-CN"/>
              </w:rPr>
              <w:t>采购人</w:t>
            </w:r>
            <w:r>
              <w:rPr>
                <w:rFonts w:hint="eastAsia" w:asciiTheme="minorEastAsia" w:hAnsiTheme="minorEastAsia" w:eastAsiaTheme="minorEastAsia" w:cstheme="minorEastAsia"/>
                <w:color w:val="auto"/>
                <w:sz w:val="21"/>
                <w:szCs w:val="21"/>
                <w:highlight w:val="none"/>
              </w:rPr>
              <w:t>办理完成相关财政手续后一次性</w:t>
            </w:r>
            <w:r>
              <w:rPr>
                <w:rFonts w:hint="eastAsia" w:asciiTheme="minorEastAsia" w:hAnsiTheme="minorEastAsia" w:eastAsiaTheme="minorEastAsia" w:cstheme="minorEastAsia"/>
                <w:color w:val="auto"/>
                <w:sz w:val="21"/>
                <w:szCs w:val="21"/>
                <w:highlight w:val="none"/>
                <w:lang w:val="en-US" w:eastAsia="zh-CN"/>
              </w:rPr>
              <w:t>支付</w:t>
            </w:r>
            <w:r>
              <w:rPr>
                <w:rFonts w:hint="eastAsia" w:asciiTheme="minorEastAsia" w:hAnsiTheme="minorEastAsia" w:eastAsiaTheme="minorEastAsia" w:cstheme="minorEastAsia"/>
                <w:color w:val="auto"/>
                <w:sz w:val="21"/>
                <w:szCs w:val="21"/>
                <w:highlight w:val="none"/>
                <w:lang w:eastAsia="zh-CN"/>
              </w:rPr>
              <w:t>。</w:t>
            </w:r>
          </w:p>
        </w:tc>
      </w:tr>
      <w:tr w14:paraId="355E67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78" w:hRule="atLeast"/>
        </w:trPr>
        <w:tc>
          <w:tcPr>
            <w:tcW w:w="704" w:type="dxa"/>
            <w:tcBorders>
              <w:top w:val="single" w:color="auto" w:sz="4" w:space="0"/>
              <w:left w:val="single" w:color="auto" w:sz="4" w:space="0"/>
              <w:bottom w:val="single" w:color="auto" w:sz="4" w:space="0"/>
              <w:right w:val="single" w:color="auto" w:sz="4" w:space="0"/>
            </w:tcBorders>
            <w:vAlign w:val="center"/>
          </w:tcPr>
          <w:p w14:paraId="584F0805">
            <w:pPr>
              <w:keepNext w:val="0"/>
              <w:keepLines w:val="0"/>
              <w:pageBreakBefore w:val="0"/>
              <w:widowControl w:val="0"/>
              <w:kinsoku w:val="0"/>
              <w:wordWrap w:val="0"/>
              <w:overflowPunct w:val="0"/>
              <w:topLinePunct w:val="0"/>
              <w:autoSpaceDE/>
              <w:autoSpaceDN w:val="0"/>
              <w:bidi w:val="0"/>
              <w:adjustRightInd w:val="0"/>
              <w:snapToGrid w:val="0"/>
              <w:spacing w:line="360" w:lineRule="auto"/>
              <w:jc w:val="center"/>
              <w:textAlignment w:val="baseline"/>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六</w:t>
            </w:r>
          </w:p>
        </w:tc>
        <w:tc>
          <w:tcPr>
            <w:tcW w:w="1912" w:type="dxa"/>
            <w:tcBorders>
              <w:top w:val="single" w:color="auto" w:sz="4" w:space="0"/>
              <w:left w:val="single" w:color="auto" w:sz="4" w:space="0"/>
              <w:bottom w:val="single" w:color="auto" w:sz="4" w:space="0"/>
              <w:right w:val="single" w:color="auto" w:sz="4" w:space="0"/>
            </w:tcBorders>
            <w:vAlign w:val="center"/>
          </w:tcPr>
          <w:p w14:paraId="0A89FF3A">
            <w:pPr>
              <w:keepNext w:val="0"/>
              <w:keepLines w:val="0"/>
              <w:pageBreakBefore w:val="0"/>
              <w:widowControl w:val="0"/>
              <w:kinsoku w:val="0"/>
              <w:wordWrap w:val="0"/>
              <w:overflowPunct w:val="0"/>
              <w:topLinePunct w:val="0"/>
              <w:autoSpaceDE/>
              <w:autoSpaceDN w:val="0"/>
              <w:bidi w:val="0"/>
              <w:adjustRightInd w:val="0"/>
              <w:snapToGrid w:val="0"/>
              <w:spacing w:line="360" w:lineRule="auto"/>
              <w:jc w:val="center"/>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投标报价</w:t>
            </w:r>
          </w:p>
        </w:tc>
        <w:tc>
          <w:tcPr>
            <w:tcW w:w="6863" w:type="dxa"/>
            <w:tcBorders>
              <w:top w:val="single" w:color="auto" w:sz="4" w:space="0"/>
              <w:left w:val="single" w:color="auto" w:sz="4" w:space="0"/>
              <w:bottom w:val="single" w:color="auto" w:sz="4" w:space="0"/>
              <w:right w:val="single" w:color="auto" w:sz="4" w:space="0"/>
            </w:tcBorders>
            <w:vAlign w:val="center"/>
          </w:tcPr>
          <w:p w14:paraId="1CA91FF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报价必须含以下部分，包括：</w:t>
            </w:r>
          </w:p>
          <w:p w14:paraId="120F2A1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（1）服务的价格；</w:t>
            </w:r>
          </w:p>
          <w:p w14:paraId="6409AB3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（2）必要的保险费用和各项税金；</w:t>
            </w:r>
          </w:p>
          <w:p w14:paraId="3FB570F1">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（3）其他（如运输、装卸、安装、调试、培训、技术支持、售后服务、更新升级等费用）。</w:t>
            </w:r>
          </w:p>
        </w:tc>
      </w:tr>
      <w:tr w14:paraId="08A9C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6" w:hRule="atLeast"/>
        </w:trPr>
        <w:tc>
          <w:tcPr>
            <w:tcW w:w="704" w:type="dxa"/>
            <w:tcBorders>
              <w:top w:val="single" w:color="auto" w:sz="4" w:space="0"/>
              <w:left w:val="single" w:color="auto" w:sz="4" w:space="0"/>
              <w:bottom w:val="single" w:color="auto" w:sz="4" w:space="0"/>
              <w:right w:val="single" w:color="auto" w:sz="4" w:space="0"/>
            </w:tcBorders>
            <w:vAlign w:val="center"/>
          </w:tcPr>
          <w:p w14:paraId="56ABB2BE">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七</w:t>
            </w:r>
          </w:p>
        </w:tc>
        <w:tc>
          <w:tcPr>
            <w:tcW w:w="1912" w:type="dxa"/>
            <w:tcBorders>
              <w:top w:val="single" w:color="auto" w:sz="4" w:space="0"/>
              <w:left w:val="single" w:color="auto" w:sz="4" w:space="0"/>
              <w:bottom w:val="single" w:color="auto" w:sz="4" w:space="0"/>
              <w:right w:val="single" w:color="auto" w:sz="4" w:space="0"/>
            </w:tcBorders>
            <w:vAlign w:val="center"/>
          </w:tcPr>
          <w:p w14:paraId="59F9F04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验收标准、规范</w:t>
            </w:r>
          </w:p>
        </w:tc>
        <w:tc>
          <w:tcPr>
            <w:tcW w:w="6863" w:type="dxa"/>
            <w:tcBorders>
              <w:top w:val="single" w:color="auto" w:sz="4" w:space="0"/>
              <w:left w:val="single" w:color="auto" w:sz="4" w:space="0"/>
              <w:bottom w:val="single" w:color="auto" w:sz="4" w:space="0"/>
              <w:right w:val="single" w:color="auto" w:sz="4" w:space="0"/>
            </w:tcBorders>
            <w:vAlign w:val="center"/>
          </w:tcPr>
          <w:p w14:paraId="284841F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符合国家、行业、地方标准。</w:t>
            </w:r>
          </w:p>
        </w:tc>
      </w:tr>
    </w:tbl>
    <w:p w14:paraId="078490B8">
      <w:pPr>
        <w:spacing w:line="246" w:lineRule="auto"/>
        <w:rPr>
          <w:rFonts w:ascii="Arial"/>
          <w:color w:val="auto"/>
          <w:sz w:val="21"/>
        </w:rPr>
        <w:sectPr>
          <w:pgSz w:w="11905" w:h="16838"/>
          <w:pgMar w:top="1417" w:right="1417" w:bottom="1417" w:left="1417" w:header="0" w:footer="1196" w:gutter="0"/>
          <w:pgNumType w:fmt="decimal"/>
          <w:cols w:space="0" w:num="1"/>
          <w:rtlGutter w:val="0"/>
          <w:docGrid w:linePitch="312" w:charSpace="0"/>
        </w:sectPr>
      </w:pPr>
    </w:p>
    <w:p w14:paraId="4F5E49BA">
      <w:pPr>
        <w:spacing w:line="528" w:lineRule="exact"/>
        <w:jc w:val="center"/>
        <w:rPr>
          <w:rFonts w:hint="eastAsia" w:ascii="宋体" w:hAnsi="宋体" w:eastAsia="宋体" w:cs="宋体"/>
          <w:b/>
          <w:bCs/>
          <w:sz w:val="30"/>
          <w:szCs w:val="30"/>
        </w:rPr>
      </w:pPr>
      <w:bookmarkStart w:id="73" w:name="bookmark6"/>
      <w:bookmarkEnd w:id="73"/>
      <w:r>
        <w:rPr>
          <w:rFonts w:hint="eastAsia" w:ascii="宋体" w:hAnsi="宋体" w:eastAsia="宋体" w:cs="宋体"/>
          <w:b/>
          <w:bCs/>
          <w:sz w:val="30"/>
          <w:szCs w:val="30"/>
        </w:rPr>
        <w:t>中小微企业划型标准</w:t>
      </w:r>
    </w:p>
    <w:tbl>
      <w:tblPr>
        <w:tblStyle w:val="17"/>
        <w:tblW w:w="9538" w:type="dxa"/>
        <w:tblInd w:w="-35" w:type="dxa"/>
        <w:tblLayout w:type="fixed"/>
        <w:tblCellMar>
          <w:top w:w="0" w:type="dxa"/>
          <w:left w:w="108" w:type="dxa"/>
          <w:bottom w:w="0" w:type="dxa"/>
          <w:right w:w="108" w:type="dxa"/>
        </w:tblCellMar>
      </w:tblPr>
      <w:tblGrid>
        <w:gridCol w:w="1855"/>
        <w:gridCol w:w="1796"/>
        <w:gridCol w:w="1289"/>
        <w:gridCol w:w="1908"/>
        <w:gridCol w:w="1612"/>
        <w:gridCol w:w="1078"/>
      </w:tblGrid>
      <w:tr w14:paraId="617B77BB">
        <w:tblPrEx>
          <w:tblCellMar>
            <w:top w:w="0" w:type="dxa"/>
            <w:left w:w="108" w:type="dxa"/>
            <w:bottom w:w="0" w:type="dxa"/>
            <w:right w:w="108" w:type="dxa"/>
          </w:tblCellMar>
        </w:tblPrEx>
        <w:trPr>
          <w:trHeight w:val="130" w:hRule="atLeast"/>
        </w:trPr>
        <w:tc>
          <w:tcPr>
            <w:tcW w:w="1855" w:type="dxa"/>
            <w:tcBorders>
              <w:top w:val="single" w:color="auto" w:sz="4" w:space="0"/>
              <w:left w:val="single" w:color="auto" w:sz="4" w:space="0"/>
              <w:bottom w:val="single" w:color="auto" w:sz="4" w:space="0"/>
              <w:right w:val="single" w:color="auto" w:sz="4" w:space="0"/>
            </w:tcBorders>
            <w:noWrap w:val="0"/>
            <w:vAlign w:val="center"/>
          </w:tcPr>
          <w:p w14:paraId="02A0675B">
            <w:pPr>
              <w:widowControl/>
              <w:spacing w:line="320" w:lineRule="exact"/>
              <w:jc w:val="center"/>
              <w:rPr>
                <w:rFonts w:ascii="仿宋_GB2312" w:hAnsi="仿宋" w:eastAsia="仿宋_GB2312" w:cs="宋体"/>
                <w:b/>
                <w:kern w:val="0"/>
                <w:sz w:val="24"/>
              </w:rPr>
            </w:pPr>
            <w:r>
              <w:rPr>
                <w:rFonts w:hint="eastAsia" w:ascii="仿宋_GB2312" w:hAnsi="仿宋" w:eastAsia="仿宋_GB2312" w:cs="宋体"/>
                <w:b/>
                <w:kern w:val="0"/>
                <w:sz w:val="24"/>
              </w:rPr>
              <w:t>行业名称</w:t>
            </w:r>
          </w:p>
        </w:tc>
        <w:tc>
          <w:tcPr>
            <w:tcW w:w="1796" w:type="dxa"/>
            <w:tcBorders>
              <w:top w:val="single" w:color="auto" w:sz="4" w:space="0"/>
              <w:left w:val="nil"/>
              <w:bottom w:val="single" w:color="auto" w:sz="4" w:space="0"/>
              <w:right w:val="single" w:color="auto" w:sz="4" w:space="0"/>
            </w:tcBorders>
            <w:noWrap w:val="0"/>
            <w:vAlign w:val="center"/>
          </w:tcPr>
          <w:p w14:paraId="33765D06">
            <w:pPr>
              <w:widowControl/>
              <w:spacing w:line="320" w:lineRule="exact"/>
              <w:jc w:val="center"/>
              <w:rPr>
                <w:rFonts w:ascii="仿宋_GB2312" w:hAnsi="仿宋" w:eastAsia="仿宋_GB2312" w:cs="宋体"/>
                <w:b/>
                <w:kern w:val="0"/>
                <w:sz w:val="24"/>
              </w:rPr>
            </w:pPr>
            <w:r>
              <w:rPr>
                <w:rFonts w:hint="eastAsia" w:ascii="仿宋_GB2312" w:hAnsi="仿宋" w:eastAsia="仿宋_GB2312" w:cs="宋体"/>
                <w:b/>
                <w:kern w:val="0"/>
                <w:sz w:val="24"/>
              </w:rPr>
              <w:t>指标名称</w:t>
            </w:r>
          </w:p>
        </w:tc>
        <w:tc>
          <w:tcPr>
            <w:tcW w:w="1289" w:type="dxa"/>
            <w:tcBorders>
              <w:top w:val="single" w:color="auto" w:sz="4" w:space="0"/>
              <w:left w:val="nil"/>
              <w:bottom w:val="single" w:color="auto" w:sz="4" w:space="0"/>
              <w:right w:val="single" w:color="auto" w:sz="4" w:space="0"/>
            </w:tcBorders>
            <w:noWrap w:val="0"/>
            <w:vAlign w:val="center"/>
          </w:tcPr>
          <w:p w14:paraId="6E1B8B1C">
            <w:pPr>
              <w:widowControl/>
              <w:spacing w:line="320" w:lineRule="exact"/>
              <w:jc w:val="center"/>
              <w:rPr>
                <w:rFonts w:ascii="仿宋_GB2312" w:hAnsi="仿宋" w:eastAsia="仿宋_GB2312" w:cs="宋体"/>
                <w:b/>
                <w:kern w:val="0"/>
                <w:sz w:val="24"/>
              </w:rPr>
            </w:pPr>
            <w:r>
              <w:rPr>
                <w:rFonts w:hint="eastAsia" w:ascii="仿宋_GB2312" w:hAnsi="仿宋" w:eastAsia="仿宋_GB2312" w:cs="宋体"/>
                <w:b/>
                <w:kern w:val="0"/>
                <w:sz w:val="24"/>
              </w:rPr>
              <w:t>计量单位</w:t>
            </w:r>
          </w:p>
        </w:tc>
        <w:tc>
          <w:tcPr>
            <w:tcW w:w="1908" w:type="dxa"/>
            <w:tcBorders>
              <w:top w:val="single" w:color="auto" w:sz="4" w:space="0"/>
              <w:left w:val="nil"/>
              <w:bottom w:val="single" w:color="auto" w:sz="4" w:space="0"/>
              <w:right w:val="single" w:color="auto" w:sz="4" w:space="0"/>
            </w:tcBorders>
            <w:noWrap w:val="0"/>
            <w:vAlign w:val="center"/>
          </w:tcPr>
          <w:p w14:paraId="6B3FAFC1">
            <w:pPr>
              <w:widowControl/>
              <w:spacing w:line="320" w:lineRule="exact"/>
              <w:jc w:val="center"/>
              <w:rPr>
                <w:rFonts w:ascii="仿宋_GB2312" w:hAnsi="仿宋" w:eastAsia="仿宋_GB2312" w:cs="宋体"/>
                <w:b/>
                <w:kern w:val="0"/>
                <w:sz w:val="24"/>
              </w:rPr>
            </w:pPr>
            <w:r>
              <w:rPr>
                <w:rFonts w:hint="eastAsia" w:ascii="仿宋_GB2312" w:hAnsi="仿宋" w:eastAsia="仿宋_GB2312" w:cs="宋体"/>
                <w:b/>
                <w:kern w:val="0"/>
                <w:sz w:val="24"/>
              </w:rPr>
              <w:t>中型</w:t>
            </w:r>
          </w:p>
        </w:tc>
        <w:tc>
          <w:tcPr>
            <w:tcW w:w="1612" w:type="dxa"/>
            <w:tcBorders>
              <w:top w:val="single" w:color="auto" w:sz="4" w:space="0"/>
              <w:left w:val="nil"/>
              <w:bottom w:val="single" w:color="auto" w:sz="4" w:space="0"/>
              <w:right w:val="single" w:color="auto" w:sz="4" w:space="0"/>
            </w:tcBorders>
            <w:noWrap w:val="0"/>
            <w:vAlign w:val="center"/>
          </w:tcPr>
          <w:p w14:paraId="38C5A011">
            <w:pPr>
              <w:widowControl/>
              <w:spacing w:line="320" w:lineRule="exact"/>
              <w:jc w:val="center"/>
              <w:rPr>
                <w:rFonts w:ascii="仿宋_GB2312" w:hAnsi="仿宋" w:eastAsia="仿宋_GB2312" w:cs="宋体"/>
                <w:b/>
                <w:kern w:val="0"/>
                <w:sz w:val="24"/>
              </w:rPr>
            </w:pPr>
            <w:r>
              <w:rPr>
                <w:rFonts w:hint="eastAsia" w:ascii="仿宋_GB2312" w:hAnsi="仿宋" w:eastAsia="仿宋_GB2312" w:cs="宋体"/>
                <w:b/>
                <w:kern w:val="0"/>
                <w:sz w:val="24"/>
              </w:rPr>
              <w:t>小型</w:t>
            </w:r>
          </w:p>
        </w:tc>
        <w:tc>
          <w:tcPr>
            <w:tcW w:w="1078" w:type="dxa"/>
            <w:tcBorders>
              <w:top w:val="single" w:color="auto" w:sz="4" w:space="0"/>
              <w:left w:val="nil"/>
              <w:bottom w:val="single" w:color="auto" w:sz="4" w:space="0"/>
              <w:right w:val="single" w:color="auto" w:sz="4" w:space="0"/>
            </w:tcBorders>
            <w:noWrap w:val="0"/>
            <w:vAlign w:val="center"/>
          </w:tcPr>
          <w:p w14:paraId="4FFE53DA">
            <w:pPr>
              <w:widowControl/>
              <w:spacing w:line="320" w:lineRule="exact"/>
              <w:jc w:val="center"/>
              <w:rPr>
                <w:rFonts w:ascii="仿宋_GB2312" w:hAnsi="仿宋" w:eastAsia="仿宋_GB2312" w:cs="宋体"/>
                <w:b/>
                <w:kern w:val="0"/>
                <w:sz w:val="24"/>
              </w:rPr>
            </w:pPr>
            <w:r>
              <w:rPr>
                <w:rFonts w:hint="eastAsia" w:ascii="仿宋_GB2312" w:hAnsi="仿宋" w:eastAsia="仿宋_GB2312" w:cs="宋体"/>
                <w:b/>
                <w:kern w:val="0"/>
                <w:sz w:val="24"/>
              </w:rPr>
              <w:t>微型</w:t>
            </w:r>
          </w:p>
        </w:tc>
      </w:tr>
      <w:tr w14:paraId="0EE433E9">
        <w:tblPrEx>
          <w:tblCellMar>
            <w:top w:w="0" w:type="dxa"/>
            <w:left w:w="108" w:type="dxa"/>
            <w:bottom w:w="0" w:type="dxa"/>
            <w:right w:w="108" w:type="dxa"/>
          </w:tblCellMar>
        </w:tblPrEx>
        <w:trPr>
          <w:trHeight w:val="130" w:hRule="atLeast"/>
        </w:trPr>
        <w:tc>
          <w:tcPr>
            <w:tcW w:w="1855" w:type="dxa"/>
            <w:tcBorders>
              <w:top w:val="nil"/>
              <w:left w:val="single" w:color="auto" w:sz="4" w:space="0"/>
              <w:bottom w:val="single" w:color="auto" w:sz="4" w:space="0"/>
              <w:right w:val="single" w:color="auto" w:sz="4" w:space="0"/>
            </w:tcBorders>
            <w:noWrap w:val="0"/>
            <w:vAlign w:val="center"/>
          </w:tcPr>
          <w:p w14:paraId="2E8A741F">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农、林、牧、渔</w:t>
            </w:r>
          </w:p>
        </w:tc>
        <w:tc>
          <w:tcPr>
            <w:tcW w:w="1796" w:type="dxa"/>
            <w:tcBorders>
              <w:top w:val="nil"/>
              <w:left w:val="nil"/>
              <w:bottom w:val="single" w:color="auto" w:sz="4" w:space="0"/>
              <w:right w:val="single" w:color="auto" w:sz="4" w:space="0"/>
            </w:tcBorders>
            <w:noWrap w:val="0"/>
            <w:vAlign w:val="center"/>
          </w:tcPr>
          <w:p w14:paraId="79C28BDD">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1289" w:type="dxa"/>
            <w:tcBorders>
              <w:top w:val="nil"/>
              <w:left w:val="nil"/>
              <w:bottom w:val="single" w:color="auto" w:sz="4" w:space="0"/>
              <w:right w:val="single" w:color="auto" w:sz="4" w:space="0"/>
            </w:tcBorders>
            <w:noWrap w:val="0"/>
            <w:vAlign w:val="center"/>
          </w:tcPr>
          <w:p w14:paraId="70DA0ADE">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46BB6184">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500≤Y＜20000</w:t>
            </w:r>
          </w:p>
        </w:tc>
        <w:tc>
          <w:tcPr>
            <w:tcW w:w="1612" w:type="dxa"/>
            <w:tcBorders>
              <w:top w:val="nil"/>
              <w:left w:val="nil"/>
              <w:bottom w:val="single" w:color="auto" w:sz="4" w:space="0"/>
              <w:right w:val="single" w:color="auto" w:sz="4" w:space="0"/>
            </w:tcBorders>
            <w:noWrap w:val="0"/>
            <w:vAlign w:val="center"/>
          </w:tcPr>
          <w:p w14:paraId="6E588852">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50≤Y＜500</w:t>
            </w:r>
          </w:p>
        </w:tc>
        <w:tc>
          <w:tcPr>
            <w:tcW w:w="1078" w:type="dxa"/>
            <w:tcBorders>
              <w:top w:val="nil"/>
              <w:left w:val="nil"/>
              <w:bottom w:val="single" w:color="auto" w:sz="4" w:space="0"/>
              <w:right w:val="single" w:color="auto" w:sz="4" w:space="0"/>
            </w:tcBorders>
            <w:noWrap w:val="0"/>
            <w:vAlign w:val="center"/>
          </w:tcPr>
          <w:p w14:paraId="0838737A">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Y＜50</w:t>
            </w:r>
          </w:p>
        </w:tc>
      </w:tr>
      <w:tr w14:paraId="30D47F48">
        <w:tblPrEx>
          <w:tblCellMar>
            <w:top w:w="0" w:type="dxa"/>
            <w:left w:w="108" w:type="dxa"/>
            <w:bottom w:w="0" w:type="dxa"/>
            <w:right w:w="108" w:type="dxa"/>
          </w:tblCellMar>
        </w:tblPrEx>
        <w:trPr>
          <w:trHeight w:val="130" w:hRule="atLeast"/>
        </w:trPr>
        <w:tc>
          <w:tcPr>
            <w:tcW w:w="1855" w:type="dxa"/>
            <w:vMerge w:val="restart"/>
            <w:tcBorders>
              <w:top w:val="nil"/>
              <w:left w:val="single" w:color="auto" w:sz="4" w:space="0"/>
              <w:bottom w:val="single" w:color="auto" w:sz="4" w:space="0"/>
              <w:right w:val="single" w:color="auto" w:sz="4" w:space="0"/>
            </w:tcBorders>
            <w:noWrap w:val="0"/>
            <w:vAlign w:val="center"/>
          </w:tcPr>
          <w:p w14:paraId="0446C5E8">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工业</w:t>
            </w:r>
            <w:r>
              <w:rPr>
                <w:rFonts w:ascii="宋体" w:hAnsi="宋体" w:eastAsia="宋体" w:cs="宋体"/>
                <w:color w:val="333333"/>
                <w:kern w:val="0"/>
                <w:sz w:val="21"/>
                <w:szCs w:val="21"/>
                <w:lang w:val="en-US" w:eastAsia="zh-CN" w:bidi="ar"/>
              </w:rPr>
              <w:t>*</w:t>
            </w:r>
          </w:p>
        </w:tc>
        <w:tc>
          <w:tcPr>
            <w:tcW w:w="1796" w:type="dxa"/>
            <w:tcBorders>
              <w:top w:val="nil"/>
              <w:left w:val="nil"/>
              <w:bottom w:val="single" w:color="auto" w:sz="4" w:space="0"/>
              <w:right w:val="single" w:color="auto" w:sz="4" w:space="0"/>
            </w:tcBorders>
            <w:noWrap w:val="0"/>
            <w:vAlign w:val="center"/>
          </w:tcPr>
          <w:p w14:paraId="1B04C084">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1289" w:type="dxa"/>
            <w:tcBorders>
              <w:top w:val="nil"/>
              <w:left w:val="nil"/>
              <w:bottom w:val="single" w:color="auto" w:sz="4" w:space="0"/>
              <w:right w:val="single" w:color="auto" w:sz="4" w:space="0"/>
            </w:tcBorders>
            <w:noWrap w:val="0"/>
            <w:vAlign w:val="center"/>
          </w:tcPr>
          <w:p w14:paraId="1085DF8C">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908" w:type="dxa"/>
            <w:tcBorders>
              <w:top w:val="nil"/>
              <w:left w:val="nil"/>
              <w:bottom w:val="single" w:color="auto" w:sz="4" w:space="0"/>
              <w:right w:val="single" w:color="auto" w:sz="4" w:space="0"/>
            </w:tcBorders>
            <w:noWrap w:val="0"/>
            <w:vAlign w:val="center"/>
          </w:tcPr>
          <w:p w14:paraId="6DC6D517">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612" w:type="dxa"/>
            <w:tcBorders>
              <w:top w:val="nil"/>
              <w:left w:val="nil"/>
              <w:bottom w:val="single" w:color="auto" w:sz="4" w:space="0"/>
              <w:right w:val="single" w:color="auto" w:sz="4" w:space="0"/>
            </w:tcBorders>
            <w:noWrap w:val="0"/>
            <w:vAlign w:val="center"/>
          </w:tcPr>
          <w:p w14:paraId="6099EAF3">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1078" w:type="dxa"/>
            <w:tcBorders>
              <w:top w:val="nil"/>
              <w:left w:val="nil"/>
              <w:bottom w:val="single" w:color="auto" w:sz="4" w:space="0"/>
              <w:right w:val="single" w:color="auto" w:sz="4" w:space="0"/>
            </w:tcBorders>
            <w:noWrap w:val="0"/>
            <w:vAlign w:val="center"/>
          </w:tcPr>
          <w:p w14:paraId="3DF02D61">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4FCEDD88">
        <w:tblPrEx>
          <w:tblCellMar>
            <w:top w:w="0" w:type="dxa"/>
            <w:left w:w="108" w:type="dxa"/>
            <w:bottom w:w="0" w:type="dxa"/>
            <w:right w:w="108" w:type="dxa"/>
          </w:tblCellMar>
        </w:tblPrEx>
        <w:trPr>
          <w:trHeight w:val="257" w:hRule="atLeast"/>
        </w:trPr>
        <w:tc>
          <w:tcPr>
            <w:tcW w:w="1855" w:type="dxa"/>
            <w:vMerge w:val="continue"/>
            <w:tcBorders>
              <w:top w:val="nil"/>
              <w:left w:val="single" w:color="auto" w:sz="4" w:space="0"/>
              <w:bottom w:val="single" w:color="auto" w:sz="4" w:space="0"/>
              <w:right w:val="single" w:color="auto" w:sz="4" w:space="0"/>
            </w:tcBorders>
            <w:noWrap w:val="0"/>
            <w:vAlign w:val="center"/>
          </w:tcPr>
          <w:p w14:paraId="3AF813E2">
            <w:pPr>
              <w:widowControl/>
              <w:spacing w:line="320" w:lineRule="exact"/>
              <w:jc w:val="center"/>
              <w:rPr>
                <w:rFonts w:ascii="仿宋_GB2312" w:hAnsi="仿宋" w:eastAsia="仿宋_GB2312" w:cs="宋体"/>
                <w:b/>
                <w:bCs/>
                <w:kern w:val="0"/>
                <w:sz w:val="18"/>
                <w:szCs w:val="18"/>
              </w:rPr>
            </w:pPr>
          </w:p>
        </w:tc>
        <w:tc>
          <w:tcPr>
            <w:tcW w:w="1796" w:type="dxa"/>
            <w:tcBorders>
              <w:top w:val="nil"/>
              <w:left w:val="nil"/>
              <w:bottom w:val="single" w:color="auto" w:sz="4" w:space="0"/>
              <w:right w:val="single" w:color="auto" w:sz="4" w:space="0"/>
            </w:tcBorders>
            <w:noWrap w:val="0"/>
            <w:vAlign w:val="center"/>
          </w:tcPr>
          <w:p w14:paraId="3D7DEB12">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1289" w:type="dxa"/>
            <w:tcBorders>
              <w:top w:val="nil"/>
              <w:left w:val="nil"/>
              <w:bottom w:val="single" w:color="auto" w:sz="4" w:space="0"/>
              <w:right w:val="single" w:color="auto" w:sz="4" w:space="0"/>
            </w:tcBorders>
            <w:noWrap w:val="0"/>
            <w:vAlign w:val="center"/>
          </w:tcPr>
          <w:p w14:paraId="1A70A839">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429655E7">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2000≤Y＜40000</w:t>
            </w:r>
          </w:p>
        </w:tc>
        <w:tc>
          <w:tcPr>
            <w:tcW w:w="1612" w:type="dxa"/>
            <w:tcBorders>
              <w:top w:val="nil"/>
              <w:left w:val="nil"/>
              <w:bottom w:val="single" w:color="auto" w:sz="4" w:space="0"/>
              <w:right w:val="single" w:color="auto" w:sz="4" w:space="0"/>
            </w:tcBorders>
            <w:noWrap w:val="0"/>
            <w:vAlign w:val="center"/>
          </w:tcPr>
          <w:p w14:paraId="61591A6E">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300≤Y＜2000</w:t>
            </w:r>
          </w:p>
        </w:tc>
        <w:tc>
          <w:tcPr>
            <w:tcW w:w="1078" w:type="dxa"/>
            <w:tcBorders>
              <w:top w:val="nil"/>
              <w:left w:val="nil"/>
              <w:bottom w:val="single" w:color="auto" w:sz="4" w:space="0"/>
              <w:right w:val="single" w:color="auto" w:sz="4" w:space="0"/>
            </w:tcBorders>
            <w:noWrap w:val="0"/>
            <w:vAlign w:val="center"/>
          </w:tcPr>
          <w:p w14:paraId="3C5BE06A">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Y＜300</w:t>
            </w:r>
          </w:p>
        </w:tc>
      </w:tr>
      <w:tr w14:paraId="3BD7A28A">
        <w:tblPrEx>
          <w:tblCellMar>
            <w:top w:w="0" w:type="dxa"/>
            <w:left w:w="108" w:type="dxa"/>
            <w:bottom w:w="0" w:type="dxa"/>
            <w:right w:w="108" w:type="dxa"/>
          </w:tblCellMar>
        </w:tblPrEx>
        <w:trPr>
          <w:trHeight w:val="257" w:hRule="atLeast"/>
        </w:trPr>
        <w:tc>
          <w:tcPr>
            <w:tcW w:w="1855" w:type="dxa"/>
            <w:vMerge w:val="restart"/>
            <w:tcBorders>
              <w:top w:val="nil"/>
              <w:left w:val="single" w:color="auto" w:sz="4" w:space="0"/>
              <w:bottom w:val="single" w:color="auto" w:sz="4" w:space="0"/>
              <w:right w:val="single" w:color="auto" w:sz="4" w:space="0"/>
            </w:tcBorders>
            <w:noWrap w:val="0"/>
            <w:vAlign w:val="center"/>
          </w:tcPr>
          <w:p w14:paraId="35ADF0BB">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建筑业</w:t>
            </w:r>
          </w:p>
        </w:tc>
        <w:tc>
          <w:tcPr>
            <w:tcW w:w="1796" w:type="dxa"/>
            <w:tcBorders>
              <w:top w:val="nil"/>
              <w:left w:val="nil"/>
              <w:bottom w:val="single" w:color="auto" w:sz="4" w:space="0"/>
              <w:right w:val="single" w:color="auto" w:sz="4" w:space="0"/>
            </w:tcBorders>
            <w:noWrap w:val="0"/>
            <w:vAlign w:val="center"/>
          </w:tcPr>
          <w:p w14:paraId="6C30B7F5">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1289" w:type="dxa"/>
            <w:tcBorders>
              <w:top w:val="nil"/>
              <w:left w:val="nil"/>
              <w:bottom w:val="single" w:color="auto" w:sz="4" w:space="0"/>
              <w:right w:val="single" w:color="auto" w:sz="4" w:space="0"/>
            </w:tcBorders>
            <w:noWrap w:val="0"/>
            <w:vAlign w:val="center"/>
          </w:tcPr>
          <w:p w14:paraId="17A76DD3">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63D1740C">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6000≤Y＜80000</w:t>
            </w:r>
          </w:p>
        </w:tc>
        <w:tc>
          <w:tcPr>
            <w:tcW w:w="1612" w:type="dxa"/>
            <w:tcBorders>
              <w:top w:val="nil"/>
              <w:left w:val="nil"/>
              <w:bottom w:val="single" w:color="auto" w:sz="4" w:space="0"/>
              <w:right w:val="single" w:color="auto" w:sz="4" w:space="0"/>
            </w:tcBorders>
            <w:noWrap w:val="0"/>
            <w:vAlign w:val="center"/>
          </w:tcPr>
          <w:p w14:paraId="272731E8">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300≤Y＜6000</w:t>
            </w:r>
          </w:p>
        </w:tc>
        <w:tc>
          <w:tcPr>
            <w:tcW w:w="1078" w:type="dxa"/>
            <w:tcBorders>
              <w:top w:val="nil"/>
              <w:left w:val="nil"/>
              <w:bottom w:val="single" w:color="auto" w:sz="4" w:space="0"/>
              <w:right w:val="single" w:color="auto" w:sz="4" w:space="0"/>
            </w:tcBorders>
            <w:noWrap w:val="0"/>
            <w:vAlign w:val="center"/>
          </w:tcPr>
          <w:p w14:paraId="75F85414">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Y＜300</w:t>
            </w:r>
          </w:p>
        </w:tc>
      </w:tr>
      <w:tr w14:paraId="1330548C">
        <w:tblPrEx>
          <w:tblCellMar>
            <w:top w:w="0" w:type="dxa"/>
            <w:left w:w="108" w:type="dxa"/>
            <w:bottom w:w="0" w:type="dxa"/>
            <w:right w:w="108" w:type="dxa"/>
          </w:tblCellMar>
        </w:tblPrEx>
        <w:trPr>
          <w:trHeight w:val="257" w:hRule="atLeast"/>
        </w:trPr>
        <w:tc>
          <w:tcPr>
            <w:tcW w:w="1855" w:type="dxa"/>
            <w:vMerge w:val="continue"/>
            <w:tcBorders>
              <w:top w:val="nil"/>
              <w:left w:val="single" w:color="auto" w:sz="4" w:space="0"/>
              <w:bottom w:val="single" w:color="auto" w:sz="4" w:space="0"/>
              <w:right w:val="single" w:color="auto" w:sz="4" w:space="0"/>
            </w:tcBorders>
            <w:noWrap w:val="0"/>
            <w:vAlign w:val="center"/>
          </w:tcPr>
          <w:p w14:paraId="461439D6">
            <w:pPr>
              <w:widowControl/>
              <w:spacing w:line="320" w:lineRule="exact"/>
              <w:jc w:val="center"/>
              <w:rPr>
                <w:rFonts w:ascii="仿宋_GB2312" w:hAnsi="仿宋" w:eastAsia="仿宋_GB2312" w:cs="宋体"/>
                <w:b/>
                <w:bCs/>
                <w:kern w:val="0"/>
                <w:sz w:val="18"/>
                <w:szCs w:val="18"/>
              </w:rPr>
            </w:pPr>
          </w:p>
        </w:tc>
        <w:tc>
          <w:tcPr>
            <w:tcW w:w="1796" w:type="dxa"/>
            <w:tcBorders>
              <w:top w:val="nil"/>
              <w:left w:val="nil"/>
              <w:bottom w:val="single" w:color="auto" w:sz="4" w:space="0"/>
              <w:right w:val="single" w:color="auto" w:sz="4" w:space="0"/>
            </w:tcBorders>
            <w:noWrap w:val="0"/>
            <w:vAlign w:val="center"/>
          </w:tcPr>
          <w:p w14:paraId="4E2F2234">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1289" w:type="dxa"/>
            <w:tcBorders>
              <w:top w:val="nil"/>
              <w:left w:val="nil"/>
              <w:bottom w:val="single" w:color="auto" w:sz="4" w:space="0"/>
              <w:right w:val="single" w:color="auto" w:sz="4" w:space="0"/>
            </w:tcBorders>
            <w:noWrap w:val="0"/>
            <w:vAlign w:val="center"/>
          </w:tcPr>
          <w:p w14:paraId="62D34AD1">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00364F1A">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5000≤Z＜80000</w:t>
            </w:r>
          </w:p>
        </w:tc>
        <w:tc>
          <w:tcPr>
            <w:tcW w:w="1612" w:type="dxa"/>
            <w:tcBorders>
              <w:top w:val="nil"/>
              <w:left w:val="nil"/>
              <w:bottom w:val="single" w:color="auto" w:sz="4" w:space="0"/>
              <w:right w:val="single" w:color="auto" w:sz="4" w:space="0"/>
            </w:tcBorders>
            <w:noWrap w:val="0"/>
            <w:vAlign w:val="center"/>
          </w:tcPr>
          <w:p w14:paraId="05F81805">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300≤Z＜5000</w:t>
            </w:r>
          </w:p>
        </w:tc>
        <w:tc>
          <w:tcPr>
            <w:tcW w:w="1078" w:type="dxa"/>
            <w:tcBorders>
              <w:top w:val="nil"/>
              <w:left w:val="nil"/>
              <w:bottom w:val="single" w:color="auto" w:sz="4" w:space="0"/>
              <w:right w:val="single" w:color="auto" w:sz="4" w:space="0"/>
            </w:tcBorders>
            <w:noWrap w:val="0"/>
            <w:vAlign w:val="center"/>
          </w:tcPr>
          <w:p w14:paraId="5FAD6FB2">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Z＜300</w:t>
            </w:r>
          </w:p>
        </w:tc>
      </w:tr>
      <w:tr w14:paraId="2272E7F5">
        <w:tblPrEx>
          <w:tblCellMar>
            <w:top w:w="0" w:type="dxa"/>
            <w:left w:w="108" w:type="dxa"/>
            <w:bottom w:w="0" w:type="dxa"/>
            <w:right w:w="108" w:type="dxa"/>
          </w:tblCellMar>
        </w:tblPrEx>
        <w:trPr>
          <w:trHeight w:val="130" w:hRule="atLeast"/>
        </w:trPr>
        <w:tc>
          <w:tcPr>
            <w:tcW w:w="1855" w:type="dxa"/>
            <w:vMerge w:val="restart"/>
            <w:tcBorders>
              <w:top w:val="nil"/>
              <w:left w:val="single" w:color="auto" w:sz="4" w:space="0"/>
              <w:bottom w:val="single" w:color="auto" w:sz="4" w:space="0"/>
              <w:right w:val="single" w:color="auto" w:sz="4" w:space="0"/>
            </w:tcBorders>
            <w:noWrap w:val="0"/>
            <w:vAlign w:val="center"/>
          </w:tcPr>
          <w:p w14:paraId="0D892B9F">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批发业</w:t>
            </w:r>
          </w:p>
        </w:tc>
        <w:tc>
          <w:tcPr>
            <w:tcW w:w="1796" w:type="dxa"/>
            <w:tcBorders>
              <w:top w:val="nil"/>
              <w:left w:val="nil"/>
              <w:bottom w:val="single" w:color="auto" w:sz="4" w:space="0"/>
              <w:right w:val="single" w:color="auto" w:sz="4" w:space="0"/>
            </w:tcBorders>
            <w:noWrap w:val="0"/>
            <w:vAlign w:val="center"/>
          </w:tcPr>
          <w:p w14:paraId="2F06634B">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1289" w:type="dxa"/>
            <w:tcBorders>
              <w:top w:val="nil"/>
              <w:left w:val="nil"/>
              <w:bottom w:val="single" w:color="auto" w:sz="4" w:space="0"/>
              <w:right w:val="single" w:color="auto" w:sz="4" w:space="0"/>
            </w:tcBorders>
            <w:noWrap w:val="0"/>
            <w:vAlign w:val="center"/>
          </w:tcPr>
          <w:p w14:paraId="6904A8F6">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908" w:type="dxa"/>
            <w:tcBorders>
              <w:top w:val="nil"/>
              <w:left w:val="nil"/>
              <w:bottom w:val="single" w:color="auto" w:sz="4" w:space="0"/>
              <w:right w:val="single" w:color="auto" w:sz="4" w:space="0"/>
            </w:tcBorders>
            <w:noWrap w:val="0"/>
            <w:vAlign w:val="center"/>
          </w:tcPr>
          <w:p w14:paraId="13066DCB">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20≤X＜200</w:t>
            </w:r>
          </w:p>
        </w:tc>
        <w:tc>
          <w:tcPr>
            <w:tcW w:w="1612" w:type="dxa"/>
            <w:tcBorders>
              <w:top w:val="nil"/>
              <w:left w:val="nil"/>
              <w:bottom w:val="single" w:color="auto" w:sz="4" w:space="0"/>
              <w:right w:val="single" w:color="auto" w:sz="4" w:space="0"/>
            </w:tcBorders>
            <w:noWrap w:val="0"/>
            <w:vAlign w:val="center"/>
          </w:tcPr>
          <w:p w14:paraId="1522BF72">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5≤X＜20</w:t>
            </w:r>
          </w:p>
        </w:tc>
        <w:tc>
          <w:tcPr>
            <w:tcW w:w="1078" w:type="dxa"/>
            <w:tcBorders>
              <w:top w:val="nil"/>
              <w:left w:val="nil"/>
              <w:bottom w:val="single" w:color="auto" w:sz="4" w:space="0"/>
              <w:right w:val="single" w:color="auto" w:sz="4" w:space="0"/>
            </w:tcBorders>
            <w:noWrap w:val="0"/>
            <w:vAlign w:val="center"/>
          </w:tcPr>
          <w:p w14:paraId="4633B867">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X＜5</w:t>
            </w:r>
          </w:p>
        </w:tc>
      </w:tr>
      <w:tr w14:paraId="161EB1FF">
        <w:tblPrEx>
          <w:tblCellMar>
            <w:top w:w="0" w:type="dxa"/>
            <w:left w:w="108" w:type="dxa"/>
            <w:bottom w:w="0" w:type="dxa"/>
            <w:right w:w="108" w:type="dxa"/>
          </w:tblCellMar>
        </w:tblPrEx>
        <w:trPr>
          <w:trHeight w:val="257" w:hRule="atLeast"/>
        </w:trPr>
        <w:tc>
          <w:tcPr>
            <w:tcW w:w="1855" w:type="dxa"/>
            <w:vMerge w:val="continue"/>
            <w:tcBorders>
              <w:top w:val="nil"/>
              <w:left w:val="single" w:color="auto" w:sz="4" w:space="0"/>
              <w:bottom w:val="single" w:color="auto" w:sz="4" w:space="0"/>
              <w:right w:val="single" w:color="auto" w:sz="4" w:space="0"/>
            </w:tcBorders>
            <w:noWrap w:val="0"/>
            <w:vAlign w:val="center"/>
          </w:tcPr>
          <w:p w14:paraId="6F92EC85">
            <w:pPr>
              <w:widowControl/>
              <w:spacing w:line="320" w:lineRule="exact"/>
              <w:jc w:val="center"/>
              <w:rPr>
                <w:rFonts w:ascii="仿宋_GB2312" w:hAnsi="仿宋" w:eastAsia="仿宋_GB2312" w:cs="宋体"/>
                <w:b/>
                <w:bCs/>
                <w:kern w:val="0"/>
                <w:sz w:val="18"/>
                <w:szCs w:val="18"/>
              </w:rPr>
            </w:pPr>
          </w:p>
        </w:tc>
        <w:tc>
          <w:tcPr>
            <w:tcW w:w="1796" w:type="dxa"/>
            <w:tcBorders>
              <w:top w:val="nil"/>
              <w:left w:val="nil"/>
              <w:bottom w:val="single" w:color="auto" w:sz="4" w:space="0"/>
              <w:right w:val="single" w:color="auto" w:sz="4" w:space="0"/>
            </w:tcBorders>
            <w:noWrap w:val="0"/>
            <w:vAlign w:val="center"/>
          </w:tcPr>
          <w:p w14:paraId="1990CE46">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1289" w:type="dxa"/>
            <w:tcBorders>
              <w:top w:val="nil"/>
              <w:left w:val="nil"/>
              <w:bottom w:val="single" w:color="auto" w:sz="4" w:space="0"/>
              <w:right w:val="single" w:color="auto" w:sz="4" w:space="0"/>
            </w:tcBorders>
            <w:noWrap w:val="0"/>
            <w:vAlign w:val="center"/>
          </w:tcPr>
          <w:p w14:paraId="1C9D1BF6">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6214A117">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5000≤Y＜40000</w:t>
            </w:r>
          </w:p>
        </w:tc>
        <w:tc>
          <w:tcPr>
            <w:tcW w:w="1612" w:type="dxa"/>
            <w:tcBorders>
              <w:top w:val="nil"/>
              <w:left w:val="nil"/>
              <w:bottom w:val="single" w:color="auto" w:sz="4" w:space="0"/>
              <w:right w:val="single" w:color="auto" w:sz="4" w:space="0"/>
            </w:tcBorders>
            <w:noWrap w:val="0"/>
            <w:vAlign w:val="center"/>
          </w:tcPr>
          <w:p w14:paraId="521C5637">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1000≤Y＜5000</w:t>
            </w:r>
          </w:p>
        </w:tc>
        <w:tc>
          <w:tcPr>
            <w:tcW w:w="1078" w:type="dxa"/>
            <w:tcBorders>
              <w:top w:val="nil"/>
              <w:left w:val="nil"/>
              <w:bottom w:val="single" w:color="auto" w:sz="4" w:space="0"/>
              <w:right w:val="single" w:color="auto" w:sz="4" w:space="0"/>
            </w:tcBorders>
            <w:noWrap w:val="0"/>
            <w:vAlign w:val="center"/>
          </w:tcPr>
          <w:p w14:paraId="2034D75A">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Y＜1000</w:t>
            </w:r>
          </w:p>
        </w:tc>
      </w:tr>
      <w:tr w14:paraId="20863555">
        <w:tblPrEx>
          <w:tblCellMar>
            <w:top w:w="0" w:type="dxa"/>
            <w:left w:w="108" w:type="dxa"/>
            <w:bottom w:w="0" w:type="dxa"/>
            <w:right w:w="108" w:type="dxa"/>
          </w:tblCellMar>
        </w:tblPrEx>
        <w:trPr>
          <w:trHeight w:val="130" w:hRule="atLeast"/>
        </w:trPr>
        <w:tc>
          <w:tcPr>
            <w:tcW w:w="1855" w:type="dxa"/>
            <w:vMerge w:val="restart"/>
            <w:tcBorders>
              <w:top w:val="nil"/>
              <w:left w:val="single" w:color="auto" w:sz="4" w:space="0"/>
              <w:bottom w:val="single" w:color="auto" w:sz="4" w:space="0"/>
              <w:right w:val="single" w:color="auto" w:sz="4" w:space="0"/>
            </w:tcBorders>
            <w:noWrap w:val="0"/>
            <w:vAlign w:val="center"/>
          </w:tcPr>
          <w:p w14:paraId="140D142D">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零售业</w:t>
            </w:r>
          </w:p>
        </w:tc>
        <w:tc>
          <w:tcPr>
            <w:tcW w:w="1796" w:type="dxa"/>
            <w:tcBorders>
              <w:top w:val="nil"/>
              <w:left w:val="nil"/>
              <w:bottom w:val="single" w:color="auto" w:sz="4" w:space="0"/>
              <w:right w:val="single" w:color="auto" w:sz="4" w:space="0"/>
            </w:tcBorders>
            <w:noWrap w:val="0"/>
            <w:vAlign w:val="center"/>
          </w:tcPr>
          <w:p w14:paraId="440856B0">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1289" w:type="dxa"/>
            <w:tcBorders>
              <w:top w:val="nil"/>
              <w:left w:val="nil"/>
              <w:bottom w:val="single" w:color="auto" w:sz="4" w:space="0"/>
              <w:right w:val="single" w:color="auto" w:sz="4" w:space="0"/>
            </w:tcBorders>
            <w:noWrap w:val="0"/>
            <w:vAlign w:val="center"/>
          </w:tcPr>
          <w:p w14:paraId="093CEE7E">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908" w:type="dxa"/>
            <w:tcBorders>
              <w:top w:val="nil"/>
              <w:left w:val="nil"/>
              <w:bottom w:val="single" w:color="auto" w:sz="4" w:space="0"/>
              <w:right w:val="single" w:color="auto" w:sz="4" w:space="0"/>
            </w:tcBorders>
            <w:noWrap w:val="0"/>
            <w:vAlign w:val="center"/>
          </w:tcPr>
          <w:p w14:paraId="737CE3D0">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50≤X＜300</w:t>
            </w:r>
          </w:p>
        </w:tc>
        <w:tc>
          <w:tcPr>
            <w:tcW w:w="1612" w:type="dxa"/>
            <w:tcBorders>
              <w:top w:val="nil"/>
              <w:left w:val="nil"/>
              <w:bottom w:val="single" w:color="auto" w:sz="4" w:space="0"/>
              <w:right w:val="single" w:color="auto" w:sz="4" w:space="0"/>
            </w:tcBorders>
            <w:noWrap w:val="0"/>
            <w:vAlign w:val="center"/>
          </w:tcPr>
          <w:p w14:paraId="674C4E20">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10≤X＜50</w:t>
            </w:r>
          </w:p>
        </w:tc>
        <w:tc>
          <w:tcPr>
            <w:tcW w:w="1078" w:type="dxa"/>
            <w:tcBorders>
              <w:top w:val="nil"/>
              <w:left w:val="nil"/>
              <w:bottom w:val="single" w:color="auto" w:sz="4" w:space="0"/>
              <w:right w:val="single" w:color="auto" w:sz="4" w:space="0"/>
            </w:tcBorders>
            <w:noWrap w:val="0"/>
            <w:vAlign w:val="center"/>
          </w:tcPr>
          <w:p w14:paraId="73CBF830">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2ECBD04E">
        <w:tblPrEx>
          <w:tblCellMar>
            <w:top w:w="0" w:type="dxa"/>
            <w:left w:w="108" w:type="dxa"/>
            <w:bottom w:w="0" w:type="dxa"/>
            <w:right w:w="108" w:type="dxa"/>
          </w:tblCellMar>
        </w:tblPrEx>
        <w:trPr>
          <w:trHeight w:val="130" w:hRule="atLeast"/>
        </w:trPr>
        <w:tc>
          <w:tcPr>
            <w:tcW w:w="1855" w:type="dxa"/>
            <w:vMerge w:val="continue"/>
            <w:tcBorders>
              <w:top w:val="nil"/>
              <w:left w:val="single" w:color="auto" w:sz="4" w:space="0"/>
              <w:bottom w:val="single" w:color="auto" w:sz="4" w:space="0"/>
              <w:right w:val="single" w:color="auto" w:sz="4" w:space="0"/>
            </w:tcBorders>
            <w:noWrap w:val="0"/>
            <w:vAlign w:val="center"/>
          </w:tcPr>
          <w:p w14:paraId="0F7B7388">
            <w:pPr>
              <w:widowControl/>
              <w:spacing w:line="320" w:lineRule="exact"/>
              <w:jc w:val="center"/>
              <w:rPr>
                <w:rFonts w:ascii="仿宋_GB2312" w:hAnsi="仿宋" w:eastAsia="仿宋_GB2312" w:cs="宋体"/>
                <w:b/>
                <w:bCs/>
                <w:kern w:val="0"/>
                <w:sz w:val="18"/>
                <w:szCs w:val="18"/>
              </w:rPr>
            </w:pPr>
          </w:p>
        </w:tc>
        <w:tc>
          <w:tcPr>
            <w:tcW w:w="1796" w:type="dxa"/>
            <w:tcBorders>
              <w:top w:val="nil"/>
              <w:left w:val="nil"/>
              <w:bottom w:val="single" w:color="auto" w:sz="4" w:space="0"/>
              <w:right w:val="single" w:color="auto" w:sz="4" w:space="0"/>
            </w:tcBorders>
            <w:noWrap w:val="0"/>
            <w:vAlign w:val="center"/>
          </w:tcPr>
          <w:p w14:paraId="40575BDF">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1289" w:type="dxa"/>
            <w:tcBorders>
              <w:top w:val="nil"/>
              <w:left w:val="nil"/>
              <w:bottom w:val="single" w:color="auto" w:sz="4" w:space="0"/>
              <w:right w:val="single" w:color="auto" w:sz="4" w:space="0"/>
            </w:tcBorders>
            <w:noWrap w:val="0"/>
            <w:vAlign w:val="center"/>
          </w:tcPr>
          <w:p w14:paraId="0F91C589">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76E39DCF">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500≤Y＜20000</w:t>
            </w:r>
          </w:p>
        </w:tc>
        <w:tc>
          <w:tcPr>
            <w:tcW w:w="1612" w:type="dxa"/>
            <w:tcBorders>
              <w:top w:val="nil"/>
              <w:left w:val="nil"/>
              <w:bottom w:val="single" w:color="auto" w:sz="4" w:space="0"/>
              <w:right w:val="single" w:color="auto" w:sz="4" w:space="0"/>
            </w:tcBorders>
            <w:noWrap w:val="0"/>
            <w:vAlign w:val="center"/>
          </w:tcPr>
          <w:p w14:paraId="292792A4">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100≤Y＜500</w:t>
            </w:r>
          </w:p>
        </w:tc>
        <w:tc>
          <w:tcPr>
            <w:tcW w:w="1078" w:type="dxa"/>
            <w:tcBorders>
              <w:top w:val="nil"/>
              <w:left w:val="nil"/>
              <w:bottom w:val="single" w:color="auto" w:sz="4" w:space="0"/>
              <w:right w:val="single" w:color="auto" w:sz="4" w:space="0"/>
            </w:tcBorders>
            <w:noWrap w:val="0"/>
            <w:vAlign w:val="center"/>
          </w:tcPr>
          <w:p w14:paraId="74D9E424">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774B896C">
        <w:tblPrEx>
          <w:tblCellMar>
            <w:top w:w="0" w:type="dxa"/>
            <w:left w:w="108" w:type="dxa"/>
            <w:bottom w:w="0" w:type="dxa"/>
            <w:right w:w="108" w:type="dxa"/>
          </w:tblCellMar>
        </w:tblPrEx>
        <w:trPr>
          <w:trHeight w:val="130" w:hRule="atLeast"/>
        </w:trPr>
        <w:tc>
          <w:tcPr>
            <w:tcW w:w="1855" w:type="dxa"/>
            <w:vMerge w:val="restart"/>
            <w:tcBorders>
              <w:top w:val="nil"/>
              <w:left w:val="single" w:color="auto" w:sz="4" w:space="0"/>
              <w:bottom w:val="single" w:color="auto" w:sz="4" w:space="0"/>
              <w:right w:val="single" w:color="auto" w:sz="4" w:space="0"/>
            </w:tcBorders>
            <w:noWrap w:val="0"/>
            <w:vAlign w:val="center"/>
          </w:tcPr>
          <w:p w14:paraId="46E7EC8A">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交通运输业</w:t>
            </w:r>
            <w:r>
              <w:rPr>
                <w:rFonts w:ascii="宋体" w:hAnsi="宋体" w:eastAsia="宋体" w:cs="宋体"/>
                <w:color w:val="333333"/>
                <w:kern w:val="0"/>
                <w:sz w:val="21"/>
                <w:szCs w:val="21"/>
                <w:lang w:val="en-US" w:eastAsia="zh-CN" w:bidi="ar"/>
              </w:rPr>
              <w:t>*</w:t>
            </w:r>
          </w:p>
        </w:tc>
        <w:tc>
          <w:tcPr>
            <w:tcW w:w="1796" w:type="dxa"/>
            <w:tcBorders>
              <w:top w:val="nil"/>
              <w:left w:val="nil"/>
              <w:bottom w:val="single" w:color="auto" w:sz="4" w:space="0"/>
              <w:right w:val="single" w:color="auto" w:sz="4" w:space="0"/>
            </w:tcBorders>
            <w:noWrap w:val="0"/>
            <w:vAlign w:val="center"/>
          </w:tcPr>
          <w:p w14:paraId="1DB6AAA0">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1289" w:type="dxa"/>
            <w:tcBorders>
              <w:top w:val="nil"/>
              <w:left w:val="nil"/>
              <w:bottom w:val="single" w:color="auto" w:sz="4" w:space="0"/>
              <w:right w:val="single" w:color="auto" w:sz="4" w:space="0"/>
            </w:tcBorders>
            <w:noWrap w:val="0"/>
            <w:vAlign w:val="center"/>
          </w:tcPr>
          <w:p w14:paraId="1E9EDC06">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908" w:type="dxa"/>
            <w:tcBorders>
              <w:top w:val="nil"/>
              <w:left w:val="nil"/>
              <w:bottom w:val="single" w:color="auto" w:sz="4" w:space="0"/>
              <w:right w:val="single" w:color="auto" w:sz="4" w:space="0"/>
            </w:tcBorders>
            <w:noWrap w:val="0"/>
            <w:vAlign w:val="center"/>
          </w:tcPr>
          <w:p w14:paraId="3DAFED1E">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612" w:type="dxa"/>
            <w:tcBorders>
              <w:top w:val="nil"/>
              <w:left w:val="nil"/>
              <w:bottom w:val="single" w:color="auto" w:sz="4" w:space="0"/>
              <w:right w:val="single" w:color="auto" w:sz="4" w:space="0"/>
            </w:tcBorders>
            <w:noWrap w:val="0"/>
            <w:vAlign w:val="center"/>
          </w:tcPr>
          <w:p w14:paraId="1B909951">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1078" w:type="dxa"/>
            <w:tcBorders>
              <w:top w:val="nil"/>
              <w:left w:val="nil"/>
              <w:bottom w:val="single" w:color="auto" w:sz="4" w:space="0"/>
              <w:right w:val="single" w:color="auto" w:sz="4" w:space="0"/>
            </w:tcBorders>
            <w:noWrap w:val="0"/>
            <w:vAlign w:val="center"/>
          </w:tcPr>
          <w:p w14:paraId="2448E2B6">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4A737A0D">
        <w:tblPrEx>
          <w:tblCellMar>
            <w:top w:w="0" w:type="dxa"/>
            <w:left w:w="108" w:type="dxa"/>
            <w:bottom w:w="0" w:type="dxa"/>
            <w:right w:w="108" w:type="dxa"/>
          </w:tblCellMar>
        </w:tblPrEx>
        <w:trPr>
          <w:trHeight w:val="257" w:hRule="atLeast"/>
        </w:trPr>
        <w:tc>
          <w:tcPr>
            <w:tcW w:w="1855" w:type="dxa"/>
            <w:vMerge w:val="continue"/>
            <w:tcBorders>
              <w:top w:val="nil"/>
              <w:left w:val="single" w:color="auto" w:sz="4" w:space="0"/>
              <w:bottom w:val="single" w:color="auto" w:sz="4" w:space="0"/>
              <w:right w:val="single" w:color="auto" w:sz="4" w:space="0"/>
            </w:tcBorders>
            <w:noWrap w:val="0"/>
            <w:vAlign w:val="center"/>
          </w:tcPr>
          <w:p w14:paraId="16C60C47">
            <w:pPr>
              <w:widowControl/>
              <w:spacing w:line="320" w:lineRule="exact"/>
              <w:jc w:val="center"/>
              <w:rPr>
                <w:rFonts w:ascii="仿宋_GB2312" w:hAnsi="仿宋" w:eastAsia="仿宋_GB2312" w:cs="宋体"/>
                <w:b/>
                <w:bCs/>
                <w:kern w:val="0"/>
                <w:sz w:val="18"/>
                <w:szCs w:val="18"/>
              </w:rPr>
            </w:pPr>
          </w:p>
        </w:tc>
        <w:tc>
          <w:tcPr>
            <w:tcW w:w="1796" w:type="dxa"/>
            <w:tcBorders>
              <w:top w:val="nil"/>
              <w:left w:val="nil"/>
              <w:bottom w:val="single" w:color="auto" w:sz="4" w:space="0"/>
              <w:right w:val="single" w:color="auto" w:sz="4" w:space="0"/>
            </w:tcBorders>
            <w:noWrap w:val="0"/>
            <w:vAlign w:val="center"/>
          </w:tcPr>
          <w:p w14:paraId="00581B3A">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1289" w:type="dxa"/>
            <w:tcBorders>
              <w:top w:val="nil"/>
              <w:left w:val="nil"/>
              <w:bottom w:val="single" w:color="auto" w:sz="4" w:space="0"/>
              <w:right w:val="single" w:color="auto" w:sz="4" w:space="0"/>
            </w:tcBorders>
            <w:noWrap w:val="0"/>
            <w:vAlign w:val="center"/>
          </w:tcPr>
          <w:p w14:paraId="3D7C7716">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337B6C0A">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3000≤Y＜30000</w:t>
            </w:r>
          </w:p>
        </w:tc>
        <w:tc>
          <w:tcPr>
            <w:tcW w:w="1612" w:type="dxa"/>
            <w:tcBorders>
              <w:top w:val="nil"/>
              <w:left w:val="nil"/>
              <w:bottom w:val="single" w:color="auto" w:sz="4" w:space="0"/>
              <w:right w:val="single" w:color="auto" w:sz="4" w:space="0"/>
            </w:tcBorders>
            <w:noWrap w:val="0"/>
            <w:vAlign w:val="center"/>
          </w:tcPr>
          <w:p w14:paraId="26278462">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200≤Y＜3000</w:t>
            </w:r>
          </w:p>
        </w:tc>
        <w:tc>
          <w:tcPr>
            <w:tcW w:w="1078" w:type="dxa"/>
            <w:tcBorders>
              <w:top w:val="nil"/>
              <w:left w:val="nil"/>
              <w:bottom w:val="single" w:color="auto" w:sz="4" w:space="0"/>
              <w:right w:val="single" w:color="auto" w:sz="4" w:space="0"/>
            </w:tcBorders>
            <w:noWrap w:val="0"/>
            <w:vAlign w:val="center"/>
          </w:tcPr>
          <w:p w14:paraId="6992DD0C">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Y＜200</w:t>
            </w:r>
          </w:p>
        </w:tc>
      </w:tr>
      <w:tr w14:paraId="59676375">
        <w:tblPrEx>
          <w:tblCellMar>
            <w:top w:w="0" w:type="dxa"/>
            <w:left w:w="108" w:type="dxa"/>
            <w:bottom w:w="0" w:type="dxa"/>
            <w:right w:w="108" w:type="dxa"/>
          </w:tblCellMar>
        </w:tblPrEx>
        <w:trPr>
          <w:trHeight w:val="130" w:hRule="atLeast"/>
        </w:trPr>
        <w:tc>
          <w:tcPr>
            <w:tcW w:w="1855" w:type="dxa"/>
            <w:vMerge w:val="restart"/>
            <w:tcBorders>
              <w:top w:val="nil"/>
              <w:left w:val="single" w:color="auto" w:sz="4" w:space="0"/>
              <w:bottom w:val="single" w:color="auto" w:sz="4" w:space="0"/>
              <w:right w:val="single" w:color="auto" w:sz="4" w:space="0"/>
            </w:tcBorders>
            <w:noWrap w:val="0"/>
            <w:vAlign w:val="center"/>
          </w:tcPr>
          <w:p w14:paraId="6FCB4380">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仓储业</w:t>
            </w:r>
            <w:r>
              <w:rPr>
                <w:rFonts w:ascii="宋体" w:hAnsi="宋体" w:eastAsia="宋体" w:cs="宋体"/>
                <w:color w:val="333333"/>
                <w:kern w:val="0"/>
                <w:sz w:val="21"/>
                <w:szCs w:val="21"/>
                <w:lang w:val="en-US" w:eastAsia="zh-CN" w:bidi="ar"/>
              </w:rPr>
              <w:t>*</w:t>
            </w:r>
          </w:p>
        </w:tc>
        <w:tc>
          <w:tcPr>
            <w:tcW w:w="1796" w:type="dxa"/>
            <w:tcBorders>
              <w:top w:val="nil"/>
              <w:left w:val="nil"/>
              <w:bottom w:val="single" w:color="auto" w:sz="4" w:space="0"/>
              <w:right w:val="single" w:color="auto" w:sz="4" w:space="0"/>
            </w:tcBorders>
            <w:noWrap w:val="0"/>
            <w:vAlign w:val="center"/>
          </w:tcPr>
          <w:p w14:paraId="72082F22">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1289" w:type="dxa"/>
            <w:tcBorders>
              <w:top w:val="nil"/>
              <w:left w:val="nil"/>
              <w:bottom w:val="single" w:color="auto" w:sz="4" w:space="0"/>
              <w:right w:val="single" w:color="auto" w:sz="4" w:space="0"/>
            </w:tcBorders>
            <w:noWrap w:val="0"/>
            <w:vAlign w:val="center"/>
          </w:tcPr>
          <w:p w14:paraId="72E13E1D">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908" w:type="dxa"/>
            <w:tcBorders>
              <w:top w:val="nil"/>
              <w:left w:val="nil"/>
              <w:bottom w:val="single" w:color="auto" w:sz="4" w:space="0"/>
              <w:right w:val="single" w:color="auto" w:sz="4" w:space="0"/>
            </w:tcBorders>
            <w:noWrap w:val="0"/>
            <w:vAlign w:val="center"/>
          </w:tcPr>
          <w:p w14:paraId="1E50AC3B">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100≤X＜200</w:t>
            </w:r>
          </w:p>
        </w:tc>
        <w:tc>
          <w:tcPr>
            <w:tcW w:w="1612" w:type="dxa"/>
            <w:tcBorders>
              <w:top w:val="nil"/>
              <w:left w:val="nil"/>
              <w:bottom w:val="single" w:color="auto" w:sz="4" w:space="0"/>
              <w:right w:val="single" w:color="auto" w:sz="4" w:space="0"/>
            </w:tcBorders>
            <w:noWrap w:val="0"/>
            <w:vAlign w:val="center"/>
          </w:tcPr>
          <w:p w14:paraId="6E2D1041">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20≤X＜100</w:t>
            </w:r>
          </w:p>
        </w:tc>
        <w:tc>
          <w:tcPr>
            <w:tcW w:w="1078" w:type="dxa"/>
            <w:tcBorders>
              <w:top w:val="nil"/>
              <w:left w:val="nil"/>
              <w:bottom w:val="single" w:color="auto" w:sz="4" w:space="0"/>
              <w:right w:val="single" w:color="auto" w:sz="4" w:space="0"/>
            </w:tcBorders>
            <w:noWrap w:val="0"/>
            <w:vAlign w:val="center"/>
          </w:tcPr>
          <w:p w14:paraId="028C0ED9">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5A208213">
        <w:tblPrEx>
          <w:tblCellMar>
            <w:top w:w="0" w:type="dxa"/>
            <w:left w:w="108" w:type="dxa"/>
            <w:bottom w:w="0" w:type="dxa"/>
            <w:right w:w="108" w:type="dxa"/>
          </w:tblCellMar>
        </w:tblPrEx>
        <w:trPr>
          <w:trHeight w:val="257" w:hRule="atLeast"/>
        </w:trPr>
        <w:tc>
          <w:tcPr>
            <w:tcW w:w="1855" w:type="dxa"/>
            <w:vMerge w:val="continue"/>
            <w:tcBorders>
              <w:top w:val="nil"/>
              <w:left w:val="single" w:color="auto" w:sz="4" w:space="0"/>
              <w:bottom w:val="single" w:color="auto" w:sz="4" w:space="0"/>
              <w:right w:val="single" w:color="auto" w:sz="4" w:space="0"/>
            </w:tcBorders>
            <w:noWrap w:val="0"/>
            <w:vAlign w:val="center"/>
          </w:tcPr>
          <w:p w14:paraId="5C0322BA">
            <w:pPr>
              <w:widowControl/>
              <w:spacing w:line="320" w:lineRule="exact"/>
              <w:jc w:val="center"/>
              <w:rPr>
                <w:rFonts w:ascii="仿宋_GB2312" w:hAnsi="仿宋" w:eastAsia="仿宋_GB2312" w:cs="宋体"/>
                <w:b/>
                <w:bCs/>
                <w:kern w:val="0"/>
                <w:sz w:val="18"/>
                <w:szCs w:val="18"/>
              </w:rPr>
            </w:pPr>
          </w:p>
        </w:tc>
        <w:tc>
          <w:tcPr>
            <w:tcW w:w="1796" w:type="dxa"/>
            <w:tcBorders>
              <w:top w:val="nil"/>
              <w:left w:val="nil"/>
              <w:bottom w:val="single" w:color="auto" w:sz="4" w:space="0"/>
              <w:right w:val="single" w:color="auto" w:sz="4" w:space="0"/>
            </w:tcBorders>
            <w:noWrap w:val="0"/>
            <w:vAlign w:val="center"/>
          </w:tcPr>
          <w:p w14:paraId="7DE59EBB">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1289" w:type="dxa"/>
            <w:tcBorders>
              <w:top w:val="nil"/>
              <w:left w:val="nil"/>
              <w:bottom w:val="single" w:color="auto" w:sz="4" w:space="0"/>
              <w:right w:val="single" w:color="auto" w:sz="4" w:space="0"/>
            </w:tcBorders>
            <w:noWrap w:val="0"/>
            <w:vAlign w:val="center"/>
          </w:tcPr>
          <w:p w14:paraId="2CAA6F17">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58E785E9">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1000≤Y＜30000</w:t>
            </w:r>
          </w:p>
        </w:tc>
        <w:tc>
          <w:tcPr>
            <w:tcW w:w="1612" w:type="dxa"/>
            <w:tcBorders>
              <w:top w:val="nil"/>
              <w:left w:val="nil"/>
              <w:bottom w:val="single" w:color="auto" w:sz="4" w:space="0"/>
              <w:right w:val="single" w:color="auto" w:sz="4" w:space="0"/>
            </w:tcBorders>
            <w:noWrap w:val="0"/>
            <w:vAlign w:val="center"/>
          </w:tcPr>
          <w:p w14:paraId="5F5890A4">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100≤Y＜1000</w:t>
            </w:r>
          </w:p>
        </w:tc>
        <w:tc>
          <w:tcPr>
            <w:tcW w:w="1078" w:type="dxa"/>
            <w:tcBorders>
              <w:top w:val="nil"/>
              <w:left w:val="nil"/>
              <w:bottom w:val="single" w:color="auto" w:sz="4" w:space="0"/>
              <w:right w:val="single" w:color="auto" w:sz="4" w:space="0"/>
            </w:tcBorders>
            <w:noWrap w:val="0"/>
            <w:vAlign w:val="center"/>
          </w:tcPr>
          <w:p w14:paraId="1B8A76CC">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5D9BFF23">
        <w:tblPrEx>
          <w:tblCellMar>
            <w:top w:w="0" w:type="dxa"/>
            <w:left w:w="108" w:type="dxa"/>
            <w:bottom w:w="0" w:type="dxa"/>
            <w:right w:w="108" w:type="dxa"/>
          </w:tblCellMar>
        </w:tblPrEx>
        <w:trPr>
          <w:trHeight w:val="130" w:hRule="atLeast"/>
        </w:trPr>
        <w:tc>
          <w:tcPr>
            <w:tcW w:w="1855" w:type="dxa"/>
            <w:vMerge w:val="restart"/>
            <w:tcBorders>
              <w:top w:val="nil"/>
              <w:left w:val="single" w:color="auto" w:sz="4" w:space="0"/>
              <w:bottom w:val="single" w:color="auto" w:sz="4" w:space="0"/>
              <w:right w:val="single" w:color="auto" w:sz="4" w:space="0"/>
            </w:tcBorders>
            <w:noWrap w:val="0"/>
            <w:vAlign w:val="center"/>
          </w:tcPr>
          <w:p w14:paraId="0D2DD6EA">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邮政业</w:t>
            </w:r>
          </w:p>
        </w:tc>
        <w:tc>
          <w:tcPr>
            <w:tcW w:w="1796" w:type="dxa"/>
            <w:tcBorders>
              <w:top w:val="nil"/>
              <w:left w:val="nil"/>
              <w:bottom w:val="single" w:color="auto" w:sz="4" w:space="0"/>
              <w:right w:val="single" w:color="auto" w:sz="4" w:space="0"/>
            </w:tcBorders>
            <w:noWrap w:val="0"/>
            <w:vAlign w:val="center"/>
          </w:tcPr>
          <w:p w14:paraId="0D622185">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1289" w:type="dxa"/>
            <w:tcBorders>
              <w:top w:val="nil"/>
              <w:left w:val="nil"/>
              <w:bottom w:val="single" w:color="auto" w:sz="4" w:space="0"/>
              <w:right w:val="single" w:color="auto" w:sz="4" w:space="0"/>
            </w:tcBorders>
            <w:noWrap w:val="0"/>
            <w:vAlign w:val="center"/>
          </w:tcPr>
          <w:p w14:paraId="75F2E2AA">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908" w:type="dxa"/>
            <w:tcBorders>
              <w:top w:val="nil"/>
              <w:left w:val="nil"/>
              <w:bottom w:val="single" w:color="auto" w:sz="4" w:space="0"/>
              <w:right w:val="single" w:color="auto" w:sz="4" w:space="0"/>
            </w:tcBorders>
            <w:noWrap w:val="0"/>
            <w:vAlign w:val="center"/>
          </w:tcPr>
          <w:p w14:paraId="3DCAC721">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612" w:type="dxa"/>
            <w:tcBorders>
              <w:top w:val="nil"/>
              <w:left w:val="nil"/>
              <w:bottom w:val="single" w:color="auto" w:sz="4" w:space="0"/>
              <w:right w:val="single" w:color="auto" w:sz="4" w:space="0"/>
            </w:tcBorders>
            <w:noWrap w:val="0"/>
            <w:vAlign w:val="center"/>
          </w:tcPr>
          <w:p w14:paraId="24E88AE4">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20≤X＜300</w:t>
            </w:r>
          </w:p>
        </w:tc>
        <w:tc>
          <w:tcPr>
            <w:tcW w:w="1078" w:type="dxa"/>
            <w:tcBorders>
              <w:top w:val="nil"/>
              <w:left w:val="nil"/>
              <w:bottom w:val="single" w:color="auto" w:sz="4" w:space="0"/>
              <w:right w:val="single" w:color="auto" w:sz="4" w:space="0"/>
            </w:tcBorders>
            <w:noWrap w:val="0"/>
            <w:vAlign w:val="center"/>
          </w:tcPr>
          <w:p w14:paraId="0DE75F83">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X＜20</w:t>
            </w:r>
          </w:p>
        </w:tc>
      </w:tr>
      <w:tr w14:paraId="37DE4C65">
        <w:tblPrEx>
          <w:tblCellMar>
            <w:top w:w="0" w:type="dxa"/>
            <w:left w:w="108" w:type="dxa"/>
            <w:bottom w:w="0" w:type="dxa"/>
            <w:right w:w="108" w:type="dxa"/>
          </w:tblCellMar>
        </w:tblPrEx>
        <w:trPr>
          <w:trHeight w:val="257" w:hRule="atLeast"/>
        </w:trPr>
        <w:tc>
          <w:tcPr>
            <w:tcW w:w="1855" w:type="dxa"/>
            <w:vMerge w:val="continue"/>
            <w:tcBorders>
              <w:top w:val="nil"/>
              <w:left w:val="single" w:color="auto" w:sz="4" w:space="0"/>
              <w:bottom w:val="single" w:color="auto" w:sz="4" w:space="0"/>
              <w:right w:val="single" w:color="auto" w:sz="4" w:space="0"/>
            </w:tcBorders>
            <w:noWrap w:val="0"/>
            <w:vAlign w:val="center"/>
          </w:tcPr>
          <w:p w14:paraId="38001DD5">
            <w:pPr>
              <w:widowControl/>
              <w:spacing w:line="320" w:lineRule="exact"/>
              <w:jc w:val="center"/>
              <w:rPr>
                <w:rFonts w:ascii="仿宋_GB2312" w:hAnsi="仿宋" w:eastAsia="仿宋_GB2312" w:cs="宋体"/>
                <w:b/>
                <w:bCs/>
                <w:kern w:val="0"/>
                <w:sz w:val="18"/>
                <w:szCs w:val="18"/>
              </w:rPr>
            </w:pPr>
          </w:p>
        </w:tc>
        <w:tc>
          <w:tcPr>
            <w:tcW w:w="1796" w:type="dxa"/>
            <w:tcBorders>
              <w:top w:val="nil"/>
              <w:left w:val="nil"/>
              <w:bottom w:val="single" w:color="auto" w:sz="4" w:space="0"/>
              <w:right w:val="single" w:color="auto" w:sz="4" w:space="0"/>
            </w:tcBorders>
            <w:noWrap w:val="0"/>
            <w:vAlign w:val="center"/>
          </w:tcPr>
          <w:p w14:paraId="025438F4">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1289" w:type="dxa"/>
            <w:tcBorders>
              <w:top w:val="nil"/>
              <w:left w:val="nil"/>
              <w:bottom w:val="single" w:color="auto" w:sz="4" w:space="0"/>
              <w:right w:val="single" w:color="auto" w:sz="4" w:space="0"/>
            </w:tcBorders>
            <w:noWrap w:val="0"/>
            <w:vAlign w:val="center"/>
          </w:tcPr>
          <w:p w14:paraId="0B4DDA07">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794F425A">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2000≤Y＜30000</w:t>
            </w:r>
          </w:p>
        </w:tc>
        <w:tc>
          <w:tcPr>
            <w:tcW w:w="1612" w:type="dxa"/>
            <w:tcBorders>
              <w:top w:val="nil"/>
              <w:left w:val="nil"/>
              <w:bottom w:val="single" w:color="auto" w:sz="4" w:space="0"/>
              <w:right w:val="single" w:color="auto" w:sz="4" w:space="0"/>
            </w:tcBorders>
            <w:noWrap w:val="0"/>
            <w:vAlign w:val="center"/>
          </w:tcPr>
          <w:p w14:paraId="0FF9CECD">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1078" w:type="dxa"/>
            <w:tcBorders>
              <w:top w:val="nil"/>
              <w:left w:val="nil"/>
              <w:bottom w:val="single" w:color="auto" w:sz="4" w:space="0"/>
              <w:right w:val="single" w:color="auto" w:sz="4" w:space="0"/>
            </w:tcBorders>
            <w:noWrap w:val="0"/>
            <w:vAlign w:val="center"/>
          </w:tcPr>
          <w:p w14:paraId="165A07B5">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07514562">
        <w:tblPrEx>
          <w:tblCellMar>
            <w:top w:w="0" w:type="dxa"/>
            <w:left w:w="108" w:type="dxa"/>
            <w:bottom w:w="0" w:type="dxa"/>
            <w:right w:w="108" w:type="dxa"/>
          </w:tblCellMar>
        </w:tblPrEx>
        <w:trPr>
          <w:trHeight w:val="130" w:hRule="atLeast"/>
        </w:trPr>
        <w:tc>
          <w:tcPr>
            <w:tcW w:w="1855" w:type="dxa"/>
            <w:vMerge w:val="restart"/>
            <w:tcBorders>
              <w:top w:val="nil"/>
              <w:left w:val="single" w:color="auto" w:sz="4" w:space="0"/>
              <w:bottom w:val="single" w:color="auto" w:sz="4" w:space="0"/>
              <w:right w:val="single" w:color="auto" w:sz="4" w:space="0"/>
            </w:tcBorders>
            <w:noWrap w:val="0"/>
            <w:vAlign w:val="center"/>
          </w:tcPr>
          <w:p w14:paraId="60BDE285">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住宿业</w:t>
            </w:r>
          </w:p>
        </w:tc>
        <w:tc>
          <w:tcPr>
            <w:tcW w:w="1796" w:type="dxa"/>
            <w:tcBorders>
              <w:top w:val="nil"/>
              <w:left w:val="nil"/>
              <w:bottom w:val="single" w:color="auto" w:sz="4" w:space="0"/>
              <w:right w:val="single" w:color="auto" w:sz="4" w:space="0"/>
            </w:tcBorders>
            <w:noWrap w:val="0"/>
            <w:vAlign w:val="center"/>
          </w:tcPr>
          <w:p w14:paraId="2EDE404B">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1289" w:type="dxa"/>
            <w:tcBorders>
              <w:top w:val="nil"/>
              <w:left w:val="nil"/>
              <w:bottom w:val="single" w:color="auto" w:sz="4" w:space="0"/>
              <w:right w:val="single" w:color="auto" w:sz="4" w:space="0"/>
            </w:tcBorders>
            <w:noWrap w:val="0"/>
            <w:vAlign w:val="center"/>
          </w:tcPr>
          <w:p w14:paraId="36B9A4E7">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908" w:type="dxa"/>
            <w:tcBorders>
              <w:top w:val="nil"/>
              <w:left w:val="nil"/>
              <w:bottom w:val="single" w:color="auto" w:sz="4" w:space="0"/>
              <w:right w:val="single" w:color="auto" w:sz="4" w:space="0"/>
            </w:tcBorders>
            <w:noWrap w:val="0"/>
            <w:vAlign w:val="center"/>
          </w:tcPr>
          <w:p w14:paraId="111FBC7D">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612" w:type="dxa"/>
            <w:tcBorders>
              <w:top w:val="nil"/>
              <w:left w:val="nil"/>
              <w:bottom w:val="single" w:color="auto" w:sz="4" w:space="0"/>
              <w:right w:val="single" w:color="auto" w:sz="4" w:space="0"/>
            </w:tcBorders>
            <w:noWrap w:val="0"/>
            <w:vAlign w:val="center"/>
          </w:tcPr>
          <w:p w14:paraId="58DDCCE2">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078" w:type="dxa"/>
            <w:tcBorders>
              <w:top w:val="nil"/>
              <w:left w:val="nil"/>
              <w:bottom w:val="single" w:color="auto" w:sz="4" w:space="0"/>
              <w:right w:val="single" w:color="auto" w:sz="4" w:space="0"/>
            </w:tcBorders>
            <w:noWrap w:val="0"/>
            <w:vAlign w:val="center"/>
          </w:tcPr>
          <w:p w14:paraId="3B84A0D1">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3E3407E1">
        <w:tblPrEx>
          <w:tblCellMar>
            <w:top w:w="0" w:type="dxa"/>
            <w:left w:w="108" w:type="dxa"/>
            <w:bottom w:w="0" w:type="dxa"/>
            <w:right w:w="108" w:type="dxa"/>
          </w:tblCellMar>
        </w:tblPrEx>
        <w:trPr>
          <w:trHeight w:val="257" w:hRule="atLeast"/>
        </w:trPr>
        <w:tc>
          <w:tcPr>
            <w:tcW w:w="1855" w:type="dxa"/>
            <w:vMerge w:val="continue"/>
            <w:tcBorders>
              <w:top w:val="nil"/>
              <w:left w:val="single" w:color="auto" w:sz="4" w:space="0"/>
              <w:bottom w:val="single" w:color="auto" w:sz="4" w:space="0"/>
              <w:right w:val="single" w:color="auto" w:sz="4" w:space="0"/>
            </w:tcBorders>
            <w:noWrap w:val="0"/>
            <w:vAlign w:val="center"/>
          </w:tcPr>
          <w:p w14:paraId="1CB4F464">
            <w:pPr>
              <w:widowControl/>
              <w:spacing w:line="320" w:lineRule="exact"/>
              <w:jc w:val="center"/>
              <w:rPr>
                <w:rFonts w:ascii="仿宋_GB2312" w:hAnsi="仿宋" w:eastAsia="仿宋_GB2312" w:cs="宋体"/>
                <w:b/>
                <w:bCs/>
                <w:kern w:val="0"/>
                <w:sz w:val="18"/>
                <w:szCs w:val="18"/>
              </w:rPr>
            </w:pPr>
          </w:p>
        </w:tc>
        <w:tc>
          <w:tcPr>
            <w:tcW w:w="1796" w:type="dxa"/>
            <w:tcBorders>
              <w:top w:val="nil"/>
              <w:left w:val="nil"/>
              <w:bottom w:val="single" w:color="auto" w:sz="4" w:space="0"/>
              <w:right w:val="single" w:color="auto" w:sz="4" w:space="0"/>
            </w:tcBorders>
            <w:noWrap w:val="0"/>
            <w:vAlign w:val="center"/>
          </w:tcPr>
          <w:p w14:paraId="462AD32F">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1289" w:type="dxa"/>
            <w:tcBorders>
              <w:top w:val="nil"/>
              <w:left w:val="nil"/>
              <w:bottom w:val="single" w:color="auto" w:sz="4" w:space="0"/>
              <w:right w:val="single" w:color="auto" w:sz="4" w:space="0"/>
            </w:tcBorders>
            <w:noWrap w:val="0"/>
            <w:vAlign w:val="center"/>
          </w:tcPr>
          <w:p w14:paraId="031A8A00">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56ACFE21">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2000≤Y＜10000</w:t>
            </w:r>
          </w:p>
        </w:tc>
        <w:tc>
          <w:tcPr>
            <w:tcW w:w="1612" w:type="dxa"/>
            <w:tcBorders>
              <w:top w:val="nil"/>
              <w:left w:val="nil"/>
              <w:bottom w:val="single" w:color="auto" w:sz="4" w:space="0"/>
              <w:right w:val="single" w:color="auto" w:sz="4" w:space="0"/>
            </w:tcBorders>
            <w:noWrap w:val="0"/>
            <w:vAlign w:val="center"/>
          </w:tcPr>
          <w:p w14:paraId="5588C8AF">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1078" w:type="dxa"/>
            <w:tcBorders>
              <w:top w:val="nil"/>
              <w:left w:val="nil"/>
              <w:bottom w:val="single" w:color="auto" w:sz="4" w:space="0"/>
              <w:right w:val="single" w:color="auto" w:sz="4" w:space="0"/>
            </w:tcBorders>
            <w:noWrap w:val="0"/>
            <w:vAlign w:val="center"/>
          </w:tcPr>
          <w:p w14:paraId="1C2398B0">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2563B1DF">
        <w:tblPrEx>
          <w:tblCellMar>
            <w:top w:w="0" w:type="dxa"/>
            <w:left w:w="108" w:type="dxa"/>
            <w:bottom w:w="0" w:type="dxa"/>
            <w:right w:w="108" w:type="dxa"/>
          </w:tblCellMar>
        </w:tblPrEx>
        <w:trPr>
          <w:trHeight w:val="130" w:hRule="atLeast"/>
        </w:trPr>
        <w:tc>
          <w:tcPr>
            <w:tcW w:w="1855" w:type="dxa"/>
            <w:vMerge w:val="restart"/>
            <w:tcBorders>
              <w:top w:val="nil"/>
              <w:left w:val="single" w:color="auto" w:sz="4" w:space="0"/>
              <w:bottom w:val="single" w:color="auto" w:sz="4" w:space="0"/>
              <w:right w:val="single" w:color="auto" w:sz="4" w:space="0"/>
            </w:tcBorders>
            <w:noWrap w:val="0"/>
            <w:vAlign w:val="center"/>
          </w:tcPr>
          <w:p w14:paraId="145F8640">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餐饮业</w:t>
            </w:r>
          </w:p>
        </w:tc>
        <w:tc>
          <w:tcPr>
            <w:tcW w:w="1796" w:type="dxa"/>
            <w:tcBorders>
              <w:top w:val="nil"/>
              <w:left w:val="nil"/>
              <w:bottom w:val="single" w:color="auto" w:sz="4" w:space="0"/>
              <w:right w:val="single" w:color="auto" w:sz="4" w:space="0"/>
            </w:tcBorders>
            <w:noWrap w:val="0"/>
            <w:vAlign w:val="center"/>
          </w:tcPr>
          <w:p w14:paraId="18D71E64">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1289" w:type="dxa"/>
            <w:tcBorders>
              <w:top w:val="nil"/>
              <w:left w:val="nil"/>
              <w:bottom w:val="single" w:color="auto" w:sz="4" w:space="0"/>
              <w:right w:val="single" w:color="auto" w:sz="4" w:space="0"/>
            </w:tcBorders>
            <w:noWrap w:val="0"/>
            <w:vAlign w:val="center"/>
          </w:tcPr>
          <w:p w14:paraId="6E91911A">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908" w:type="dxa"/>
            <w:tcBorders>
              <w:top w:val="nil"/>
              <w:left w:val="nil"/>
              <w:bottom w:val="single" w:color="auto" w:sz="4" w:space="0"/>
              <w:right w:val="single" w:color="auto" w:sz="4" w:space="0"/>
            </w:tcBorders>
            <w:noWrap w:val="0"/>
            <w:vAlign w:val="center"/>
          </w:tcPr>
          <w:p w14:paraId="3B0F15A2">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612" w:type="dxa"/>
            <w:tcBorders>
              <w:top w:val="nil"/>
              <w:left w:val="nil"/>
              <w:bottom w:val="single" w:color="auto" w:sz="4" w:space="0"/>
              <w:right w:val="single" w:color="auto" w:sz="4" w:space="0"/>
            </w:tcBorders>
            <w:noWrap w:val="0"/>
            <w:vAlign w:val="center"/>
          </w:tcPr>
          <w:p w14:paraId="691E2ABD">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078" w:type="dxa"/>
            <w:tcBorders>
              <w:top w:val="nil"/>
              <w:left w:val="nil"/>
              <w:bottom w:val="single" w:color="auto" w:sz="4" w:space="0"/>
              <w:right w:val="single" w:color="auto" w:sz="4" w:space="0"/>
            </w:tcBorders>
            <w:noWrap w:val="0"/>
            <w:vAlign w:val="center"/>
          </w:tcPr>
          <w:p w14:paraId="20AB30EF">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5C86DF62">
        <w:tblPrEx>
          <w:tblCellMar>
            <w:top w:w="0" w:type="dxa"/>
            <w:left w:w="108" w:type="dxa"/>
            <w:bottom w:w="0" w:type="dxa"/>
            <w:right w:w="108" w:type="dxa"/>
          </w:tblCellMar>
        </w:tblPrEx>
        <w:trPr>
          <w:trHeight w:val="257" w:hRule="atLeast"/>
        </w:trPr>
        <w:tc>
          <w:tcPr>
            <w:tcW w:w="1855" w:type="dxa"/>
            <w:vMerge w:val="continue"/>
            <w:tcBorders>
              <w:top w:val="nil"/>
              <w:left w:val="single" w:color="auto" w:sz="4" w:space="0"/>
              <w:bottom w:val="single" w:color="auto" w:sz="4" w:space="0"/>
              <w:right w:val="single" w:color="auto" w:sz="4" w:space="0"/>
            </w:tcBorders>
            <w:noWrap w:val="0"/>
            <w:vAlign w:val="center"/>
          </w:tcPr>
          <w:p w14:paraId="70F07BFD">
            <w:pPr>
              <w:widowControl/>
              <w:spacing w:line="320" w:lineRule="exact"/>
              <w:jc w:val="center"/>
              <w:rPr>
                <w:rFonts w:ascii="仿宋_GB2312" w:hAnsi="仿宋" w:eastAsia="仿宋_GB2312" w:cs="宋体"/>
                <w:b/>
                <w:bCs/>
                <w:kern w:val="0"/>
                <w:sz w:val="18"/>
                <w:szCs w:val="18"/>
              </w:rPr>
            </w:pPr>
          </w:p>
        </w:tc>
        <w:tc>
          <w:tcPr>
            <w:tcW w:w="1796" w:type="dxa"/>
            <w:tcBorders>
              <w:top w:val="nil"/>
              <w:left w:val="nil"/>
              <w:bottom w:val="single" w:color="auto" w:sz="4" w:space="0"/>
              <w:right w:val="single" w:color="auto" w:sz="4" w:space="0"/>
            </w:tcBorders>
            <w:noWrap w:val="0"/>
            <w:vAlign w:val="center"/>
          </w:tcPr>
          <w:p w14:paraId="75865A0A">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1289" w:type="dxa"/>
            <w:tcBorders>
              <w:top w:val="nil"/>
              <w:left w:val="nil"/>
              <w:bottom w:val="single" w:color="auto" w:sz="4" w:space="0"/>
              <w:right w:val="single" w:color="auto" w:sz="4" w:space="0"/>
            </w:tcBorders>
            <w:noWrap w:val="0"/>
            <w:vAlign w:val="center"/>
          </w:tcPr>
          <w:p w14:paraId="1775B866">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12290F31">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2000≤Y＜10000</w:t>
            </w:r>
          </w:p>
        </w:tc>
        <w:tc>
          <w:tcPr>
            <w:tcW w:w="1612" w:type="dxa"/>
            <w:tcBorders>
              <w:top w:val="nil"/>
              <w:left w:val="nil"/>
              <w:bottom w:val="single" w:color="auto" w:sz="4" w:space="0"/>
              <w:right w:val="single" w:color="auto" w:sz="4" w:space="0"/>
            </w:tcBorders>
            <w:noWrap w:val="0"/>
            <w:vAlign w:val="center"/>
          </w:tcPr>
          <w:p w14:paraId="29D22497">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100≤Y＜2000</w:t>
            </w:r>
          </w:p>
        </w:tc>
        <w:tc>
          <w:tcPr>
            <w:tcW w:w="1078" w:type="dxa"/>
            <w:tcBorders>
              <w:top w:val="nil"/>
              <w:left w:val="nil"/>
              <w:bottom w:val="single" w:color="auto" w:sz="4" w:space="0"/>
              <w:right w:val="single" w:color="auto" w:sz="4" w:space="0"/>
            </w:tcBorders>
            <w:noWrap w:val="0"/>
            <w:vAlign w:val="center"/>
          </w:tcPr>
          <w:p w14:paraId="46B7F716">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5F4230FF">
        <w:tblPrEx>
          <w:tblCellMar>
            <w:top w:w="0" w:type="dxa"/>
            <w:left w:w="108" w:type="dxa"/>
            <w:bottom w:w="0" w:type="dxa"/>
            <w:right w:w="108" w:type="dxa"/>
          </w:tblCellMar>
        </w:tblPrEx>
        <w:trPr>
          <w:trHeight w:val="130" w:hRule="atLeast"/>
        </w:trPr>
        <w:tc>
          <w:tcPr>
            <w:tcW w:w="1855" w:type="dxa"/>
            <w:vMerge w:val="restart"/>
            <w:tcBorders>
              <w:top w:val="nil"/>
              <w:left w:val="single" w:color="auto" w:sz="4" w:space="0"/>
              <w:bottom w:val="single" w:color="auto" w:sz="4" w:space="0"/>
              <w:right w:val="single" w:color="auto" w:sz="4" w:space="0"/>
            </w:tcBorders>
            <w:noWrap w:val="0"/>
            <w:vAlign w:val="center"/>
          </w:tcPr>
          <w:p w14:paraId="63FA337D">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信息传输业</w:t>
            </w:r>
            <w:r>
              <w:rPr>
                <w:rFonts w:ascii="宋体" w:hAnsi="宋体" w:eastAsia="宋体" w:cs="宋体"/>
                <w:color w:val="333333"/>
                <w:kern w:val="0"/>
                <w:sz w:val="21"/>
                <w:szCs w:val="21"/>
                <w:lang w:val="en-US" w:eastAsia="zh-CN" w:bidi="ar"/>
              </w:rPr>
              <w:t>*</w:t>
            </w:r>
          </w:p>
        </w:tc>
        <w:tc>
          <w:tcPr>
            <w:tcW w:w="1796" w:type="dxa"/>
            <w:tcBorders>
              <w:top w:val="nil"/>
              <w:left w:val="nil"/>
              <w:bottom w:val="single" w:color="auto" w:sz="4" w:space="0"/>
              <w:right w:val="single" w:color="auto" w:sz="4" w:space="0"/>
            </w:tcBorders>
            <w:noWrap w:val="0"/>
            <w:vAlign w:val="center"/>
          </w:tcPr>
          <w:p w14:paraId="0529A8CF">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1289" w:type="dxa"/>
            <w:tcBorders>
              <w:top w:val="nil"/>
              <w:left w:val="nil"/>
              <w:bottom w:val="single" w:color="auto" w:sz="4" w:space="0"/>
              <w:right w:val="single" w:color="auto" w:sz="4" w:space="0"/>
            </w:tcBorders>
            <w:noWrap w:val="0"/>
            <w:vAlign w:val="center"/>
          </w:tcPr>
          <w:p w14:paraId="43C8B493">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908" w:type="dxa"/>
            <w:tcBorders>
              <w:top w:val="nil"/>
              <w:left w:val="nil"/>
              <w:bottom w:val="single" w:color="auto" w:sz="4" w:space="0"/>
              <w:right w:val="single" w:color="auto" w:sz="4" w:space="0"/>
            </w:tcBorders>
            <w:noWrap w:val="0"/>
            <w:vAlign w:val="center"/>
          </w:tcPr>
          <w:p w14:paraId="2B091057">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100≤X＜2000</w:t>
            </w:r>
          </w:p>
        </w:tc>
        <w:tc>
          <w:tcPr>
            <w:tcW w:w="1612" w:type="dxa"/>
            <w:tcBorders>
              <w:top w:val="nil"/>
              <w:left w:val="nil"/>
              <w:bottom w:val="single" w:color="auto" w:sz="4" w:space="0"/>
              <w:right w:val="single" w:color="auto" w:sz="4" w:space="0"/>
            </w:tcBorders>
            <w:noWrap w:val="0"/>
            <w:vAlign w:val="center"/>
          </w:tcPr>
          <w:p w14:paraId="53D1E050">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078" w:type="dxa"/>
            <w:tcBorders>
              <w:top w:val="nil"/>
              <w:left w:val="nil"/>
              <w:bottom w:val="single" w:color="auto" w:sz="4" w:space="0"/>
              <w:right w:val="single" w:color="auto" w:sz="4" w:space="0"/>
            </w:tcBorders>
            <w:noWrap w:val="0"/>
            <w:vAlign w:val="center"/>
          </w:tcPr>
          <w:p w14:paraId="5178B02E">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15A434EC">
        <w:tblPrEx>
          <w:tblCellMar>
            <w:top w:w="0" w:type="dxa"/>
            <w:left w:w="108" w:type="dxa"/>
            <w:bottom w:w="0" w:type="dxa"/>
            <w:right w:w="108" w:type="dxa"/>
          </w:tblCellMar>
        </w:tblPrEx>
        <w:trPr>
          <w:trHeight w:val="257" w:hRule="atLeast"/>
        </w:trPr>
        <w:tc>
          <w:tcPr>
            <w:tcW w:w="1855" w:type="dxa"/>
            <w:vMerge w:val="continue"/>
            <w:tcBorders>
              <w:top w:val="nil"/>
              <w:left w:val="single" w:color="auto" w:sz="4" w:space="0"/>
              <w:bottom w:val="single" w:color="auto" w:sz="4" w:space="0"/>
              <w:right w:val="single" w:color="auto" w:sz="4" w:space="0"/>
            </w:tcBorders>
            <w:noWrap w:val="0"/>
            <w:vAlign w:val="center"/>
          </w:tcPr>
          <w:p w14:paraId="53B9B612">
            <w:pPr>
              <w:widowControl/>
              <w:spacing w:line="320" w:lineRule="exact"/>
              <w:jc w:val="center"/>
              <w:rPr>
                <w:rFonts w:ascii="仿宋_GB2312" w:hAnsi="仿宋" w:eastAsia="仿宋_GB2312" w:cs="宋体"/>
                <w:b/>
                <w:bCs/>
                <w:kern w:val="0"/>
                <w:sz w:val="18"/>
                <w:szCs w:val="18"/>
              </w:rPr>
            </w:pPr>
          </w:p>
        </w:tc>
        <w:tc>
          <w:tcPr>
            <w:tcW w:w="1796" w:type="dxa"/>
            <w:tcBorders>
              <w:top w:val="nil"/>
              <w:left w:val="nil"/>
              <w:bottom w:val="single" w:color="auto" w:sz="4" w:space="0"/>
              <w:right w:val="single" w:color="auto" w:sz="4" w:space="0"/>
            </w:tcBorders>
            <w:noWrap w:val="0"/>
            <w:vAlign w:val="center"/>
          </w:tcPr>
          <w:p w14:paraId="7A51995D">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1289" w:type="dxa"/>
            <w:tcBorders>
              <w:top w:val="nil"/>
              <w:left w:val="nil"/>
              <w:bottom w:val="single" w:color="auto" w:sz="4" w:space="0"/>
              <w:right w:val="single" w:color="auto" w:sz="4" w:space="0"/>
            </w:tcBorders>
            <w:noWrap w:val="0"/>
            <w:vAlign w:val="center"/>
          </w:tcPr>
          <w:p w14:paraId="0B07A956">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0BD265D6">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1000≤Y＜100000</w:t>
            </w:r>
          </w:p>
        </w:tc>
        <w:tc>
          <w:tcPr>
            <w:tcW w:w="1612" w:type="dxa"/>
            <w:tcBorders>
              <w:top w:val="nil"/>
              <w:left w:val="nil"/>
              <w:bottom w:val="single" w:color="auto" w:sz="4" w:space="0"/>
              <w:right w:val="single" w:color="auto" w:sz="4" w:space="0"/>
            </w:tcBorders>
            <w:noWrap w:val="0"/>
            <w:vAlign w:val="center"/>
          </w:tcPr>
          <w:p w14:paraId="6DC641DB">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100≤Y＜1000</w:t>
            </w:r>
          </w:p>
        </w:tc>
        <w:tc>
          <w:tcPr>
            <w:tcW w:w="1078" w:type="dxa"/>
            <w:tcBorders>
              <w:top w:val="nil"/>
              <w:left w:val="nil"/>
              <w:bottom w:val="single" w:color="auto" w:sz="4" w:space="0"/>
              <w:right w:val="single" w:color="auto" w:sz="4" w:space="0"/>
            </w:tcBorders>
            <w:noWrap w:val="0"/>
            <w:vAlign w:val="center"/>
          </w:tcPr>
          <w:p w14:paraId="5F0D2C19">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6B2AD305">
        <w:tblPrEx>
          <w:tblCellMar>
            <w:top w:w="0" w:type="dxa"/>
            <w:left w:w="108" w:type="dxa"/>
            <w:bottom w:w="0" w:type="dxa"/>
            <w:right w:w="108" w:type="dxa"/>
          </w:tblCellMar>
        </w:tblPrEx>
        <w:trPr>
          <w:trHeight w:val="130" w:hRule="atLeast"/>
        </w:trPr>
        <w:tc>
          <w:tcPr>
            <w:tcW w:w="1855" w:type="dxa"/>
            <w:vMerge w:val="restart"/>
            <w:tcBorders>
              <w:top w:val="nil"/>
              <w:left w:val="single" w:color="auto" w:sz="4" w:space="0"/>
              <w:bottom w:val="single" w:color="auto" w:sz="4" w:space="0"/>
              <w:right w:val="single" w:color="auto" w:sz="4" w:space="0"/>
            </w:tcBorders>
            <w:noWrap w:val="0"/>
            <w:vAlign w:val="center"/>
          </w:tcPr>
          <w:p w14:paraId="474705E6">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软件和信息技术服务业</w:t>
            </w:r>
          </w:p>
        </w:tc>
        <w:tc>
          <w:tcPr>
            <w:tcW w:w="1796" w:type="dxa"/>
            <w:tcBorders>
              <w:top w:val="nil"/>
              <w:left w:val="nil"/>
              <w:bottom w:val="single" w:color="auto" w:sz="4" w:space="0"/>
              <w:right w:val="single" w:color="auto" w:sz="4" w:space="0"/>
            </w:tcBorders>
            <w:noWrap w:val="0"/>
            <w:vAlign w:val="center"/>
          </w:tcPr>
          <w:p w14:paraId="428CECE5">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1289" w:type="dxa"/>
            <w:tcBorders>
              <w:top w:val="nil"/>
              <w:left w:val="nil"/>
              <w:bottom w:val="single" w:color="auto" w:sz="4" w:space="0"/>
              <w:right w:val="single" w:color="auto" w:sz="4" w:space="0"/>
            </w:tcBorders>
            <w:noWrap w:val="0"/>
            <w:vAlign w:val="center"/>
          </w:tcPr>
          <w:p w14:paraId="4D0513BF">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908" w:type="dxa"/>
            <w:tcBorders>
              <w:top w:val="nil"/>
              <w:left w:val="nil"/>
              <w:bottom w:val="single" w:color="auto" w:sz="4" w:space="0"/>
              <w:right w:val="single" w:color="auto" w:sz="4" w:space="0"/>
            </w:tcBorders>
            <w:noWrap w:val="0"/>
            <w:vAlign w:val="center"/>
          </w:tcPr>
          <w:p w14:paraId="4835E268">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612" w:type="dxa"/>
            <w:tcBorders>
              <w:top w:val="nil"/>
              <w:left w:val="nil"/>
              <w:bottom w:val="single" w:color="auto" w:sz="4" w:space="0"/>
              <w:right w:val="single" w:color="auto" w:sz="4" w:space="0"/>
            </w:tcBorders>
            <w:noWrap w:val="0"/>
            <w:vAlign w:val="center"/>
          </w:tcPr>
          <w:p w14:paraId="1ED69E57">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078" w:type="dxa"/>
            <w:tcBorders>
              <w:top w:val="nil"/>
              <w:left w:val="nil"/>
              <w:bottom w:val="single" w:color="auto" w:sz="4" w:space="0"/>
              <w:right w:val="single" w:color="auto" w:sz="4" w:space="0"/>
            </w:tcBorders>
            <w:noWrap w:val="0"/>
            <w:vAlign w:val="center"/>
          </w:tcPr>
          <w:p w14:paraId="446A0306">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04E0E0B5">
        <w:tblPrEx>
          <w:tblCellMar>
            <w:top w:w="0" w:type="dxa"/>
            <w:left w:w="108" w:type="dxa"/>
            <w:bottom w:w="0" w:type="dxa"/>
            <w:right w:w="108" w:type="dxa"/>
          </w:tblCellMar>
        </w:tblPrEx>
        <w:trPr>
          <w:trHeight w:val="257" w:hRule="atLeast"/>
        </w:trPr>
        <w:tc>
          <w:tcPr>
            <w:tcW w:w="1855" w:type="dxa"/>
            <w:vMerge w:val="continue"/>
            <w:tcBorders>
              <w:top w:val="nil"/>
              <w:left w:val="single" w:color="auto" w:sz="4" w:space="0"/>
              <w:bottom w:val="single" w:color="auto" w:sz="4" w:space="0"/>
              <w:right w:val="single" w:color="auto" w:sz="4" w:space="0"/>
            </w:tcBorders>
            <w:noWrap w:val="0"/>
            <w:vAlign w:val="center"/>
          </w:tcPr>
          <w:p w14:paraId="1E3D1800">
            <w:pPr>
              <w:widowControl/>
              <w:spacing w:line="320" w:lineRule="exact"/>
              <w:jc w:val="center"/>
              <w:rPr>
                <w:rFonts w:ascii="仿宋_GB2312" w:hAnsi="仿宋" w:eastAsia="仿宋_GB2312" w:cs="宋体"/>
                <w:b/>
                <w:bCs/>
                <w:kern w:val="0"/>
                <w:sz w:val="18"/>
                <w:szCs w:val="18"/>
              </w:rPr>
            </w:pPr>
          </w:p>
        </w:tc>
        <w:tc>
          <w:tcPr>
            <w:tcW w:w="1796" w:type="dxa"/>
            <w:tcBorders>
              <w:top w:val="nil"/>
              <w:left w:val="nil"/>
              <w:bottom w:val="single" w:color="auto" w:sz="4" w:space="0"/>
              <w:right w:val="single" w:color="auto" w:sz="4" w:space="0"/>
            </w:tcBorders>
            <w:noWrap w:val="0"/>
            <w:vAlign w:val="center"/>
          </w:tcPr>
          <w:p w14:paraId="7C08A12C">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1289" w:type="dxa"/>
            <w:tcBorders>
              <w:top w:val="nil"/>
              <w:left w:val="nil"/>
              <w:bottom w:val="single" w:color="auto" w:sz="4" w:space="0"/>
              <w:right w:val="single" w:color="auto" w:sz="4" w:space="0"/>
            </w:tcBorders>
            <w:noWrap w:val="0"/>
            <w:vAlign w:val="center"/>
          </w:tcPr>
          <w:p w14:paraId="232E1452">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06E59D81">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1000≤Y＜10000</w:t>
            </w:r>
          </w:p>
        </w:tc>
        <w:tc>
          <w:tcPr>
            <w:tcW w:w="1612" w:type="dxa"/>
            <w:tcBorders>
              <w:top w:val="nil"/>
              <w:left w:val="nil"/>
              <w:bottom w:val="single" w:color="auto" w:sz="4" w:space="0"/>
              <w:right w:val="single" w:color="auto" w:sz="4" w:space="0"/>
            </w:tcBorders>
            <w:noWrap w:val="0"/>
            <w:vAlign w:val="center"/>
          </w:tcPr>
          <w:p w14:paraId="1B6223DE">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50≤Y＜1000</w:t>
            </w:r>
          </w:p>
        </w:tc>
        <w:tc>
          <w:tcPr>
            <w:tcW w:w="1078" w:type="dxa"/>
            <w:tcBorders>
              <w:top w:val="nil"/>
              <w:left w:val="nil"/>
              <w:bottom w:val="single" w:color="auto" w:sz="4" w:space="0"/>
              <w:right w:val="single" w:color="auto" w:sz="4" w:space="0"/>
            </w:tcBorders>
            <w:noWrap w:val="0"/>
            <w:vAlign w:val="center"/>
          </w:tcPr>
          <w:p w14:paraId="2D22B2BA">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Y＜50</w:t>
            </w:r>
          </w:p>
        </w:tc>
      </w:tr>
      <w:tr w14:paraId="3DB38CC8">
        <w:tblPrEx>
          <w:tblCellMar>
            <w:top w:w="0" w:type="dxa"/>
            <w:left w:w="108" w:type="dxa"/>
            <w:bottom w:w="0" w:type="dxa"/>
            <w:right w:w="108" w:type="dxa"/>
          </w:tblCellMar>
        </w:tblPrEx>
        <w:trPr>
          <w:trHeight w:val="257" w:hRule="atLeast"/>
        </w:trPr>
        <w:tc>
          <w:tcPr>
            <w:tcW w:w="1855" w:type="dxa"/>
            <w:vMerge w:val="restart"/>
            <w:tcBorders>
              <w:top w:val="nil"/>
              <w:left w:val="single" w:color="auto" w:sz="4" w:space="0"/>
              <w:bottom w:val="single" w:color="auto" w:sz="4" w:space="0"/>
              <w:right w:val="single" w:color="auto" w:sz="4" w:space="0"/>
            </w:tcBorders>
            <w:noWrap w:val="0"/>
            <w:vAlign w:val="center"/>
          </w:tcPr>
          <w:p w14:paraId="6932FF4F">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房地产开发经营</w:t>
            </w:r>
          </w:p>
        </w:tc>
        <w:tc>
          <w:tcPr>
            <w:tcW w:w="1796" w:type="dxa"/>
            <w:tcBorders>
              <w:top w:val="nil"/>
              <w:left w:val="nil"/>
              <w:bottom w:val="single" w:color="auto" w:sz="4" w:space="0"/>
              <w:right w:val="single" w:color="auto" w:sz="4" w:space="0"/>
            </w:tcBorders>
            <w:noWrap w:val="0"/>
            <w:vAlign w:val="center"/>
          </w:tcPr>
          <w:p w14:paraId="72FCEF20">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1289" w:type="dxa"/>
            <w:tcBorders>
              <w:top w:val="nil"/>
              <w:left w:val="nil"/>
              <w:bottom w:val="single" w:color="auto" w:sz="4" w:space="0"/>
              <w:right w:val="single" w:color="auto" w:sz="4" w:space="0"/>
            </w:tcBorders>
            <w:noWrap w:val="0"/>
            <w:vAlign w:val="center"/>
          </w:tcPr>
          <w:p w14:paraId="0467D373">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360ECA79">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1000≤Y＜200000</w:t>
            </w:r>
          </w:p>
        </w:tc>
        <w:tc>
          <w:tcPr>
            <w:tcW w:w="1612" w:type="dxa"/>
            <w:tcBorders>
              <w:top w:val="nil"/>
              <w:left w:val="nil"/>
              <w:bottom w:val="single" w:color="auto" w:sz="4" w:space="0"/>
              <w:right w:val="single" w:color="auto" w:sz="4" w:space="0"/>
            </w:tcBorders>
            <w:noWrap w:val="0"/>
            <w:vAlign w:val="center"/>
          </w:tcPr>
          <w:p w14:paraId="71BC3121">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100≤X＜1000</w:t>
            </w:r>
          </w:p>
        </w:tc>
        <w:tc>
          <w:tcPr>
            <w:tcW w:w="1078" w:type="dxa"/>
            <w:tcBorders>
              <w:top w:val="nil"/>
              <w:left w:val="nil"/>
              <w:bottom w:val="single" w:color="auto" w:sz="4" w:space="0"/>
              <w:right w:val="single" w:color="auto" w:sz="4" w:space="0"/>
            </w:tcBorders>
            <w:noWrap w:val="0"/>
            <w:vAlign w:val="center"/>
          </w:tcPr>
          <w:p w14:paraId="64AD4C50">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X＜100</w:t>
            </w:r>
          </w:p>
        </w:tc>
      </w:tr>
      <w:tr w14:paraId="0C8E51ED">
        <w:tblPrEx>
          <w:tblCellMar>
            <w:top w:w="0" w:type="dxa"/>
            <w:left w:w="108" w:type="dxa"/>
            <w:bottom w:w="0" w:type="dxa"/>
            <w:right w:w="108" w:type="dxa"/>
          </w:tblCellMar>
        </w:tblPrEx>
        <w:trPr>
          <w:trHeight w:val="257" w:hRule="atLeast"/>
        </w:trPr>
        <w:tc>
          <w:tcPr>
            <w:tcW w:w="1855" w:type="dxa"/>
            <w:vMerge w:val="continue"/>
            <w:tcBorders>
              <w:top w:val="nil"/>
              <w:left w:val="single" w:color="auto" w:sz="4" w:space="0"/>
              <w:bottom w:val="single" w:color="auto" w:sz="4" w:space="0"/>
              <w:right w:val="single" w:color="auto" w:sz="4" w:space="0"/>
            </w:tcBorders>
            <w:noWrap w:val="0"/>
            <w:vAlign w:val="center"/>
          </w:tcPr>
          <w:p w14:paraId="60AA6CDC">
            <w:pPr>
              <w:widowControl/>
              <w:spacing w:line="320" w:lineRule="exact"/>
              <w:jc w:val="center"/>
              <w:rPr>
                <w:rFonts w:ascii="仿宋_GB2312" w:hAnsi="仿宋" w:eastAsia="仿宋_GB2312" w:cs="宋体"/>
                <w:b/>
                <w:bCs/>
                <w:kern w:val="0"/>
                <w:sz w:val="18"/>
                <w:szCs w:val="18"/>
              </w:rPr>
            </w:pPr>
          </w:p>
        </w:tc>
        <w:tc>
          <w:tcPr>
            <w:tcW w:w="1796" w:type="dxa"/>
            <w:tcBorders>
              <w:top w:val="nil"/>
              <w:left w:val="nil"/>
              <w:bottom w:val="single" w:color="auto" w:sz="4" w:space="0"/>
              <w:right w:val="single" w:color="auto" w:sz="4" w:space="0"/>
            </w:tcBorders>
            <w:noWrap w:val="0"/>
            <w:vAlign w:val="center"/>
          </w:tcPr>
          <w:p w14:paraId="216A693A">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1289" w:type="dxa"/>
            <w:tcBorders>
              <w:top w:val="nil"/>
              <w:left w:val="nil"/>
              <w:bottom w:val="single" w:color="auto" w:sz="4" w:space="0"/>
              <w:right w:val="single" w:color="auto" w:sz="4" w:space="0"/>
            </w:tcBorders>
            <w:noWrap w:val="0"/>
            <w:vAlign w:val="center"/>
          </w:tcPr>
          <w:p w14:paraId="5E99BF05">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67FB6AE5">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5000≤Z＜10000</w:t>
            </w:r>
          </w:p>
        </w:tc>
        <w:tc>
          <w:tcPr>
            <w:tcW w:w="1612" w:type="dxa"/>
            <w:tcBorders>
              <w:top w:val="nil"/>
              <w:left w:val="nil"/>
              <w:bottom w:val="single" w:color="auto" w:sz="4" w:space="0"/>
              <w:right w:val="single" w:color="auto" w:sz="4" w:space="0"/>
            </w:tcBorders>
            <w:noWrap w:val="0"/>
            <w:vAlign w:val="center"/>
          </w:tcPr>
          <w:p w14:paraId="061DA1D2">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2000≤Y＜5000</w:t>
            </w:r>
          </w:p>
        </w:tc>
        <w:tc>
          <w:tcPr>
            <w:tcW w:w="1078" w:type="dxa"/>
            <w:tcBorders>
              <w:top w:val="nil"/>
              <w:left w:val="nil"/>
              <w:bottom w:val="single" w:color="auto" w:sz="4" w:space="0"/>
              <w:right w:val="single" w:color="auto" w:sz="4" w:space="0"/>
            </w:tcBorders>
            <w:noWrap w:val="0"/>
            <w:vAlign w:val="center"/>
          </w:tcPr>
          <w:p w14:paraId="67884429">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Y＜2000</w:t>
            </w:r>
          </w:p>
        </w:tc>
      </w:tr>
      <w:tr w14:paraId="4D8822F3">
        <w:tblPrEx>
          <w:tblCellMar>
            <w:top w:w="0" w:type="dxa"/>
            <w:left w:w="108" w:type="dxa"/>
            <w:bottom w:w="0" w:type="dxa"/>
            <w:right w:w="108" w:type="dxa"/>
          </w:tblCellMar>
        </w:tblPrEx>
        <w:trPr>
          <w:trHeight w:val="130" w:hRule="atLeast"/>
        </w:trPr>
        <w:tc>
          <w:tcPr>
            <w:tcW w:w="1855" w:type="dxa"/>
            <w:vMerge w:val="restart"/>
            <w:tcBorders>
              <w:top w:val="nil"/>
              <w:left w:val="single" w:color="auto" w:sz="4" w:space="0"/>
              <w:bottom w:val="single" w:color="auto" w:sz="4" w:space="0"/>
              <w:right w:val="single" w:color="auto" w:sz="4" w:space="0"/>
            </w:tcBorders>
            <w:noWrap w:val="0"/>
            <w:vAlign w:val="center"/>
          </w:tcPr>
          <w:p w14:paraId="46730E96">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物业管理</w:t>
            </w:r>
          </w:p>
        </w:tc>
        <w:tc>
          <w:tcPr>
            <w:tcW w:w="1796" w:type="dxa"/>
            <w:tcBorders>
              <w:top w:val="nil"/>
              <w:left w:val="nil"/>
              <w:bottom w:val="single" w:color="auto" w:sz="4" w:space="0"/>
              <w:right w:val="single" w:color="auto" w:sz="4" w:space="0"/>
            </w:tcBorders>
            <w:noWrap w:val="0"/>
            <w:vAlign w:val="center"/>
          </w:tcPr>
          <w:p w14:paraId="6CDE319D">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1289" w:type="dxa"/>
            <w:tcBorders>
              <w:top w:val="nil"/>
              <w:left w:val="nil"/>
              <w:bottom w:val="single" w:color="auto" w:sz="4" w:space="0"/>
              <w:right w:val="single" w:color="auto" w:sz="4" w:space="0"/>
            </w:tcBorders>
            <w:noWrap w:val="0"/>
            <w:vAlign w:val="center"/>
          </w:tcPr>
          <w:p w14:paraId="68D5F5B7">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908" w:type="dxa"/>
            <w:tcBorders>
              <w:top w:val="nil"/>
              <w:left w:val="nil"/>
              <w:bottom w:val="single" w:color="auto" w:sz="4" w:space="0"/>
              <w:right w:val="single" w:color="auto" w:sz="4" w:space="0"/>
            </w:tcBorders>
            <w:noWrap w:val="0"/>
            <w:vAlign w:val="center"/>
          </w:tcPr>
          <w:p w14:paraId="66FC5202">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300≤X＜1000</w:t>
            </w:r>
          </w:p>
        </w:tc>
        <w:tc>
          <w:tcPr>
            <w:tcW w:w="1612" w:type="dxa"/>
            <w:tcBorders>
              <w:top w:val="nil"/>
              <w:left w:val="nil"/>
              <w:bottom w:val="single" w:color="auto" w:sz="4" w:space="0"/>
              <w:right w:val="single" w:color="auto" w:sz="4" w:space="0"/>
            </w:tcBorders>
            <w:noWrap w:val="0"/>
            <w:vAlign w:val="center"/>
          </w:tcPr>
          <w:p w14:paraId="5E9BACFC">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078" w:type="dxa"/>
            <w:tcBorders>
              <w:top w:val="nil"/>
              <w:left w:val="nil"/>
              <w:bottom w:val="single" w:color="auto" w:sz="4" w:space="0"/>
              <w:right w:val="single" w:color="auto" w:sz="4" w:space="0"/>
            </w:tcBorders>
            <w:noWrap w:val="0"/>
            <w:vAlign w:val="center"/>
          </w:tcPr>
          <w:p w14:paraId="141D3A4A">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X＜100</w:t>
            </w:r>
          </w:p>
        </w:tc>
      </w:tr>
      <w:tr w14:paraId="6D9D8EC1">
        <w:tblPrEx>
          <w:tblCellMar>
            <w:top w:w="0" w:type="dxa"/>
            <w:left w:w="108" w:type="dxa"/>
            <w:bottom w:w="0" w:type="dxa"/>
            <w:right w:w="108" w:type="dxa"/>
          </w:tblCellMar>
        </w:tblPrEx>
        <w:trPr>
          <w:trHeight w:val="130" w:hRule="atLeast"/>
        </w:trPr>
        <w:tc>
          <w:tcPr>
            <w:tcW w:w="1855" w:type="dxa"/>
            <w:vMerge w:val="continue"/>
            <w:tcBorders>
              <w:top w:val="nil"/>
              <w:left w:val="single" w:color="auto" w:sz="4" w:space="0"/>
              <w:bottom w:val="single" w:color="auto" w:sz="4" w:space="0"/>
              <w:right w:val="single" w:color="auto" w:sz="4" w:space="0"/>
            </w:tcBorders>
            <w:noWrap w:val="0"/>
            <w:vAlign w:val="center"/>
          </w:tcPr>
          <w:p w14:paraId="74967746">
            <w:pPr>
              <w:widowControl/>
              <w:spacing w:line="320" w:lineRule="exact"/>
              <w:jc w:val="center"/>
              <w:rPr>
                <w:rFonts w:ascii="仿宋_GB2312" w:hAnsi="仿宋" w:eastAsia="仿宋_GB2312" w:cs="宋体"/>
                <w:b/>
                <w:bCs/>
                <w:kern w:val="0"/>
                <w:sz w:val="18"/>
                <w:szCs w:val="18"/>
              </w:rPr>
            </w:pPr>
          </w:p>
        </w:tc>
        <w:tc>
          <w:tcPr>
            <w:tcW w:w="1796" w:type="dxa"/>
            <w:tcBorders>
              <w:top w:val="nil"/>
              <w:left w:val="nil"/>
              <w:bottom w:val="single" w:color="auto" w:sz="4" w:space="0"/>
              <w:right w:val="single" w:color="auto" w:sz="4" w:space="0"/>
            </w:tcBorders>
            <w:noWrap w:val="0"/>
            <w:vAlign w:val="center"/>
          </w:tcPr>
          <w:p w14:paraId="0DE3AA8D">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营业收入（Y）</w:t>
            </w:r>
          </w:p>
        </w:tc>
        <w:tc>
          <w:tcPr>
            <w:tcW w:w="1289" w:type="dxa"/>
            <w:tcBorders>
              <w:top w:val="nil"/>
              <w:left w:val="nil"/>
              <w:bottom w:val="single" w:color="auto" w:sz="4" w:space="0"/>
              <w:right w:val="single" w:color="auto" w:sz="4" w:space="0"/>
            </w:tcBorders>
            <w:noWrap w:val="0"/>
            <w:vAlign w:val="center"/>
          </w:tcPr>
          <w:p w14:paraId="07FC7DA5">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2C3DA316">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1000≤Y＜5000</w:t>
            </w:r>
          </w:p>
        </w:tc>
        <w:tc>
          <w:tcPr>
            <w:tcW w:w="1612" w:type="dxa"/>
            <w:tcBorders>
              <w:top w:val="nil"/>
              <w:left w:val="nil"/>
              <w:bottom w:val="single" w:color="auto" w:sz="4" w:space="0"/>
              <w:right w:val="single" w:color="auto" w:sz="4" w:space="0"/>
            </w:tcBorders>
            <w:noWrap w:val="0"/>
            <w:vAlign w:val="center"/>
          </w:tcPr>
          <w:p w14:paraId="2D1ECC5E">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500≤Y＜1000</w:t>
            </w:r>
          </w:p>
        </w:tc>
        <w:tc>
          <w:tcPr>
            <w:tcW w:w="1078" w:type="dxa"/>
            <w:tcBorders>
              <w:top w:val="nil"/>
              <w:left w:val="nil"/>
              <w:bottom w:val="single" w:color="auto" w:sz="4" w:space="0"/>
              <w:right w:val="single" w:color="auto" w:sz="4" w:space="0"/>
            </w:tcBorders>
            <w:noWrap w:val="0"/>
            <w:vAlign w:val="center"/>
          </w:tcPr>
          <w:p w14:paraId="2869507E">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Y＜500</w:t>
            </w:r>
          </w:p>
        </w:tc>
      </w:tr>
      <w:tr w14:paraId="63C63FCC">
        <w:tblPrEx>
          <w:tblCellMar>
            <w:top w:w="0" w:type="dxa"/>
            <w:left w:w="108" w:type="dxa"/>
            <w:bottom w:w="0" w:type="dxa"/>
            <w:right w:w="108" w:type="dxa"/>
          </w:tblCellMar>
        </w:tblPrEx>
        <w:trPr>
          <w:trHeight w:val="130" w:hRule="atLeast"/>
        </w:trPr>
        <w:tc>
          <w:tcPr>
            <w:tcW w:w="1855" w:type="dxa"/>
            <w:vMerge w:val="restart"/>
            <w:tcBorders>
              <w:top w:val="nil"/>
              <w:left w:val="single" w:color="auto" w:sz="4" w:space="0"/>
              <w:bottom w:val="single" w:color="auto" w:sz="4" w:space="0"/>
              <w:right w:val="single" w:color="auto" w:sz="4" w:space="0"/>
            </w:tcBorders>
            <w:noWrap w:val="0"/>
            <w:vAlign w:val="center"/>
          </w:tcPr>
          <w:p w14:paraId="3184BE85">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租赁和商务服务业</w:t>
            </w:r>
          </w:p>
        </w:tc>
        <w:tc>
          <w:tcPr>
            <w:tcW w:w="1796" w:type="dxa"/>
            <w:tcBorders>
              <w:top w:val="nil"/>
              <w:left w:val="nil"/>
              <w:bottom w:val="single" w:color="auto" w:sz="4" w:space="0"/>
              <w:right w:val="single" w:color="auto" w:sz="4" w:space="0"/>
            </w:tcBorders>
            <w:noWrap w:val="0"/>
            <w:vAlign w:val="center"/>
          </w:tcPr>
          <w:p w14:paraId="3A6FBA14">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1289" w:type="dxa"/>
            <w:tcBorders>
              <w:top w:val="nil"/>
              <w:left w:val="nil"/>
              <w:bottom w:val="single" w:color="auto" w:sz="4" w:space="0"/>
              <w:right w:val="single" w:color="auto" w:sz="4" w:space="0"/>
            </w:tcBorders>
            <w:noWrap w:val="0"/>
            <w:vAlign w:val="center"/>
          </w:tcPr>
          <w:p w14:paraId="07E5E72E">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908" w:type="dxa"/>
            <w:tcBorders>
              <w:top w:val="nil"/>
              <w:left w:val="nil"/>
              <w:bottom w:val="single" w:color="auto" w:sz="4" w:space="0"/>
              <w:right w:val="single" w:color="auto" w:sz="4" w:space="0"/>
            </w:tcBorders>
            <w:noWrap w:val="0"/>
            <w:vAlign w:val="center"/>
          </w:tcPr>
          <w:p w14:paraId="5948562E">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612" w:type="dxa"/>
            <w:tcBorders>
              <w:top w:val="nil"/>
              <w:left w:val="nil"/>
              <w:bottom w:val="single" w:color="auto" w:sz="4" w:space="0"/>
              <w:right w:val="single" w:color="auto" w:sz="4" w:space="0"/>
            </w:tcBorders>
            <w:noWrap w:val="0"/>
            <w:vAlign w:val="center"/>
          </w:tcPr>
          <w:p w14:paraId="2A34A0B4">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078" w:type="dxa"/>
            <w:tcBorders>
              <w:top w:val="nil"/>
              <w:left w:val="nil"/>
              <w:bottom w:val="single" w:color="auto" w:sz="4" w:space="0"/>
              <w:right w:val="single" w:color="auto" w:sz="4" w:space="0"/>
            </w:tcBorders>
            <w:noWrap w:val="0"/>
            <w:vAlign w:val="center"/>
          </w:tcPr>
          <w:p w14:paraId="1D18101F">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r w14:paraId="681F8569">
        <w:tblPrEx>
          <w:tblCellMar>
            <w:top w:w="0" w:type="dxa"/>
            <w:left w:w="108" w:type="dxa"/>
            <w:bottom w:w="0" w:type="dxa"/>
            <w:right w:w="108" w:type="dxa"/>
          </w:tblCellMar>
        </w:tblPrEx>
        <w:trPr>
          <w:trHeight w:val="257" w:hRule="atLeast"/>
        </w:trPr>
        <w:tc>
          <w:tcPr>
            <w:tcW w:w="1855" w:type="dxa"/>
            <w:vMerge w:val="continue"/>
            <w:tcBorders>
              <w:top w:val="nil"/>
              <w:left w:val="single" w:color="auto" w:sz="4" w:space="0"/>
              <w:bottom w:val="single" w:color="auto" w:sz="4" w:space="0"/>
              <w:right w:val="single" w:color="auto" w:sz="4" w:space="0"/>
            </w:tcBorders>
            <w:noWrap w:val="0"/>
            <w:vAlign w:val="center"/>
          </w:tcPr>
          <w:p w14:paraId="7141FA47">
            <w:pPr>
              <w:widowControl/>
              <w:spacing w:line="320" w:lineRule="exact"/>
              <w:jc w:val="center"/>
              <w:rPr>
                <w:rFonts w:ascii="仿宋_GB2312" w:hAnsi="仿宋" w:eastAsia="仿宋_GB2312" w:cs="宋体"/>
                <w:b/>
                <w:bCs/>
                <w:kern w:val="0"/>
                <w:sz w:val="18"/>
                <w:szCs w:val="18"/>
              </w:rPr>
            </w:pPr>
          </w:p>
        </w:tc>
        <w:tc>
          <w:tcPr>
            <w:tcW w:w="1796" w:type="dxa"/>
            <w:tcBorders>
              <w:top w:val="nil"/>
              <w:left w:val="nil"/>
              <w:bottom w:val="single" w:color="auto" w:sz="4" w:space="0"/>
              <w:right w:val="single" w:color="auto" w:sz="4" w:space="0"/>
            </w:tcBorders>
            <w:noWrap w:val="0"/>
            <w:vAlign w:val="center"/>
          </w:tcPr>
          <w:p w14:paraId="6C6850FB">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资产总额（Z）</w:t>
            </w:r>
          </w:p>
        </w:tc>
        <w:tc>
          <w:tcPr>
            <w:tcW w:w="1289" w:type="dxa"/>
            <w:tcBorders>
              <w:top w:val="nil"/>
              <w:left w:val="nil"/>
              <w:bottom w:val="single" w:color="auto" w:sz="4" w:space="0"/>
              <w:right w:val="single" w:color="auto" w:sz="4" w:space="0"/>
            </w:tcBorders>
            <w:noWrap w:val="0"/>
            <w:vAlign w:val="center"/>
          </w:tcPr>
          <w:p w14:paraId="3D59C15F">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万元</w:t>
            </w:r>
          </w:p>
        </w:tc>
        <w:tc>
          <w:tcPr>
            <w:tcW w:w="1908" w:type="dxa"/>
            <w:tcBorders>
              <w:top w:val="nil"/>
              <w:left w:val="nil"/>
              <w:bottom w:val="single" w:color="auto" w:sz="4" w:space="0"/>
              <w:right w:val="single" w:color="auto" w:sz="4" w:space="0"/>
            </w:tcBorders>
            <w:noWrap w:val="0"/>
            <w:vAlign w:val="center"/>
          </w:tcPr>
          <w:p w14:paraId="134A9334">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8000≤Z＜120000</w:t>
            </w:r>
          </w:p>
        </w:tc>
        <w:tc>
          <w:tcPr>
            <w:tcW w:w="1612" w:type="dxa"/>
            <w:tcBorders>
              <w:top w:val="nil"/>
              <w:left w:val="nil"/>
              <w:bottom w:val="single" w:color="auto" w:sz="4" w:space="0"/>
              <w:right w:val="single" w:color="auto" w:sz="4" w:space="0"/>
            </w:tcBorders>
            <w:noWrap w:val="0"/>
            <w:vAlign w:val="center"/>
          </w:tcPr>
          <w:p w14:paraId="53412030">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100≤Z＜8000</w:t>
            </w:r>
          </w:p>
        </w:tc>
        <w:tc>
          <w:tcPr>
            <w:tcW w:w="1078" w:type="dxa"/>
            <w:tcBorders>
              <w:top w:val="nil"/>
              <w:left w:val="nil"/>
              <w:bottom w:val="single" w:color="auto" w:sz="4" w:space="0"/>
              <w:right w:val="single" w:color="auto" w:sz="4" w:space="0"/>
            </w:tcBorders>
            <w:noWrap w:val="0"/>
            <w:vAlign w:val="center"/>
          </w:tcPr>
          <w:p w14:paraId="53DAD6A3">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Y＜100</w:t>
            </w:r>
          </w:p>
        </w:tc>
      </w:tr>
      <w:tr w14:paraId="0379E56B">
        <w:tblPrEx>
          <w:tblCellMar>
            <w:top w:w="0" w:type="dxa"/>
            <w:left w:w="108" w:type="dxa"/>
            <w:bottom w:w="0" w:type="dxa"/>
            <w:right w:w="108" w:type="dxa"/>
          </w:tblCellMar>
        </w:tblPrEx>
        <w:trPr>
          <w:trHeight w:val="134" w:hRule="atLeast"/>
        </w:trPr>
        <w:tc>
          <w:tcPr>
            <w:tcW w:w="1855" w:type="dxa"/>
            <w:tcBorders>
              <w:top w:val="nil"/>
              <w:left w:val="single" w:color="auto" w:sz="4" w:space="0"/>
              <w:bottom w:val="single" w:color="auto" w:sz="4" w:space="0"/>
              <w:right w:val="single" w:color="auto" w:sz="4" w:space="0"/>
            </w:tcBorders>
            <w:noWrap w:val="0"/>
            <w:vAlign w:val="center"/>
          </w:tcPr>
          <w:p w14:paraId="07570C42">
            <w:pPr>
              <w:widowControl/>
              <w:spacing w:line="320" w:lineRule="exact"/>
              <w:jc w:val="center"/>
              <w:rPr>
                <w:rFonts w:ascii="仿宋_GB2312" w:hAnsi="仿宋" w:eastAsia="仿宋_GB2312" w:cs="宋体"/>
                <w:b/>
                <w:bCs/>
                <w:kern w:val="0"/>
                <w:sz w:val="18"/>
                <w:szCs w:val="18"/>
              </w:rPr>
            </w:pPr>
            <w:r>
              <w:rPr>
                <w:rFonts w:hint="eastAsia" w:ascii="仿宋_GB2312" w:hAnsi="仿宋" w:eastAsia="仿宋_GB2312" w:cs="宋体"/>
                <w:b/>
                <w:bCs/>
                <w:kern w:val="0"/>
                <w:sz w:val="18"/>
                <w:szCs w:val="18"/>
              </w:rPr>
              <w:t>其他未列明行业</w:t>
            </w:r>
            <w:r>
              <w:rPr>
                <w:rFonts w:ascii="宋体" w:hAnsi="宋体" w:eastAsia="宋体" w:cs="宋体"/>
                <w:color w:val="333333"/>
                <w:kern w:val="0"/>
                <w:sz w:val="21"/>
                <w:szCs w:val="21"/>
                <w:lang w:val="en-US" w:eastAsia="zh-CN" w:bidi="ar"/>
              </w:rPr>
              <w:t>*</w:t>
            </w:r>
          </w:p>
        </w:tc>
        <w:tc>
          <w:tcPr>
            <w:tcW w:w="1796" w:type="dxa"/>
            <w:tcBorders>
              <w:top w:val="nil"/>
              <w:left w:val="nil"/>
              <w:bottom w:val="single" w:color="auto" w:sz="4" w:space="0"/>
              <w:right w:val="single" w:color="auto" w:sz="4" w:space="0"/>
            </w:tcBorders>
            <w:noWrap w:val="0"/>
            <w:vAlign w:val="center"/>
          </w:tcPr>
          <w:p w14:paraId="78D6DEAF">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从业人员（X）</w:t>
            </w:r>
          </w:p>
        </w:tc>
        <w:tc>
          <w:tcPr>
            <w:tcW w:w="1289" w:type="dxa"/>
            <w:tcBorders>
              <w:top w:val="nil"/>
              <w:left w:val="nil"/>
              <w:bottom w:val="single" w:color="auto" w:sz="4" w:space="0"/>
              <w:right w:val="single" w:color="auto" w:sz="4" w:space="0"/>
            </w:tcBorders>
            <w:noWrap w:val="0"/>
            <w:vAlign w:val="center"/>
          </w:tcPr>
          <w:p w14:paraId="09A5C744">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人</w:t>
            </w:r>
          </w:p>
        </w:tc>
        <w:tc>
          <w:tcPr>
            <w:tcW w:w="1908" w:type="dxa"/>
            <w:tcBorders>
              <w:top w:val="nil"/>
              <w:left w:val="nil"/>
              <w:bottom w:val="single" w:color="auto" w:sz="4" w:space="0"/>
              <w:right w:val="single" w:color="auto" w:sz="4" w:space="0"/>
            </w:tcBorders>
            <w:noWrap w:val="0"/>
            <w:vAlign w:val="center"/>
          </w:tcPr>
          <w:p w14:paraId="460D9433">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100≤X＜300</w:t>
            </w:r>
          </w:p>
        </w:tc>
        <w:tc>
          <w:tcPr>
            <w:tcW w:w="1612" w:type="dxa"/>
            <w:tcBorders>
              <w:top w:val="nil"/>
              <w:left w:val="nil"/>
              <w:bottom w:val="single" w:color="auto" w:sz="4" w:space="0"/>
              <w:right w:val="single" w:color="auto" w:sz="4" w:space="0"/>
            </w:tcBorders>
            <w:noWrap w:val="0"/>
            <w:vAlign w:val="center"/>
          </w:tcPr>
          <w:p w14:paraId="184F7FAD">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10≤X＜100</w:t>
            </w:r>
          </w:p>
        </w:tc>
        <w:tc>
          <w:tcPr>
            <w:tcW w:w="1078" w:type="dxa"/>
            <w:tcBorders>
              <w:top w:val="nil"/>
              <w:left w:val="nil"/>
              <w:bottom w:val="single" w:color="auto" w:sz="4" w:space="0"/>
              <w:right w:val="single" w:color="auto" w:sz="4" w:space="0"/>
            </w:tcBorders>
            <w:noWrap w:val="0"/>
            <w:vAlign w:val="center"/>
          </w:tcPr>
          <w:p w14:paraId="11481598">
            <w:pPr>
              <w:widowControl/>
              <w:spacing w:line="320" w:lineRule="exact"/>
              <w:jc w:val="left"/>
              <w:rPr>
                <w:rFonts w:ascii="仿宋_GB2312" w:hAnsi="仿宋" w:eastAsia="仿宋_GB2312" w:cs="宋体"/>
                <w:kern w:val="0"/>
                <w:sz w:val="18"/>
                <w:szCs w:val="18"/>
              </w:rPr>
            </w:pPr>
            <w:r>
              <w:rPr>
                <w:rFonts w:hint="eastAsia" w:ascii="仿宋_GB2312" w:hAnsi="仿宋" w:eastAsia="仿宋_GB2312" w:cs="宋体"/>
                <w:kern w:val="0"/>
                <w:sz w:val="18"/>
                <w:szCs w:val="18"/>
              </w:rPr>
              <w:t>X＜10</w:t>
            </w:r>
          </w:p>
        </w:tc>
      </w:tr>
    </w:tbl>
    <w:p w14:paraId="41150307">
      <w:pPr>
        <w:keepNext w:val="0"/>
        <w:keepLines w:val="0"/>
        <w:pageBreakBefore w:val="0"/>
        <w:widowControl/>
        <w:suppressLineNumbers w:val="0"/>
        <w:shd w:val="clear" w:color="auto" w:fill="FFFFFF"/>
        <w:kinsoku/>
        <w:wordWrap/>
        <w:overflowPunct/>
        <w:topLinePunct w:val="0"/>
        <w:autoSpaceDE/>
        <w:autoSpaceDN/>
        <w:bidi w:val="0"/>
        <w:adjustRightInd/>
        <w:snapToGrid/>
        <w:spacing w:before="300" w:beforeAutospacing="0" w:after="225" w:afterAutospacing="0" w:line="240" w:lineRule="auto"/>
        <w:ind w:left="0" w:right="0" w:firstLine="420"/>
        <w:jc w:val="left"/>
        <w:textAlignment w:val="auto"/>
        <w:rPr>
          <w:rFonts w:ascii="宋体" w:hAnsi="宋体" w:eastAsia="宋体" w:cs="宋体"/>
          <w:color w:val="333333"/>
          <w:kern w:val="0"/>
          <w:sz w:val="21"/>
          <w:szCs w:val="21"/>
          <w:shd w:val="clear" w:color="auto" w:fill="FFFFFF"/>
          <w:lang w:val="en-US" w:eastAsia="zh-CN" w:bidi="ar"/>
        </w:rPr>
      </w:pPr>
      <w:r>
        <w:rPr>
          <w:rFonts w:ascii="宋体" w:hAnsi="宋体" w:eastAsia="宋体" w:cs="宋体"/>
          <w:color w:val="333333"/>
          <w:kern w:val="0"/>
          <w:sz w:val="21"/>
          <w:szCs w:val="21"/>
          <w:shd w:val="clear" w:color="auto" w:fill="FFFFFF"/>
          <w:lang w:val="en-US" w:eastAsia="zh-CN" w:bidi="ar"/>
        </w:rPr>
        <w:t>说明：</w:t>
      </w:r>
    </w:p>
    <w:p w14:paraId="67CDB2BD">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300" w:beforeAutospacing="0" w:after="225" w:afterAutospacing="0" w:line="240" w:lineRule="auto"/>
        <w:ind w:left="0" w:right="0" w:firstLine="420"/>
        <w:jc w:val="left"/>
        <w:textAlignment w:val="auto"/>
        <w:rPr>
          <w:color w:val="333333"/>
          <w:sz w:val="21"/>
          <w:szCs w:val="21"/>
        </w:rPr>
      </w:pPr>
      <w:r>
        <w:rPr>
          <w:rFonts w:ascii="宋体" w:hAnsi="宋体" w:eastAsia="宋体" w:cs="宋体"/>
          <w:color w:val="333333"/>
          <w:kern w:val="0"/>
          <w:sz w:val="21"/>
          <w:szCs w:val="21"/>
          <w:shd w:val="clear" w:color="auto" w:fill="FFFFFF"/>
          <w:lang w:val="en-US" w:eastAsia="zh-CN" w:bidi="ar"/>
        </w:rPr>
        <w:t>1.大型、中型和小型企业须同时满足所列指标的下限，否则下划一档；微型企业只须满足所列指标中的一项即可。</w:t>
      </w:r>
    </w:p>
    <w:p w14:paraId="49AF5D31">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300" w:beforeAutospacing="0" w:after="225" w:afterAutospacing="0" w:line="400" w:lineRule="atLeast"/>
        <w:ind w:left="0" w:right="0" w:firstLine="420"/>
        <w:jc w:val="left"/>
        <w:textAlignment w:val="auto"/>
        <w:rPr>
          <w:color w:val="333333"/>
          <w:sz w:val="21"/>
          <w:szCs w:val="21"/>
        </w:rPr>
      </w:pPr>
      <w:r>
        <w:rPr>
          <w:rFonts w:ascii="宋体" w:hAnsi="宋体" w:eastAsia="宋体" w:cs="宋体"/>
          <w:color w:val="333333"/>
          <w:kern w:val="0"/>
          <w:sz w:val="21"/>
          <w:szCs w:val="21"/>
          <w:shd w:val="clear" w:color="auto" w:fill="FFFFFF"/>
          <w:lang w:val="en-US" w:eastAsia="zh-CN" w:bidi="ar"/>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36CD9126">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560" w:lineRule="exact"/>
        <w:ind w:left="0"/>
        <w:jc w:val="left"/>
        <w:textAlignment w:val="baseline"/>
        <w:outlineLvl w:val="0"/>
        <w:rPr>
          <w:rFonts w:ascii="宋体" w:hAnsi="宋体" w:eastAsia="宋体" w:cs="宋体"/>
          <w:color w:val="333333"/>
          <w:kern w:val="0"/>
          <w:sz w:val="21"/>
          <w:szCs w:val="21"/>
          <w:shd w:val="clear" w:color="auto" w:fill="FFFFFF"/>
          <w:lang w:val="en-US" w:eastAsia="zh-CN" w:bidi="ar"/>
        </w:rPr>
      </w:pPr>
      <w:r>
        <w:rPr>
          <w:rFonts w:ascii="宋体" w:hAnsi="宋体" w:eastAsia="宋体" w:cs="宋体"/>
          <w:color w:val="333333"/>
          <w:kern w:val="0"/>
          <w:sz w:val="21"/>
          <w:szCs w:val="21"/>
          <w:shd w:val="clear" w:color="auto" w:fill="FFFFFF"/>
          <w:lang w:val="en-US" w:eastAsia="zh-CN" w:bidi="ar"/>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5998B736">
      <w:pPr>
        <w:rPr>
          <w:rFonts w:ascii="宋体" w:hAnsi="宋体" w:eastAsia="宋体" w:cs="宋体"/>
          <w:b/>
          <w:bCs/>
          <w:color w:val="auto"/>
          <w:spacing w:val="4"/>
          <w:sz w:val="43"/>
          <w:szCs w:val="43"/>
        </w:rPr>
      </w:pPr>
      <w:r>
        <w:rPr>
          <w:rFonts w:ascii="宋体" w:hAnsi="宋体" w:eastAsia="宋体" w:cs="宋体"/>
          <w:b/>
          <w:bCs/>
          <w:color w:val="auto"/>
          <w:spacing w:val="4"/>
          <w:sz w:val="43"/>
          <w:szCs w:val="43"/>
        </w:rPr>
        <w:br w:type="page"/>
      </w:r>
    </w:p>
    <w:p w14:paraId="0F7945C4">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560" w:lineRule="exact"/>
        <w:ind w:left="0"/>
        <w:jc w:val="center"/>
        <w:textAlignment w:val="baseline"/>
        <w:outlineLvl w:val="0"/>
        <w:rPr>
          <w:rFonts w:ascii="宋体" w:hAnsi="宋体" w:eastAsia="宋体" w:cs="宋体"/>
          <w:color w:val="auto"/>
          <w:sz w:val="43"/>
          <w:szCs w:val="43"/>
        </w:rPr>
      </w:pPr>
      <w:r>
        <w:rPr>
          <w:rFonts w:ascii="宋体" w:hAnsi="宋体" w:eastAsia="宋体" w:cs="宋体"/>
          <w:b/>
          <w:bCs/>
          <w:color w:val="auto"/>
          <w:spacing w:val="4"/>
          <w:sz w:val="43"/>
          <w:szCs w:val="43"/>
        </w:rPr>
        <w:t>第三章</w:t>
      </w:r>
      <w:r>
        <w:rPr>
          <w:rFonts w:ascii="宋体" w:hAnsi="宋体" w:eastAsia="宋体" w:cs="宋体"/>
          <w:color w:val="auto"/>
          <w:spacing w:val="4"/>
          <w:sz w:val="43"/>
          <w:szCs w:val="43"/>
        </w:rPr>
        <w:t xml:space="preserve">  </w:t>
      </w:r>
      <w:r>
        <w:rPr>
          <w:rFonts w:ascii="宋体" w:hAnsi="宋体" w:eastAsia="宋体" w:cs="宋体"/>
          <w:b/>
          <w:bCs/>
          <w:color w:val="auto"/>
          <w:spacing w:val="4"/>
          <w:sz w:val="43"/>
          <w:szCs w:val="43"/>
        </w:rPr>
        <w:t>投标人须知</w:t>
      </w:r>
    </w:p>
    <w:p w14:paraId="132F70AB">
      <w:pPr>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outlineLvl w:val="1"/>
        <w:rPr>
          <w:rFonts w:ascii="宋体" w:hAnsi="宋体" w:eastAsia="宋体" w:cs="宋体"/>
          <w:b/>
          <w:bCs/>
          <w:color w:val="auto"/>
          <w:spacing w:val="-3"/>
          <w:sz w:val="36"/>
          <w:szCs w:val="36"/>
        </w:rPr>
      </w:pPr>
      <w:r>
        <w:rPr>
          <w:rFonts w:ascii="宋体" w:hAnsi="宋体" w:eastAsia="宋体" w:cs="宋体"/>
          <w:b/>
          <w:bCs/>
          <w:color w:val="auto"/>
          <w:spacing w:val="-3"/>
          <w:sz w:val="36"/>
          <w:szCs w:val="36"/>
        </w:rPr>
        <w:t>投标人须知前附表</w:t>
      </w:r>
    </w:p>
    <w:tbl>
      <w:tblPr>
        <w:tblStyle w:val="18"/>
        <w:tblW w:w="9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4"/>
        <w:gridCol w:w="8554"/>
      </w:tblGrid>
      <w:tr w14:paraId="7825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0677ACCB">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center"/>
              <w:textAlignment w:val="baseline"/>
              <w:rPr>
                <w:rFonts w:hint="eastAsia" w:asciiTheme="minorEastAsia" w:hAnsiTheme="minorEastAsia" w:eastAsiaTheme="minorEastAsia" w:cstheme="minorEastAsia"/>
                <w:b/>
                <w:bCs/>
                <w:color w:val="auto"/>
                <w:sz w:val="21"/>
                <w:szCs w:val="21"/>
                <w:vertAlign w:val="baseline"/>
              </w:rPr>
            </w:pPr>
            <w:r>
              <w:rPr>
                <w:rFonts w:hint="eastAsia" w:asciiTheme="minorEastAsia" w:hAnsiTheme="minorEastAsia" w:eastAsiaTheme="minorEastAsia" w:cstheme="minorEastAsia"/>
                <w:b/>
                <w:bCs/>
                <w:color w:val="auto"/>
                <w:spacing w:val="-2"/>
                <w:sz w:val="21"/>
                <w:szCs w:val="21"/>
              </w:rPr>
              <w:t>条款号</w:t>
            </w:r>
          </w:p>
        </w:tc>
        <w:tc>
          <w:tcPr>
            <w:tcW w:w="8554" w:type="dxa"/>
            <w:vAlign w:val="top"/>
          </w:tcPr>
          <w:p w14:paraId="41D5669D">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center"/>
              <w:textAlignment w:val="baseline"/>
              <w:rPr>
                <w:rFonts w:hint="eastAsia" w:asciiTheme="minorEastAsia" w:hAnsiTheme="minorEastAsia" w:eastAsiaTheme="minorEastAsia" w:cstheme="minorEastAsia"/>
                <w:b/>
                <w:bCs/>
                <w:color w:val="auto"/>
                <w:sz w:val="21"/>
                <w:szCs w:val="21"/>
                <w:vertAlign w:val="baseline"/>
              </w:rPr>
            </w:pPr>
            <w:r>
              <w:rPr>
                <w:rFonts w:hint="eastAsia" w:asciiTheme="minorEastAsia" w:hAnsiTheme="minorEastAsia" w:eastAsiaTheme="minorEastAsia" w:cstheme="minorEastAsia"/>
                <w:b/>
                <w:bCs/>
                <w:color w:val="auto"/>
                <w:spacing w:val="-2"/>
                <w:sz w:val="21"/>
                <w:szCs w:val="21"/>
              </w:rPr>
              <w:t>编列内容</w:t>
            </w:r>
          </w:p>
        </w:tc>
      </w:tr>
      <w:tr w14:paraId="2181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271324CC">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center"/>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3</w:t>
            </w:r>
          </w:p>
        </w:tc>
        <w:tc>
          <w:tcPr>
            <w:tcW w:w="8554" w:type="dxa"/>
            <w:vAlign w:val="top"/>
          </w:tcPr>
          <w:p w14:paraId="7ACFB23A">
            <w:pPr>
              <w:pStyle w:val="25"/>
              <w:keepNext w:val="0"/>
              <w:keepLines w:val="0"/>
              <w:pageBreakBefore w:val="0"/>
              <w:widowControl w:val="0"/>
              <w:kinsoku w:val="0"/>
              <w:wordWrap w:val="0"/>
              <w:overflowPunct w:val="0"/>
              <w:topLinePunct w:val="0"/>
              <w:autoSpaceDE/>
              <w:autoSpaceDN/>
              <w:bidi w:val="0"/>
              <w:adjustRightInd w:val="0"/>
              <w:snapToGrid w:val="0"/>
              <w:spacing w:line="520" w:lineRule="exact"/>
              <w:ind w:left="0" w:right="0"/>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1.投标人的资格要求详见招标公告。</w:t>
            </w:r>
          </w:p>
          <w:p w14:paraId="42981FD7">
            <w:pPr>
              <w:pStyle w:val="25"/>
              <w:keepNext w:val="0"/>
              <w:keepLines w:val="0"/>
              <w:pageBreakBefore w:val="0"/>
              <w:widowControl w:val="0"/>
              <w:kinsoku w:val="0"/>
              <w:wordWrap w:val="0"/>
              <w:overflowPunct w:val="0"/>
              <w:topLinePunct w:val="0"/>
              <w:autoSpaceDE/>
              <w:autoSpaceDN/>
              <w:bidi w:val="0"/>
              <w:adjustRightInd w:val="0"/>
              <w:snapToGrid w:val="0"/>
              <w:spacing w:line="520" w:lineRule="exact"/>
              <w:ind w:left="0" w:right="0"/>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2.投标人出现下列情形之一的，不得参加政府采购活动：</w:t>
            </w:r>
          </w:p>
          <w:p w14:paraId="47EC6BAA">
            <w:pPr>
              <w:pStyle w:val="25"/>
              <w:keepNext w:val="0"/>
              <w:keepLines w:val="0"/>
              <w:pageBreakBefore w:val="0"/>
              <w:widowControl w:val="0"/>
              <w:kinsoku w:val="0"/>
              <w:wordWrap w:val="0"/>
              <w:overflowPunct w:val="0"/>
              <w:topLinePunct w:val="0"/>
              <w:autoSpaceDE/>
              <w:autoSpaceDN/>
              <w:bidi w:val="0"/>
              <w:adjustRightInd w:val="0"/>
              <w:snapToGrid w:val="0"/>
              <w:spacing w:line="520" w:lineRule="exact"/>
              <w:ind w:left="0" w:right="0" w:firstLine="1"/>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2.1单位负责人为同一人或者存在直接控股、管理关系</w:t>
            </w:r>
            <w:r>
              <w:rPr>
                <w:rFonts w:hint="eastAsia" w:asciiTheme="minorEastAsia" w:hAnsiTheme="minorEastAsia" w:eastAsiaTheme="minorEastAsia" w:cstheme="minorEastAsia"/>
                <w:color w:val="auto"/>
                <w:spacing w:val="-1"/>
                <w:sz w:val="21"/>
                <w:szCs w:val="21"/>
              </w:rPr>
              <w:t>的不同供应商，不得参加同一合同项下的政府采购活动。为本项目提供过整体设计、规范编制或者项目管理、监理、检测等服务的供应商，不得再参加本项目上述服务以外的其他采购活动。</w:t>
            </w:r>
          </w:p>
          <w:p w14:paraId="33D3B2FC">
            <w:pPr>
              <w:pStyle w:val="25"/>
              <w:keepNext w:val="0"/>
              <w:keepLines w:val="0"/>
              <w:pageBreakBefore w:val="0"/>
              <w:widowControl w:val="0"/>
              <w:kinsoku w:val="0"/>
              <w:wordWrap w:val="0"/>
              <w:overflowPunct w:val="0"/>
              <w:topLinePunct w:val="0"/>
              <w:autoSpaceDE/>
              <w:autoSpaceDN/>
              <w:bidi w:val="0"/>
              <w:adjustRightInd w:val="0"/>
              <w:snapToGrid w:val="0"/>
              <w:spacing w:line="520" w:lineRule="exact"/>
              <w:ind w:left="0" w:right="0"/>
              <w:jc w:val="both"/>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z w:val="21"/>
                <w:szCs w:val="21"/>
              </w:rPr>
              <w:t>2.2对在“信用中国”网站（WWW.cre</w:t>
            </w:r>
            <w:r>
              <w:rPr>
                <w:rFonts w:hint="eastAsia" w:asciiTheme="minorEastAsia" w:hAnsiTheme="minorEastAsia" w:eastAsiaTheme="minorEastAsia" w:cstheme="minorEastAsia"/>
                <w:color w:val="auto"/>
                <w:spacing w:val="-1"/>
                <w:sz w:val="21"/>
                <w:szCs w:val="21"/>
              </w:rPr>
              <w:t>ditchina.gov.cn）、中国政府采购网</w:t>
            </w:r>
            <w:r>
              <w:rPr>
                <w:rFonts w:hint="eastAsia" w:asciiTheme="minorEastAsia" w:hAnsiTheme="minorEastAsia" w:eastAsiaTheme="minorEastAsia" w:cstheme="minorEastAsia"/>
                <w:color w:val="auto"/>
                <w:sz w:val="21"/>
                <w:szCs w:val="21"/>
              </w:rPr>
              <w:t>（www.ccgp.gov.cn）被列入失信被执行人、重大税收违法案件</w:t>
            </w:r>
            <w:r>
              <w:rPr>
                <w:rFonts w:hint="eastAsia" w:asciiTheme="minorEastAsia" w:hAnsiTheme="minorEastAsia" w:eastAsiaTheme="minorEastAsia" w:cstheme="minorEastAsia"/>
                <w:color w:val="auto"/>
                <w:spacing w:val="-1"/>
                <w:sz w:val="21"/>
                <w:szCs w:val="21"/>
              </w:rPr>
              <w:t>当</w:t>
            </w:r>
            <w:r>
              <w:rPr>
                <w:rFonts w:hint="eastAsia" w:asciiTheme="minorEastAsia" w:hAnsiTheme="minorEastAsia" w:eastAsiaTheme="minorEastAsia" w:cstheme="minorEastAsia"/>
                <w:color w:val="auto"/>
                <w:spacing w:val="-1"/>
                <w:sz w:val="21"/>
                <w:szCs w:val="21"/>
                <w:lang w:val="en-US" w:eastAsia="zh-CN"/>
              </w:rPr>
              <w:t>失信主体</w:t>
            </w:r>
            <w:r>
              <w:rPr>
                <w:rFonts w:hint="eastAsia" w:asciiTheme="minorEastAsia" w:hAnsiTheme="minorEastAsia" w:eastAsiaTheme="minorEastAsia" w:cstheme="minorEastAsia"/>
                <w:color w:val="auto"/>
                <w:spacing w:val="-1"/>
                <w:sz w:val="21"/>
                <w:szCs w:val="21"/>
              </w:rPr>
              <w:t>、政府采购严重违法失信行为记录名单及其他不符合《中华人民共和国政府采购法》第二十二条规定条件的供应商，不得参与政府采购活动。</w:t>
            </w:r>
          </w:p>
        </w:tc>
      </w:tr>
      <w:tr w14:paraId="73563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2D271E12">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center"/>
              <w:textAlignment w:val="baseline"/>
              <w:rPr>
                <w:rFonts w:hint="eastAsia" w:asciiTheme="minorEastAsia" w:hAnsiTheme="minorEastAsia" w:eastAsiaTheme="minorEastAsia" w:cstheme="minorEastAsia"/>
                <w:color w:val="auto"/>
                <w:sz w:val="21"/>
                <w:szCs w:val="21"/>
                <w:highlight w:val="none"/>
                <w:vertAlign w:val="baseline"/>
              </w:rPr>
            </w:pPr>
            <w:r>
              <w:rPr>
                <w:rFonts w:hint="eastAsia" w:asciiTheme="minorEastAsia" w:hAnsiTheme="minorEastAsia" w:eastAsiaTheme="minorEastAsia" w:cstheme="minorEastAsia"/>
                <w:color w:val="auto"/>
                <w:spacing w:val="-2"/>
                <w:sz w:val="21"/>
                <w:szCs w:val="21"/>
                <w:highlight w:val="none"/>
              </w:rPr>
              <w:t>6.1</w:t>
            </w:r>
          </w:p>
        </w:tc>
        <w:tc>
          <w:tcPr>
            <w:tcW w:w="8554" w:type="dxa"/>
            <w:vAlign w:val="center"/>
          </w:tcPr>
          <w:p w14:paraId="50C30417">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z w:val="21"/>
                <w:szCs w:val="21"/>
                <w:highlight w:val="none"/>
                <w:vertAlign w:val="baseline"/>
              </w:rPr>
            </w:pPr>
            <w:r>
              <w:rPr>
                <w:rFonts w:hint="eastAsia" w:asciiTheme="minorEastAsia" w:hAnsiTheme="minorEastAsia" w:eastAsiaTheme="minorEastAsia" w:cstheme="minorEastAsia"/>
                <w:color w:val="auto"/>
                <w:spacing w:val="-1"/>
                <w:sz w:val="21"/>
                <w:szCs w:val="21"/>
                <w:highlight w:val="none"/>
              </w:rPr>
              <w:t>本项目是否接受联合体投标：</w:t>
            </w:r>
            <w:r>
              <w:rPr>
                <w:rFonts w:hint="eastAsia" w:asciiTheme="minorEastAsia" w:hAnsiTheme="minorEastAsia" w:eastAsiaTheme="minorEastAsia" w:cstheme="minorEastAsia"/>
                <w:color w:val="auto"/>
                <w:spacing w:val="-1"/>
                <w:sz w:val="21"/>
                <w:szCs w:val="21"/>
                <w:highlight w:val="none"/>
              </w:rPr>
              <w:sym w:font="Wingdings 2" w:char="0052"/>
            </w:r>
            <w:r>
              <w:rPr>
                <w:rFonts w:hint="eastAsia" w:asciiTheme="minorEastAsia" w:hAnsiTheme="minorEastAsia" w:eastAsiaTheme="minorEastAsia" w:cstheme="minorEastAsia"/>
                <w:color w:val="auto"/>
                <w:spacing w:val="-1"/>
                <w:sz w:val="21"/>
                <w:szCs w:val="21"/>
                <w:highlight w:val="none"/>
                <w:lang w:eastAsia="zh-CN"/>
              </w:rPr>
              <w:t>是</w:t>
            </w:r>
            <w:r>
              <w:rPr>
                <w:rFonts w:hint="eastAsia" w:asciiTheme="minorEastAsia" w:hAnsiTheme="minorEastAsia" w:eastAsiaTheme="minorEastAsia" w:cstheme="minorEastAsia"/>
                <w:color w:val="auto"/>
                <w:spacing w:val="-1"/>
                <w:sz w:val="21"/>
                <w:szCs w:val="21"/>
                <w:highlight w:val="none"/>
                <w:lang w:val="en-US" w:eastAsia="zh-CN"/>
              </w:rPr>
              <w:t xml:space="preserve">  </w:t>
            </w:r>
            <w:r>
              <w:rPr>
                <w:rFonts w:hint="eastAsia" w:asciiTheme="minorEastAsia" w:hAnsiTheme="minorEastAsia" w:eastAsiaTheme="minorEastAsia" w:cstheme="minorEastAsia"/>
                <w:color w:val="auto"/>
                <w:spacing w:val="-1"/>
                <w:sz w:val="21"/>
                <w:szCs w:val="21"/>
                <w:highlight w:val="none"/>
                <w:lang w:eastAsia="zh-CN"/>
              </w:rPr>
              <w:sym w:font="Wingdings 2" w:char="00A3"/>
            </w:r>
            <w:r>
              <w:rPr>
                <w:rFonts w:hint="eastAsia" w:asciiTheme="minorEastAsia" w:hAnsiTheme="minorEastAsia" w:eastAsiaTheme="minorEastAsia" w:cstheme="minorEastAsia"/>
                <w:color w:val="auto"/>
                <w:spacing w:val="-1"/>
                <w:sz w:val="21"/>
                <w:szCs w:val="21"/>
                <w:highlight w:val="none"/>
                <w:lang w:eastAsia="zh-CN"/>
              </w:rPr>
              <w:t>否</w:t>
            </w:r>
            <w:r>
              <w:rPr>
                <w:rFonts w:hint="eastAsia" w:asciiTheme="minorEastAsia" w:hAnsiTheme="minorEastAsia" w:eastAsiaTheme="minorEastAsia" w:cstheme="minorEastAsia"/>
                <w:color w:val="auto"/>
                <w:spacing w:val="-1"/>
                <w:sz w:val="21"/>
                <w:szCs w:val="21"/>
                <w:highlight w:val="none"/>
              </w:rPr>
              <w:t>。</w:t>
            </w:r>
          </w:p>
        </w:tc>
      </w:tr>
      <w:tr w14:paraId="71BDF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389C1D85">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center"/>
              <w:textAlignment w:val="baseline"/>
              <w:rPr>
                <w:rFonts w:hint="default" w:asciiTheme="minorEastAsia" w:hAnsiTheme="minorEastAsia" w:eastAsiaTheme="minorEastAsia" w:cstheme="minorEastAsia"/>
                <w:color w:val="auto"/>
                <w:spacing w:val="-3"/>
                <w:sz w:val="21"/>
                <w:szCs w:val="21"/>
                <w:lang w:val="en-US" w:eastAsia="zh-CN"/>
              </w:rPr>
            </w:pPr>
            <w:r>
              <w:rPr>
                <w:rFonts w:hint="eastAsia" w:asciiTheme="minorEastAsia" w:hAnsiTheme="minorEastAsia" w:eastAsiaTheme="minorEastAsia" w:cstheme="minorEastAsia"/>
                <w:color w:val="auto"/>
                <w:spacing w:val="-3"/>
                <w:sz w:val="21"/>
                <w:szCs w:val="21"/>
                <w:lang w:val="en-US" w:eastAsia="zh-CN"/>
              </w:rPr>
              <w:t>6.1.1</w:t>
            </w:r>
          </w:p>
        </w:tc>
        <w:tc>
          <w:tcPr>
            <w:tcW w:w="8554" w:type="dxa"/>
            <w:vAlign w:val="center"/>
          </w:tcPr>
          <w:p w14:paraId="31496275">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pacing w:val="-2"/>
                <w:sz w:val="21"/>
                <w:szCs w:val="21"/>
                <w:lang w:eastAsia="zh-CN"/>
              </w:rPr>
            </w:pPr>
            <w:r>
              <w:rPr>
                <w:rFonts w:hint="eastAsia" w:asciiTheme="minorEastAsia" w:hAnsiTheme="minorEastAsia" w:eastAsiaTheme="minorEastAsia" w:cstheme="minorEastAsia"/>
                <w:color w:val="auto"/>
                <w:spacing w:val="-2"/>
                <w:sz w:val="21"/>
                <w:szCs w:val="21"/>
                <w:lang w:eastAsia="zh-CN"/>
              </w:rPr>
              <w:t>联合体投标要求：</w:t>
            </w:r>
          </w:p>
          <w:p w14:paraId="0D669BE6">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2"/>
                <w:sz w:val="21"/>
                <w:szCs w:val="21"/>
              </w:rPr>
              <w:t>1、联合体组成与名称</w:t>
            </w:r>
          </w:p>
          <w:p w14:paraId="050058D9">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2"/>
                <w:sz w:val="21"/>
                <w:szCs w:val="21"/>
              </w:rPr>
              <w:t>两个以上</w:t>
            </w:r>
            <w:r>
              <w:rPr>
                <w:rFonts w:hint="eastAsia" w:asciiTheme="minorEastAsia" w:hAnsiTheme="minorEastAsia" w:eastAsiaTheme="minorEastAsia" w:cstheme="minorEastAsia"/>
                <w:color w:val="auto"/>
                <w:spacing w:val="-2"/>
                <w:sz w:val="21"/>
                <w:szCs w:val="21"/>
                <w:lang w:eastAsia="zh-CN"/>
              </w:rPr>
              <w:t>投标单位</w:t>
            </w:r>
            <w:r>
              <w:rPr>
                <w:rFonts w:hint="eastAsia" w:asciiTheme="minorEastAsia" w:hAnsiTheme="minorEastAsia" w:eastAsiaTheme="minorEastAsia" w:cstheme="minorEastAsia"/>
                <w:color w:val="auto"/>
                <w:spacing w:val="-2"/>
                <w:sz w:val="21"/>
                <w:szCs w:val="21"/>
              </w:rPr>
              <w:t>可以组成一个</w:t>
            </w:r>
            <w:r>
              <w:rPr>
                <w:rFonts w:hint="eastAsia" w:asciiTheme="minorEastAsia" w:hAnsiTheme="minorEastAsia" w:eastAsiaTheme="minorEastAsia" w:cstheme="minorEastAsia"/>
                <w:color w:val="auto"/>
                <w:spacing w:val="-2"/>
                <w:sz w:val="21"/>
                <w:szCs w:val="21"/>
                <w:lang w:eastAsia="zh-CN"/>
              </w:rPr>
              <w:t>投标</w:t>
            </w:r>
            <w:r>
              <w:rPr>
                <w:rFonts w:hint="eastAsia" w:asciiTheme="minorEastAsia" w:hAnsiTheme="minorEastAsia" w:eastAsiaTheme="minorEastAsia" w:cstheme="minorEastAsia"/>
                <w:color w:val="auto"/>
                <w:spacing w:val="-2"/>
                <w:sz w:val="21"/>
                <w:szCs w:val="21"/>
              </w:rPr>
              <w:t>联合体，以一个</w:t>
            </w:r>
            <w:r>
              <w:rPr>
                <w:rFonts w:hint="eastAsia" w:asciiTheme="minorEastAsia" w:hAnsiTheme="minorEastAsia" w:eastAsiaTheme="minorEastAsia" w:cstheme="minorEastAsia"/>
                <w:color w:val="auto"/>
                <w:spacing w:val="-2"/>
                <w:sz w:val="21"/>
                <w:szCs w:val="21"/>
                <w:lang w:eastAsia="zh-CN"/>
              </w:rPr>
              <w:t>投标单位</w:t>
            </w:r>
            <w:r>
              <w:rPr>
                <w:rFonts w:hint="eastAsia" w:asciiTheme="minorEastAsia" w:hAnsiTheme="minorEastAsia" w:eastAsiaTheme="minorEastAsia" w:cstheme="minorEastAsia"/>
                <w:color w:val="auto"/>
                <w:spacing w:val="-2"/>
                <w:sz w:val="21"/>
                <w:szCs w:val="21"/>
              </w:rPr>
              <w:t>的身份共同参加</w:t>
            </w:r>
            <w:r>
              <w:rPr>
                <w:rFonts w:hint="eastAsia" w:asciiTheme="minorEastAsia" w:hAnsiTheme="minorEastAsia" w:eastAsiaTheme="minorEastAsia" w:cstheme="minorEastAsia"/>
                <w:color w:val="auto"/>
                <w:spacing w:val="-2"/>
                <w:sz w:val="21"/>
                <w:szCs w:val="21"/>
                <w:lang w:eastAsia="zh-CN"/>
              </w:rPr>
              <w:t>投</w:t>
            </w:r>
            <w:r>
              <w:rPr>
                <w:rFonts w:hint="eastAsia" w:asciiTheme="minorEastAsia" w:hAnsiTheme="minorEastAsia" w:eastAsiaTheme="minorEastAsia" w:cstheme="minorEastAsia"/>
                <w:color w:val="auto"/>
                <w:spacing w:val="-2"/>
                <w:sz w:val="21"/>
                <w:szCs w:val="21"/>
              </w:rPr>
              <w:t>标。联合体</w:t>
            </w:r>
            <w:r>
              <w:rPr>
                <w:rFonts w:hint="eastAsia" w:asciiTheme="minorEastAsia" w:hAnsiTheme="minorEastAsia" w:eastAsiaTheme="minorEastAsia" w:cstheme="minorEastAsia"/>
                <w:color w:val="auto"/>
                <w:spacing w:val="-2"/>
                <w:sz w:val="21"/>
                <w:szCs w:val="21"/>
                <w:lang w:eastAsia="zh-CN"/>
              </w:rPr>
              <w:t>投标单位</w:t>
            </w:r>
            <w:r>
              <w:rPr>
                <w:rFonts w:hint="eastAsia" w:asciiTheme="minorEastAsia" w:hAnsiTheme="minorEastAsia" w:eastAsiaTheme="minorEastAsia" w:cstheme="minorEastAsia"/>
                <w:color w:val="auto"/>
                <w:spacing w:val="-2"/>
                <w:sz w:val="21"/>
                <w:szCs w:val="21"/>
              </w:rPr>
              <w:t>的名称应统一按“XXX公司与XXX公司的联合体或XXX公司（XXX公司）”的规则填写。响应文件中除《联合体</w:t>
            </w:r>
            <w:r>
              <w:rPr>
                <w:rFonts w:hint="eastAsia" w:asciiTheme="minorEastAsia" w:hAnsiTheme="minorEastAsia" w:eastAsiaTheme="minorEastAsia" w:cstheme="minorEastAsia"/>
                <w:color w:val="auto"/>
                <w:spacing w:val="-2"/>
                <w:sz w:val="21"/>
                <w:szCs w:val="21"/>
                <w:lang w:eastAsia="zh-CN"/>
              </w:rPr>
              <w:t>投</w:t>
            </w:r>
            <w:r>
              <w:rPr>
                <w:rFonts w:hint="eastAsia" w:asciiTheme="minorEastAsia" w:hAnsiTheme="minorEastAsia" w:eastAsiaTheme="minorEastAsia" w:cstheme="minorEastAsia"/>
                <w:color w:val="auto"/>
                <w:spacing w:val="-2"/>
                <w:sz w:val="21"/>
                <w:szCs w:val="21"/>
              </w:rPr>
              <w:t>标协议书》等需全体成员签署的文件外，其余部分可由联合体牵头人签署。（如广西政采云系统不支持同时盖联合体各方的CA电子签章，需要各方分别签字或盖章的文件，</w:t>
            </w:r>
            <w:r>
              <w:rPr>
                <w:rFonts w:hint="eastAsia" w:asciiTheme="minorEastAsia" w:hAnsiTheme="minorEastAsia" w:eastAsiaTheme="minorEastAsia" w:cstheme="minorEastAsia"/>
                <w:color w:val="auto"/>
                <w:spacing w:val="-2"/>
                <w:sz w:val="21"/>
                <w:szCs w:val="21"/>
                <w:lang w:eastAsia="zh-CN"/>
              </w:rPr>
              <w:t>投标单位</w:t>
            </w:r>
            <w:r>
              <w:rPr>
                <w:rFonts w:hint="eastAsia" w:asciiTheme="minorEastAsia" w:hAnsiTheme="minorEastAsia" w:eastAsiaTheme="minorEastAsia" w:cstheme="minorEastAsia"/>
                <w:color w:val="auto"/>
                <w:spacing w:val="-2"/>
                <w:sz w:val="21"/>
                <w:szCs w:val="21"/>
              </w:rPr>
              <w:t>（联合体成员）可以线下签字或盖章后扫描上传）</w:t>
            </w:r>
          </w:p>
          <w:p w14:paraId="552808FB">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2"/>
                <w:sz w:val="21"/>
                <w:szCs w:val="21"/>
              </w:rPr>
              <w:t>2、联合体资格条件</w:t>
            </w:r>
          </w:p>
          <w:p w14:paraId="32CDE364">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pacing w:val="-2"/>
                <w:sz w:val="21"/>
                <w:szCs w:val="21"/>
                <w:highlight w:val="cyan"/>
              </w:rPr>
            </w:pPr>
            <w:r>
              <w:rPr>
                <w:rFonts w:hint="eastAsia" w:asciiTheme="minorEastAsia" w:hAnsiTheme="minorEastAsia" w:eastAsiaTheme="minorEastAsia" w:cstheme="minorEastAsia"/>
                <w:color w:val="auto"/>
                <w:spacing w:val="-2"/>
                <w:sz w:val="21"/>
                <w:szCs w:val="21"/>
              </w:rPr>
              <w:t>以联合体形式参加</w:t>
            </w:r>
            <w:r>
              <w:rPr>
                <w:rFonts w:hint="eastAsia" w:asciiTheme="minorEastAsia" w:hAnsiTheme="minorEastAsia" w:eastAsiaTheme="minorEastAsia" w:cstheme="minorEastAsia"/>
                <w:color w:val="auto"/>
                <w:spacing w:val="-2"/>
                <w:sz w:val="21"/>
                <w:szCs w:val="21"/>
                <w:lang w:eastAsia="zh-CN"/>
              </w:rPr>
              <w:t>投</w:t>
            </w:r>
            <w:r>
              <w:rPr>
                <w:rFonts w:hint="eastAsia" w:asciiTheme="minorEastAsia" w:hAnsiTheme="minorEastAsia" w:eastAsiaTheme="minorEastAsia" w:cstheme="minorEastAsia"/>
                <w:color w:val="auto"/>
                <w:spacing w:val="-2"/>
                <w:sz w:val="21"/>
                <w:szCs w:val="21"/>
              </w:rPr>
              <w:t>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本项目招标公告“投标人的资格要求”第3点“3、本项目的特定资格要求”的要求。</w:t>
            </w:r>
          </w:p>
          <w:p w14:paraId="1546DE2B">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2"/>
                <w:sz w:val="21"/>
                <w:szCs w:val="21"/>
              </w:rPr>
              <w:t>3、联合体</w:t>
            </w:r>
            <w:r>
              <w:rPr>
                <w:rFonts w:hint="eastAsia" w:asciiTheme="minorEastAsia" w:hAnsiTheme="minorEastAsia" w:eastAsiaTheme="minorEastAsia" w:cstheme="minorEastAsia"/>
                <w:color w:val="auto"/>
                <w:spacing w:val="-2"/>
                <w:sz w:val="21"/>
                <w:szCs w:val="21"/>
                <w:lang w:eastAsia="zh-CN"/>
              </w:rPr>
              <w:t>投</w:t>
            </w:r>
            <w:r>
              <w:rPr>
                <w:rFonts w:hint="eastAsia" w:asciiTheme="minorEastAsia" w:hAnsiTheme="minorEastAsia" w:eastAsiaTheme="minorEastAsia" w:cstheme="minorEastAsia"/>
                <w:color w:val="auto"/>
                <w:spacing w:val="-2"/>
                <w:sz w:val="21"/>
                <w:szCs w:val="21"/>
              </w:rPr>
              <w:t>标协议书</w:t>
            </w:r>
          </w:p>
          <w:p w14:paraId="01ED5275">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2"/>
                <w:sz w:val="21"/>
                <w:szCs w:val="21"/>
              </w:rPr>
              <w:t>联合体</w:t>
            </w:r>
            <w:r>
              <w:rPr>
                <w:rFonts w:hint="eastAsia" w:asciiTheme="minorEastAsia" w:hAnsiTheme="minorEastAsia" w:eastAsiaTheme="minorEastAsia" w:cstheme="minorEastAsia"/>
                <w:color w:val="auto"/>
                <w:spacing w:val="-2"/>
                <w:sz w:val="21"/>
                <w:szCs w:val="21"/>
                <w:lang w:eastAsia="zh-CN"/>
              </w:rPr>
              <w:t>投</w:t>
            </w:r>
            <w:r>
              <w:rPr>
                <w:rFonts w:hint="eastAsia" w:asciiTheme="minorEastAsia" w:hAnsiTheme="minorEastAsia" w:eastAsiaTheme="minorEastAsia" w:cstheme="minorEastAsia"/>
                <w:color w:val="auto"/>
                <w:spacing w:val="-2"/>
                <w:sz w:val="21"/>
                <w:szCs w:val="21"/>
              </w:rPr>
              <w:t>标的，须提供《联合体</w:t>
            </w:r>
            <w:r>
              <w:rPr>
                <w:rFonts w:hint="eastAsia" w:asciiTheme="minorEastAsia" w:hAnsiTheme="minorEastAsia" w:eastAsiaTheme="minorEastAsia" w:cstheme="minorEastAsia"/>
                <w:color w:val="auto"/>
                <w:spacing w:val="-2"/>
                <w:sz w:val="21"/>
                <w:szCs w:val="21"/>
                <w:lang w:eastAsia="zh-CN"/>
              </w:rPr>
              <w:t>投</w:t>
            </w:r>
            <w:r>
              <w:rPr>
                <w:rFonts w:hint="eastAsia" w:asciiTheme="minorEastAsia" w:hAnsiTheme="minorEastAsia" w:eastAsiaTheme="minorEastAsia" w:cstheme="minorEastAsia"/>
                <w:color w:val="auto"/>
                <w:spacing w:val="-2"/>
                <w:sz w:val="21"/>
                <w:szCs w:val="21"/>
              </w:rPr>
              <w:t>标协议书》（格式后附），协议书必须明确主体方（或者牵头方）并明确约定联合体各方承担的工作和相应的责任（各方承担责任与义务的分工必须</w:t>
            </w:r>
            <w:r>
              <w:rPr>
                <w:rFonts w:hint="eastAsia" w:asciiTheme="minorEastAsia" w:hAnsiTheme="minorEastAsia" w:eastAsiaTheme="minorEastAsia" w:cstheme="minorEastAsia"/>
                <w:color w:val="auto"/>
                <w:spacing w:val="-2"/>
                <w:sz w:val="21"/>
                <w:szCs w:val="21"/>
                <w:highlight w:val="none"/>
              </w:rPr>
              <w:t>符合采购需求。协议书还应载明联合体各方在合同中的份额占比。联</w:t>
            </w:r>
            <w:r>
              <w:rPr>
                <w:rFonts w:hint="eastAsia" w:asciiTheme="minorEastAsia" w:hAnsiTheme="minorEastAsia" w:eastAsiaTheme="minorEastAsia" w:cstheme="minorEastAsia"/>
                <w:color w:val="auto"/>
                <w:spacing w:val="-2"/>
                <w:sz w:val="21"/>
                <w:szCs w:val="21"/>
              </w:rPr>
              <w:t>合体各方必须共同与</w:t>
            </w:r>
            <w:r>
              <w:rPr>
                <w:rFonts w:hint="eastAsia" w:asciiTheme="minorEastAsia" w:hAnsiTheme="minorEastAsia" w:eastAsiaTheme="minorEastAsia" w:cstheme="minorEastAsia"/>
                <w:color w:val="auto"/>
                <w:spacing w:val="-2"/>
                <w:sz w:val="21"/>
                <w:szCs w:val="21"/>
                <w:lang w:eastAsia="zh-CN"/>
              </w:rPr>
              <w:t>招标人</w:t>
            </w:r>
            <w:r>
              <w:rPr>
                <w:rFonts w:hint="eastAsia" w:asciiTheme="minorEastAsia" w:hAnsiTheme="minorEastAsia" w:eastAsiaTheme="minorEastAsia" w:cstheme="minorEastAsia"/>
                <w:color w:val="auto"/>
                <w:spacing w:val="-2"/>
                <w:sz w:val="21"/>
                <w:szCs w:val="21"/>
              </w:rPr>
              <w:t>签订采购合同，就采购合同约定的事项对采购人承担连带责任。未提交联合体</w:t>
            </w:r>
            <w:r>
              <w:rPr>
                <w:rFonts w:hint="eastAsia" w:asciiTheme="minorEastAsia" w:hAnsiTheme="minorEastAsia" w:eastAsiaTheme="minorEastAsia" w:cstheme="minorEastAsia"/>
                <w:color w:val="auto"/>
                <w:spacing w:val="-2"/>
                <w:sz w:val="21"/>
                <w:szCs w:val="21"/>
                <w:lang w:eastAsia="zh-CN"/>
              </w:rPr>
              <w:t>投</w:t>
            </w:r>
            <w:r>
              <w:rPr>
                <w:rFonts w:hint="eastAsia" w:asciiTheme="minorEastAsia" w:hAnsiTheme="minorEastAsia" w:eastAsiaTheme="minorEastAsia" w:cstheme="minorEastAsia"/>
                <w:color w:val="auto"/>
                <w:spacing w:val="-2"/>
                <w:sz w:val="21"/>
                <w:szCs w:val="21"/>
              </w:rPr>
              <w:t>标协议书或协议书内容不完整的，其</w:t>
            </w:r>
            <w:r>
              <w:rPr>
                <w:rFonts w:hint="eastAsia" w:asciiTheme="minorEastAsia" w:hAnsiTheme="minorEastAsia" w:eastAsiaTheme="minorEastAsia" w:cstheme="minorEastAsia"/>
                <w:color w:val="auto"/>
                <w:spacing w:val="-2"/>
                <w:sz w:val="21"/>
                <w:szCs w:val="21"/>
                <w:lang w:eastAsia="zh-CN"/>
              </w:rPr>
              <w:t>投标</w:t>
            </w:r>
            <w:r>
              <w:rPr>
                <w:rFonts w:hint="eastAsia" w:asciiTheme="minorEastAsia" w:hAnsiTheme="minorEastAsia" w:eastAsiaTheme="minorEastAsia" w:cstheme="minorEastAsia"/>
                <w:color w:val="auto"/>
                <w:spacing w:val="-2"/>
                <w:sz w:val="21"/>
                <w:szCs w:val="21"/>
              </w:rPr>
              <w:t>文件无效。</w:t>
            </w:r>
          </w:p>
          <w:p w14:paraId="002FD0A2">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2"/>
                <w:sz w:val="21"/>
                <w:szCs w:val="21"/>
              </w:rPr>
              <w:t>4、排他性限制</w:t>
            </w:r>
          </w:p>
          <w:p w14:paraId="5FCABA13">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2"/>
                <w:sz w:val="21"/>
                <w:szCs w:val="21"/>
              </w:rPr>
              <w:t>以联合体形式参加政府采购活动的，联合体各方不得再单独参加或者与其他</w:t>
            </w:r>
            <w:r>
              <w:rPr>
                <w:rFonts w:hint="eastAsia" w:asciiTheme="minorEastAsia" w:hAnsiTheme="minorEastAsia" w:eastAsiaTheme="minorEastAsia" w:cstheme="minorEastAsia"/>
                <w:color w:val="auto"/>
                <w:spacing w:val="-2"/>
                <w:sz w:val="21"/>
                <w:szCs w:val="21"/>
                <w:lang w:eastAsia="zh-CN"/>
              </w:rPr>
              <w:t>投标单位</w:t>
            </w:r>
            <w:r>
              <w:rPr>
                <w:rFonts w:hint="eastAsia" w:asciiTheme="minorEastAsia" w:hAnsiTheme="minorEastAsia" w:eastAsiaTheme="minorEastAsia" w:cstheme="minorEastAsia"/>
                <w:color w:val="auto"/>
                <w:spacing w:val="-2"/>
                <w:sz w:val="21"/>
                <w:szCs w:val="21"/>
              </w:rPr>
              <w:t>另外组成联合体参加同一合同项下的政府采购活动，否则与之相关的</w:t>
            </w:r>
            <w:r>
              <w:rPr>
                <w:rFonts w:hint="eastAsia" w:asciiTheme="minorEastAsia" w:hAnsiTheme="minorEastAsia" w:eastAsiaTheme="minorEastAsia" w:cstheme="minorEastAsia"/>
                <w:color w:val="auto"/>
                <w:spacing w:val="-2"/>
                <w:sz w:val="21"/>
                <w:szCs w:val="21"/>
                <w:lang w:eastAsia="zh-CN"/>
              </w:rPr>
              <w:t>投标</w:t>
            </w:r>
            <w:r>
              <w:rPr>
                <w:rFonts w:hint="eastAsia" w:asciiTheme="minorEastAsia" w:hAnsiTheme="minorEastAsia" w:eastAsiaTheme="minorEastAsia" w:cstheme="minorEastAsia"/>
                <w:color w:val="auto"/>
                <w:spacing w:val="-2"/>
                <w:sz w:val="21"/>
                <w:szCs w:val="21"/>
              </w:rPr>
              <w:t>文件无效。</w:t>
            </w:r>
          </w:p>
          <w:p w14:paraId="6B7C08B9">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2"/>
                <w:sz w:val="21"/>
                <w:szCs w:val="21"/>
                <w:lang w:val="en-US" w:eastAsia="zh-CN"/>
              </w:rPr>
              <w:t>5</w:t>
            </w:r>
            <w:r>
              <w:rPr>
                <w:rFonts w:hint="eastAsia" w:asciiTheme="minorEastAsia" w:hAnsiTheme="minorEastAsia" w:eastAsiaTheme="minorEastAsia" w:cstheme="minorEastAsia"/>
                <w:color w:val="auto"/>
                <w:spacing w:val="-2"/>
                <w:sz w:val="21"/>
                <w:szCs w:val="21"/>
              </w:rPr>
              <w:t>、资格证明文件提交</w:t>
            </w:r>
          </w:p>
          <w:p w14:paraId="6817EC4D">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pacing w:val="-2"/>
                <w:sz w:val="21"/>
                <w:szCs w:val="21"/>
                <w:lang w:eastAsia="zh-CN"/>
              </w:rPr>
            </w:pPr>
            <w:r>
              <w:rPr>
                <w:rFonts w:hint="eastAsia" w:asciiTheme="minorEastAsia" w:hAnsiTheme="minorEastAsia" w:eastAsiaTheme="minorEastAsia" w:cstheme="minorEastAsia"/>
                <w:color w:val="auto"/>
                <w:spacing w:val="-2"/>
                <w:sz w:val="21"/>
                <w:szCs w:val="21"/>
              </w:rPr>
              <w:t>联合体各方均应按照</w:t>
            </w:r>
            <w:r>
              <w:rPr>
                <w:rFonts w:hint="eastAsia" w:asciiTheme="minorEastAsia" w:hAnsiTheme="minorEastAsia" w:eastAsiaTheme="minorEastAsia" w:cstheme="minorEastAsia"/>
                <w:color w:val="auto"/>
                <w:spacing w:val="-2"/>
                <w:sz w:val="21"/>
                <w:szCs w:val="21"/>
                <w:lang w:eastAsia="zh-CN"/>
              </w:rPr>
              <w:t>招标</w:t>
            </w:r>
            <w:r>
              <w:rPr>
                <w:rFonts w:hint="eastAsia" w:asciiTheme="minorEastAsia" w:hAnsiTheme="minorEastAsia" w:eastAsiaTheme="minorEastAsia" w:cstheme="minorEastAsia"/>
                <w:color w:val="auto"/>
                <w:spacing w:val="-2"/>
                <w:sz w:val="21"/>
                <w:szCs w:val="21"/>
              </w:rPr>
              <w:t>文件的规定提交资格证明文件</w:t>
            </w:r>
            <w:r>
              <w:rPr>
                <w:rFonts w:hint="eastAsia" w:asciiTheme="minorEastAsia" w:hAnsiTheme="minorEastAsia" w:eastAsiaTheme="minorEastAsia" w:cstheme="minorEastAsia"/>
                <w:color w:val="auto"/>
                <w:spacing w:val="-2"/>
                <w:sz w:val="21"/>
                <w:szCs w:val="21"/>
                <w:lang w:eastAsia="zh-CN"/>
              </w:rPr>
              <w:t>。</w:t>
            </w:r>
          </w:p>
          <w:p w14:paraId="67292CB2">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2"/>
                <w:sz w:val="21"/>
                <w:szCs w:val="21"/>
                <w:lang w:val="en-US" w:eastAsia="zh-CN"/>
              </w:rPr>
              <w:t>6</w:t>
            </w:r>
            <w:r>
              <w:rPr>
                <w:rFonts w:hint="eastAsia" w:asciiTheme="minorEastAsia" w:hAnsiTheme="minorEastAsia" w:eastAsiaTheme="minorEastAsia" w:cstheme="minorEastAsia"/>
                <w:color w:val="auto"/>
                <w:spacing w:val="-2"/>
                <w:sz w:val="21"/>
                <w:szCs w:val="21"/>
              </w:rPr>
              <w:t>、联合体成员变更限制</w:t>
            </w:r>
          </w:p>
          <w:p w14:paraId="116F6308">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2"/>
                <w:sz w:val="21"/>
                <w:szCs w:val="21"/>
              </w:rPr>
              <w:t>联合体提交响应文件后，联合体各方不得变更其组成结构。联合体成员退出的，其</w:t>
            </w:r>
            <w:r>
              <w:rPr>
                <w:rFonts w:hint="eastAsia" w:asciiTheme="minorEastAsia" w:hAnsiTheme="minorEastAsia" w:eastAsiaTheme="minorEastAsia" w:cstheme="minorEastAsia"/>
                <w:color w:val="auto"/>
                <w:spacing w:val="-2"/>
                <w:sz w:val="21"/>
                <w:szCs w:val="21"/>
                <w:lang w:eastAsia="zh-CN"/>
              </w:rPr>
              <w:t>投标</w:t>
            </w:r>
            <w:r>
              <w:rPr>
                <w:rFonts w:hint="eastAsia" w:asciiTheme="minorEastAsia" w:hAnsiTheme="minorEastAsia" w:eastAsiaTheme="minorEastAsia" w:cstheme="minorEastAsia"/>
                <w:color w:val="auto"/>
                <w:spacing w:val="-2"/>
                <w:sz w:val="21"/>
                <w:szCs w:val="21"/>
              </w:rPr>
              <w:t>文件无效。</w:t>
            </w:r>
          </w:p>
        </w:tc>
      </w:tr>
      <w:tr w14:paraId="1BDA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229317F8">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center"/>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pacing w:val="-3"/>
                <w:sz w:val="21"/>
                <w:szCs w:val="21"/>
              </w:rPr>
              <w:t>7.2</w:t>
            </w:r>
          </w:p>
        </w:tc>
        <w:tc>
          <w:tcPr>
            <w:tcW w:w="8554" w:type="dxa"/>
            <w:vAlign w:val="center"/>
          </w:tcPr>
          <w:p w14:paraId="24442A44">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pacing w:val="-2"/>
                <w:sz w:val="21"/>
                <w:szCs w:val="21"/>
              </w:rPr>
              <w:t>不允许分包</w:t>
            </w:r>
          </w:p>
        </w:tc>
      </w:tr>
      <w:tr w14:paraId="57384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Merge w:val="restart"/>
            <w:vAlign w:val="center"/>
          </w:tcPr>
          <w:p w14:paraId="4B3EA0FA">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center"/>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pacing w:val="-6"/>
                <w:sz w:val="21"/>
                <w:szCs w:val="21"/>
              </w:rPr>
              <w:t>11.2</w:t>
            </w:r>
          </w:p>
        </w:tc>
        <w:tc>
          <w:tcPr>
            <w:tcW w:w="8554" w:type="dxa"/>
            <w:vAlign w:val="center"/>
          </w:tcPr>
          <w:p w14:paraId="2012B504">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pacing w:val="-2"/>
                <w:sz w:val="21"/>
                <w:szCs w:val="21"/>
              </w:rPr>
              <w:t>不组织现场考察</w:t>
            </w:r>
          </w:p>
        </w:tc>
      </w:tr>
      <w:tr w14:paraId="4A104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Merge w:val="continue"/>
            <w:vAlign w:val="center"/>
          </w:tcPr>
          <w:p w14:paraId="3A2C138F">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center"/>
              <w:textAlignment w:val="baseline"/>
              <w:rPr>
                <w:rFonts w:hint="eastAsia" w:asciiTheme="minorEastAsia" w:hAnsiTheme="minorEastAsia" w:eastAsiaTheme="minorEastAsia" w:cstheme="minorEastAsia"/>
                <w:color w:val="auto"/>
                <w:sz w:val="21"/>
                <w:szCs w:val="21"/>
                <w:vertAlign w:val="baseline"/>
              </w:rPr>
            </w:pPr>
          </w:p>
        </w:tc>
        <w:tc>
          <w:tcPr>
            <w:tcW w:w="8554" w:type="dxa"/>
            <w:vAlign w:val="center"/>
          </w:tcPr>
          <w:p w14:paraId="659C5331">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left"/>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pacing w:val="-1"/>
                <w:sz w:val="21"/>
                <w:szCs w:val="21"/>
              </w:rPr>
              <w:t>不组织召开开标前答疑会</w:t>
            </w:r>
          </w:p>
        </w:tc>
      </w:tr>
      <w:tr w14:paraId="73C98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4" w:type="dxa"/>
            <w:vMerge w:val="restart"/>
            <w:vAlign w:val="center"/>
          </w:tcPr>
          <w:p w14:paraId="4557CD01">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center"/>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pacing w:val="-6"/>
                <w:sz w:val="21"/>
                <w:szCs w:val="21"/>
              </w:rPr>
              <w:t>13</w:t>
            </w:r>
          </w:p>
        </w:tc>
        <w:tc>
          <w:tcPr>
            <w:tcW w:w="8554" w:type="dxa"/>
            <w:vAlign w:val="top"/>
          </w:tcPr>
          <w:p w14:paraId="222482C8">
            <w:pPr>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报价文件</w:t>
            </w:r>
          </w:p>
          <w:p w14:paraId="2239D32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20" w:lineRule="exact"/>
              <w:ind w:leftChars="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1.</w:t>
            </w:r>
            <w:r>
              <w:rPr>
                <w:rFonts w:hint="eastAsia" w:asciiTheme="minorEastAsia" w:hAnsiTheme="minorEastAsia" w:eastAsiaTheme="minorEastAsia" w:cstheme="minorEastAsia"/>
                <w:color w:val="auto"/>
                <w:sz w:val="21"/>
                <w:szCs w:val="21"/>
              </w:rPr>
              <w:t>投标函（格式后附）；</w:t>
            </w:r>
            <w:r>
              <w:rPr>
                <w:rFonts w:hint="eastAsia" w:asciiTheme="minorEastAsia" w:hAnsiTheme="minorEastAsia" w:eastAsiaTheme="minorEastAsia" w:cstheme="minorEastAsia"/>
                <w:b/>
                <w:bCs/>
                <w:color w:val="auto"/>
                <w:sz w:val="21"/>
                <w:szCs w:val="21"/>
              </w:rPr>
              <w:t>（必须提供，否则按无效投标处理）</w:t>
            </w:r>
          </w:p>
          <w:p w14:paraId="7182C05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20" w:lineRule="exact"/>
              <w:ind w:leftChars="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rPr>
              <w:t>开标一览表（格式后附）；</w:t>
            </w:r>
            <w:r>
              <w:rPr>
                <w:rFonts w:hint="eastAsia" w:asciiTheme="minorEastAsia" w:hAnsiTheme="minorEastAsia" w:eastAsiaTheme="minorEastAsia" w:cstheme="minorEastAsia"/>
                <w:b/>
                <w:bCs/>
                <w:color w:val="auto"/>
                <w:sz w:val="21"/>
                <w:szCs w:val="21"/>
              </w:rPr>
              <w:t xml:space="preserve">（必须提供，否则按无效投标处理） </w:t>
            </w:r>
          </w:p>
          <w:p w14:paraId="7D1F52B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20" w:lineRule="exact"/>
              <w:ind w:leftChars="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rPr>
              <w:t>投标人针对报价需要说明的其他文件和说明（格式自拟）。</w:t>
            </w:r>
          </w:p>
          <w:p w14:paraId="7045C227">
            <w:pPr>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highlight w:val="none"/>
              </w:rPr>
              <w:t>注：开标一览表必须由法定代表人</w:t>
            </w:r>
            <w:r>
              <w:rPr>
                <w:rFonts w:hint="eastAsia" w:asciiTheme="minorEastAsia" w:hAnsiTheme="minorEastAsia" w:eastAsiaTheme="minorEastAsia" w:cstheme="minorEastAsia"/>
                <w:b/>
                <w:bCs/>
                <w:color w:val="auto"/>
                <w:sz w:val="21"/>
                <w:szCs w:val="21"/>
                <w:highlight w:val="none"/>
                <w:lang w:eastAsia="zh-CN"/>
              </w:rPr>
              <w:t>（负责人）</w:t>
            </w:r>
            <w:r>
              <w:rPr>
                <w:rFonts w:hint="eastAsia" w:asciiTheme="minorEastAsia" w:hAnsiTheme="minorEastAsia" w:eastAsiaTheme="minorEastAsia" w:cstheme="minorEastAsia"/>
                <w:b/>
                <w:bCs/>
                <w:color w:val="auto"/>
                <w:sz w:val="21"/>
                <w:szCs w:val="21"/>
                <w:highlight w:val="none"/>
              </w:rPr>
              <w:t>或者委托代理人在规定签章处逐一签字并加</w:t>
            </w:r>
            <w:r>
              <w:rPr>
                <w:rFonts w:hint="eastAsia" w:asciiTheme="minorEastAsia" w:hAnsiTheme="minorEastAsia" w:eastAsiaTheme="minorEastAsia" w:cstheme="minorEastAsia"/>
                <w:b/>
                <w:bCs/>
                <w:color w:val="auto"/>
                <w:spacing w:val="-3"/>
                <w:sz w:val="21"/>
                <w:szCs w:val="21"/>
                <w:highlight w:val="none"/>
              </w:rPr>
              <w:t>盖投标人电子签章</w:t>
            </w:r>
            <w:r>
              <w:rPr>
                <w:rFonts w:hint="eastAsia" w:asciiTheme="minorEastAsia" w:hAnsiTheme="minorEastAsia" w:eastAsiaTheme="minorEastAsia" w:cstheme="minorEastAsia"/>
                <w:b/>
                <w:bCs/>
                <w:color w:val="auto"/>
                <w:sz w:val="21"/>
                <w:szCs w:val="21"/>
                <w:highlight w:val="none"/>
              </w:rPr>
              <w:t>，否则按无效投标处理。</w:t>
            </w:r>
          </w:p>
        </w:tc>
      </w:tr>
      <w:tr w14:paraId="4C44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Merge w:val="continue"/>
            <w:vAlign w:val="center"/>
          </w:tcPr>
          <w:p w14:paraId="4C338065">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center"/>
              <w:textAlignment w:val="baseline"/>
              <w:rPr>
                <w:rFonts w:hint="eastAsia" w:asciiTheme="minorEastAsia" w:hAnsiTheme="minorEastAsia" w:eastAsiaTheme="minorEastAsia" w:cstheme="minorEastAsia"/>
                <w:color w:val="auto"/>
                <w:sz w:val="21"/>
                <w:szCs w:val="21"/>
                <w:vertAlign w:val="baseline"/>
              </w:rPr>
            </w:pPr>
          </w:p>
        </w:tc>
        <w:tc>
          <w:tcPr>
            <w:tcW w:w="8554" w:type="dxa"/>
            <w:vAlign w:val="top"/>
          </w:tcPr>
          <w:p w14:paraId="16F6C03D">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right="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4"/>
                <w:sz w:val="21"/>
                <w:szCs w:val="21"/>
              </w:rPr>
              <w:t>资格证明文件</w:t>
            </w:r>
          </w:p>
          <w:p w14:paraId="04FFC92B">
            <w:pPr>
              <w:pStyle w:val="25"/>
              <w:keepNext/>
              <w:keepLines w:val="0"/>
              <w:pageBreakBefore w:val="0"/>
              <w:widowControl/>
              <w:numPr>
                <w:ilvl w:val="0"/>
                <w:numId w:val="2"/>
              </w:numPr>
              <w:kinsoku w:val="0"/>
              <w:wordWrap/>
              <w:overflowPunct/>
              <w:topLinePunct w:val="0"/>
              <w:autoSpaceDE w:val="0"/>
              <w:autoSpaceDN w:val="0"/>
              <w:bidi w:val="0"/>
              <w:adjustRightInd w:val="0"/>
              <w:snapToGrid w:val="0"/>
              <w:spacing w:line="520" w:lineRule="exact"/>
              <w:ind w:left="0" w:leftChars="0" w:right="0" w:firstLine="416" w:firstLineChars="200"/>
              <w:jc w:val="both"/>
              <w:textAlignment w:val="baseline"/>
              <w:rPr>
                <w:rFonts w:hint="eastAsia" w:ascii="微软雅黑" w:hAnsi="微软雅黑" w:eastAsia="微软雅黑" w:cs="微软雅黑"/>
                <w:b/>
                <w:bCs/>
                <w:color w:val="auto"/>
                <w:spacing w:val="-13"/>
                <w:sz w:val="21"/>
                <w:szCs w:val="21"/>
              </w:rPr>
            </w:pPr>
            <w:r>
              <w:rPr>
                <w:rFonts w:hint="eastAsia" w:ascii="微软雅黑" w:hAnsi="微软雅黑" w:eastAsia="微软雅黑" w:cs="微软雅黑"/>
                <w:color w:val="auto"/>
                <w:spacing w:val="-1"/>
                <w:sz w:val="21"/>
                <w:szCs w:val="21"/>
              </w:rPr>
              <w:t>①</w:t>
            </w:r>
            <w:r>
              <w:rPr>
                <w:rFonts w:hint="eastAsia" w:asciiTheme="minorEastAsia" w:hAnsiTheme="minorEastAsia" w:eastAsiaTheme="minorEastAsia" w:cstheme="minorEastAsia"/>
                <w:color w:val="auto"/>
                <w:spacing w:val="-1"/>
                <w:sz w:val="21"/>
                <w:szCs w:val="21"/>
              </w:rPr>
              <w:t>投标人为法人或者其他组织的，提供营业执照等证明文件（如营业执照或</w:t>
            </w:r>
            <w:r>
              <w:rPr>
                <w:rFonts w:hint="eastAsia" w:asciiTheme="minorEastAsia" w:hAnsiTheme="minorEastAsia" w:eastAsiaTheme="minorEastAsia" w:cstheme="minorEastAsia"/>
                <w:color w:val="auto"/>
                <w:spacing w:val="-2"/>
                <w:sz w:val="21"/>
                <w:szCs w:val="21"/>
              </w:rPr>
              <w:t>者事业</w:t>
            </w:r>
            <w:r>
              <w:rPr>
                <w:rFonts w:hint="eastAsia" w:asciiTheme="minorEastAsia" w:hAnsiTheme="minorEastAsia" w:eastAsiaTheme="minorEastAsia" w:cstheme="minorEastAsia"/>
                <w:color w:val="auto"/>
                <w:spacing w:val="-1"/>
                <w:sz w:val="21"/>
                <w:szCs w:val="21"/>
              </w:rPr>
              <w:t>单位法人证书或者执业许可证或者登记证书等</w:t>
            </w:r>
            <w:r>
              <w:rPr>
                <w:rFonts w:hint="eastAsia" w:asciiTheme="minorEastAsia" w:hAnsiTheme="minorEastAsia" w:eastAsiaTheme="minorEastAsia" w:cstheme="minorEastAsia"/>
                <w:color w:val="auto"/>
                <w:spacing w:val="6"/>
                <w:sz w:val="21"/>
                <w:szCs w:val="21"/>
              </w:rPr>
              <w:t>），</w:t>
            </w:r>
            <w:r>
              <w:rPr>
                <w:rFonts w:hint="eastAsia" w:asciiTheme="minorEastAsia" w:hAnsiTheme="minorEastAsia" w:eastAsiaTheme="minorEastAsia" w:cstheme="minorEastAsia"/>
                <w:color w:val="auto"/>
                <w:spacing w:val="-1"/>
                <w:sz w:val="21"/>
                <w:szCs w:val="21"/>
              </w:rPr>
              <w:t>投标人为自然人的，自然人从事依法需经许可审批的经营活动的，不适用个体工商户自愿登记有关政策，应当办理营业执照并依法取得有关许可审批</w:t>
            </w:r>
            <w:r>
              <w:rPr>
                <w:rFonts w:hint="eastAsia" w:asciiTheme="minorEastAsia" w:hAnsiTheme="minorEastAsia" w:eastAsiaTheme="minorEastAsia" w:cstheme="minorEastAsia"/>
                <w:color w:val="auto"/>
                <w:spacing w:val="-13"/>
                <w:sz w:val="21"/>
                <w:szCs w:val="21"/>
              </w:rPr>
              <w:t>；</w:t>
            </w:r>
            <w:r>
              <w:rPr>
                <w:rFonts w:hint="eastAsia" w:asciiTheme="minorEastAsia" w:hAnsiTheme="minorEastAsia" w:eastAsiaTheme="minorEastAsia" w:cstheme="minorEastAsia"/>
                <w:color w:val="auto"/>
                <w:spacing w:val="-1"/>
                <w:sz w:val="21"/>
                <w:szCs w:val="21"/>
              </w:rPr>
              <w:t>②</w:t>
            </w:r>
            <w:r>
              <w:rPr>
                <w:rFonts w:hint="eastAsia" w:asciiTheme="minorEastAsia" w:hAnsiTheme="minorEastAsia" w:eastAsiaTheme="minorEastAsia" w:cstheme="minorEastAsia"/>
                <w:color w:val="auto"/>
                <w:spacing w:val="-1"/>
                <w:sz w:val="21"/>
                <w:szCs w:val="21"/>
                <w:lang w:val="en-US" w:eastAsia="zh-CN"/>
              </w:rPr>
              <w:t>百色市政府采购供应商信用承诺函</w:t>
            </w:r>
            <w:r>
              <w:rPr>
                <w:rFonts w:hint="eastAsia" w:asciiTheme="minorEastAsia" w:hAnsiTheme="minorEastAsia" w:eastAsiaTheme="minorEastAsia" w:cstheme="minorEastAsia"/>
                <w:b/>
                <w:bCs/>
                <w:color w:val="auto"/>
                <w:spacing w:val="-1"/>
                <w:sz w:val="21"/>
                <w:szCs w:val="21"/>
                <w:lang w:val="en-US" w:eastAsia="zh-CN"/>
              </w:rPr>
              <w:t>（提供①或②，满足其一即为符合要求，否则按无效响应处理）</w:t>
            </w:r>
          </w:p>
          <w:p w14:paraId="4E548CF0">
            <w:pPr>
              <w:pStyle w:val="25"/>
              <w:keepNext w:val="0"/>
              <w:keepLines w:val="0"/>
              <w:pageBreakBefore w:val="0"/>
              <w:widowControl/>
              <w:numPr>
                <w:ilvl w:val="0"/>
                <w:numId w:val="2"/>
              </w:numPr>
              <w:kinsoku w:val="0"/>
              <w:wordWrap/>
              <w:overflowPunct/>
              <w:topLinePunct w:val="0"/>
              <w:autoSpaceDE w:val="0"/>
              <w:autoSpaceDN w:val="0"/>
              <w:bidi w:val="0"/>
              <w:adjustRightInd w:val="0"/>
              <w:snapToGrid w:val="0"/>
              <w:spacing w:line="520" w:lineRule="exact"/>
              <w:ind w:left="0" w:leftChars="0" w:right="0" w:firstLine="416" w:firstLineChars="200"/>
              <w:jc w:val="both"/>
              <w:textAlignment w:val="baseline"/>
              <w:rPr>
                <w:rFonts w:hint="eastAsia" w:asciiTheme="minorEastAsia" w:hAnsiTheme="minorEastAsia" w:eastAsiaTheme="minorEastAsia" w:cstheme="minorEastAsia"/>
                <w:color w:val="auto"/>
                <w:sz w:val="21"/>
                <w:szCs w:val="21"/>
              </w:rPr>
            </w:pPr>
            <w:r>
              <w:rPr>
                <w:rFonts w:hint="eastAsia" w:ascii="微软雅黑" w:hAnsi="微软雅黑" w:eastAsia="微软雅黑" w:cs="微软雅黑"/>
                <w:color w:val="auto"/>
                <w:spacing w:val="-1"/>
                <w:sz w:val="21"/>
                <w:szCs w:val="21"/>
              </w:rPr>
              <w:t>①</w:t>
            </w:r>
            <w:r>
              <w:rPr>
                <w:rFonts w:hint="eastAsia" w:asciiTheme="minorEastAsia" w:hAnsiTheme="minorEastAsia" w:eastAsiaTheme="minorEastAsia" w:cstheme="minorEastAsia"/>
                <w:color w:val="auto"/>
                <w:spacing w:val="-3"/>
                <w:sz w:val="21"/>
                <w:szCs w:val="21"/>
              </w:rPr>
              <w:t>投标人依法缴纳税收的相关</w:t>
            </w:r>
            <w:r>
              <w:rPr>
                <w:rFonts w:hint="eastAsia" w:asciiTheme="minorEastAsia" w:hAnsiTheme="minorEastAsia" w:eastAsiaTheme="minorEastAsia" w:cstheme="minorEastAsia"/>
                <w:color w:val="000000" w:themeColor="text1"/>
                <w:spacing w:val="-3"/>
                <w:sz w:val="21"/>
                <w:szCs w:val="21"/>
                <w14:textFill>
                  <w14:solidFill>
                    <w14:schemeClr w14:val="tx1"/>
                  </w14:solidFill>
                </w14:textFill>
              </w:rPr>
              <w:t>材料（</w:t>
            </w:r>
            <w:r>
              <w:rPr>
                <w:rFonts w:hint="eastAsia" w:asciiTheme="minorEastAsia" w:hAnsiTheme="minorEastAsia" w:eastAsiaTheme="minorEastAsia" w:cstheme="minorEastAsia"/>
                <w:b/>
                <w:bCs/>
                <w:color w:val="000000" w:themeColor="text1"/>
                <w:spacing w:val="-3"/>
                <w:sz w:val="21"/>
                <w:szCs w:val="21"/>
                <w:lang w:val="en-US" w:eastAsia="zh-CN"/>
                <w14:textFill>
                  <w14:solidFill>
                    <w14:schemeClr w14:val="tx1"/>
                  </w14:solidFill>
                </w14:textFill>
              </w:rPr>
              <w:t>截标前三个月内（含截标当月）任意1个月</w:t>
            </w:r>
            <w:r>
              <w:rPr>
                <w:rFonts w:hint="eastAsia" w:asciiTheme="minorEastAsia" w:hAnsiTheme="minorEastAsia" w:eastAsiaTheme="minorEastAsia" w:cstheme="minorEastAsia"/>
                <w:color w:val="auto"/>
                <w:spacing w:val="-3"/>
                <w:sz w:val="21"/>
                <w:szCs w:val="21"/>
              </w:rPr>
              <w:t>的依</w:t>
            </w:r>
            <w:r>
              <w:rPr>
                <w:rFonts w:hint="eastAsia" w:asciiTheme="minorEastAsia" w:hAnsiTheme="minorEastAsia" w:eastAsiaTheme="minorEastAsia" w:cstheme="minorEastAsia"/>
                <w:color w:val="auto"/>
                <w:spacing w:val="-1"/>
                <w:sz w:val="21"/>
                <w:szCs w:val="21"/>
              </w:rPr>
              <w:t>法缴纳税收的凭据复印件；依法免税的供应商，必须提供相应文件证明其依法免税。从成立之日起到投标文件提交截止时间止不足要求月数的，只需提供从成立之日起的依法</w:t>
            </w:r>
            <w:r>
              <w:rPr>
                <w:rFonts w:hint="eastAsia" w:asciiTheme="minorEastAsia" w:hAnsiTheme="minorEastAsia" w:eastAsiaTheme="minorEastAsia" w:cstheme="minorEastAsia"/>
                <w:color w:val="auto"/>
                <w:sz w:val="21"/>
                <w:szCs w:val="21"/>
              </w:rPr>
              <w:t>缴纳税收相应证明文件</w:t>
            </w:r>
            <w:r>
              <w:rPr>
                <w:rFonts w:hint="eastAsia" w:asciiTheme="minorEastAsia" w:hAnsiTheme="minorEastAsia" w:eastAsiaTheme="minorEastAsia" w:cstheme="minorEastAsia"/>
                <w:color w:val="auto"/>
                <w:spacing w:val="-8"/>
                <w:sz w:val="21"/>
                <w:szCs w:val="21"/>
              </w:rPr>
              <w:t>）；</w:t>
            </w:r>
            <w:r>
              <w:rPr>
                <w:rFonts w:hint="eastAsia" w:asciiTheme="minorEastAsia" w:hAnsiTheme="minorEastAsia" w:eastAsiaTheme="minorEastAsia" w:cstheme="minorEastAsia"/>
                <w:color w:val="auto"/>
                <w:spacing w:val="-1"/>
                <w:sz w:val="21"/>
                <w:szCs w:val="21"/>
              </w:rPr>
              <w:t>②</w:t>
            </w:r>
            <w:r>
              <w:rPr>
                <w:rFonts w:hint="eastAsia" w:asciiTheme="minorEastAsia" w:hAnsiTheme="minorEastAsia" w:eastAsiaTheme="minorEastAsia" w:cstheme="minorEastAsia"/>
                <w:color w:val="auto"/>
                <w:spacing w:val="-1"/>
                <w:sz w:val="21"/>
                <w:szCs w:val="21"/>
                <w:lang w:val="en-US" w:eastAsia="zh-CN"/>
              </w:rPr>
              <w:t>百色市政府采购供应商信用承诺函</w:t>
            </w:r>
            <w:r>
              <w:rPr>
                <w:rFonts w:hint="eastAsia" w:asciiTheme="minorEastAsia" w:hAnsiTheme="minorEastAsia" w:eastAsiaTheme="minorEastAsia" w:cstheme="minorEastAsia"/>
                <w:b/>
                <w:bCs/>
                <w:color w:val="auto"/>
                <w:spacing w:val="-1"/>
                <w:sz w:val="21"/>
                <w:szCs w:val="21"/>
                <w:lang w:val="en-US" w:eastAsia="zh-CN"/>
              </w:rPr>
              <w:t>（提供①或②，满足其一即为符合要求，否则按无效响应处理）</w:t>
            </w:r>
          </w:p>
          <w:p w14:paraId="2BDBF781">
            <w:pPr>
              <w:pStyle w:val="25"/>
              <w:keepNext/>
              <w:keepLines w:val="0"/>
              <w:pageBreakBefore w:val="0"/>
              <w:widowControl/>
              <w:numPr>
                <w:ilvl w:val="0"/>
                <w:numId w:val="2"/>
              </w:numPr>
              <w:kinsoku w:val="0"/>
              <w:wordWrap/>
              <w:overflowPunct/>
              <w:topLinePunct w:val="0"/>
              <w:autoSpaceDE/>
              <w:autoSpaceDN/>
              <w:bidi w:val="0"/>
              <w:adjustRightInd w:val="0"/>
              <w:snapToGrid w:val="0"/>
              <w:spacing w:line="520" w:lineRule="exact"/>
              <w:ind w:left="0" w:leftChars="0" w:right="0" w:firstLine="416" w:firstLineChars="200"/>
              <w:jc w:val="both"/>
              <w:textAlignment w:val="baseline"/>
              <w:rPr>
                <w:rFonts w:hint="eastAsia" w:asciiTheme="minorEastAsia" w:hAnsiTheme="minorEastAsia" w:eastAsiaTheme="minorEastAsia" w:cstheme="minorEastAsia"/>
                <w:color w:val="auto"/>
                <w:sz w:val="21"/>
                <w:szCs w:val="21"/>
              </w:rPr>
            </w:pPr>
            <w:r>
              <w:rPr>
                <w:rFonts w:hint="eastAsia" w:ascii="微软雅黑" w:hAnsi="微软雅黑" w:eastAsia="微软雅黑" w:cs="微软雅黑"/>
                <w:color w:val="auto"/>
                <w:spacing w:val="-1"/>
                <w:sz w:val="21"/>
                <w:szCs w:val="21"/>
              </w:rPr>
              <w:t>①</w:t>
            </w:r>
            <w:r>
              <w:rPr>
                <w:rFonts w:hint="eastAsia" w:asciiTheme="minorEastAsia" w:hAnsiTheme="minorEastAsia" w:eastAsiaTheme="minorEastAsia" w:cstheme="minorEastAsia"/>
                <w:color w:val="auto"/>
                <w:spacing w:val="-3"/>
                <w:sz w:val="21"/>
                <w:szCs w:val="21"/>
              </w:rPr>
              <w:t>投标人依法缴纳社会保障资金的相关</w:t>
            </w:r>
            <w:r>
              <w:rPr>
                <w:rFonts w:hint="eastAsia" w:asciiTheme="minorEastAsia" w:hAnsiTheme="minorEastAsia" w:eastAsiaTheme="minorEastAsia" w:cstheme="minorEastAsia"/>
                <w:color w:val="000000" w:themeColor="text1"/>
                <w:spacing w:val="-3"/>
                <w:sz w:val="21"/>
                <w:szCs w:val="21"/>
                <w14:textFill>
                  <w14:solidFill>
                    <w14:schemeClr w14:val="tx1"/>
                  </w14:solidFill>
                </w14:textFill>
              </w:rPr>
              <w:t>材料（</w:t>
            </w:r>
            <w:r>
              <w:rPr>
                <w:rFonts w:hint="eastAsia" w:asciiTheme="minorEastAsia" w:hAnsiTheme="minorEastAsia" w:eastAsiaTheme="minorEastAsia" w:cstheme="minorEastAsia"/>
                <w:b/>
                <w:bCs/>
                <w:color w:val="000000" w:themeColor="text1"/>
                <w:spacing w:val="-3"/>
                <w:sz w:val="21"/>
                <w:szCs w:val="21"/>
                <w:lang w:val="en-US" w:eastAsia="zh-CN"/>
                <w14:textFill>
                  <w14:solidFill>
                    <w14:schemeClr w14:val="tx1"/>
                  </w14:solidFill>
                </w14:textFill>
              </w:rPr>
              <w:t>截标前三个月内（含截标当月）任意1个月</w:t>
            </w:r>
            <w:r>
              <w:rPr>
                <w:rFonts w:hint="eastAsia" w:asciiTheme="minorEastAsia" w:hAnsiTheme="minorEastAsia" w:eastAsiaTheme="minorEastAsia" w:cstheme="minorEastAsia"/>
                <w:color w:val="auto"/>
                <w:spacing w:val="-1"/>
                <w:sz w:val="21"/>
                <w:szCs w:val="21"/>
              </w:rPr>
              <w:t>的依法缴纳社会保障资金的缴费凭证（专用收据或者社会保险缴纳清单）复印</w:t>
            </w:r>
            <w:r>
              <w:rPr>
                <w:rFonts w:hint="eastAsia" w:asciiTheme="minorEastAsia" w:hAnsiTheme="minorEastAsia" w:eastAsiaTheme="minorEastAsia" w:cstheme="minorEastAsia"/>
                <w:color w:val="auto"/>
                <w:spacing w:val="-2"/>
                <w:sz w:val="21"/>
                <w:szCs w:val="21"/>
              </w:rPr>
              <w:t>件；依法</w:t>
            </w:r>
            <w:r>
              <w:rPr>
                <w:rFonts w:hint="eastAsia" w:asciiTheme="minorEastAsia" w:hAnsiTheme="minorEastAsia" w:eastAsiaTheme="minorEastAsia" w:cstheme="minorEastAsia"/>
                <w:color w:val="auto"/>
                <w:spacing w:val="-1"/>
                <w:sz w:val="21"/>
                <w:szCs w:val="21"/>
              </w:rPr>
              <w:t>不需要缴纳社会保障资金的供应商，必须提供相应文件证明不需要缴纳社会保障资金。</w:t>
            </w:r>
            <w:r>
              <w:rPr>
                <w:rFonts w:hint="eastAsia" w:asciiTheme="minorEastAsia" w:hAnsiTheme="minorEastAsia" w:eastAsiaTheme="minorEastAsia" w:cstheme="minorEastAsia"/>
                <w:color w:val="auto"/>
                <w:sz w:val="21"/>
                <w:szCs w:val="21"/>
              </w:rPr>
              <w:t>从成立之日起到投标文件提交截止时间止不足要求月数的只需提供从成立之日</w:t>
            </w:r>
            <w:r>
              <w:rPr>
                <w:rFonts w:hint="eastAsia" w:asciiTheme="minorEastAsia" w:hAnsiTheme="minorEastAsia" w:eastAsiaTheme="minorEastAsia" w:cstheme="minorEastAsia"/>
                <w:color w:val="auto"/>
                <w:spacing w:val="-1"/>
                <w:sz w:val="21"/>
                <w:szCs w:val="21"/>
              </w:rPr>
              <w:t>起的依</w:t>
            </w:r>
            <w:r>
              <w:rPr>
                <w:rFonts w:hint="eastAsia" w:asciiTheme="minorEastAsia" w:hAnsiTheme="minorEastAsia" w:eastAsiaTheme="minorEastAsia" w:cstheme="minorEastAsia"/>
                <w:color w:val="auto"/>
                <w:sz w:val="21"/>
                <w:szCs w:val="21"/>
              </w:rPr>
              <w:t>法缴纳社会保障资金的相应证明文件]</w:t>
            </w:r>
            <w:r>
              <w:rPr>
                <w:rFonts w:hint="eastAsia" w:asciiTheme="minorEastAsia" w:hAnsiTheme="minorEastAsia" w:eastAsiaTheme="minorEastAsia" w:cstheme="minorEastAsia"/>
                <w:color w:val="auto"/>
                <w:spacing w:val="-13"/>
                <w:sz w:val="21"/>
                <w:szCs w:val="21"/>
              </w:rPr>
              <w:t>；</w:t>
            </w:r>
            <w:r>
              <w:rPr>
                <w:rFonts w:hint="eastAsia" w:asciiTheme="minorEastAsia" w:hAnsiTheme="minorEastAsia" w:eastAsiaTheme="minorEastAsia" w:cstheme="minorEastAsia"/>
                <w:color w:val="auto"/>
                <w:spacing w:val="-1"/>
                <w:sz w:val="21"/>
                <w:szCs w:val="21"/>
              </w:rPr>
              <w:t>②</w:t>
            </w:r>
            <w:r>
              <w:rPr>
                <w:rFonts w:hint="eastAsia" w:asciiTheme="minorEastAsia" w:hAnsiTheme="minorEastAsia" w:eastAsiaTheme="minorEastAsia" w:cstheme="minorEastAsia"/>
                <w:color w:val="auto"/>
                <w:spacing w:val="-1"/>
                <w:sz w:val="21"/>
                <w:szCs w:val="21"/>
                <w:lang w:val="en-US" w:eastAsia="zh-CN"/>
              </w:rPr>
              <w:t>百色市政府采购供应商信用承诺函</w:t>
            </w:r>
            <w:r>
              <w:rPr>
                <w:rFonts w:hint="eastAsia" w:asciiTheme="minorEastAsia" w:hAnsiTheme="minorEastAsia" w:eastAsiaTheme="minorEastAsia" w:cstheme="minorEastAsia"/>
                <w:b/>
                <w:bCs/>
                <w:color w:val="auto"/>
                <w:spacing w:val="-1"/>
                <w:sz w:val="21"/>
                <w:szCs w:val="21"/>
                <w:lang w:val="en-US" w:eastAsia="zh-CN"/>
              </w:rPr>
              <w:t>（提供①或②，满足其一即为符合要求，否则按无效响应处理）</w:t>
            </w:r>
          </w:p>
          <w:p w14:paraId="59C3EC3C">
            <w:pPr>
              <w:pStyle w:val="25"/>
              <w:keepNext/>
              <w:keepLines w:val="0"/>
              <w:pageBreakBefore w:val="0"/>
              <w:widowControl/>
              <w:numPr>
                <w:ilvl w:val="0"/>
                <w:numId w:val="2"/>
              </w:numPr>
              <w:kinsoku w:val="0"/>
              <w:wordWrap/>
              <w:overflowPunct/>
              <w:topLinePunct w:val="0"/>
              <w:autoSpaceDE/>
              <w:autoSpaceDN/>
              <w:bidi w:val="0"/>
              <w:adjustRightInd w:val="0"/>
              <w:snapToGrid w:val="0"/>
              <w:spacing w:line="520" w:lineRule="exact"/>
              <w:ind w:left="0" w:leftChars="0" w:right="0" w:firstLine="416" w:firstLineChars="200"/>
              <w:jc w:val="both"/>
              <w:textAlignment w:val="baseline"/>
              <w:rPr>
                <w:rFonts w:hint="eastAsia" w:asciiTheme="minorEastAsia" w:hAnsiTheme="minorEastAsia" w:eastAsiaTheme="minorEastAsia" w:cstheme="minorEastAsia"/>
                <w:color w:val="auto"/>
                <w:sz w:val="21"/>
                <w:szCs w:val="21"/>
              </w:rPr>
            </w:pPr>
            <w:r>
              <w:rPr>
                <w:rFonts w:hint="eastAsia" w:ascii="微软雅黑" w:hAnsi="微软雅黑" w:eastAsia="微软雅黑" w:cs="微软雅黑"/>
                <w:color w:val="auto"/>
                <w:spacing w:val="-1"/>
                <w:sz w:val="21"/>
                <w:szCs w:val="21"/>
              </w:rPr>
              <w:t>①</w:t>
            </w:r>
            <w:r>
              <w:rPr>
                <w:rFonts w:hint="eastAsia" w:asciiTheme="minorEastAsia" w:hAnsiTheme="minorEastAsia" w:eastAsiaTheme="minorEastAsia" w:cstheme="minorEastAsia"/>
                <w:color w:val="auto"/>
                <w:spacing w:val="-2"/>
                <w:sz w:val="21"/>
                <w:szCs w:val="21"/>
              </w:rPr>
              <w:t>投标人财务状况报</w:t>
            </w:r>
            <w:r>
              <w:rPr>
                <w:rFonts w:hint="eastAsia" w:asciiTheme="minorEastAsia" w:hAnsiTheme="minorEastAsia" w:eastAsiaTheme="minorEastAsia" w:cstheme="minorEastAsia"/>
                <w:color w:val="auto"/>
                <w:spacing w:val="-1"/>
                <w:sz w:val="21"/>
                <w:szCs w:val="21"/>
              </w:rPr>
              <w:t>告（202</w:t>
            </w:r>
            <w:r>
              <w:rPr>
                <w:rFonts w:hint="eastAsia" w:asciiTheme="minorEastAsia" w:hAnsiTheme="minorEastAsia" w:eastAsiaTheme="minorEastAsia" w:cstheme="minorEastAsia"/>
                <w:color w:val="auto"/>
                <w:spacing w:val="-1"/>
                <w:sz w:val="21"/>
                <w:szCs w:val="21"/>
                <w:lang w:val="en-US" w:eastAsia="zh-CN"/>
              </w:rPr>
              <w:t>5</w:t>
            </w:r>
            <w:r>
              <w:rPr>
                <w:rFonts w:hint="eastAsia" w:asciiTheme="minorEastAsia" w:hAnsiTheme="minorEastAsia" w:eastAsiaTheme="minorEastAsia" w:cstheme="minorEastAsia"/>
                <w:color w:val="auto"/>
                <w:spacing w:val="-1"/>
                <w:sz w:val="21"/>
                <w:szCs w:val="21"/>
              </w:rPr>
              <w:t>年度财</w:t>
            </w:r>
            <w:r>
              <w:rPr>
                <w:rFonts w:hint="eastAsia" w:asciiTheme="minorEastAsia" w:hAnsiTheme="minorEastAsia" w:eastAsiaTheme="minorEastAsia" w:cstheme="minorEastAsia"/>
                <w:color w:val="auto"/>
                <w:spacing w:val="-2"/>
                <w:sz w:val="21"/>
                <w:szCs w:val="21"/>
              </w:rPr>
              <w:t>务报表复印件，或者银行出具的资信证明，或</w:t>
            </w:r>
            <w:r>
              <w:rPr>
                <w:rFonts w:hint="eastAsia" w:asciiTheme="minorEastAsia" w:hAnsiTheme="minorEastAsia" w:eastAsiaTheme="minorEastAsia" w:cstheme="minorEastAsia"/>
                <w:color w:val="auto"/>
                <w:spacing w:val="-1"/>
                <w:sz w:val="21"/>
                <w:szCs w:val="21"/>
              </w:rPr>
              <w:t>者中国人民银行征信中心出具的信用报告（企业投标的提供企业信用报告，自然人投标的提供个人信用报告，需提供成立之日起至投标截止时间前的月报表或银行出具的资信证明或者中国人民银行征信中心出具的企业信用报告；资信证明应在有效期内，未注明</w:t>
            </w:r>
            <w:r>
              <w:rPr>
                <w:rFonts w:hint="eastAsia" w:asciiTheme="minorEastAsia" w:hAnsiTheme="minorEastAsia" w:eastAsiaTheme="minorEastAsia" w:cstheme="minorEastAsia"/>
                <w:color w:val="auto"/>
                <w:sz w:val="21"/>
                <w:szCs w:val="21"/>
              </w:rPr>
              <w:t>有效期的，银行出具时间至投标截止时间不超过一年</w:t>
            </w:r>
            <w:r>
              <w:rPr>
                <w:rFonts w:hint="eastAsia" w:asciiTheme="minorEastAsia" w:hAnsiTheme="minorEastAsia" w:eastAsiaTheme="minorEastAsia" w:cstheme="minorEastAsia"/>
                <w:color w:val="auto"/>
                <w:spacing w:val="-17"/>
                <w:sz w:val="21"/>
                <w:szCs w:val="21"/>
              </w:rPr>
              <w:t>）；</w:t>
            </w:r>
            <w:r>
              <w:rPr>
                <w:rFonts w:hint="eastAsia" w:asciiTheme="minorEastAsia" w:hAnsiTheme="minorEastAsia" w:eastAsiaTheme="minorEastAsia" w:cstheme="minorEastAsia"/>
                <w:color w:val="auto"/>
                <w:spacing w:val="-1"/>
                <w:sz w:val="21"/>
                <w:szCs w:val="21"/>
              </w:rPr>
              <w:t>②</w:t>
            </w:r>
            <w:r>
              <w:rPr>
                <w:rFonts w:hint="eastAsia" w:asciiTheme="minorEastAsia" w:hAnsiTheme="minorEastAsia" w:eastAsiaTheme="minorEastAsia" w:cstheme="minorEastAsia"/>
                <w:color w:val="auto"/>
                <w:spacing w:val="-1"/>
                <w:sz w:val="21"/>
                <w:szCs w:val="21"/>
                <w:lang w:val="en-US" w:eastAsia="zh-CN"/>
              </w:rPr>
              <w:t>百色市政府采购供应商信用承诺函</w:t>
            </w:r>
            <w:r>
              <w:rPr>
                <w:rFonts w:hint="eastAsia" w:asciiTheme="minorEastAsia" w:hAnsiTheme="minorEastAsia" w:eastAsiaTheme="minorEastAsia" w:cstheme="minorEastAsia"/>
                <w:b/>
                <w:bCs/>
                <w:color w:val="auto"/>
                <w:spacing w:val="-1"/>
                <w:sz w:val="21"/>
                <w:szCs w:val="21"/>
                <w:lang w:val="en-US" w:eastAsia="zh-CN"/>
              </w:rPr>
              <w:t>（提供①或②，满足其一即为符合要求，否则按无效响应处理）</w:t>
            </w:r>
          </w:p>
          <w:p w14:paraId="5D130BED">
            <w:pPr>
              <w:pStyle w:val="25"/>
              <w:keepNext/>
              <w:keepLines w:val="0"/>
              <w:pageBreakBefore w:val="0"/>
              <w:widowControl/>
              <w:numPr>
                <w:ilvl w:val="0"/>
                <w:numId w:val="2"/>
              </w:numPr>
              <w:kinsoku w:val="0"/>
              <w:wordWrap/>
              <w:overflowPunct/>
              <w:topLinePunct w:val="0"/>
              <w:autoSpaceDE/>
              <w:autoSpaceDN/>
              <w:bidi w:val="0"/>
              <w:adjustRightInd w:val="0"/>
              <w:snapToGrid w:val="0"/>
              <w:spacing w:line="520" w:lineRule="exact"/>
              <w:ind w:left="0" w:leftChars="0" w:right="0" w:firstLine="412" w:firstLineChars="20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投标人直接控股、管理关系信息表（格式后附</w:t>
            </w:r>
            <w:r>
              <w:rPr>
                <w:rFonts w:hint="eastAsia" w:asciiTheme="minorEastAsia" w:hAnsiTheme="minorEastAsia" w:eastAsiaTheme="minorEastAsia" w:cstheme="minorEastAsia"/>
                <w:color w:val="auto"/>
                <w:spacing w:val="-13"/>
                <w:sz w:val="21"/>
                <w:szCs w:val="21"/>
              </w:rPr>
              <w:t>）；（</w:t>
            </w:r>
            <w:r>
              <w:rPr>
                <w:rFonts w:hint="eastAsia" w:asciiTheme="minorEastAsia" w:hAnsiTheme="minorEastAsia" w:eastAsiaTheme="minorEastAsia" w:cstheme="minorEastAsia"/>
                <w:b/>
                <w:bCs/>
                <w:color w:val="auto"/>
                <w:spacing w:val="-2"/>
                <w:sz w:val="21"/>
                <w:szCs w:val="21"/>
              </w:rPr>
              <w:t>必须提供，</w:t>
            </w:r>
            <w:r>
              <w:rPr>
                <w:rFonts w:hint="eastAsia" w:asciiTheme="minorEastAsia" w:hAnsiTheme="minorEastAsia" w:eastAsiaTheme="minorEastAsia" w:cstheme="minorEastAsia"/>
                <w:color w:val="auto"/>
                <w:spacing w:val="-58"/>
                <w:sz w:val="21"/>
                <w:szCs w:val="21"/>
              </w:rPr>
              <w:t xml:space="preserve"> </w:t>
            </w:r>
            <w:r>
              <w:rPr>
                <w:rFonts w:hint="eastAsia" w:asciiTheme="minorEastAsia" w:hAnsiTheme="minorEastAsia" w:eastAsiaTheme="minorEastAsia" w:cstheme="minorEastAsia"/>
                <w:b/>
                <w:bCs/>
                <w:color w:val="auto"/>
                <w:spacing w:val="-2"/>
                <w:sz w:val="21"/>
                <w:szCs w:val="21"/>
              </w:rPr>
              <w:t>否则按无效投标</w:t>
            </w:r>
            <w:r>
              <w:rPr>
                <w:rFonts w:hint="eastAsia" w:asciiTheme="minorEastAsia" w:hAnsiTheme="minorEastAsia" w:eastAsiaTheme="minorEastAsia" w:cstheme="minorEastAsia"/>
                <w:color w:val="auto"/>
                <w:sz w:val="21"/>
                <w:szCs w:val="21"/>
              </w:rPr>
              <w:t xml:space="preserve"> </w:t>
            </w:r>
            <w:r>
              <w:rPr>
                <w:rFonts w:hint="eastAsia" w:asciiTheme="minorEastAsia" w:hAnsiTheme="minorEastAsia" w:eastAsiaTheme="minorEastAsia" w:cstheme="minorEastAsia"/>
                <w:b/>
                <w:bCs/>
                <w:color w:val="auto"/>
                <w:spacing w:val="-5"/>
                <w:sz w:val="21"/>
                <w:szCs w:val="21"/>
              </w:rPr>
              <w:t>处理</w:t>
            </w:r>
            <w:r>
              <w:rPr>
                <w:rFonts w:hint="eastAsia" w:asciiTheme="minorEastAsia" w:hAnsiTheme="minorEastAsia" w:eastAsiaTheme="minorEastAsia" w:cstheme="minorEastAsia"/>
                <w:color w:val="auto"/>
                <w:spacing w:val="-5"/>
                <w:sz w:val="21"/>
                <w:szCs w:val="21"/>
              </w:rPr>
              <w:t>）</w:t>
            </w:r>
          </w:p>
          <w:p w14:paraId="7DD2F47F">
            <w:pPr>
              <w:pStyle w:val="25"/>
              <w:keepNext/>
              <w:keepLines w:val="0"/>
              <w:pageBreakBefore w:val="0"/>
              <w:widowControl/>
              <w:numPr>
                <w:ilvl w:val="0"/>
                <w:numId w:val="2"/>
              </w:numPr>
              <w:kinsoku w:val="0"/>
              <w:wordWrap/>
              <w:overflowPunct/>
              <w:topLinePunct w:val="0"/>
              <w:autoSpaceDE/>
              <w:autoSpaceDN/>
              <w:bidi w:val="0"/>
              <w:adjustRightInd w:val="0"/>
              <w:snapToGrid w:val="0"/>
              <w:spacing w:line="520" w:lineRule="exact"/>
              <w:ind w:left="0" w:leftChars="0" w:right="0" w:firstLine="420" w:firstLineChars="20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投标声明（格式后附</w:t>
            </w:r>
            <w:r>
              <w:rPr>
                <w:rFonts w:hint="eastAsia" w:asciiTheme="minorEastAsia" w:hAnsiTheme="minorEastAsia" w:eastAsiaTheme="minorEastAsia" w:cstheme="minorEastAsia"/>
                <w:color w:val="auto"/>
                <w:spacing w:val="-9"/>
                <w:sz w:val="21"/>
                <w:szCs w:val="21"/>
              </w:rPr>
              <w:t>）；（</w:t>
            </w:r>
            <w:r>
              <w:rPr>
                <w:rFonts w:hint="eastAsia" w:asciiTheme="minorEastAsia" w:hAnsiTheme="minorEastAsia" w:eastAsiaTheme="minorEastAsia" w:cstheme="minorEastAsia"/>
                <w:b/>
                <w:bCs/>
                <w:color w:val="auto"/>
                <w:sz w:val="21"/>
                <w:szCs w:val="21"/>
              </w:rPr>
              <w:t>必须提供，否则按无效投标处理</w:t>
            </w:r>
            <w:r>
              <w:rPr>
                <w:rFonts w:hint="eastAsia" w:asciiTheme="minorEastAsia" w:hAnsiTheme="minorEastAsia" w:eastAsiaTheme="minorEastAsia" w:cstheme="minorEastAsia"/>
                <w:color w:val="auto"/>
                <w:sz w:val="21"/>
                <w:szCs w:val="21"/>
              </w:rPr>
              <w:t>）</w:t>
            </w:r>
          </w:p>
          <w:p w14:paraId="68758C54">
            <w:pPr>
              <w:pStyle w:val="25"/>
              <w:keepNext/>
              <w:keepLines w:val="0"/>
              <w:pageBreakBefore w:val="0"/>
              <w:widowControl/>
              <w:numPr>
                <w:ilvl w:val="0"/>
                <w:numId w:val="2"/>
              </w:numPr>
              <w:kinsoku w:val="0"/>
              <w:wordWrap/>
              <w:overflowPunct/>
              <w:topLinePunct w:val="0"/>
              <w:autoSpaceDE/>
              <w:autoSpaceDN/>
              <w:bidi w:val="0"/>
              <w:adjustRightInd w:val="0"/>
              <w:snapToGrid w:val="0"/>
              <w:spacing w:line="520" w:lineRule="exact"/>
              <w:ind w:left="0" w:leftChars="0" w:right="0" w:firstLine="420" w:firstLineChars="200"/>
              <w:textAlignment w:val="baseline"/>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color w:val="auto"/>
                <w:sz w:val="21"/>
                <w:szCs w:val="21"/>
              </w:rPr>
              <w:t>联合体协议书（格式后附）；</w:t>
            </w:r>
            <w:r>
              <w:rPr>
                <w:rFonts w:hint="eastAsia" w:asciiTheme="minorEastAsia" w:hAnsiTheme="minorEastAsia" w:eastAsiaTheme="minorEastAsia" w:cstheme="minorEastAsia"/>
                <w:b/>
                <w:bCs/>
                <w:color w:val="auto"/>
                <w:sz w:val="21"/>
                <w:szCs w:val="21"/>
              </w:rPr>
              <w:t>（联合体投标时必须提供，否则按无效投标处理）</w:t>
            </w:r>
          </w:p>
          <w:p w14:paraId="705021FD">
            <w:pPr>
              <w:pStyle w:val="25"/>
              <w:keepNext/>
              <w:keepLines w:val="0"/>
              <w:pageBreakBefore w:val="0"/>
              <w:widowControl/>
              <w:numPr>
                <w:ilvl w:val="0"/>
                <w:numId w:val="2"/>
              </w:numPr>
              <w:kinsoku w:val="0"/>
              <w:wordWrap/>
              <w:overflowPunct/>
              <w:topLinePunct w:val="0"/>
              <w:autoSpaceDE/>
              <w:autoSpaceDN/>
              <w:bidi w:val="0"/>
              <w:adjustRightInd w:val="0"/>
              <w:snapToGrid w:val="0"/>
              <w:spacing w:line="520" w:lineRule="exact"/>
              <w:ind w:left="0" w:leftChars="0" w:right="0" w:firstLine="416" w:firstLineChars="200"/>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中小企业声明函（格式后附）或由省级以上监狱管理局、戒毒管理局（含新疆生产建设兵团）出具的属于监狱企业的证明文件复印件或按照《关于促进残疾人就业政府</w:t>
            </w:r>
            <w:r>
              <w:rPr>
                <w:rFonts w:hint="eastAsia" w:asciiTheme="minorEastAsia" w:hAnsiTheme="minorEastAsia" w:eastAsiaTheme="minorEastAsia" w:cstheme="minorEastAsia"/>
                <w:color w:val="auto"/>
                <w:sz w:val="21"/>
                <w:szCs w:val="21"/>
              </w:rPr>
              <w:t>采购政策的通知》（财库〔2017〕141号）的规定，提</w:t>
            </w:r>
            <w:r>
              <w:rPr>
                <w:rFonts w:hint="eastAsia" w:asciiTheme="minorEastAsia" w:hAnsiTheme="minorEastAsia" w:eastAsiaTheme="minorEastAsia" w:cstheme="minorEastAsia"/>
                <w:color w:val="auto"/>
                <w:spacing w:val="-1"/>
                <w:sz w:val="21"/>
                <w:szCs w:val="21"/>
              </w:rPr>
              <w:t>供该通知规定的《残疾人福利性</w:t>
            </w:r>
            <w:r>
              <w:rPr>
                <w:rFonts w:hint="eastAsia" w:asciiTheme="minorEastAsia" w:hAnsiTheme="minorEastAsia" w:eastAsiaTheme="minorEastAsia" w:cstheme="minorEastAsia"/>
                <w:color w:val="auto"/>
                <w:spacing w:val="-2"/>
                <w:sz w:val="21"/>
                <w:szCs w:val="21"/>
              </w:rPr>
              <w:t>单位声明函》（格式后附</w:t>
            </w:r>
            <w:r>
              <w:rPr>
                <w:rFonts w:hint="eastAsia" w:asciiTheme="minorEastAsia" w:hAnsiTheme="minorEastAsia" w:eastAsiaTheme="minorEastAsia" w:cstheme="minorEastAsia"/>
                <w:color w:val="auto"/>
                <w:spacing w:val="-21"/>
                <w:sz w:val="21"/>
                <w:szCs w:val="21"/>
              </w:rPr>
              <w:t>）</w:t>
            </w:r>
            <w:r>
              <w:rPr>
                <w:rFonts w:hint="eastAsia" w:asciiTheme="minorEastAsia" w:hAnsiTheme="minorEastAsia" w:eastAsiaTheme="minorEastAsia" w:cstheme="minorEastAsia"/>
                <w:b/>
                <w:bCs/>
                <w:color w:val="auto"/>
                <w:spacing w:val="-21"/>
                <w:sz w:val="21"/>
                <w:szCs w:val="21"/>
              </w:rPr>
              <w:t>；</w:t>
            </w:r>
          </w:p>
          <w:p w14:paraId="252B9548">
            <w:pPr>
              <w:pStyle w:val="25"/>
              <w:keepNext/>
              <w:keepLines w:val="0"/>
              <w:pageBreakBefore w:val="0"/>
              <w:widowControl/>
              <w:numPr>
                <w:ilvl w:val="0"/>
                <w:numId w:val="2"/>
              </w:numPr>
              <w:kinsoku w:val="0"/>
              <w:wordWrap/>
              <w:overflowPunct/>
              <w:topLinePunct w:val="0"/>
              <w:autoSpaceDE/>
              <w:autoSpaceDN/>
              <w:bidi w:val="0"/>
              <w:adjustRightInd w:val="0"/>
              <w:snapToGrid w:val="0"/>
              <w:spacing w:line="520" w:lineRule="exact"/>
              <w:ind w:left="0" w:leftChars="0" w:right="0" w:firstLine="420" w:firstLineChars="200"/>
              <w:textAlignment w:val="baseline"/>
              <w:rPr>
                <w:rFonts w:hint="eastAsia"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b w:val="0"/>
                <w:bCs/>
                <w:color w:val="auto"/>
                <w:sz w:val="21"/>
                <w:szCs w:val="21"/>
                <w:lang w:val="en-US" w:eastAsia="zh-CN"/>
              </w:rPr>
              <w:t>特定资格要求：详见招标公告</w:t>
            </w:r>
          </w:p>
          <w:p w14:paraId="6752F2C7">
            <w:pPr>
              <w:pStyle w:val="25"/>
              <w:keepNext/>
              <w:keepLines w:val="0"/>
              <w:pageBreakBefore w:val="0"/>
              <w:widowControl/>
              <w:numPr>
                <w:ilvl w:val="0"/>
                <w:numId w:val="2"/>
              </w:numPr>
              <w:kinsoku w:val="0"/>
              <w:wordWrap/>
              <w:overflowPunct/>
              <w:topLinePunct w:val="0"/>
              <w:autoSpaceDE/>
              <w:autoSpaceDN/>
              <w:bidi w:val="0"/>
              <w:adjustRightInd w:val="0"/>
              <w:snapToGrid w:val="0"/>
              <w:spacing w:line="520" w:lineRule="exact"/>
              <w:ind w:left="0" w:leftChars="0" w:right="0" w:firstLine="412" w:firstLineChars="20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投标人</w:t>
            </w:r>
            <w:r>
              <w:rPr>
                <w:rFonts w:hint="eastAsia" w:asciiTheme="minorEastAsia" w:hAnsiTheme="minorEastAsia" w:eastAsiaTheme="minorEastAsia" w:cstheme="minorEastAsia"/>
                <w:color w:val="auto"/>
                <w:sz w:val="21"/>
                <w:szCs w:val="21"/>
              </w:rPr>
              <w:t>提供获取</w:t>
            </w:r>
            <w:r>
              <w:rPr>
                <w:rFonts w:hint="eastAsia" w:asciiTheme="minorEastAsia" w:hAnsiTheme="minorEastAsia" w:eastAsiaTheme="minorEastAsia" w:cstheme="minorEastAsia"/>
                <w:color w:val="auto"/>
                <w:sz w:val="21"/>
                <w:szCs w:val="21"/>
                <w:lang w:eastAsia="zh-CN"/>
              </w:rPr>
              <w:t>招标</w:t>
            </w:r>
            <w:r>
              <w:rPr>
                <w:rFonts w:hint="eastAsia" w:asciiTheme="minorEastAsia" w:hAnsiTheme="minorEastAsia" w:eastAsiaTheme="minorEastAsia" w:cstheme="minorEastAsia"/>
                <w:color w:val="auto"/>
                <w:sz w:val="21"/>
                <w:szCs w:val="21"/>
              </w:rPr>
              <w:t>文件的凭据（</w:t>
            </w:r>
            <w:r>
              <w:rPr>
                <w:rFonts w:hint="eastAsia" w:asciiTheme="minorEastAsia" w:hAnsiTheme="minorEastAsia" w:eastAsiaTheme="minorEastAsia" w:cstheme="minorEastAsia"/>
                <w:color w:val="auto"/>
                <w:sz w:val="21"/>
                <w:szCs w:val="21"/>
                <w:lang w:val="en-US" w:eastAsia="zh-CN"/>
              </w:rPr>
              <w:t>广西政府采购云平台按规定的时间下载</w:t>
            </w:r>
            <w:r>
              <w:rPr>
                <w:rFonts w:hint="eastAsia" w:asciiTheme="minorEastAsia" w:hAnsiTheme="minorEastAsia" w:eastAsiaTheme="minorEastAsia" w:cstheme="minorEastAsia"/>
                <w:color w:val="auto"/>
                <w:sz w:val="21"/>
                <w:szCs w:val="21"/>
              </w:rPr>
              <w:t>获取</w:t>
            </w:r>
            <w:r>
              <w:rPr>
                <w:rFonts w:hint="eastAsia" w:asciiTheme="minorEastAsia" w:hAnsiTheme="minorEastAsia" w:eastAsiaTheme="minorEastAsia" w:cstheme="minorEastAsia"/>
                <w:color w:val="auto"/>
                <w:sz w:val="21"/>
                <w:szCs w:val="21"/>
                <w:lang w:val="en-US" w:eastAsia="zh-CN"/>
              </w:rPr>
              <w:t>招标文件</w:t>
            </w:r>
            <w:r>
              <w:rPr>
                <w:rFonts w:hint="eastAsia" w:asciiTheme="minorEastAsia" w:hAnsiTheme="minorEastAsia" w:eastAsiaTheme="minorEastAsia" w:cstheme="minorEastAsia"/>
                <w:color w:val="auto"/>
                <w:sz w:val="21"/>
                <w:szCs w:val="21"/>
              </w:rPr>
              <w:t>证明）；（</w:t>
            </w:r>
            <w:r>
              <w:rPr>
                <w:rFonts w:hint="eastAsia" w:asciiTheme="minorEastAsia" w:hAnsiTheme="minorEastAsia" w:eastAsiaTheme="minorEastAsia" w:cstheme="minorEastAsia"/>
                <w:b/>
                <w:color w:val="auto"/>
                <w:sz w:val="21"/>
                <w:szCs w:val="21"/>
              </w:rPr>
              <w:t>必须提供，否则响应文件按无效响应处理</w:t>
            </w:r>
            <w:r>
              <w:rPr>
                <w:rFonts w:hint="eastAsia" w:asciiTheme="minorEastAsia" w:hAnsiTheme="minorEastAsia" w:eastAsiaTheme="minorEastAsia" w:cstheme="minorEastAsia"/>
                <w:color w:val="auto"/>
                <w:sz w:val="21"/>
                <w:szCs w:val="21"/>
              </w:rPr>
              <w:t>）</w:t>
            </w:r>
          </w:p>
          <w:p w14:paraId="6FFC4A63">
            <w:pPr>
              <w:pStyle w:val="25"/>
              <w:keepNext/>
              <w:keepLines w:val="0"/>
              <w:pageBreakBefore w:val="0"/>
              <w:widowControl/>
              <w:numPr>
                <w:ilvl w:val="0"/>
                <w:numId w:val="2"/>
              </w:numPr>
              <w:kinsoku w:val="0"/>
              <w:wordWrap/>
              <w:overflowPunct/>
              <w:topLinePunct w:val="0"/>
              <w:autoSpaceDE/>
              <w:autoSpaceDN/>
              <w:bidi w:val="0"/>
              <w:adjustRightInd w:val="0"/>
              <w:snapToGrid w:val="0"/>
              <w:spacing w:line="520" w:lineRule="exact"/>
              <w:ind w:left="0" w:leftChars="0" w:right="0" w:firstLine="420" w:firstLineChars="20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除招标文件规定必须提供以外，投标人认为需要提供的其他证</w:t>
            </w:r>
            <w:r>
              <w:rPr>
                <w:rFonts w:hint="eastAsia" w:asciiTheme="minorEastAsia" w:hAnsiTheme="minorEastAsia" w:eastAsiaTheme="minorEastAsia" w:cstheme="minorEastAsia"/>
                <w:color w:val="auto"/>
                <w:spacing w:val="-1"/>
                <w:sz w:val="21"/>
                <w:szCs w:val="21"/>
              </w:rPr>
              <w:t>明材料。</w:t>
            </w:r>
          </w:p>
          <w:p w14:paraId="4F16E215">
            <w:pPr>
              <w:keepLines w:val="0"/>
              <w:pageBreakBefore w:val="0"/>
              <w:widowControl/>
              <w:kinsoku w:val="0"/>
              <w:wordWrap/>
              <w:overflowPunct/>
              <w:topLinePunct w:val="0"/>
              <w:bidi w:val="0"/>
              <w:adjustRightInd w:val="0"/>
              <w:snapToGrid w:val="0"/>
              <w:spacing w:line="520" w:lineRule="exact"/>
              <w:jc w:val="both"/>
              <w:textAlignment w:val="baseline"/>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bCs/>
                <w:color w:val="auto"/>
                <w:sz w:val="21"/>
                <w:szCs w:val="21"/>
              </w:rPr>
              <w:t>注：1.</w:t>
            </w:r>
            <w:r>
              <w:rPr>
                <w:rFonts w:hint="eastAsia" w:asciiTheme="minorEastAsia" w:hAnsiTheme="minorEastAsia" w:eastAsiaTheme="minorEastAsia" w:cstheme="minorEastAsia"/>
                <w:b/>
                <w:bCs/>
                <w:color w:val="auto"/>
                <w:sz w:val="21"/>
                <w:szCs w:val="21"/>
                <w:lang w:val="en-US" w:eastAsia="zh-CN"/>
              </w:rPr>
              <w:t>上述材料必须在规定盖章处加盖供应商电子公章，否则作无效响应处理。</w:t>
            </w:r>
          </w:p>
          <w:p w14:paraId="013C078F">
            <w:pPr>
              <w:keepLines w:val="0"/>
              <w:pageBreakBefore w:val="0"/>
              <w:widowControl/>
              <w:kinsoku w:val="0"/>
              <w:wordWrap/>
              <w:overflowPunct/>
              <w:topLinePunct w:val="0"/>
              <w:bidi w:val="0"/>
              <w:adjustRightInd w:val="0"/>
              <w:snapToGrid w:val="0"/>
              <w:spacing w:line="520" w:lineRule="exact"/>
              <w:ind w:firstLine="422" w:firstLineChars="200"/>
              <w:jc w:val="both"/>
              <w:textAlignment w:val="baseline"/>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lang w:val="en-US" w:eastAsia="zh-CN"/>
              </w:rPr>
              <w:t>2.联合体竞标时，提供的第1-6项资格证明文件，联合体各方均必须分别提供，联合体各方分别签章，否则响应文件按无效响应处理。</w:t>
            </w:r>
          </w:p>
          <w:p w14:paraId="61651660">
            <w:pPr>
              <w:keepLines w:val="0"/>
              <w:pageBreakBefore w:val="0"/>
              <w:widowControl/>
              <w:kinsoku w:val="0"/>
              <w:wordWrap/>
              <w:overflowPunct/>
              <w:topLinePunct w:val="0"/>
              <w:bidi w:val="0"/>
              <w:adjustRightInd w:val="0"/>
              <w:snapToGrid w:val="0"/>
              <w:spacing w:line="520" w:lineRule="exact"/>
              <w:ind w:firstLine="422" w:firstLineChars="200"/>
              <w:jc w:val="both"/>
              <w:textAlignment w:val="baseline"/>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lang w:val="en-US" w:eastAsia="zh-CN"/>
              </w:rPr>
              <w:t>3</w:t>
            </w:r>
            <w:r>
              <w:rPr>
                <w:rFonts w:hint="eastAsia" w:asciiTheme="minorEastAsia" w:hAnsiTheme="minorEastAsia" w:eastAsiaTheme="minorEastAsia" w:cstheme="minorEastAsia"/>
                <w:b/>
                <w:bCs/>
                <w:color w:val="auto"/>
                <w:sz w:val="21"/>
                <w:szCs w:val="21"/>
              </w:rPr>
              <w:t>.</w:t>
            </w:r>
            <w:r>
              <w:rPr>
                <w:rFonts w:hint="eastAsia" w:asciiTheme="minorEastAsia" w:hAnsiTheme="minorEastAsia" w:eastAsiaTheme="minorEastAsia" w:cstheme="minorEastAsia"/>
                <w:b/>
                <w:bCs/>
                <w:color w:val="auto"/>
                <w:sz w:val="21"/>
                <w:szCs w:val="21"/>
                <w:lang w:val="en-US" w:eastAsia="zh-CN"/>
              </w:rPr>
              <w:t>供应商对其信用承诺内容的真实性、合法性、有效性负责。经调查核实为虚假承诺的，属于“提供虚假材料谋取中标、成交”的违法行为，依照《中华人民共和国政府采购法》等法律法规追究相应责任。</w:t>
            </w:r>
          </w:p>
          <w:p w14:paraId="4ABBDD29">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firstLine="422" w:firstLineChars="200"/>
              <w:jc w:val="both"/>
              <w:textAlignment w:val="baseline"/>
              <w:rPr>
                <w:rFonts w:hint="eastAsia" w:asciiTheme="minorEastAsia" w:hAnsiTheme="minorEastAsia" w:eastAsiaTheme="minorEastAsia" w:cstheme="minorEastAsia"/>
                <w:color w:val="auto"/>
                <w:spacing w:val="-3"/>
                <w:sz w:val="21"/>
                <w:szCs w:val="21"/>
              </w:rPr>
            </w:pPr>
            <w:r>
              <w:rPr>
                <w:rFonts w:hint="eastAsia" w:asciiTheme="minorEastAsia" w:hAnsiTheme="minorEastAsia" w:eastAsiaTheme="minorEastAsia" w:cstheme="minorEastAsia"/>
                <w:b/>
                <w:bCs/>
                <w:color w:val="auto"/>
                <w:sz w:val="21"/>
                <w:szCs w:val="21"/>
                <w:lang w:val="en-US" w:eastAsia="zh-CN"/>
              </w:rPr>
              <w:t>4.分公司参加投标的，应当取得总公司授权；</w:t>
            </w:r>
          </w:p>
        </w:tc>
      </w:tr>
      <w:tr w14:paraId="61AC7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Merge w:val="continue"/>
            <w:vAlign w:val="center"/>
          </w:tcPr>
          <w:p w14:paraId="4232747F">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center"/>
              <w:textAlignment w:val="baseline"/>
              <w:rPr>
                <w:rFonts w:hint="eastAsia" w:asciiTheme="minorEastAsia" w:hAnsiTheme="minorEastAsia" w:eastAsiaTheme="minorEastAsia" w:cstheme="minorEastAsia"/>
                <w:color w:val="auto"/>
                <w:sz w:val="21"/>
                <w:szCs w:val="21"/>
                <w:vertAlign w:val="baseline"/>
              </w:rPr>
            </w:pPr>
          </w:p>
        </w:tc>
        <w:tc>
          <w:tcPr>
            <w:tcW w:w="8554" w:type="dxa"/>
            <w:vAlign w:val="top"/>
          </w:tcPr>
          <w:p w14:paraId="4A298B84">
            <w:pPr>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商务文件：</w:t>
            </w:r>
          </w:p>
          <w:p w14:paraId="5E8CB0B2">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20" w:lineRule="exact"/>
              <w:ind w:left="0" w:leftChars="0" w:firstLine="420" w:firstLineChars="20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无串通投标行为的承诺函（格式后附）；</w:t>
            </w:r>
            <w:r>
              <w:rPr>
                <w:rFonts w:hint="eastAsia" w:asciiTheme="minorEastAsia" w:hAnsiTheme="minorEastAsia" w:eastAsiaTheme="minorEastAsia" w:cstheme="minorEastAsia"/>
                <w:b/>
                <w:bCs/>
                <w:color w:val="auto"/>
                <w:sz w:val="21"/>
                <w:szCs w:val="21"/>
              </w:rPr>
              <w:t>（必须提供，否则按无效投标处理）</w:t>
            </w:r>
          </w:p>
          <w:p w14:paraId="62E0AA91">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20" w:lineRule="exact"/>
              <w:ind w:left="0" w:leftChars="0" w:firstLine="420" w:firstLineChars="200"/>
              <w:textAlignment w:val="baseline"/>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color w:val="auto"/>
                <w:sz w:val="21"/>
                <w:szCs w:val="21"/>
              </w:rPr>
              <w:t>投标保证金提交凭证；</w:t>
            </w:r>
            <w:r>
              <w:rPr>
                <w:rFonts w:hint="eastAsia" w:asciiTheme="minorEastAsia" w:hAnsiTheme="minorEastAsia" w:eastAsiaTheme="minorEastAsia" w:cstheme="minorEastAsia"/>
                <w:b/>
                <w:bCs/>
                <w:color w:val="auto"/>
                <w:sz w:val="21"/>
                <w:szCs w:val="21"/>
              </w:rPr>
              <w:t>（如要求提交投标保证金的则必须提供，否则按无效投标 处理）</w:t>
            </w:r>
          </w:p>
          <w:p w14:paraId="3265EB89">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20" w:lineRule="exact"/>
              <w:ind w:left="0" w:leftChars="0" w:firstLine="420" w:firstLineChars="200"/>
              <w:textAlignment w:val="baseline"/>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color w:val="auto"/>
                <w:sz w:val="21"/>
                <w:szCs w:val="21"/>
              </w:rPr>
              <w:t>法定代表人</w:t>
            </w:r>
            <w:r>
              <w:rPr>
                <w:rFonts w:hint="eastAsia" w:asciiTheme="minorEastAsia" w:hAnsiTheme="minorEastAsia" w:eastAsiaTheme="minorEastAsia" w:cstheme="minorEastAsia"/>
                <w:color w:val="auto"/>
                <w:sz w:val="21"/>
                <w:szCs w:val="21"/>
                <w:lang w:eastAsia="zh-CN"/>
              </w:rPr>
              <w:t>（负责人）</w:t>
            </w:r>
            <w:r>
              <w:rPr>
                <w:rFonts w:hint="eastAsia" w:asciiTheme="minorEastAsia" w:hAnsiTheme="minorEastAsia" w:eastAsiaTheme="minorEastAsia" w:cstheme="minorEastAsia"/>
                <w:color w:val="auto"/>
                <w:sz w:val="21"/>
                <w:szCs w:val="21"/>
              </w:rPr>
              <w:t>身份证明及法定代表人</w:t>
            </w:r>
            <w:r>
              <w:rPr>
                <w:rFonts w:hint="eastAsia" w:asciiTheme="minorEastAsia" w:hAnsiTheme="minorEastAsia" w:eastAsiaTheme="minorEastAsia" w:cstheme="minorEastAsia"/>
                <w:color w:val="auto"/>
                <w:sz w:val="21"/>
                <w:szCs w:val="21"/>
                <w:lang w:eastAsia="zh-CN"/>
              </w:rPr>
              <w:t>（负责人）</w:t>
            </w:r>
            <w:r>
              <w:rPr>
                <w:rFonts w:hint="eastAsia" w:asciiTheme="minorEastAsia" w:hAnsiTheme="minorEastAsia" w:eastAsiaTheme="minorEastAsia" w:cstheme="minorEastAsia"/>
                <w:color w:val="auto"/>
                <w:sz w:val="21"/>
                <w:szCs w:val="21"/>
              </w:rPr>
              <w:t>有效身份证正反面复印件（格式后附）；</w:t>
            </w:r>
            <w:r>
              <w:rPr>
                <w:rFonts w:hint="eastAsia" w:asciiTheme="minorEastAsia" w:hAnsiTheme="minorEastAsia" w:eastAsiaTheme="minorEastAsia" w:cstheme="minorEastAsia"/>
                <w:b/>
                <w:bCs/>
                <w:color w:val="auto"/>
                <w:sz w:val="21"/>
                <w:szCs w:val="21"/>
              </w:rPr>
              <w:t>（除自然人投标外必须提供，否则按无效投标处理）</w:t>
            </w:r>
          </w:p>
          <w:p w14:paraId="7EF6F0E4">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20" w:lineRule="exact"/>
              <w:ind w:left="0" w:leftChars="0" w:firstLine="420" w:firstLineChars="200"/>
              <w:textAlignment w:val="baseline"/>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color w:val="auto"/>
                <w:sz w:val="21"/>
                <w:szCs w:val="21"/>
              </w:rPr>
              <w:t>授权委托书及委托代理人有效身份证正反面复印件（格式后附）；</w:t>
            </w:r>
            <w:r>
              <w:rPr>
                <w:rFonts w:hint="eastAsia" w:asciiTheme="minorEastAsia" w:hAnsiTheme="minorEastAsia" w:eastAsiaTheme="minorEastAsia" w:cstheme="minorEastAsia"/>
                <w:b/>
                <w:bCs/>
                <w:color w:val="auto"/>
                <w:sz w:val="21"/>
                <w:szCs w:val="21"/>
              </w:rPr>
              <w:t>（委托时必须 提供，否则按无效投标处理）</w:t>
            </w:r>
          </w:p>
          <w:p w14:paraId="62785907">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20" w:lineRule="exact"/>
              <w:ind w:left="0" w:leftChars="0" w:firstLine="420" w:firstLineChars="20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商务要求偏离表（格式后附）；</w:t>
            </w:r>
            <w:r>
              <w:rPr>
                <w:rFonts w:hint="eastAsia" w:asciiTheme="minorEastAsia" w:hAnsiTheme="minorEastAsia" w:eastAsiaTheme="minorEastAsia" w:cstheme="minorEastAsia"/>
                <w:b/>
                <w:bCs/>
                <w:color w:val="auto"/>
                <w:sz w:val="21"/>
                <w:szCs w:val="21"/>
              </w:rPr>
              <w:t>（必须提供，否则按无效投标处理）</w:t>
            </w:r>
            <w:r>
              <w:rPr>
                <w:rFonts w:hint="eastAsia" w:asciiTheme="minorEastAsia" w:hAnsiTheme="minorEastAsia" w:eastAsiaTheme="minorEastAsia" w:cstheme="minorEastAsia"/>
                <w:color w:val="auto"/>
                <w:sz w:val="21"/>
                <w:szCs w:val="21"/>
              </w:rPr>
              <w:t xml:space="preserve"> </w:t>
            </w:r>
          </w:p>
          <w:p w14:paraId="717CA055">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20" w:lineRule="exact"/>
              <w:ind w:left="0" w:leftChars="0" w:firstLine="420" w:firstLineChars="20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投标人情况介绍（格式自拟）；</w:t>
            </w:r>
          </w:p>
          <w:p w14:paraId="7828B4C2">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20" w:lineRule="exact"/>
              <w:ind w:left="0" w:leftChars="0" w:firstLine="420" w:firstLineChars="20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除招标文件规定必须提供以外，投标人认为需要提供的其他证明材料（格式自拟）。（投标人根据“第二章采购需求”及“第四章评标方法及评标标准”提供有关证明材料）。</w:t>
            </w:r>
          </w:p>
          <w:p w14:paraId="708F5DBE">
            <w:pPr>
              <w:keepNext w:val="0"/>
              <w:keepLines w:val="0"/>
              <w:pageBreakBefore w:val="0"/>
              <w:widowControl/>
              <w:kinsoku w:val="0"/>
              <w:wordWrap/>
              <w:overflowPunct/>
              <w:topLinePunct w:val="0"/>
              <w:autoSpaceDE w:val="0"/>
              <w:autoSpaceDN w:val="0"/>
              <w:bidi w:val="0"/>
              <w:adjustRightInd w:val="0"/>
              <w:snapToGrid w:val="0"/>
              <w:spacing w:line="520" w:lineRule="exact"/>
              <w:ind w:firstLine="422" w:firstLineChars="200"/>
              <w:textAlignment w:val="baseline"/>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rPr>
              <w:t>注：</w:t>
            </w:r>
            <w:r>
              <w:rPr>
                <w:rFonts w:hint="eastAsia" w:asciiTheme="minorEastAsia" w:hAnsiTheme="minorEastAsia" w:eastAsiaTheme="minorEastAsia" w:cstheme="minorEastAsia"/>
                <w:b/>
                <w:bCs/>
                <w:color w:val="auto"/>
                <w:sz w:val="21"/>
                <w:szCs w:val="21"/>
                <w:highlight w:val="none"/>
                <w:lang w:val="en-US" w:eastAsia="zh-CN"/>
              </w:rPr>
              <w:t>1.法定代表人（负责人）必须在授权委托书上签字或者盖章或者电子签名，委托代理人必须在授权委托书上签字或者电子签名，否则按无效投标处理；</w:t>
            </w:r>
          </w:p>
          <w:p w14:paraId="6F312504">
            <w:pPr>
              <w:keepNext w:val="0"/>
              <w:keepLines w:val="0"/>
              <w:pageBreakBefore w:val="0"/>
              <w:widowControl/>
              <w:kinsoku w:val="0"/>
              <w:wordWrap/>
              <w:overflowPunct/>
              <w:topLinePunct w:val="0"/>
              <w:autoSpaceDE w:val="0"/>
              <w:autoSpaceDN w:val="0"/>
              <w:bidi w:val="0"/>
              <w:adjustRightInd w:val="0"/>
              <w:snapToGrid w:val="0"/>
              <w:spacing w:line="520" w:lineRule="exact"/>
              <w:ind w:firstLine="422" w:firstLineChars="200"/>
              <w:textAlignment w:val="baseline"/>
              <w:rPr>
                <w:rFonts w:hint="eastAsia" w:asciiTheme="minorEastAsia" w:hAnsiTheme="minorEastAsia" w:eastAsiaTheme="minorEastAsia" w:cstheme="minorEastAsia"/>
                <w:color w:val="auto"/>
                <w:spacing w:val="-3"/>
                <w:sz w:val="21"/>
                <w:szCs w:val="21"/>
              </w:rPr>
            </w:pPr>
            <w:r>
              <w:rPr>
                <w:rFonts w:hint="eastAsia" w:asciiTheme="minorEastAsia" w:hAnsiTheme="minorEastAsia" w:eastAsiaTheme="minorEastAsia" w:cstheme="minorEastAsia"/>
                <w:b/>
                <w:bCs/>
                <w:color w:val="auto"/>
                <w:sz w:val="21"/>
                <w:szCs w:val="21"/>
                <w:lang w:val="en-US" w:eastAsia="zh-CN"/>
              </w:rPr>
              <w:t>2.</w:t>
            </w:r>
            <w:r>
              <w:rPr>
                <w:rFonts w:hint="eastAsia" w:asciiTheme="minorEastAsia" w:hAnsiTheme="minorEastAsia" w:eastAsiaTheme="minorEastAsia" w:cstheme="minorEastAsia"/>
                <w:b/>
                <w:bCs/>
                <w:color w:val="auto"/>
                <w:sz w:val="21"/>
                <w:szCs w:val="21"/>
              </w:rPr>
              <w:t>以上标明“必须提供”的材料属于复印件的，必须加</w:t>
            </w:r>
            <w:r>
              <w:rPr>
                <w:rFonts w:hint="eastAsia" w:asciiTheme="minorEastAsia" w:hAnsiTheme="minorEastAsia" w:eastAsiaTheme="minorEastAsia" w:cstheme="minorEastAsia"/>
                <w:b/>
                <w:bCs/>
                <w:color w:val="auto"/>
                <w:spacing w:val="-3"/>
                <w:sz w:val="21"/>
                <w:szCs w:val="21"/>
              </w:rPr>
              <w:t>盖投标人电子签章</w:t>
            </w:r>
            <w:r>
              <w:rPr>
                <w:rFonts w:hint="eastAsia" w:asciiTheme="minorEastAsia" w:hAnsiTheme="minorEastAsia" w:eastAsiaTheme="minorEastAsia" w:cstheme="minorEastAsia"/>
                <w:b/>
                <w:bCs/>
                <w:color w:val="auto"/>
                <w:sz w:val="21"/>
                <w:szCs w:val="21"/>
              </w:rPr>
              <w:t>，否则按无效投标处理。</w:t>
            </w:r>
          </w:p>
        </w:tc>
      </w:tr>
      <w:tr w14:paraId="5DB0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Merge w:val="continue"/>
            <w:vAlign w:val="center"/>
          </w:tcPr>
          <w:p w14:paraId="7F5C56DA">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center"/>
              <w:textAlignment w:val="baseline"/>
              <w:rPr>
                <w:rFonts w:hint="eastAsia" w:asciiTheme="minorEastAsia" w:hAnsiTheme="minorEastAsia" w:eastAsiaTheme="minorEastAsia" w:cstheme="minorEastAsia"/>
                <w:color w:val="auto"/>
                <w:sz w:val="21"/>
                <w:szCs w:val="21"/>
                <w:vertAlign w:val="baseline"/>
              </w:rPr>
            </w:pPr>
          </w:p>
        </w:tc>
        <w:tc>
          <w:tcPr>
            <w:tcW w:w="8554" w:type="dxa"/>
            <w:vAlign w:val="top"/>
          </w:tcPr>
          <w:p w14:paraId="79845085">
            <w:pPr>
              <w:pStyle w:val="25"/>
              <w:keepLines w:val="0"/>
              <w:pageBreakBefore w:val="0"/>
              <w:widowControl/>
              <w:kinsoku w:val="0"/>
              <w:wordWrap/>
              <w:overflowPunct/>
              <w:topLinePunct w:val="0"/>
              <w:bidi w:val="0"/>
              <w:adjustRightInd w:val="0"/>
              <w:snapToGrid w:val="0"/>
              <w:spacing w:line="520" w:lineRule="exact"/>
              <w:ind w:left="0" w:right="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11"/>
                <w:sz w:val="21"/>
                <w:szCs w:val="21"/>
              </w:rPr>
              <w:t>技术文件：</w:t>
            </w:r>
          </w:p>
          <w:p w14:paraId="02C38ABE">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16" w:firstLineChars="20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1.技术要求偏离表（格式后附</w:t>
            </w:r>
            <w:r>
              <w:rPr>
                <w:rFonts w:hint="eastAsia" w:asciiTheme="minorEastAsia" w:hAnsiTheme="minorEastAsia" w:eastAsiaTheme="minorEastAsia" w:cstheme="minorEastAsia"/>
                <w:color w:val="auto"/>
                <w:spacing w:val="-8"/>
                <w:sz w:val="21"/>
                <w:szCs w:val="21"/>
              </w:rPr>
              <w:t>）；（</w:t>
            </w:r>
            <w:r>
              <w:rPr>
                <w:rFonts w:hint="eastAsia" w:asciiTheme="minorEastAsia" w:hAnsiTheme="minorEastAsia" w:eastAsiaTheme="minorEastAsia" w:cstheme="minorEastAsia"/>
                <w:b/>
                <w:bCs/>
                <w:color w:val="auto"/>
                <w:spacing w:val="-1"/>
                <w:sz w:val="21"/>
                <w:szCs w:val="21"/>
              </w:rPr>
              <w:t>必须提供，否则按无效投标处理</w:t>
            </w:r>
            <w:r>
              <w:rPr>
                <w:rFonts w:hint="eastAsia" w:asciiTheme="minorEastAsia" w:hAnsiTheme="minorEastAsia" w:eastAsiaTheme="minorEastAsia" w:cstheme="minorEastAsia"/>
                <w:color w:val="auto"/>
                <w:spacing w:val="-1"/>
                <w:sz w:val="21"/>
                <w:szCs w:val="21"/>
              </w:rPr>
              <w:t>）</w:t>
            </w:r>
            <w:r>
              <w:rPr>
                <w:rFonts w:hint="eastAsia" w:asciiTheme="minorEastAsia" w:hAnsiTheme="minorEastAsia" w:eastAsiaTheme="minorEastAsia" w:cstheme="minorEastAsia"/>
                <w:color w:val="auto"/>
                <w:spacing w:val="2"/>
                <w:sz w:val="21"/>
                <w:szCs w:val="21"/>
              </w:rPr>
              <w:t xml:space="preserve"> </w:t>
            </w:r>
          </w:p>
          <w:p w14:paraId="43C55013">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16" w:firstLineChars="20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lang w:val="en-US" w:eastAsia="zh-CN"/>
              </w:rPr>
              <w:t>2</w:t>
            </w:r>
            <w:r>
              <w:rPr>
                <w:rFonts w:hint="eastAsia" w:asciiTheme="minorEastAsia" w:hAnsiTheme="minorEastAsia" w:eastAsiaTheme="minorEastAsia" w:cstheme="minorEastAsia"/>
                <w:color w:val="auto"/>
                <w:spacing w:val="-1"/>
                <w:sz w:val="21"/>
                <w:szCs w:val="21"/>
              </w:rPr>
              <w:t>.项目实施人员一览表（格式后附</w:t>
            </w:r>
            <w:r>
              <w:rPr>
                <w:rFonts w:hint="eastAsia" w:asciiTheme="minorEastAsia" w:hAnsiTheme="minorEastAsia" w:eastAsiaTheme="minorEastAsia" w:cstheme="minorEastAsia"/>
                <w:color w:val="auto"/>
                <w:spacing w:val="3"/>
                <w:sz w:val="21"/>
                <w:szCs w:val="21"/>
              </w:rPr>
              <w:t>）；</w:t>
            </w:r>
          </w:p>
          <w:p w14:paraId="711BEA1F">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04" w:firstLineChars="200"/>
              <w:jc w:val="left"/>
              <w:textAlignment w:val="baseline"/>
              <w:rPr>
                <w:rFonts w:hint="eastAsia" w:asciiTheme="minorEastAsia" w:hAnsiTheme="minorEastAsia" w:eastAsiaTheme="minorEastAsia" w:cstheme="minorEastAsia"/>
                <w:color w:val="auto"/>
                <w:spacing w:val="-4"/>
                <w:sz w:val="21"/>
                <w:szCs w:val="21"/>
                <w:highlight w:val="none"/>
                <w:lang w:eastAsia="zh-CN"/>
              </w:rPr>
            </w:pPr>
            <w:r>
              <w:rPr>
                <w:rFonts w:hint="eastAsia" w:asciiTheme="minorEastAsia" w:hAnsiTheme="minorEastAsia" w:eastAsiaTheme="minorEastAsia" w:cstheme="minorEastAsia"/>
                <w:color w:val="auto"/>
                <w:spacing w:val="-4"/>
                <w:sz w:val="21"/>
                <w:szCs w:val="21"/>
                <w:highlight w:val="none"/>
                <w:lang w:val="en-US" w:eastAsia="zh-CN"/>
              </w:rPr>
              <w:t>3</w:t>
            </w:r>
            <w:r>
              <w:rPr>
                <w:rFonts w:hint="eastAsia" w:asciiTheme="minorEastAsia" w:hAnsiTheme="minorEastAsia" w:eastAsiaTheme="minorEastAsia" w:cstheme="minorEastAsia"/>
                <w:color w:val="auto"/>
                <w:spacing w:val="-4"/>
                <w:sz w:val="21"/>
                <w:szCs w:val="21"/>
                <w:highlight w:val="none"/>
              </w:rPr>
              <w:t>.实施方案</w:t>
            </w:r>
            <w:r>
              <w:rPr>
                <w:rFonts w:hint="eastAsia" w:asciiTheme="minorEastAsia" w:hAnsiTheme="minorEastAsia" w:eastAsiaTheme="minorEastAsia" w:cstheme="minorEastAsia"/>
                <w:color w:val="auto"/>
                <w:spacing w:val="-5"/>
                <w:sz w:val="21"/>
                <w:szCs w:val="21"/>
                <w:highlight w:val="none"/>
              </w:rPr>
              <w:t>（格式自拟）。</w:t>
            </w:r>
            <w:r>
              <w:rPr>
                <w:rFonts w:hint="eastAsia" w:asciiTheme="minorEastAsia" w:hAnsiTheme="minorEastAsia" w:eastAsiaTheme="minorEastAsia" w:cstheme="minorEastAsia"/>
                <w:color w:val="auto"/>
                <w:spacing w:val="-8"/>
                <w:sz w:val="21"/>
                <w:szCs w:val="21"/>
                <w:highlight w:val="none"/>
              </w:rPr>
              <w:t>（</w:t>
            </w:r>
            <w:r>
              <w:rPr>
                <w:rFonts w:hint="eastAsia" w:asciiTheme="minorEastAsia" w:hAnsiTheme="minorEastAsia" w:eastAsiaTheme="minorEastAsia" w:cstheme="minorEastAsia"/>
                <w:b/>
                <w:bCs/>
                <w:color w:val="auto"/>
                <w:spacing w:val="-1"/>
                <w:sz w:val="21"/>
                <w:szCs w:val="21"/>
                <w:highlight w:val="none"/>
              </w:rPr>
              <w:t>必须提供，否则按无效投标处理</w:t>
            </w:r>
            <w:r>
              <w:rPr>
                <w:rFonts w:hint="eastAsia" w:asciiTheme="minorEastAsia" w:hAnsiTheme="minorEastAsia" w:eastAsiaTheme="minorEastAsia" w:cstheme="minorEastAsia"/>
                <w:color w:val="auto"/>
                <w:spacing w:val="-1"/>
                <w:sz w:val="21"/>
                <w:szCs w:val="21"/>
                <w:highlight w:val="none"/>
              </w:rPr>
              <w:t>）</w:t>
            </w:r>
            <w:r>
              <w:rPr>
                <w:rFonts w:hint="eastAsia" w:asciiTheme="minorEastAsia" w:hAnsiTheme="minorEastAsia" w:eastAsiaTheme="minorEastAsia" w:cstheme="minorEastAsia"/>
                <w:color w:val="auto"/>
                <w:spacing w:val="2"/>
                <w:sz w:val="21"/>
                <w:szCs w:val="21"/>
                <w:highlight w:val="none"/>
              </w:rPr>
              <w:t xml:space="preserve"> </w:t>
            </w:r>
          </w:p>
          <w:p w14:paraId="09F46396">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04" w:firstLineChars="200"/>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4"/>
                <w:sz w:val="21"/>
                <w:szCs w:val="21"/>
                <w:lang w:val="en-US" w:eastAsia="zh-CN"/>
              </w:rPr>
              <w:t>4.</w:t>
            </w:r>
            <w:r>
              <w:rPr>
                <w:rFonts w:hint="eastAsia" w:asciiTheme="minorEastAsia" w:hAnsiTheme="minorEastAsia" w:eastAsiaTheme="minorEastAsia" w:cstheme="minorEastAsia"/>
                <w:color w:val="auto"/>
                <w:spacing w:val="-4"/>
                <w:sz w:val="21"/>
                <w:szCs w:val="21"/>
              </w:rPr>
              <w:t>除招标文件规定必须提供以外，投标人需要说明的其他文件和说</w:t>
            </w:r>
            <w:r>
              <w:rPr>
                <w:rFonts w:hint="eastAsia" w:asciiTheme="minorEastAsia" w:hAnsiTheme="minorEastAsia" w:eastAsiaTheme="minorEastAsia" w:cstheme="minorEastAsia"/>
                <w:color w:val="auto"/>
                <w:spacing w:val="-5"/>
                <w:sz w:val="21"/>
                <w:szCs w:val="21"/>
              </w:rPr>
              <w:t>明（格式自拟）。</w:t>
            </w:r>
          </w:p>
          <w:p w14:paraId="0BB1CD84">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firstLine="406" w:firstLineChars="0"/>
              <w:jc w:val="both"/>
              <w:textAlignment w:val="baseline"/>
              <w:rPr>
                <w:rFonts w:hint="eastAsia" w:asciiTheme="minorEastAsia" w:hAnsiTheme="minorEastAsia" w:eastAsiaTheme="minorEastAsia" w:cstheme="minorEastAsia"/>
                <w:color w:val="auto"/>
                <w:spacing w:val="-3"/>
                <w:sz w:val="21"/>
                <w:szCs w:val="21"/>
              </w:rPr>
            </w:pPr>
            <w:r>
              <w:rPr>
                <w:rFonts w:hint="eastAsia" w:asciiTheme="minorEastAsia" w:hAnsiTheme="minorEastAsia" w:eastAsiaTheme="minorEastAsia" w:cstheme="minorEastAsia"/>
                <w:b/>
                <w:bCs/>
                <w:color w:val="auto"/>
                <w:spacing w:val="-3"/>
                <w:sz w:val="21"/>
                <w:szCs w:val="21"/>
              </w:rPr>
              <w:t>注：以上标明“必须提供”的材料属于复印件的，必须加盖投标人电子签章，否则按无</w:t>
            </w:r>
            <w:r>
              <w:rPr>
                <w:rFonts w:hint="eastAsia" w:asciiTheme="minorEastAsia" w:hAnsiTheme="minorEastAsia" w:eastAsiaTheme="minorEastAsia" w:cstheme="minorEastAsia"/>
                <w:color w:val="auto"/>
                <w:spacing w:val="5"/>
                <w:sz w:val="21"/>
                <w:szCs w:val="21"/>
              </w:rPr>
              <w:t xml:space="preserve"> </w:t>
            </w:r>
            <w:r>
              <w:rPr>
                <w:rFonts w:hint="eastAsia" w:asciiTheme="minorEastAsia" w:hAnsiTheme="minorEastAsia" w:eastAsiaTheme="minorEastAsia" w:cstheme="minorEastAsia"/>
                <w:b/>
                <w:bCs/>
                <w:color w:val="auto"/>
                <w:spacing w:val="-4"/>
                <w:sz w:val="21"/>
                <w:szCs w:val="21"/>
              </w:rPr>
              <w:t>效投标处理。</w:t>
            </w:r>
          </w:p>
        </w:tc>
      </w:tr>
      <w:tr w14:paraId="146E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110EFAFB">
            <w:pPr>
              <w:pStyle w:val="25"/>
              <w:keepLines w:val="0"/>
              <w:pageBreakBefore w:val="0"/>
              <w:widowControl/>
              <w:kinsoku w:val="0"/>
              <w:wordWrap/>
              <w:overflowPunct/>
              <w:topLinePunct w:val="0"/>
              <w:bidi w:val="0"/>
              <w:adjustRightInd w:val="0"/>
              <w:snapToGrid w:val="0"/>
              <w:spacing w:line="520" w:lineRule="exact"/>
              <w:ind w:left="0" w:leftChars="0" w:right="0"/>
              <w:jc w:val="center"/>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pacing w:val="-5"/>
                <w:sz w:val="21"/>
                <w:szCs w:val="21"/>
              </w:rPr>
              <w:t>16.2</w:t>
            </w:r>
          </w:p>
        </w:tc>
        <w:tc>
          <w:tcPr>
            <w:tcW w:w="8554" w:type="dxa"/>
            <w:vAlign w:val="top"/>
          </w:tcPr>
          <w:p w14:paraId="2AB9FC68">
            <w:pPr>
              <w:keepLines w:val="0"/>
              <w:pageBreakBefore w:val="0"/>
              <w:widowControl w:val="0"/>
              <w:wordWrap/>
              <w:overflowPunct/>
              <w:topLinePunct w:val="0"/>
              <w:bidi w:val="0"/>
              <w:snapToGrid w:val="0"/>
              <w:spacing w:line="520" w:lineRule="exact"/>
              <w:rPr>
                <w:rFonts w:hint="eastAsia" w:asciiTheme="minorEastAsia" w:hAnsiTheme="minorEastAsia" w:eastAsiaTheme="minorEastAsia" w:cstheme="minorEastAsia"/>
                <w:color w:val="auto"/>
                <w:spacing w:val="-3"/>
                <w:sz w:val="21"/>
                <w:szCs w:val="21"/>
              </w:rPr>
            </w:pPr>
            <w:r>
              <w:rPr>
                <w:rFonts w:hint="eastAsia" w:asciiTheme="minorEastAsia" w:hAnsiTheme="minorEastAsia" w:eastAsiaTheme="minorEastAsia" w:cstheme="minorEastAsia"/>
                <w:color w:val="auto"/>
                <w:sz w:val="21"/>
                <w:szCs w:val="21"/>
              </w:rPr>
              <w:t>投标报价是履行合同的最终价格，即满足全部采购需求所应提供的服务的价格；包括投标服务的成本、保险、技术服务、培训、税费等所有费用。</w:t>
            </w:r>
            <w:r>
              <w:rPr>
                <w:rFonts w:hint="eastAsia" w:asciiTheme="minorEastAsia" w:hAnsiTheme="minorEastAsia" w:eastAsiaTheme="minorEastAsia" w:cstheme="minorEastAsia"/>
                <w:b/>
                <w:color w:val="auto"/>
                <w:sz w:val="21"/>
                <w:szCs w:val="21"/>
              </w:rPr>
              <w:t>（采购需求另有约定的，从其约定。）</w:t>
            </w:r>
          </w:p>
        </w:tc>
      </w:tr>
      <w:tr w14:paraId="20E5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2E8185DD">
            <w:pPr>
              <w:pStyle w:val="25"/>
              <w:keepLines w:val="0"/>
              <w:pageBreakBefore w:val="0"/>
              <w:widowControl/>
              <w:kinsoku w:val="0"/>
              <w:wordWrap/>
              <w:overflowPunct/>
              <w:topLinePunct w:val="0"/>
              <w:bidi w:val="0"/>
              <w:adjustRightInd w:val="0"/>
              <w:snapToGrid w:val="0"/>
              <w:spacing w:line="520" w:lineRule="exact"/>
              <w:ind w:left="0" w:leftChars="0" w:right="0"/>
              <w:jc w:val="center"/>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pacing w:val="-6"/>
                <w:sz w:val="21"/>
                <w:szCs w:val="21"/>
              </w:rPr>
              <w:t>17.2</w:t>
            </w:r>
          </w:p>
        </w:tc>
        <w:tc>
          <w:tcPr>
            <w:tcW w:w="8554" w:type="dxa"/>
            <w:vAlign w:val="top"/>
          </w:tcPr>
          <w:p w14:paraId="21484110">
            <w:pPr>
              <w:pStyle w:val="25"/>
              <w:keepLines w:val="0"/>
              <w:pageBreakBefore w:val="0"/>
              <w:widowControl/>
              <w:kinsoku w:val="0"/>
              <w:wordWrap/>
              <w:overflowPunct/>
              <w:topLinePunct w:val="0"/>
              <w:bidi w:val="0"/>
              <w:adjustRightInd w:val="0"/>
              <w:snapToGrid w:val="0"/>
              <w:spacing w:line="520" w:lineRule="exact"/>
              <w:ind w:left="0" w:leftChars="0" w:right="0"/>
              <w:textAlignment w:val="baseline"/>
              <w:rPr>
                <w:rFonts w:hint="eastAsia" w:asciiTheme="minorEastAsia" w:hAnsiTheme="minorEastAsia" w:eastAsiaTheme="minorEastAsia" w:cstheme="minorEastAsia"/>
                <w:color w:val="auto"/>
                <w:spacing w:val="-3"/>
                <w:sz w:val="21"/>
                <w:szCs w:val="21"/>
              </w:rPr>
            </w:pPr>
            <w:r>
              <w:rPr>
                <w:rFonts w:hint="eastAsia" w:asciiTheme="minorEastAsia" w:hAnsiTheme="minorEastAsia" w:eastAsiaTheme="minorEastAsia" w:cstheme="minorEastAsia"/>
                <w:color w:val="auto"/>
                <w:spacing w:val="-4"/>
                <w:sz w:val="21"/>
                <w:szCs w:val="21"/>
              </w:rPr>
              <w:t>投标有效</w:t>
            </w:r>
            <w:r>
              <w:rPr>
                <w:rFonts w:hint="eastAsia" w:asciiTheme="minorEastAsia" w:hAnsiTheme="minorEastAsia" w:eastAsiaTheme="minorEastAsia" w:cstheme="minorEastAsia"/>
                <w:color w:val="auto"/>
                <w:spacing w:val="-4"/>
                <w:sz w:val="21"/>
                <w:szCs w:val="21"/>
                <w:highlight w:val="none"/>
              </w:rPr>
              <w:t>期：自投标截止之日起</w:t>
            </w:r>
            <w:r>
              <w:rPr>
                <w:rFonts w:hint="eastAsia" w:asciiTheme="minorEastAsia" w:hAnsiTheme="minorEastAsia" w:eastAsiaTheme="minorEastAsia" w:cstheme="minorEastAsia"/>
                <w:color w:val="auto"/>
                <w:spacing w:val="-44"/>
                <w:sz w:val="21"/>
                <w:szCs w:val="21"/>
                <w:highlight w:val="none"/>
              </w:rPr>
              <w:t xml:space="preserve"> </w:t>
            </w:r>
            <w:r>
              <w:rPr>
                <w:rFonts w:hint="eastAsia" w:asciiTheme="minorEastAsia" w:hAnsiTheme="minorEastAsia" w:eastAsiaTheme="minorEastAsia" w:cstheme="minorEastAsia"/>
                <w:color w:val="auto"/>
                <w:spacing w:val="-81"/>
                <w:sz w:val="21"/>
                <w:szCs w:val="21"/>
                <w:highlight w:val="none"/>
                <w:u w:val="single" w:color="auto"/>
              </w:rPr>
              <w:t xml:space="preserve"> </w:t>
            </w:r>
            <w:r>
              <w:rPr>
                <w:rFonts w:hint="eastAsia" w:asciiTheme="minorEastAsia" w:hAnsiTheme="minorEastAsia" w:eastAsiaTheme="minorEastAsia" w:cstheme="minorEastAsia"/>
                <w:color w:val="auto"/>
                <w:spacing w:val="-4"/>
                <w:sz w:val="21"/>
                <w:szCs w:val="21"/>
                <w:highlight w:val="none"/>
                <w:u w:val="single" w:color="auto"/>
                <w:lang w:val="en-US" w:eastAsia="zh-CN"/>
              </w:rPr>
              <w:t>90</w:t>
            </w:r>
            <w:r>
              <w:rPr>
                <w:rFonts w:hint="eastAsia" w:asciiTheme="minorEastAsia" w:hAnsiTheme="minorEastAsia" w:eastAsiaTheme="minorEastAsia" w:cstheme="minorEastAsia"/>
                <w:color w:val="auto"/>
                <w:spacing w:val="-55"/>
                <w:sz w:val="21"/>
                <w:szCs w:val="21"/>
                <w:highlight w:val="none"/>
                <w:u w:val="single" w:color="auto"/>
              </w:rPr>
              <w:t xml:space="preserve"> </w:t>
            </w:r>
            <w:r>
              <w:rPr>
                <w:rFonts w:hint="eastAsia" w:asciiTheme="minorEastAsia" w:hAnsiTheme="minorEastAsia" w:eastAsiaTheme="minorEastAsia" w:cstheme="minorEastAsia"/>
                <w:color w:val="auto"/>
                <w:spacing w:val="-60"/>
                <w:sz w:val="21"/>
                <w:szCs w:val="21"/>
                <w:highlight w:val="none"/>
              </w:rPr>
              <w:t xml:space="preserve"> </w:t>
            </w:r>
            <w:r>
              <w:rPr>
                <w:rFonts w:hint="eastAsia" w:asciiTheme="minorEastAsia" w:hAnsiTheme="minorEastAsia" w:eastAsiaTheme="minorEastAsia" w:cstheme="minorEastAsia"/>
                <w:color w:val="auto"/>
                <w:spacing w:val="-4"/>
                <w:sz w:val="21"/>
                <w:szCs w:val="21"/>
                <w:highlight w:val="none"/>
              </w:rPr>
              <w:t>日。</w:t>
            </w:r>
          </w:p>
        </w:tc>
      </w:tr>
      <w:tr w14:paraId="54BD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2A71DA38">
            <w:pPr>
              <w:pStyle w:val="25"/>
              <w:keepLines w:val="0"/>
              <w:pageBreakBefore w:val="0"/>
              <w:widowControl/>
              <w:kinsoku w:val="0"/>
              <w:wordWrap/>
              <w:overflowPunct/>
              <w:topLinePunct w:val="0"/>
              <w:bidi w:val="0"/>
              <w:adjustRightInd w:val="0"/>
              <w:snapToGrid w:val="0"/>
              <w:spacing w:line="520" w:lineRule="exact"/>
              <w:ind w:left="0" w:leftChars="0" w:right="0"/>
              <w:jc w:val="center"/>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pacing w:val="-6"/>
                <w:sz w:val="21"/>
                <w:szCs w:val="21"/>
              </w:rPr>
              <w:t>18.1</w:t>
            </w:r>
          </w:p>
        </w:tc>
        <w:tc>
          <w:tcPr>
            <w:tcW w:w="8554" w:type="dxa"/>
            <w:vAlign w:val="top"/>
          </w:tcPr>
          <w:p w14:paraId="53C013CE">
            <w:pPr>
              <w:keepNext w:val="0"/>
              <w:keepLines w:val="0"/>
              <w:pageBreakBefore w:val="0"/>
              <w:widowControl/>
              <w:kinsoku w:val="0"/>
              <w:wordWrap/>
              <w:overflowPunct/>
              <w:topLinePunct w:val="0"/>
              <w:autoSpaceDE w:val="0"/>
              <w:autoSpaceDN w:val="0"/>
              <w:bidi w:val="0"/>
              <w:adjustRightInd w:val="0"/>
              <w:snapToGrid w:val="0"/>
              <w:spacing w:line="520" w:lineRule="exact"/>
              <w:contextualSpacing/>
              <w:textAlignment w:val="bottom"/>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本项目不收取</w:t>
            </w:r>
            <w:r>
              <w:rPr>
                <w:rFonts w:hint="eastAsia" w:asciiTheme="minorEastAsia" w:hAnsiTheme="minorEastAsia" w:eastAsiaTheme="minorEastAsia" w:cstheme="minorEastAsia"/>
                <w:color w:val="auto"/>
                <w:sz w:val="21"/>
                <w:szCs w:val="21"/>
                <w:highlight w:val="none"/>
                <w:lang w:eastAsia="zh-CN"/>
              </w:rPr>
              <w:t>投</w:t>
            </w:r>
            <w:r>
              <w:rPr>
                <w:rFonts w:hint="eastAsia" w:asciiTheme="minorEastAsia" w:hAnsiTheme="minorEastAsia" w:eastAsiaTheme="minorEastAsia" w:cstheme="minorEastAsia"/>
                <w:color w:val="auto"/>
                <w:sz w:val="21"/>
                <w:szCs w:val="21"/>
                <w:highlight w:val="none"/>
              </w:rPr>
              <w:t>标保证金。</w:t>
            </w:r>
          </w:p>
          <w:p w14:paraId="644DC2FE">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pacing w:val="-2"/>
                <w:sz w:val="21"/>
                <w:szCs w:val="21"/>
              </w:rPr>
              <w:t>本项目收取投标保证金，具体规定如下：</w:t>
            </w:r>
          </w:p>
          <w:p w14:paraId="473A9412">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2"/>
                <w:sz w:val="21"/>
                <w:szCs w:val="21"/>
              </w:rPr>
              <w:t>投标保证金金额（人民币）：详见招标公告。</w:t>
            </w:r>
          </w:p>
          <w:p w14:paraId="7DDB425C">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2"/>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5"/>
                <w:sz w:val="21"/>
                <w:szCs w:val="21"/>
              </w:rPr>
              <w:t>投标保证金的交纳方式：银行转账、支票、汇票、本票或者银行、保险机构出具的保函，</w:t>
            </w:r>
            <w:r>
              <w:rPr>
                <w:rFonts w:hint="eastAsia" w:asciiTheme="minorEastAsia" w:hAnsiTheme="minorEastAsia" w:eastAsiaTheme="minorEastAsia" w:cstheme="minorEastAsia"/>
                <w:color w:val="auto"/>
                <w:spacing w:val="-6"/>
                <w:sz w:val="21"/>
                <w:szCs w:val="21"/>
              </w:rPr>
              <w:t>禁止采用现钞方式。采用银行转账方式的，在投标截止时间前交至指定账户并</w:t>
            </w:r>
            <w:r>
              <w:rPr>
                <w:rFonts w:hint="eastAsia" w:asciiTheme="minorEastAsia" w:hAnsiTheme="minorEastAsia" w:eastAsiaTheme="minorEastAsia" w:cstheme="minorEastAsia"/>
                <w:color w:val="auto"/>
                <w:spacing w:val="-7"/>
                <w:sz w:val="21"/>
                <w:szCs w:val="21"/>
              </w:rPr>
              <w:t>且到账（</w:t>
            </w:r>
            <w:r>
              <w:rPr>
                <w:rFonts w:hint="eastAsia" w:asciiTheme="minorEastAsia" w:hAnsiTheme="minorEastAsia" w:eastAsiaTheme="minorEastAsia" w:cstheme="minorEastAsia"/>
                <w:b/>
                <w:bCs/>
                <w:color w:val="auto"/>
                <w:spacing w:val="-7"/>
                <w:sz w:val="21"/>
                <w:szCs w:val="21"/>
              </w:rPr>
              <w:t>账</w:t>
            </w:r>
            <w:r>
              <w:rPr>
                <w:rFonts w:hint="eastAsia" w:asciiTheme="minorEastAsia" w:hAnsiTheme="minorEastAsia" w:eastAsiaTheme="minorEastAsia" w:cstheme="minorEastAsia"/>
                <w:b/>
                <w:bCs/>
                <w:color w:val="auto"/>
                <w:spacing w:val="-1"/>
                <w:sz w:val="21"/>
                <w:szCs w:val="21"/>
              </w:rPr>
              <w:t>户信息详见招标公告第六条</w:t>
            </w:r>
            <w:r>
              <w:rPr>
                <w:rFonts w:hint="eastAsia" w:asciiTheme="minorEastAsia" w:hAnsiTheme="minorEastAsia" w:eastAsiaTheme="minorEastAsia" w:cstheme="minorEastAsia"/>
                <w:color w:val="auto"/>
                <w:spacing w:val="-3"/>
                <w:sz w:val="21"/>
                <w:szCs w:val="21"/>
              </w:rPr>
              <w:t>）；</w:t>
            </w:r>
            <w:r>
              <w:rPr>
                <w:rFonts w:hint="eastAsia" w:asciiTheme="minorEastAsia" w:hAnsiTheme="minorEastAsia" w:eastAsiaTheme="minorEastAsia" w:cstheme="minorEastAsia"/>
                <w:color w:val="auto"/>
                <w:spacing w:val="-1"/>
                <w:sz w:val="21"/>
                <w:szCs w:val="21"/>
              </w:rPr>
              <w:t>采用支票、汇票、本票或者保</w:t>
            </w:r>
            <w:r>
              <w:rPr>
                <w:rFonts w:hint="eastAsia" w:asciiTheme="minorEastAsia" w:hAnsiTheme="minorEastAsia" w:eastAsiaTheme="minorEastAsia" w:cstheme="minorEastAsia"/>
                <w:color w:val="auto"/>
                <w:spacing w:val="-2"/>
                <w:sz w:val="21"/>
                <w:szCs w:val="21"/>
              </w:rPr>
              <w:t>函等方式的，在投标截止</w:t>
            </w:r>
            <w:r>
              <w:rPr>
                <w:rFonts w:hint="eastAsia" w:asciiTheme="minorEastAsia" w:hAnsiTheme="minorEastAsia" w:eastAsiaTheme="minorEastAsia" w:cstheme="minorEastAsia"/>
                <w:color w:val="auto"/>
                <w:spacing w:val="-1"/>
                <w:sz w:val="21"/>
                <w:szCs w:val="21"/>
              </w:rPr>
              <w:t>时间前，投标人必须递交单独密封的支票、汇票、本票或者保函原件。否则视为无效投</w:t>
            </w:r>
            <w:r>
              <w:rPr>
                <w:rFonts w:hint="eastAsia" w:asciiTheme="minorEastAsia" w:hAnsiTheme="minorEastAsia" w:eastAsiaTheme="minorEastAsia" w:cstheme="minorEastAsia"/>
                <w:color w:val="auto"/>
                <w:spacing w:val="-8"/>
                <w:sz w:val="21"/>
                <w:szCs w:val="21"/>
              </w:rPr>
              <w:t>标保证金。</w:t>
            </w:r>
            <w:r>
              <w:rPr>
                <w:rFonts w:hint="eastAsia" w:asciiTheme="minorEastAsia" w:hAnsiTheme="minorEastAsia" w:eastAsiaTheme="minorEastAsia" w:cstheme="minorEastAsia"/>
                <w:color w:val="auto"/>
                <w:spacing w:val="-11"/>
                <w:sz w:val="21"/>
                <w:szCs w:val="21"/>
              </w:rPr>
              <w:t>相关要求：</w:t>
            </w:r>
          </w:p>
          <w:p w14:paraId="58AAE2E1">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14"/>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1.投标保证金采用银行转账交纳方式的，在投标截止时间前交至指定账户并且到账</w:t>
            </w:r>
            <w:r>
              <w:rPr>
                <w:rFonts w:hint="eastAsia" w:asciiTheme="minorEastAsia" w:hAnsiTheme="minorEastAsia" w:eastAsiaTheme="minorEastAsia" w:cstheme="minorEastAsia"/>
                <w:color w:val="auto"/>
                <w:spacing w:val="-2"/>
                <w:sz w:val="21"/>
                <w:szCs w:val="21"/>
              </w:rPr>
              <w:t>，投</w:t>
            </w:r>
            <w:r>
              <w:rPr>
                <w:rFonts w:hint="eastAsia" w:asciiTheme="minorEastAsia" w:hAnsiTheme="minorEastAsia" w:eastAsiaTheme="minorEastAsia" w:cstheme="minorEastAsia"/>
                <w:color w:val="auto"/>
                <w:spacing w:val="-1"/>
                <w:sz w:val="21"/>
                <w:szCs w:val="21"/>
              </w:rPr>
              <w:t>标人应将银行转账底单的复印件作为投标保证金提交凭证，放置于商务文件中，</w:t>
            </w:r>
            <w:r>
              <w:rPr>
                <w:rFonts w:hint="eastAsia" w:asciiTheme="minorEastAsia" w:hAnsiTheme="minorEastAsia" w:eastAsiaTheme="minorEastAsia" w:cstheme="minorEastAsia"/>
                <w:b/>
                <w:bCs/>
                <w:color w:val="auto"/>
                <w:spacing w:val="-1"/>
                <w:sz w:val="21"/>
                <w:szCs w:val="21"/>
              </w:rPr>
              <w:t>否则投</w:t>
            </w:r>
            <w:r>
              <w:rPr>
                <w:rFonts w:hint="eastAsia" w:asciiTheme="minorEastAsia" w:hAnsiTheme="minorEastAsia" w:eastAsiaTheme="minorEastAsia" w:cstheme="minorEastAsia"/>
                <w:b/>
                <w:bCs/>
                <w:color w:val="auto"/>
                <w:spacing w:val="-4"/>
                <w:sz w:val="21"/>
                <w:szCs w:val="21"/>
              </w:rPr>
              <w:t>标无效</w:t>
            </w:r>
            <w:r>
              <w:rPr>
                <w:rFonts w:hint="eastAsia" w:asciiTheme="minorEastAsia" w:hAnsiTheme="minorEastAsia" w:eastAsiaTheme="minorEastAsia" w:cstheme="minorEastAsia"/>
                <w:color w:val="auto"/>
                <w:spacing w:val="-4"/>
                <w:sz w:val="21"/>
                <w:szCs w:val="21"/>
              </w:rPr>
              <w:t>。</w:t>
            </w:r>
          </w:p>
          <w:p w14:paraId="46862DAA">
            <w:pPr>
              <w:pStyle w:val="25"/>
              <w:keepNext w:val="0"/>
              <w:keepLines w:val="0"/>
              <w:pageBreakBefore w:val="0"/>
              <w:widowControl/>
              <w:tabs>
                <w:tab w:val="left" w:pos="221"/>
              </w:tabs>
              <w:kinsoku w:val="0"/>
              <w:wordWrap/>
              <w:overflowPunct/>
              <w:topLinePunct w:val="0"/>
              <w:autoSpaceDE w:val="0"/>
              <w:autoSpaceDN w:val="0"/>
              <w:bidi w:val="0"/>
              <w:adjustRightInd w:val="0"/>
              <w:snapToGrid w:val="0"/>
              <w:spacing w:line="520" w:lineRule="exact"/>
              <w:ind w:left="0" w:right="0" w:hanging="7"/>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2.投标保证金采用支票、汇票、本票或者银行、保险机构出具的保函交纳方式的，投标人应将支票、汇票、本票或者银行、保险机构出具的保函的复印件作为投标保证金提交</w:t>
            </w:r>
            <w:r>
              <w:rPr>
                <w:rFonts w:hint="eastAsia" w:asciiTheme="minorEastAsia" w:hAnsiTheme="minorEastAsia" w:eastAsiaTheme="minorEastAsia" w:cstheme="minorEastAsia"/>
                <w:color w:val="auto"/>
                <w:spacing w:val="6"/>
                <w:sz w:val="21"/>
                <w:szCs w:val="21"/>
              </w:rPr>
              <w:t xml:space="preserve">  </w:t>
            </w:r>
            <w:r>
              <w:rPr>
                <w:rFonts w:hint="eastAsia" w:asciiTheme="minorEastAsia" w:hAnsiTheme="minorEastAsia" w:eastAsiaTheme="minorEastAsia" w:cstheme="minorEastAsia"/>
                <w:color w:val="auto"/>
                <w:spacing w:val="-1"/>
                <w:sz w:val="21"/>
                <w:szCs w:val="21"/>
              </w:rPr>
              <w:t>凭证，放置于商务文件中，</w:t>
            </w:r>
            <w:r>
              <w:rPr>
                <w:rFonts w:hint="eastAsia" w:asciiTheme="minorEastAsia" w:hAnsiTheme="minorEastAsia" w:eastAsiaTheme="minorEastAsia" w:cstheme="minorEastAsia"/>
                <w:b/>
                <w:bCs/>
                <w:color w:val="auto"/>
                <w:spacing w:val="-1"/>
                <w:sz w:val="21"/>
                <w:szCs w:val="21"/>
              </w:rPr>
              <w:t>否则投标无效</w:t>
            </w:r>
            <w:r>
              <w:rPr>
                <w:rFonts w:hint="eastAsia" w:asciiTheme="minorEastAsia" w:hAnsiTheme="minorEastAsia" w:eastAsiaTheme="minorEastAsia" w:cstheme="minorEastAsia"/>
                <w:color w:val="auto"/>
                <w:spacing w:val="-1"/>
                <w:sz w:val="21"/>
                <w:szCs w:val="21"/>
              </w:rPr>
              <w:t>。投标人必须在投标截止时间前采用现场</w:t>
            </w:r>
            <w:r>
              <w:rPr>
                <w:rFonts w:hint="eastAsia" w:asciiTheme="minorEastAsia" w:hAnsiTheme="minorEastAsia" w:eastAsiaTheme="minorEastAsia" w:cstheme="minorEastAsia"/>
                <w:color w:val="auto"/>
                <w:spacing w:val="-2"/>
                <w:sz w:val="21"/>
                <w:szCs w:val="21"/>
              </w:rPr>
              <w:t>或邮</w:t>
            </w:r>
            <w:r>
              <w:rPr>
                <w:rFonts w:hint="eastAsia" w:asciiTheme="minorEastAsia" w:hAnsiTheme="minorEastAsia" w:eastAsiaTheme="minorEastAsia" w:cstheme="minorEastAsia"/>
                <w:color w:val="auto"/>
                <w:spacing w:val="-4"/>
                <w:sz w:val="21"/>
                <w:szCs w:val="21"/>
              </w:rPr>
              <w:t>寄方式（现场提交地址：</w:t>
            </w:r>
            <w:r>
              <w:rPr>
                <w:rFonts w:hint="eastAsia" w:asciiTheme="minorEastAsia" w:hAnsiTheme="minorEastAsia" w:eastAsiaTheme="minorEastAsia" w:cstheme="minorEastAsia"/>
                <w:color w:val="auto"/>
                <w:spacing w:val="-4"/>
                <w:sz w:val="21"/>
                <w:szCs w:val="21"/>
                <w:u w:val="single" w:color="auto"/>
                <w:lang w:val="en-US" w:eastAsia="zh-CN"/>
              </w:rPr>
              <w:t xml:space="preserve">    /     </w:t>
            </w:r>
            <w:r>
              <w:rPr>
                <w:rFonts w:hint="eastAsia" w:asciiTheme="minorEastAsia" w:hAnsiTheme="minorEastAsia" w:eastAsiaTheme="minorEastAsia" w:cstheme="minorEastAsia"/>
                <w:color w:val="auto"/>
                <w:spacing w:val="11"/>
                <w:sz w:val="21"/>
                <w:szCs w:val="21"/>
              </w:rPr>
              <w:t>；</w:t>
            </w:r>
            <w:r>
              <w:rPr>
                <w:rFonts w:hint="eastAsia" w:asciiTheme="minorEastAsia" w:hAnsiTheme="minorEastAsia" w:eastAsiaTheme="minorEastAsia" w:cstheme="minorEastAsia"/>
                <w:color w:val="auto"/>
                <w:spacing w:val="-4"/>
                <w:sz w:val="21"/>
                <w:szCs w:val="21"/>
              </w:rPr>
              <w:t>邮寄地址：</w:t>
            </w:r>
            <w:r>
              <w:rPr>
                <w:rFonts w:hint="eastAsia" w:asciiTheme="minorEastAsia" w:hAnsiTheme="minorEastAsia" w:eastAsiaTheme="minorEastAsia" w:cstheme="minorEastAsia"/>
                <w:color w:val="auto"/>
                <w:spacing w:val="-4"/>
                <w:sz w:val="21"/>
                <w:szCs w:val="21"/>
                <w:u w:val="single" w:color="auto"/>
                <w:lang w:val="en-US" w:eastAsia="zh-CN"/>
              </w:rPr>
              <w:t xml:space="preserve">    /     </w:t>
            </w:r>
            <w:r>
              <w:rPr>
                <w:rFonts w:hint="eastAsia" w:asciiTheme="minorEastAsia" w:hAnsiTheme="minorEastAsia" w:eastAsiaTheme="minorEastAsia" w:cstheme="minorEastAsia"/>
                <w:color w:val="auto"/>
                <w:spacing w:val="-2"/>
                <w:sz w:val="21"/>
                <w:szCs w:val="21"/>
              </w:rPr>
              <w:t>，收件人：</w:t>
            </w:r>
            <w:r>
              <w:rPr>
                <w:rFonts w:hint="eastAsia" w:asciiTheme="minorEastAsia" w:hAnsiTheme="minorEastAsia" w:eastAsiaTheme="minorEastAsia" w:cstheme="minorEastAsia"/>
                <w:color w:val="auto"/>
                <w:spacing w:val="-4"/>
                <w:sz w:val="21"/>
                <w:szCs w:val="21"/>
                <w:u w:val="single" w:color="auto"/>
                <w:lang w:val="en-US" w:eastAsia="zh-CN"/>
              </w:rPr>
              <w:t xml:space="preserve">    /     </w:t>
            </w:r>
            <w:r>
              <w:rPr>
                <w:rFonts w:hint="eastAsia" w:asciiTheme="minorEastAsia" w:hAnsiTheme="minorEastAsia" w:eastAsiaTheme="minorEastAsia" w:cstheme="minorEastAsia"/>
                <w:color w:val="auto"/>
                <w:sz w:val="21"/>
                <w:szCs w:val="21"/>
              </w:rPr>
              <w:t>，联系方式：</w:t>
            </w:r>
            <w:r>
              <w:rPr>
                <w:rFonts w:hint="eastAsia" w:asciiTheme="minorEastAsia" w:hAnsiTheme="minorEastAsia" w:eastAsiaTheme="minorEastAsia" w:cstheme="minorEastAsia"/>
                <w:color w:val="auto"/>
                <w:spacing w:val="-4"/>
                <w:sz w:val="21"/>
                <w:szCs w:val="21"/>
                <w:u w:val="single" w:color="auto"/>
                <w:lang w:val="en-US" w:eastAsia="zh-CN"/>
              </w:rPr>
              <w:t xml:space="preserve">    /     </w:t>
            </w:r>
            <w:r>
              <w:rPr>
                <w:rFonts w:hint="eastAsia" w:asciiTheme="minorEastAsia" w:hAnsiTheme="minorEastAsia" w:eastAsiaTheme="minorEastAsia" w:cstheme="minorEastAsia"/>
                <w:color w:val="auto"/>
                <w:sz w:val="21"/>
                <w:szCs w:val="21"/>
              </w:rPr>
              <w:t>）将单独密封的支票、汇票、本票或者银行、保</w:t>
            </w:r>
            <w:r>
              <w:rPr>
                <w:rFonts w:hint="eastAsia" w:asciiTheme="minorEastAsia" w:hAnsiTheme="minorEastAsia" w:eastAsiaTheme="minorEastAsia" w:cstheme="minorEastAsia"/>
                <w:color w:val="auto"/>
                <w:spacing w:val="-1"/>
                <w:sz w:val="21"/>
                <w:szCs w:val="21"/>
              </w:rPr>
              <w:t>险机构出具的保函原件提交给采购人或者采购代理机构，由采购人或者采购代理机构向</w:t>
            </w:r>
            <w:r>
              <w:rPr>
                <w:rFonts w:hint="eastAsia" w:asciiTheme="minorEastAsia" w:hAnsiTheme="minorEastAsia" w:eastAsiaTheme="minorEastAsia" w:cstheme="minorEastAsia"/>
                <w:color w:val="auto"/>
                <w:sz w:val="21"/>
                <w:szCs w:val="21"/>
              </w:rPr>
              <w:t>投标人出具回执（邮寄方式的除外</w:t>
            </w:r>
            <w:r>
              <w:rPr>
                <w:rFonts w:hint="eastAsia" w:asciiTheme="minorEastAsia" w:hAnsiTheme="minorEastAsia" w:eastAsiaTheme="minorEastAsia" w:cstheme="minorEastAsia"/>
                <w:color w:val="auto"/>
                <w:spacing w:val="-2"/>
                <w:sz w:val="21"/>
                <w:szCs w:val="21"/>
              </w:rPr>
              <w:t>），</w:t>
            </w:r>
            <w:r>
              <w:rPr>
                <w:rFonts w:hint="eastAsia" w:asciiTheme="minorEastAsia" w:hAnsiTheme="minorEastAsia" w:eastAsiaTheme="minorEastAsia" w:cstheme="minorEastAsia"/>
                <w:color w:val="auto"/>
                <w:sz w:val="21"/>
                <w:szCs w:val="21"/>
              </w:rPr>
              <w:t>并妥善保管。</w:t>
            </w:r>
          </w:p>
          <w:p w14:paraId="720A5CB7">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3"/>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3.投标人为联合体的，可以由联合体中的一方或者多方共同交纳投标保证金，其交纳的</w:t>
            </w:r>
            <w:r>
              <w:rPr>
                <w:rFonts w:hint="eastAsia" w:asciiTheme="minorEastAsia" w:hAnsiTheme="minorEastAsia" w:eastAsiaTheme="minorEastAsia" w:cstheme="minorEastAsia"/>
                <w:color w:val="auto"/>
                <w:spacing w:val="10"/>
                <w:sz w:val="21"/>
                <w:szCs w:val="21"/>
              </w:rPr>
              <w:t xml:space="preserve"> </w:t>
            </w:r>
            <w:r>
              <w:rPr>
                <w:rFonts w:hint="eastAsia" w:asciiTheme="minorEastAsia" w:hAnsiTheme="minorEastAsia" w:eastAsiaTheme="minorEastAsia" w:cstheme="minorEastAsia"/>
                <w:color w:val="auto"/>
                <w:spacing w:val="-2"/>
                <w:sz w:val="21"/>
                <w:szCs w:val="21"/>
              </w:rPr>
              <w:t>保证金对联合体各方均具有约束力。</w:t>
            </w:r>
          </w:p>
          <w:p w14:paraId="32B56D3B">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3"/>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lang w:val="en-US" w:eastAsia="zh-CN"/>
              </w:rPr>
              <w:t>4</w:t>
            </w:r>
            <w:r>
              <w:rPr>
                <w:rFonts w:hint="eastAsia" w:asciiTheme="minorEastAsia" w:hAnsiTheme="minorEastAsia" w:eastAsiaTheme="minorEastAsia" w:cstheme="minorEastAsia"/>
                <w:color w:val="auto"/>
                <w:spacing w:val="-1"/>
                <w:sz w:val="21"/>
                <w:szCs w:val="21"/>
              </w:rPr>
              <w:t>.投标人为联合体的，可以由联合体中的一方或者多方共同交纳投标保证金，其交纳的</w:t>
            </w:r>
            <w:r>
              <w:rPr>
                <w:rFonts w:hint="eastAsia" w:asciiTheme="minorEastAsia" w:hAnsiTheme="minorEastAsia" w:eastAsiaTheme="minorEastAsia" w:cstheme="minorEastAsia"/>
                <w:color w:val="auto"/>
                <w:spacing w:val="10"/>
                <w:sz w:val="21"/>
                <w:szCs w:val="21"/>
              </w:rPr>
              <w:t xml:space="preserve"> </w:t>
            </w:r>
            <w:r>
              <w:rPr>
                <w:rFonts w:hint="eastAsia" w:asciiTheme="minorEastAsia" w:hAnsiTheme="minorEastAsia" w:eastAsiaTheme="minorEastAsia" w:cstheme="minorEastAsia"/>
                <w:color w:val="auto"/>
                <w:spacing w:val="-2"/>
                <w:sz w:val="21"/>
                <w:szCs w:val="21"/>
              </w:rPr>
              <w:t>保证金对联合体各方均具有约束力。</w:t>
            </w:r>
          </w:p>
          <w:p w14:paraId="3E796EB7">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15"/>
                <w:sz w:val="21"/>
                <w:szCs w:val="21"/>
              </w:rPr>
              <w:t>备注：</w:t>
            </w:r>
          </w:p>
          <w:p w14:paraId="6AD8787A">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11"/>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1"/>
                <w:sz w:val="21"/>
                <w:szCs w:val="21"/>
              </w:rPr>
              <w:t>1.</w:t>
            </w:r>
            <w:r>
              <w:rPr>
                <w:rFonts w:hint="eastAsia" w:asciiTheme="minorEastAsia" w:hAnsiTheme="minorEastAsia" w:eastAsiaTheme="minorEastAsia" w:cstheme="minorEastAsia"/>
                <w:color w:val="auto"/>
                <w:spacing w:val="-1"/>
                <w:sz w:val="21"/>
                <w:szCs w:val="21"/>
              </w:rPr>
              <w:t xml:space="preserve"> </w:t>
            </w:r>
            <w:r>
              <w:rPr>
                <w:rFonts w:hint="eastAsia" w:asciiTheme="minorEastAsia" w:hAnsiTheme="minorEastAsia" w:eastAsiaTheme="minorEastAsia" w:cstheme="minorEastAsia"/>
                <w:b/>
                <w:bCs/>
                <w:color w:val="auto"/>
                <w:spacing w:val="-1"/>
                <w:sz w:val="21"/>
                <w:szCs w:val="21"/>
              </w:rPr>
              <w:t>投标保证金在投标截止时间后提交的，或者不按规定交纳方式交纳的，或者未足额</w:t>
            </w:r>
            <w:r>
              <w:rPr>
                <w:rFonts w:hint="eastAsia" w:asciiTheme="minorEastAsia" w:hAnsiTheme="minorEastAsia" w:eastAsiaTheme="minorEastAsia" w:cstheme="minorEastAsia"/>
                <w:b/>
                <w:bCs/>
                <w:color w:val="auto"/>
                <w:spacing w:val="-3"/>
                <w:sz w:val="21"/>
                <w:szCs w:val="21"/>
              </w:rPr>
              <w:t>交纳的（包含保函额度不足的</w:t>
            </w:r>
            <w:r>
              <w:rPr>
                <w:rFonts w:hint="eastAsia" w:asciiTheme="minorEastAsia" w:hAnsiTheme="minorEastAsia" w:eastAsiaTheme="minorEastAsia" w:cstheme="minorEastAsia"/>
                <w:b/>
                <w:bCs/>
                <w:color w:val="auto"/>
                <w:spacing w:val="-1"/>
                <w:sz w:val="21"/>
                <w:szCs w:val="21"/>
              </w:rPr>
              <w:t>），</w:t>
            </w:r>
            <w:r>
              <w:rPr>
                <w:rFonts w:hint="eastAsia" w:asciiTheme="minorEastAsia" w:hAnsiTheme="minorEastAsia" w:eastAsiaTheme="minorEastAsia" w:cstheme="minorEastAsia"/>
                <w:b/>
                <w:bCs/>
                <w:color w:val="auto"/>
                <w:spacing w:val="-3"/>
                <w:sz w:val="21"/>
                <w:szCs w:val="21"/>
              </w:rPr>
              <w:t>视为无效投标保证金。</w:t>
            </w:r>
          </w:p>
          <w:p w14:paraId="661BCD80">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hanging="2"/>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3"/>
                <w:sz w:val="21"/>
                <w:szCs w:val="21"/>
              </w:rPr>
              <w:t>2.投标人采用现钞方式或者从个人账户（自然人投标除外）转出的投标保证金，视为无</w:t>
            </w:r>
            <w:r>
              <w:rPr>
                <w:rFonts w:hint="eastAsia" w:asciiTheme="minorEastAsia" w:hAnsiTheme="minorEastAsia" w:eastAsiaTheme="minorEastAsia" w:cstheme="minorEastAsia"/>
                <w:b/>
                <w:bCs/>
                <w:color w:val="auto"/>
                <w:spacing w:val="-6"/>
                <w:sz w:val="21"/>
                <w:szCs w:val="21"/>
              </w:rPr>
              <w:t>效投标保证金。</w:t>
            </w:r>
          </w:p>
          <w:p w14:paraId="65364496">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5"/>
              <w:textAlignment w:val="baseline"/>
              <w:rPr>
                <w:rFonts w:hint="eastAsia" w:asciiTheme="minorEastAsia" w:hAnsiTheme="minorEastAsia" w:eastAsiaTheme="minorEastAsia" w:cstheme="minorEastAsia"/>
                <w:color w:val="auto"/>
                <w:spacing w:val="11"/>
                <w:sz w:val="21"/>
                <w:szCs w:val="21"/>
              </w:rPr>
            </w:pPr>
            <w:r>
              <w:rPr>
                <w:rFonts w:hint="eastAsia" w:asciiTheme="minorEastAsia" w:hAnsiTheme="minorEastAsia" w:eastAsiaTheme="minorEastAsia" w:cstheme="minorEastAsia"/>
                <w:b/>
                <w:bCs/>
                <w:color w:val="auto"/>
                <w:spacing w:val="-3"/>
                <w:sz w:val="21"/>
                <w:szCs w:val="21"/>
              </w:rPr>
              <w:t>3.支票、汇票或者本票出现无效或者背书情形的，视为无效投标保证金。</w:t>
            </w:r>
            <w:r>
              <w:rPr>
                <w:rFonts w:hint="eastAsia" w:asciiTheme="minorEastAsia" w:hAnsiTheme="minorEastAsia" w:eastAsiaTheme="minorEastAsia" w:cstheme="minorEastAsia"/>
                <w:color w:val="auto"/>
                <w:spacing w:val="11"/>
                <w:sz w:val="21"/>
                <w:szCs w:val="21"/>
              </w:rPr>
              <w:t xml:space="preserve"> </w:t>
            </w:r>
          </w:p>
          <w:p w14:paraId="71752BF5">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right="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3"/>
                <w:sz w:val="21"/>
                <w:szCs w:val="21"/>
              </w:rPr>
              <w:t>4.保函有效期低于投标有效期的，视为无效投标保证金。</w:t>
            </w:r>
          </w:p>
          <w:p w14:paraId="0E90B17E">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2"/>
                <w:sz w:val="21"/>
                <w:szCs w:val="21"/>
              </w:rPr>
              <w:t>5.采用银行、保险机构出具保函的，必须</w:t>
            </w:r>
            <w:r>
              <w:rPr>
                <w:rFonts w:hint="eastAsia" w:asciiTheme="minorEastAsia" w:hAnsiTheme="minorEastAsia" w:eastAsiaTheme="minorEastAsia" w:cstheme="minorEastAsia"/>
                <w:b/>
                <w:bCs/>
                <w:color w:val="auto"/>
                <w:spacing w:val="-3"/>
                <w:sz w:val="21"/>
                <w:szCs w:val="21"/>
              </w:rPr>
              <w:t>为无条件保函，否则视为无效投标保证金。</w:t>
            </w:r>
            <w:r>
              <w:rPr>
                <w:rFonts w:hint="eastAsia" w:asciiTheme="minorEastAsia" w:hAnsiTheme="minorEastAsia" w:eastAsiaTheme="minorEastAsia" w:cstheme="minorEastAsia"/>
                <w:color w:val="auto"/>
                <w:sz w:val="21"/>
                <w:szCs w:val="21"/>
              </w:rPr>
              <w:t xml:space="preserve"> </w:t>
            </w:r>
          </w:p>
          <w:p w14:paraId="059F7A50">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both"/>
              <w:textAlignment w:val="baseline"/>
              <w:rPr>
                <w:rFonts w:hint="eastAsia" w:asciiTheme="minorEastAsia" w:hAnsiTheme="minorEastAsia" w:eastAsiaTheme="minorEastAsia" w:cstheme="minorEastAsia"/>
                <w:color w:val="auto"/>
                <w:spacing w:val="-3"/>
                <w:sz w:val="21"/>
                <w:szCs w:val="21"/>
              </w:rPr>
            </w:pPr>
            <w:r>
              <w:rPr>
                <w:rFonts w:hint="eastAsia" w:asciiTheme="minorEastAsia" w:hAnsiTheme="minorEastAsia" w:eastAsiaTheme="minorEastAsia" w:cstheme="minorEastAsia"/>
                <w:b/>
                <w:bCs/>
                <w:color w:val="auto"/>
                <w:spacing w:val="-2"/>
                <w:sz w:val="21"/>
                <w:szCs w:val="21"/>
              </w:rPr>
              <w:t>6.广西政府采购云平台平台暂未支持电子保函功能，故本项目暂不接受电子保函形式的保证金。</w:t>
            </w:r>
          </w:p>
        </w:tc>
      </w:tr>
      <w:tr w14:paraId="4041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19B15FC1">
            <w:pPr>
              <w:pStyle w:val="25"/>
              <w:keepLines w:val="0"/>
              <w:pageBreakBefore w:val="0"/>
              <w:widowControl/>
              <w:kinsoku w:val="0"/>
              <w:wordWrap/>
              <w:overflowPunct/>
              <w:topLinePunct w:val="0"/>
              <w:bidi w:val="0"/>
              <w:adjustRightInd w:val="0"/>
              <w:snapToGrid w:val="0"/>
              <w:spacing w:line="520" w:lineRule="exact"/>
              <w:ind w:left="0" w:leftChars="0" w:right="0"/>
              <w:jc w:val="center"/>
              <w:textAlignment w:val="baseline"/>
              <w:rPr>
                <w:rFonts w:hint="eastAsia" w:asciiTheme="minorEastAsia" w:hAnsiTheme="minorEastAsia" w:eastAsiaTheme="minorEastAsia" w:cstheme="minorEastAsia"/>
                <w:color w:val="auto"/>
                <w:spacing w:val="-3"/>
                <w:sz w:val="21"/>
                <w:szCs w:val="21"/>
              </w:rPr>
            </w:pPr>
          </w:p>
        </w:tc>
        <w:tc>
          <w:tcPr>
            <w:tcW w:w="8554" w:type="dxa"/>
            <w:vAlign w:val="center"/>
          </w:tcPr>
          <w:p w14:paraId="51BAD1A1">
            <w:pPr>
              <w:keepNext w:val="0"/>
              <w:keepLines w:val="0"/>
              <w:pageBreakBefore w:val="0"/>
              <w:widowControl w:val="0"/>
              <w:kinsoku/>
              <w:wordWrap/>
              <w:overflowPunct/>
              <w:topLinePunct w:val="0"/>
              <w:bidi w:val="0"/>
              <w:adjustRightInd/>
              <w:snapToGrid w:val="0"/>
              <w:spacing w:line="46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异常低价</w:t>
            </w:r>
            <w:r>
              <w:rPr>
                <w:rFonts w:hint="default" w:ascii="宋体" w:hAnsi="宋体" w:eastAsia="宋体" w:cs="宋体"/>
                <w:szCs w:val="21"/>
                <w:lang w:val="en-US" w:eastAsia="zh-CN"/>
              </w:rPr>
              <w:t>审查</w:t>
            </w:r>
          </w:p>
          <w:p w14:paraId="5D21B0B8">
            <w:pPr>
              <w:keepNext w:val="0"/>
              <w:keepLines w:val="0"/>
              <w:pageBreakBefore w:val="0"/>
              <w:widowControl w:val="0"/>
              <w:kinsoku/>
              <w:wordWrap/>
              <w:overflowPunct/>
              <w:topLinePunct w:val="0"/>
              <w:bidi w:val="0"/>
              <w:adjustRightInd/>
              <w:snapToGrid w:val="0"/>
              <w:spacing w:line="46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☑评审中出现下列情形之一的，评审委员会应当启动异常低价响应审查程序：</w:t>
            </w:r>
          </w:p>
          <w:p w14:paraId="68B453F8">
            <w:pPr>
              <w:keepNext w:val="0"/>
              <w:keepLines w:val="0"/>
              <w:pageBreakBefore w:val="0"/>
              <w:widowControl w:val="0"/>
              <w:kinsoku/>
              <w:wordWrap/>
              <w:overflowPunct/>
              <w:topLinePunct w:val="0"/>
              <w:bidi w:val="0"/>
              <w:adjustRightInd/>
              <w:snapToGrid w:val="0"/>
              <w:spacing w:line="460" w:lineRule="exact"/>
              <w:jc w:val="left"/>
              <w:rPr>
                <w:rFonts w:hint="eastAsia" w:ascii="宋体" w:hAnsi="宋体" w:eastAsia="宋体" w:cs="宋体"/>
                <w:szCs w:val="21"/>
                <w:lang w:val="en-US" w:eastAsia="zh-CN"/>
              </w:rPr>
            </w:pPr>
            <w:r>
              <w:rPr>
                <w:rFonts w:hint="default" w:ascii="宋体" w:hAnsi="宋体" w:eastAsia="宋体" w:cs="宋体"/>
                <w:szCs w:val="21"/>
                <w:lang w:val="en-US" w:eastAsia="zh-CN"/>
              </w:rPr>
              <w:t>（1）响应报价低于全部通过符合性审查供应商响应报价平均值</w:t>
            </w:r>
            <w:r>
              <w:rPr>
                <w:rFonts w:hint="eastAsia" w:ascii="宋体" w:hAnsi="宋体" w:eastAsia="宋体" w:cs="宋体"/>
                <w:szCs w:val="21"/>
                <w:lang w:val="en-US" w:eastAsia="zh-CN"/>
              </w:rPr>
              <w:t>65</w:t>
            </w:r>
            <w:r>
              <w:rPr>
                <w:rFonts w:hint="default" w:ascii="宋体" w:hAnsi="宋体" w:eastAsia="宋体" w:cs="宋体"/>
                <w:szCs w:val="21"/>
                <w:lang w:val="en-US" w:eastAsia="zh-CN"/>
              </w:rPr>
              <w:t>%的，即响应报价&lt;全部通过符合性审查供应商响应报价平均值×</w:t>
            </w:r>
            <w:r>
              <w:rPr>
                <w:rFonts w:hint="eastAsia" w:ascii="宋体" w:hAnsi="宋体" w:eastAsia="宋体" w:cs="宋体"/>
                <w:szCs w:val="21"/>
                <w:lang w:val="en-US" w:eastAsia="zh-CN"/>
              </w:rPr>
              <w:t>65</w:t>
            </w:r>
            <w:r>
              <w:rPr>
                <w:rFonts w:hint="default" w:ascii="宋体" w:hAnsi="宋体" w:eastAsia="宋体" w:cs="宋体"/>
                <w:szCs w:val="21"/>
                <w:lang w:val="en-US" w:eastAsia="zh-CN"/>
              </w:rPr>
              <w:t>%；</w:t>
            </w:r>
          </w:p>
          <w:p w14:paraId="4FC90862">
            <w:pPr>
              <w:keepNext w:val="0"/>
              <w:keepLines w:val="0"/>
              <w:pageBreakBefore w:val="0"/>
              <w:widowControl w:val="0"/>
              <w:kinsoku/>
              <w:wordWrap/>
              <w:overflowPunct/>
              <w:topLinePunct w:val="0"/>
              <w:bidi w:val="0"/>
              <w:adjustRightInd/>
              <w:snapToGrid w:val="0"/>
              <w:spacing w:line="460" w:lineRule="exact"/>
              <w:jc w:val="left"/>
              <w:rPr>
                <w:rFonts w:hint="eastAsia" w:ascii="宋体" w:hAnsi="宋体" w:eastAsia="宋体" w:cs="宋体"/>
                <w:szCs w:val="21"/>
                <w:lang w:val="en-US" w:eastAsia="zh-CN"/>
              </w:rPr>
            </w:pPr>
            <w:r>
              <w:rPr>
                <w:rFonts w:hint="default" w:ascii="宋体" w:hAnsi="宋体" w:eastAsia="宋体" w:cs="宋体"/>
                <w:szCs w:val="21"/>
                <w:lang w:val="en-US" w:eastAsia="zh-CN"/>
              </w:rPr>
              <w:t>（2）响应报价低于通过符合性审查且报价次低供应商响应报价</w:t>
            </w:r>
            <w:r>
              <w:rPr>
                <w:rFonts w:hint="eastAsia" w:ascii="宋体" w:hAnsi="宋体" w:eastAsia="宋体" w:cs="宋体"/>
                <w:szCs w:val="21"/>
                <w:lang w:val="en-US" w:eastAsia="zh-CN"/>
              </w:rPr>
              <w:t>65</w:t>
            </w:r>
            <w:r>
              <w:rPr>
                <w:rFonts w:hint="default" w:ascii="宋体" w:hAnsi="宋体" w:eastAsia="宋体" w:cs="宋体"/>
                <w:szCs w:val="21"/>
                <w:lang w:val="en-US" w:eastAsia="zh-CN"/>
              </w:rPr>
              <w:t>%的，即响应报价&lt;通过符合性审查且报价次低供应商响应报价×</w:t>
            </w:r>
            <w:r>
              <w:rPr>
                <w:rFonts w:hint="eastAsia" w:ascii="宋体" w:hAnsi="宋体" w:eastAsia="宋体" w:cs="宋体"/>
                <w:szCs w:val="21"/>
                <w:lang w:val="en-US" w:eastAsia="zh-CN"/>
              </w:rPr>
              <w:t>65</w:t>
            </w:r>
            <w:r>
              <w:rPr>
                <w:rFonts w:hint="default" w:ascii="宋体" w:hAnsi="宋体" w:eastAsia="宋体" w:cs="宋体"/>
                <w:szCs w:val="21"/>
                <w:lang w:val="en-US" w:eastAsia="zh-CN"/>
              </w:rPr>
              <w:t>%；</w:t>
            </w:r>
          </w:p>
          <w:p w14:paraId="034A277E">
            <w:pPr>
              <w:keepNext w:val="0"/>
              <w:keepLines w:val="0"/>
              <w:pageBreakBefore w:val="0"/>
              <w:widowControl w:val="0"/>
              <w:kinsoku/>
              <w:wordWrap/>
              <w:overflowPunct/>
              <w:topLinePunct w:val="0"/>
              <w:bidi w:val="0"/>
              <w:adjustRightInd/>
              <w:snapToGrid w:val="0"/>
              <w:spacing w:line="460" w:lineRule="exact"/>
              <w:jc w:val="left"/>
            </w:pPr>
            <w:r>
              <w:rPr>
                <w:rFonts w:hint="eastAsia" w:ascii="宋体" w:hAnsi="宋体" w:eastAsia="宋体" w:cs="宋体"/>
                <w:szCs w:val="21"/>
                <w:lang w:val="en-US" w:eastAsia="zh-CN"/>
              </w:rPr>
              <w:t>（</w:t>
            </w:r>
            <w:r>
              <w:rPr>
                <w:rFonts w:hint="default" w:ascii="宋体" w:hAnsi="宋体" w:eastAsia="宋体" w:cs="宋体"/>
                <w:szCs w:val="21"/>
                <w:lang w:val="en-US" w:eastAsia="zh-CN"/>
              </w:rPr>
              <w:t>3）响应报价低于采购项目最高限价</w:t>
            </w:r>
            <w:r>
              <w:rPr>
                <w:rFonts w:hint="eastAsia" w:ascii="宋体" w:hAnsi="宋体" w:eastAsia="宋体" w:cs="宋体"/>
                <w:szCs w:val="21"/>
                <w:lang w:val="en-US" w:eastAsia="zh-CN"/>
              </w:rPr>
              <w:t>65</w:t>
            </w:r>
            <w:r>
              <w:rPr>
                <w:rFonts w:hint="default" w:ascii="宋体" w:hAnsi="宋体" w:eastAsia="宋体" w:cs="宋体"/>
                <w:szCs w:val="21"/>
                <w:lang w:val="en-US" w:eastAsia="zh-CN"/>
              </w:rPr>
              <w:t>%的，即响应报价&lt;采购项目最高限价×</w:t>
            </w:r>
            <w:r>
              <w:rPr>
                <w:rFonts w:hint="eastAsia" w:ascii="宋体" w:hAnsi="宋体" w:eastAsia="宋体" w:cs="宋体"/>
                <w:szCs w:val="21"/>
                <w:lang w:val="en-US" w:eastAsia="zh-CN"/>
              </w:rPr>
              <w:t>65</w:t>
            </w:r>
            <w:r>
              <w:rPr>
                <w:rFonts w:hint="default" w:ascii="宋体" w:hAnsi="宋体" w:eastAsia="宋体" w:cs="宋体"/>
                <w:szCs w:val="21"/>
                <w:lang w:val="en-US" w:eastAsia="zh-CN"/>
              </w:rPr>
              <w:t>%；</w:t>
            </w:r>
          </w:p>
          <w:p w14:paraId="7E7C2ADE">
            <w:pPr>
              <w:pStyle w:val="25"/>
              <w:keepNext w:val="0"/>
              <w:keepLines w:val="0"/>
              <w:pageBreakBefore w:val="0"/>
              <w:widowControl/>
              <w:kinsoku/>
              <w:wordWrap/>
              <w:overflowPunct w:val="0"/>
              <w:topLinePunct w:val="0"/>
              <w:autoSpaceDE w:val="0"/>
              <w:autoSpaceDN w:val="0"/>
              <w:bidi w:val="0"/>
              <w:adjustRightInd w:val="0"/>
              <w:snapToGrid w:val="0"/>
              <w:spacing w:line="520" w:lineRule="exact"/>
              <w:ind w:left="0" w:leftChars="0" w:right="0"/>
              <w:jc w:val="both"/>
              <w:textAlignment w:val="baseline"/>
              <w:rPr>
                <w:rFonts w:hint="eastAsia" w:asciiTheme="minorEastAsia" w:hAnsiTheme="minorEastAsia" w:eastAsiaTheme="minorEastAsia" w:cstheme="minorEastAsia"/>
                <w:color w:val="auto"/>
                <w:spacing w:val="-1"/>
                <w:sz w:val="21"/>
                <w:szCs w:val="21"/>
              </w:rPr>
            </w:pPr>
            <w:r>
              <w:rPr>
                <w:rFonts w:hint="default" w:ascii="宋体" w:hAnsi="宋体" w:eastAsia="宋体" w:cs="宋体"/>
                <w:szCs w:val="21"/>
                <w:lang w:val="en-US" w:eastAsia="zh-CN"/>
              </w:rPr>
              <w:t>（4）其他评审委员会认为供应商报价过低，有可能影响产品质量或者不能诚信履约的情形。</w:t>
            </w:r>
          </w:p>
        </w:tc>
      </w:tr>
      <w:tr w14:paraId="2495D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4B0CA765">
            <w:pPr>
              <w:pStyle w:val="25"/>
              <w:keepLines w:val="0"/>
              <w:pageBreakBefore w:val="0"/>
              <w:widowControl/>
              <w:kinsoku w:val="0"/>
              <w:wordWrap/>
              <w:overflowPunct/>
              <w:topLinePunct w:val="0"/>
              <w:bidi w:val="0"/>
              <w:adjustRightInd w:val="0"/>
              <w:snapToGrid w:val="0"/>
              <w:spacing w:line="520" w:lineRule="exact"/>
              <w:ind w:left="0" w:leftChars="0" w:right="0"/>
              <w:jc w:val="center"/>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pacing w:val="-3"/>
                <w:sz w:val="21"/>
                <w:szCs w:val="21"/>
              </w:rPr>
              <w:t>20</w:t>
            </w:r>
          </w:p>
        </w:tc>
        <w:tc>
          <w:tcPr>
            <w:tcW w:w="8554" w:type="dxa"/>
            <w:vAlign w:val="center"/>
          </w:tcPr>
          <w:p w14:paraId="092D57AC">
            <w:pPr>
              <w:pStyle w:val="25"/>
              <w:keepLines w:val="0"/>
              <w:pageBreakBefore w:val="0"/>
              <w:widowControl/>
              <w:kinsoku w:val="0"/>
              <w:wordWrap/>
              <w:overflowPunct/>
              <w:topLinePunct w:val="0"/>
              <w:bidi w:val="0"/>
              <w:adjustRightInd w:val="0"/>
              <w:snapToGrid w:val="0"/>
              <w:spacing w:line="520" w:lineRule="exact"/>
              <w:ind w:left="0" w:leftChars="0" w:right="0"/>
              <w:jc w:val="left"/>
              <w:textAlignment w:val="baseline"/>
              <w:rPr>
                <w:rFonts w:hint="eastAsia" w:asciiTheme="minorEastAsia" w:hAnsiTheme="minorEastAsia" w:eastAsiaTheme="minorEastAsia" w:cstheme="minorEastAsia"/>
                <w:color w:val="auto"/>
                <w:spacing w:val="-3"/>
                <w:sz w:val="21"/>
                <w:szCs w:val="21"/>
              </w:rPr>
            </w:pPr>
            <w:r>
              <w:rPr>
                <w:rFonts w:hint="eastAsia" w:asciiTheme="minorEastAsia" w:hAnsiTheme="minorEastAsia" w:eastAsiaTheme="minorEastAsia" w:cstheme="minorEastAsia"/>
                <w:color w:val="auto"/>
                <w:spacing w:val="-1"/>
                <w:sz w:val="21"/>
                <w:szCs w:val="21"/>
              </w:rPr>
              <w:t>本项目不接受电子备份投标文件</w:t>
            </w:r>
          </w:p>
        </w:tc>
      </w:tr>
      <w:tr w14:paraId="542B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2AEB7B23">
            <w:pPr>
              <w:pStyle w:val="25"/>
              <w:keepLines w:val="0"/>
              <w:pageBreakBefore w:val="0"/>
              <w:widowControl/>
              <w:kinsoku w:val="0"/>
              <w:wordWrap/>
              <w:overflowPunct/>
              <w:topLinePunct w:val="0"/>
              <w:bidi w:val="0"/>
              <w:adjustRightInd w:val="0"/>
              <w:snapToGrid w:val="0"/>
              <w:spacing w:line="520" w:lineRule="exact"/>
              <w:ind w:left="0" w:leftChars="0" w:right="0"/>
              <w:jc w:val="center"/>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pacing w:val="-2"/>
                <w:sz w:val="21"/>
                <w:szCs w:val="21"/>
              </w:rPr>
              <w:t>21.1</w:t>
            </w:r>
          </w:p>
        </w:tc>
        <w:tc>
          <w:tcPr>
            <w:tcW w:w="8554" w:type="dxa"/>
            <w:vAlign w:val="center"/>
          </w:tcPr>
          <w:p w14:paraId="67D3390B">
            <w:pPr>
              <w:pStyle w:val="25"/>
              <w:keepLines w:val="0"/>
              <w:pageBreakBefore w:val="0"/>
              <w:widowControl/>
              <w:kinsoku w:val="0"/>
              <w:wordWrap/>
              <w:overflowPunct/>
              <w:topLinePunct w:val="0"/>
              <w:bidi w:val="0"/>
              <w:adjustRightInd w:val="0"/>
              <w:snapToGrid w:val="0"/>
              <w:spacing w:line="520" w:lineRule="exact"/>
              <w:ind w:left="0" w:leftChars="0" w:right="0" w:rightChars="0" w:firstLine="13" w:firstLineChars="0"/>
              <w:jc w:val="left"/>
              <w:textAlignment w:val="baseline"/>
              <w:rPr>
                <w:rFonts w:hint="eastAsia" w:asciiTheme="minorEastAsia" w:hAnsiTheme="minorEastAsia" w:eastAsiaTheme="minorEastAsia" w:cstheme="minorEastAsia"/>
                <w:color w:val="auto"/>
                <w:spacing w:val="-3"/>
                <w:sz w:val="21"/>
                <w:szCs w:val="21"/>
              </w:rPr>
            </w:pPr>
            <w:r>
              <w:rPr>
                <w:rFonts w:hint="eastAsia" w:asciiTheme="minorEastAsia" w:hAnsiTheme="minorEastAsia" w:eastAsiaTheme="minorEastAsia" w:cstheme="minorEastAsia"/>
                <w:color w:val="auto"/>
                <w:spacing w:val="-1"/>
                <w:sz w:val="21"/>
                <w:szCs w:val="21"/>
              </w:rPr>
              <w:t>1.投标文件提交截止时间：详见招标公告2.投标地点：详见招标公告</w:t>
            </w:r>
          </w:p>
        </w:tc>
      </w:tr>
      <w:tr w14:paraId="4E0F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0D080FD0">
            <w:pPr>
              <w:pStyle w:val="25"/>
              <w:keepLines w:val="0"/>
              <w:pageBreakBefore w:val="0"/>
              <w:widowControl/>
              <w:kinsoku w:val="0"/>
              <w:wordWrap/>
              <w:overflowPunct/>
              <w:topLinePunct w:val="0"/>
              <w:bidi w:val="0"/>
              <w:adjustRightInd w:val="0"/>
              <w:snapToGrid w:val="0"/>
              <w:spacing w:line="520" w:lineRule="exact"/>
              <w:ind w:left="0" w:leftChars="0" w:right="0"/>
              <w:jc w:val="center"/>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pacing w:val="-3"/>
                <w:sz w:val="21"/>
                <w:szCs w:val="21"/>
              </w:rPr>
              <w:t>23</w:t>
            </w:r>
          </w:p>
        </w:tc>
        <w:tc>
          <w:tcPr>
            <w:tcW w:w="8554" w:type="dxa"/>
            <w:vAlign w:val="center"/>
          </w:tcPr>
          <w:p w14:paraId="35958BC6">
            <w:pPr>
              <w:pStyle w:val="25"/>
              <w:keepLines w:val="0"/>
              <w:pageBreakBefore w:val="0"/>
              <w:widowControl/>
              <w:kinsoku w:val="0"/>
              <w:wordWrap/>
              <w:overflowPunct/>
              <w:topLinePunct w:val="0"/>
              <w:bidi w:val="0"/>
              <w:adjustRightInd w:val="0"/>
              <w:snapToGrid w:val="0"/>
              <w:spacing w:line="520" w:lineRule="exact"/>
              <w:ind w:left="0" w:leftChars="0" w:right="0" w:rightChars="0" w:firstLine="13" w:firstLineChars="0"/>
              <w:jc w:val="left"/>
              <w:textAlignment w:val="baseline"/>
              <w:rPr>
                <w:rFonts w:hint="eastAsia" w:asciiTheme="minorEastAsia" w:hAnsiTheme="minorEastAsia" w:eastAsiaTheme="minorEastAsia" w:cstheme="minorEastAsia"/>
                <w:color w:val="auto"/>
                <w:spacing w:val="-3"/>
                <w:sz w:val="21"/>
                <w:szCs w:val="21"/>
              </w:rPr>
            </w:pPr>
            <w:r>
              <w:rPr>
                <w:rFonts w:hint="eastAsia" w:asciiTheme="minorEastAsia" w:hAnsiTheme="minorEastAsia" w:eastAsiaTheme="minorEastAsia" w:cstheme="minorEastAsia"/>
                <w:color w:val="auto"/>
                <w:spacing w:val="-2"/>
                <w:sz w:val="21"/>
                <w:szCs w:val="21"/>
              </w:rPr>
              <w:t>1.开标时间：详见招标公告</w:t>
            </w:r>
            <w:r>
              <w:rPr>
                <w:rFonts w:hint="eastAsia" w:asciiTheme="minorEastAsia" w:hAnsiTheme="minorEastAsia" w:eastAsiaTheme="minorEastAsia" w:cstheme="minorEastAsia"/>
                <w:color w:val="auto"/>
                <w:spacing w:val="-1"/>
                <w:sz w:val="21"/>
                <w:szCs w:val="21"/>
              </w:rPr>
              <w:t>2.开标地点：详见招标公告</w:t>
            </w:r>
          </w:p>
        </w:tc>
      </w:tr>
      <w:tr w14:paraId="60C27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3335A838">
            <w:pPr>
              <w:pStyle w:val="25"/>
              <w:keepLines w:val="0"/>
              <w:pageBreakBefore w:val="0"/>
              <w:widowControl/>
              <w:kinsoku w:val="0"/>
              <w:wordWrap/>
              <w:overflowPunct/>
              <w:topLinePunct w:val="0"/>
              <w:bidi w:val="0"/>
              <w:adjustRightInd w:val="0"/>
              <w:snapToGrid w:val="0"/>
              <w:spacing w:line="520" w:lineRule="exact"/>
              <w:ind w:left="0" w:right="0"/>
              <w:jc w:val="center"/>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pacing w:val="-13"/>
                <w:sz w:val="21"/>
                <w:szCs w:val="21"/>
              </w:rPr>
              <w:t>24.3（1）</w:t>
            </w:r>
          </w:p>
        </w:tc>
        <w:tc>
          <w:tcPr>
            <w:tcW w:w="8554" w:type="dxa"/>
            <w:vAlign w:val="center"/>
          </w:tcPr>
          <w:p w14:paraId="5A54C870">
            <w:pPr>
              <w:pStyle w:val="25"/>
              <w:keepLines w:val="0"/>
              <w:pageBreakBefore w:val="0"/>
              <w:widowControl/>
              <w:kinsoku w:val="0"/>
              <w:wordWrap/>
              <w:overflowPunct/>
              <w:topLinePunct w:val="0"/>
              <w:bidi w:val="0"/>
              <w:adjustRightInd w:val="0"/>
              <w:snapToGrid w:val="0"/>
              <w:spacing w:line="520" w:lineRule="exact"/>
              <w:ind w:left="0" w:leftChars="0" w:right="0"/>
              <w:jc w:val="left"/>
              <w:textAlignment w:val="baseline"/>
              <w:rPr>
                <w:rFonts w:hint="eastAsia" w:asciiTheme="minorEastAsia" w:hAnsiTheme="minorEastAsia" w:eastAsiaTheme="minorEastAsia" w:cstheme="minorEastAsia"/>
                <w:color w:val="auto"/>
                <w:spacing w:val="-3"/>
                <w:sz w:val="21"/>
                <w:szCs w:val="21"/>
              </w:rPr>
            </w:pPr>
            <w:r>
              <w:rPr>
                <w:rFonts w:hint="eastAsia" w:asciiTheme="minorEastAsia" w:hAnsiTheme="minorEastAsia" w:eastAsiaTheme="minorEastAsia" w:cstheme="minorEastAsia"/>
                <w:color w:val="auto"/>
                <w:spacing w:val="-2"/>
                <w:sz w:val="21"/>
                <w:szCs w:val="21"/>
              </w:rPr>
              <w:t>电子投标文件解密时间：</w:t>
            </w:r>
            <w:r>
              <w:rPr>
                <w:rFonts w:hint="eastAsia" w:asciiTheme="minorEastAsia" w:hAnsiTheme="minorEastAsia" w:eastAsiaTheme="minorEastAsia" w:cstheme="minorEastAsia"/>
                <w:color w:val="auto"/>
                <w:spacing w:val="-2"/>
                <w:sz w:val="21"/>
                <w:szCs w:val="21"/>
                <w:u w:val="single" w:color="auto"/>
              </w:rPr>
              <w:t xml:space="preserve">30 </w:t>
            </w:r>
            <w:r>
              <w:rPr>
                <w:rFonts w:hint="eastAsia" w:asciiTheme="minorEastAsia" w:hAnsiTheme="minorEastAsia" w:eastAsiaTheme="minorEastAsia" w:cstheme="minorEastAsia"/>
                <w:color w:val="auto"/>
                <w:spacing w:val="-2"/>
                <w:sz w:val="21"/>
                <w:szCs w:val="21"/>
              </w:rPr>
              <w:t>分钟</w:t>
            </w:r>
          </w:p>
        </w:tc>
      </w:tr>
      <w:tr w14:paraId="24CD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728B754E">
            <w:pPr>
              <w:pStyle w:val="25"/>
              <w:keepLines w:val="0"/>
              <w:pageBreakBefore w:val="0"/>
              <w:widowControl/>
              <w:kinsoku w:val="0"/>
              <w:wordWrap/>
              <w:overflowPunct/>
              <w:topLinePunct w:val="0"/>
              <w:bidi w:val="0"/>
              <w:adjustRightInd w:val="0"/>
              <w:snapToGrid w:val="0"/>
              <w:spacing w:line="520" w:lineRule="exact"/>
              <w:ind w:left="0" w:right="0"/>
              <w:jc w:val="center"/>
              <w:textAlignment w:val="baseline"/>
              <w:rPr>
                <w:rFonts w:hint="eastAsia" w:asciiTheme="minorEastAsia" w:hAnsiTheme="minorEastAsia" w:eastAsiaTheme="minorEastAsia" w:cstheme="minorEastAsia"/>
                <w:color w:val="auto"/>
                <w:sz w:val="21"/>
                <w:szCs w:val="21"/>
                <w:vertAlign w:val="baseline"/>
              </w:rPr>
            </w:pPr>
            <w:r>
              <w:rPr>
                <w:rFonts w:hint="eastAsia" w:asciiTheme="minorEastAsia" w:hAnsiTheme="minorEastAsia" w:eastAsiaTheme="minorEastAsia" w:cstheme="minorEastAsia"/>
                <w:color w:val="auto"/>
                <w:spacing w:val="-13"/>
                <w:sz w:val="21"/>
                <w:szCs w:val="21"/>
              </w:rPr>
              <w:t>25.3（2）</w:t>
            </w:r>
          </w:p>
        </w:tc>
        <w:tc>
          <w:tcPr>
            <w:tcW w:w="8554" w:type="dxa"/>
            <w:vAlign w:val="top"/>
          </w:tcPr>
          <w:p w14:paraId="601B1C53">
            <w:pPr>
              <w:pStyle w:val="25"/>
              <w:keepLines w:val="0"/>
              <w:pageBreakBefore w:val="0"/>
              <w:widowControl/>
              <w:kinsoku w:val="0"/>
              <w:wordWrap/>
              <w:overflowPunct/>
              <w:topLinePunct w:val="0"/>
              <w:bidi w:val="0"/>
              <w:adjustRightInd w:val="0"/>
              <w:snapToGrid w:val="0"/>
              <w:spacing w:line="520" w:lineRule="exact"/>
              <w:ind w:left="0" w:right="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采购人或者采购代理机构在资格审查结束前，对投标人进行信用查询。</w:t>
            </w:r>
          </w:p>
          <w:p w14:paraId="129762F3">
            <w:pPr>
              <w:pStyle w:val="25"/>
              <w:keepLines w:val="0"/>
              <w:pageBreakBefore w:val="0"/>
              <w:widowControl/>
              <w:kinsoku w:val="0"/>
              <w:wordWrap/>
              <w:overflowPunct/>
              <w:topLinePunct w:val="0"/>
              <w:bidi w:val="0"/>
              <w:adjustRightInd w:val="0"/>
              <w:snapToGrid w:val="0"/>
              <w:spacing w:line="520" w:lineRule="exact"/>
              <w:ind w:left="0" w:right="0" w:hanging="3"/>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查询渠道：“信用中国”网站（</w:t>
            </w:r>
            <w:r>
              <w:rPr>
                <w:rFonts w:hint="eastAsia" w:asciiTheme="minorEastAsia" w:hAnsiTheme="minorEastAsia" w:eastAsiaTheme="minorEastAsia" w:cstheme="minorEastAsia"/>
                <w:color w:val="auto"/>
                <w:spacing w:val="-42"/>
                <w:sz w:val="21"/>
                <w:szCs w:val="21"/>
              </w:rPr>
              <w:t xml:space="preserve"> </w:t>
            </w:r>
            <w:r>
              <w:rPr>
                <w:rFonts w:hint="eastAsia" w:asciiTheme="minorEastAsia" w:hAnsiTheme="minorEastAsia" w:eastAsiaTheme="minorEastAsia" w:cstheme="minorEastAsia"/>
                <w:color w:val="auto"/>
                <w:sz w:val="21"/>
                <w:szCs w:val="21"/>
              </w:rPr>
              <w:t>www.creditchina.gov.cn）、中国政府采购网</w:t>
            </w:r>
            <w:r>
              <w:rPr>
                <w:rFonts w:hint="eastAsia" w:asciiTheme="minorEastAsia" w:hAnsiTheme="minorEastAsia" w:eastAsiaTheme="minorEastAsia" w:cstheme="minorEastAsia"/>
                <w:color w:val="auto"/>
                <w:spacing w:val="-2"/>
                <w:sz w:val="21"/>
                <w:szCs w:val="21"/>
              </w:rPr>
              <w:t>（www.ccgp.gov.cn）。</w:t>
            </w:r>
          </w:p>
          <w:p w14:paraId="2D0D67F8">
            <w:pPr>
              <w:pStyle w:val="25"/>
              <w:keepLines w:val="0"/>
              <w:pageBreakBefore w:val="0"/>
              <w:widowControl/>
              <w:kinsoku w:val="0"/>
              <w:wordWrap/>
              <w:overflowPunct/>
              <w:topLinePunct w:val="0"/>
              <w:bidi w:val="0"/>
              <w:adjustRightInd w:val="0"/>
              <w:snapToGrid w:val="0"/>
              <w:spacing w:line="520" w:lineRule="exact"/>
              <w:ind w:left="0" w:right="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信用查询截止时点：资格审查结束前</w:t>
            </w:r>
          </w:p>
          <w:p w14:paraId="5D8809AB">
            <w:pPr>
              <w:pStyle w:val="25"/>
              <w:keepLines w:val="0"/>
              <w:pageBreakBefore w:val="0"/>
              <w:widowControl/>
              <w:kinsoku w:val="0"/>
              <w:wordWrap/>
              <w:overflowPunct/>
              <w:topLinePunct w:val="0"/>
              <w:bidi w:val="0"/>
              <w:adjustRightInd w:val="0"/>
              <w:snapToGrid w:val="0"/>
              <w:spacing w:line="520" w:lineRule="exact"/>
              <w:ind w:left="0" w:right="0" w:hanging="13"/>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查询</w:t>
            </w:r>
            <w:r>
              <w:rPr>
                <w:rFonts w:hint="eastAsia" w:asciiTheme="minorEastAsia" w:hAnsiTheme="minorEastAsia" w:eastAsiaTheme="minorEastAsia" w:cstheme="minorEastAsia"/>
                <w:color w:val="auto"/>
                <w:spacing w:val="-1"/>
                <w:sz w:val="21"/>
                <w:szCs w:val="21"/>
                <w:highlight w:val="none"/>
              </w:rPr>
              <w:t>记录和证据留存方式：在查询网</w:t>
            </w:r>
            <w:r>
              <w:rPr>
                <w:rFonts w:hint="eastAsia" w:asciiTheme="minorEastAsia" w:hAnsiTheme="minorEastAsia" w:eastAsiaTheme="minorEastAsia" w:cstheme="minorEastAsia"/>
                <w:color w:val="auto"/>
                <w:spacing w:val="-1"/>
                <w:sz w:val="21"/>
                <w:szCs w:val="21"/>
              </w:rPr>
              <w:t>站中直接截图查询记录，</w:t>
            </w:r>
            <w:r>
              <w:rPr>
                <w:rFonts w:hint="eastAsia" w:asciiTheme="minorEastAsia" w:hAnsiTheme="minorEastAsia" w:eastAsiaTheme="minorEastAsia" w:cstheme="minorEastAsia"/>
                <w:color w:val="auto"/>
                <w:sz w:val="21"/>
                <w:szCs w:val="21"/>
              </w:rPr>
              <w:t>截图另存为电子文档作为评审资料保存</w:t>
            </w:r>
            <w:r>
              <w:rPr>
                <w:rFonts w:hint="eastAsia" w:asciiTheme="minorEastAsia" w:hAnsiTheme="minorEastAsia" w:eastAsiaTheme="minorEastAsia" w:cstheme="minorEastAsia"/>
                <w:color w:val="auto"/>
                <w:spacing w:val="-3"/>
                <w:sz w:val="21"/>
                <w:szCs w:val="21"/>
              </w:rPr>
              <w:t>。</w:t>
            </w:r>
          </w:p>
          <w:p w14:paraId="77152D31">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left="0" w:leftChars="0" w:right="0" w:firstLine="214" w:firstLineChars="100"/>
              <w:jc w:val="both"/>
              <w:textAlignment w:val="baseline"/>
              <w:rPr>
                <w:rFonts w:hint="eastAsia" w:asciiTheme="minorEastAsia" w:hAnsiTheme="minorEastAsia" w:eastAsiaTheme="minorEastAsia" w:cstheme="minorEastAsia"/>
                <w:color w:val="auto"/>
                <w:spacing w:val="-3"/>
                <w:sz w:val="21"/>
                <w:szCs w:val="21"/>
              </w:rPr>
            </w:pPr>
            <w:r>
              <w:rPr>
                <w:rFonts w:hint="eastAsia" w:asciiTheme="minorEastAsia" w:hAnsiTheme="minorEastAsia" w:eastAsiaTheme="minorEastAsia" w:cstheme="minorEastAsia"/>
                <w:color w:val="auto"/>
                <w:spacing w:val="2"/>
                <w:sz w:val="21"/>
                <w:szCs w:val="21"/>
              </w:rPr>
              <w:t>信用信息使用规则：对在“信用中国”网站（</w:t>
            </w:r>
            <w:r>
              <w:rPr>
                <w:rFonts w:hint="eastAsia" w:asciiTheme="minorEastAsia" w:hAnsiTheme="minorEastAsia" w:eastAsiaTheme="minorEastAsia" w:cstheme="minorEastAsia"/>
                <w:color w:val="auto"/>
                <w:sz w:val="21"/>
                <w:szCs w:val="21"/>
              </w:rPr>
              <w:t>www</w:t>
            </w:r>
            <w:r>
              <w:rPr>
                <w:rFonts w:hint="eastAsia" w:asciiTheme="minorEastAsia" w:hAnsiTheme="minorEastAsia" w:eastAsiaTheme="minorEastAsia" w:cstheme="minorEastAsia"/>
                <w:color w:val="auto"/>
                <w:spacing w:val="2"/>
                <w:sz w:val="21"/>
                <w:szCs w:val="21"/>
              </w:rPr>
              <w:t>.</w:t>
            </w:r>
            <w:r>
              <w:rPr>
                <w:rFonts w:hint="eastAsia" w:asciiTheme="minorEastAsia" w:hAnsiTheme="minorEastAsia" w:eastAsiaTheme="minorEastAsia" w:cstheme="minorEastAsia"/>
                <w:color w:val="auto"/>
                <w:sz w:val="21"/>
                <w:szCs w:val="21"/>
              </w:rPr>
              <w:t>creditchina</w:t>
            </w:r>
            <w:r>
              <w:rPr>
                <w:rFonts w:hint="eastAsia" w:asciiTheme="minorEastAsia" w:hAnsiTheme="minorEastAsia" w:eastAsiaTheme="minorEastAsia" w:cstheme="minorEastAsia"/>
                <w:color w:val="auto"/>
                <w:spacing w:val="2"/>
                <w:sz w:val="21"/>
                <w:szCs w:val="21"/>
              </w:rPr>
              <w:t>.</w:t>
            </w:r>
            <w:r>
              <w:rPr>
                <w:rFonts w:hint="eastAsia" w:asciiTheme="minorEastAsia" w:hAnsiTheme="minorEastAsia" w:eastAsiaTheme="minorEastAsia" w:cstheme="minorEastAsia"/>
                <w:color w:val="auto"/>
                <w:sz w:val="21"/>
                <w:szCs w:val="21"/>
              </w:rPr>
              <w:t>gov</w:t>
            </w:r>
            <w:r>
              <w:rPr>
                <w:rFonts w:hint="eastAsia" w:asciiTheme="minorEastAsia" w:hAnsiTheme="minorEastAsia" w:eastAsiaTheme="minorEastAsia" w:cstheme="minorEastAsia"/>
                <w:color w:val="auto"/>
                <w:spacing w:val="2"/>
                <w:sz w:val="21"/>
                <w:szCs w:val="21"/>
              </w:rPr>
              <w:t>.</w:t>
            </w:r>
            <w:r>
              <w:rPr>
                <w:rFonts w:hint="eastAsia" w:asciiTheme="minorEastAsia" w:hAnsiTheme="minorEastAsia" w:eastAsiaTheme="minorEastAsia" w:cstheme="minorEastAsia"/>
                <w:color w:val="auto"/>
                <w:sz w:val="21"/>
                <w:szCs w:val="21"/>
              </w:rPr>
              <w:t>cn</w:t>
            </w:r>
            <w:r>
              <w:rPr>
                <w:rFonts w:hint="eastAsia" w:asciiTheme="minorEastAsia" w:hAnsiTheme="minorEastAsia" w:eastAsiaTheme="minorEastAsia" w:cstheme="minorEastAsia"/>
                <w:color w:val="auto"/>
                <w:spacing w:val="2"/>
                <w:sz w:val="21"/>
                <w:szCs w:val="21"/>
              </w:rPr>
              <w:t>）、中国政府采购网（</w:t>
            </w:r>
            <w:r>
              <w:rPr>
                <w:rFonts w:hint="eastAsia" w:asciiTheme="minorEastAsia" w:hAnsiTheme="minorEastAsia" w:eastAsiaTheme="minorEastAsia" w:cstheme="minorEastAsia"/>
                <w:color w:val="auto"/>
                <w:sz w:val="21"/>
                <w:szCs w:val="21"/>
              </w:rPr>
              <w:t>www</w:t>
            </w:r>
            <w:r>
              <w:rPr>
                <w:rFonts w:hint="eastAsia" w:asciiTheme="minorEastAsia" w:hAnsiTheme="minorEastAsia" w:eastAsiaTheme="minorEastAsia" w:cstheme="minorEastAsia"/>
                <w:color w:val="auto"/>
                <w:spacing w:val="2"/>
                <w:sz w:val="21"/>
                <w:szCs w:val="21"/>
              </w:rPr>
              <w:t>.</w:t>
            </w:r>
            <w:r>
              <w:rPr>
                <w:rFonts w:hint="eastAsia" w:asciiTheme="minorEastAsia" w:hAnsiTheme="minorEastAsia" w:eastAsiaTheme="minorEastAsia" w:cstheme="minorEastAsia"/>
                <w:color w:val="auto"/>
                <w:sz w:val="21"/>
                <w:szCs w:val="21"/>
              </w:rPr>
              <w:t>ccgp</w:t>
            </w:r>
            <w:r>
              <w:rPr>
                <w:rFonts w:hint="eastAsia" w:asciiTheme="minorEastAsia" w:hAnsiTheme="minorEastAsia" w:eastAsiaTheme="minorEastAsia" w:cstheme="minorEastAsia"/>
                <w:color w:val="auto"/>
                <w:spacing w:val="2"/>
                <w:sz w:val="21"/>
                <w:szCs w:val="21"/>
              </w:rPr>
              <w:t>.</w:t>
            </w:r>
            <w:r>
              <w:rPr>
                <w:rFonts w:hint="eastAsia" w:asciiTheme="minorEastAsia" w:hAnsiTheme="minorEastAsia" w:eastAsiaTheme="minorEastAsia" w:cstheme="minorEastAsia"/>
                <w:color w:val="auto"/>
                <w:sz w:val="21"/>
                <w:szCs w:val="21"/>
              </w:rPr>
              <w:t>gov</w:t>
            </w:r>
            <w:r>
              <w:rPr>
                <w:rFonts w:hint="eastAsia" w:asciiTheme="minorEastAsia" w:hAnsiTheme="minorEastAsia" w:eastAsiaTheme="minorEastAsia" w:cstheme="minorEastAsia"/>
                <w:color w:val="auto"/>
                <w:spacing w:val="2"/>
                <w:sz w:val="21"/>
                <w:szCs w:val="21"/>
              </w:rPr>
              <w:t>.</w:t>
            </w:r>
            <w:r>
              <w:rPr>
                <w:rFonts w:hint="eastAsia" w:asciiTheme="minorEastAsia" w:hAnsiTheme="minorEastAsia" w:eastAsiaTheme="minorEastAsia" w:cstheme="minorEastAsia"/>
                <w:color w:val="auto"/>
                <w:sz w:val="21"/>
                <w:szCs w:val="21"/>
              </w:rPr>
              <w:t>cn</w:t>
            </w:r>
            <w:r>
              <w:rPr>
                <w:rFonts w:hint="eastAsia" w:asciiTheme="minorEastAsia" w:hAnsiTheme="minorEastAsia" w:eastAsiaTheme="minorEastAsia" w:cstheme="minorEastAsia"/>
                <w:color w:val="auto"/>
                <w:spacing w:val="2"/>
                <w:sz w:val="21"/>
                <w:szCs w:val="21"/>
              </w:rPr>
              <w:t>）被列入失信被执行人、重大税收违法案件</w:t>
            </w:r>
            <w:r>
              <w:rPr>
                <w:rFonts w:hint="eastAsia" w:asciiTheme="minorEastAsia" w:hAnsiTheme="minorEastAsia" w:eastAsiaTheme="minorEastAsia" w:cstheme="minorEastAsia"/>
                <w:color w:val="auto"/>
                <w:spacing w:val="2"/>
                <w:sz w:val="21"/>
                <w:szCs w:val="21"/>
                <w:lang w:val="en-US" w:eastAsia="zh-CN"/>
              </w:rPr>
              <w:t>失信主体</w:t>
            </w:r>
            <w:r>
              <w:rPr>
                <w:rFonts w:hint="eastAsia" w:asciiTheme="minorEastAsia" w:hAnsiTheme="minorEastAsia" w:eastAsiaTheme="minorEastAsia" w:cstheme="minorEastAsia"/>
                <w:color w:val="auto"/>
                <w:spacing w:val="2"/>
                <w:sz w:val="21"/>
                <w:szCs w:val="21"/>
              </w:rPr>
              <w:t>、</w:t>
            </w:r>
            <w:r>
              <w:rPr>
                <w:rFonts w:hint="eastAsia" w:asciiTheme="minorEastAsia" w:hAnsiTheme="minorEastAsia" w:eastAsiaTheme="minorEastAsia" w:cstheme="minorEastAsia"/>
                <w:color w:val="auto"/>
                <w:spacing w:val="14"/>
                <w:sz w:val="21"/>
                <w:szCs w:val="21"/>
                <w:lang w:val="en-US" w:eastAsia="zh-CN"/>
              </w:rPr>
              <w:t>政府采购严重违法失信行为记录名单及其他不符合《中华人民共和国政府采购法》第二十二条规定条件的投标人，</w:t>
            </w:r>
            <w:r>
              <w:rPr>
                <w:rFonts w:hint="eastAsia" w:asciiTheme="minorEastAsia" w:hAnsiTheme="minorEastAsia" w:eastAsiaTheme="minorEastAsia" w:cstheme="minorEastAsia"/>
                <w:color w:val="auto"/>
                <w:spacing w:val="1"/>
                <w:sz w:val="21"/>
                <w:szCs w:val="21"/>
              </w:rPr>
              <w:t>采购人或者采购代理机构应当拒绝其参与政府采购活动。两</w:t>
            </w:r>
            <w:r>
              <w:rPr>
                <w:rFonts w:hint="eastAsia" w:asciiTheme="minorEastAsia" w:hAnsiTheme="minorEastAsia" w:eastAsiaTheme="minorEastAsia" w:cstheme="minorEastAsia"/>
                <w:color w:val="auto"/>
                <w:spacing w:val="-1"/>
                <w:sz w:val="21"/>
                <w:szCs w:val="21"/>
              </w:rPr>
              <w:t>个以上的自然人、法人或者其他组织组成一个联合体，以一个供应商的身份共同参加政府采购活动的，应当对所有联合体成员进行信用记录查询，联合体成员存在不良信用记录（被列入失信被执行人、重大税收违法案件当事人名单、政府采购严重违法失信行为</w:t>
            </w:r>
            <w:r>
              <w:rPr>
                <w:rFonts w:hint="eastAsia" w:asciiTheme="minorEastAsia" w:hAnsiTheme="minorEastAsia" w:eastAsiaTheme="minorEastAsia" w:cstheme="minorEastAsia"/>
                <w:color w:val="auto"/>
                <w:sz w:val="21"/>
                <w:szCs w:val="21"/>
              </w:rPr>
              <w:t>记录名单及其他不符合《中华人民共和国政府采</w:t>
            </w:r>
            <w:r>
              <w:rPr>
                <w:rFonts w:hint="eastAsia" w:asciiTheme="minorEastAsia" w:hAnsiTheme="minorEastAsia" w:eastAsiaTheme="minorEastAsia" w:cstheme="minorEastAsia"/>
                <w:color w:val="auto"/>
                <w:spacing w:val="-1"/>
                <w:sz w:val="21"/>
                <w:szCs w:val="21"/>
              </w:rPr>
              <w:t>购法》第二十二条规定条件的供应商）</w:t>
            </w:r>
            <w:r>
              <w:rPr>
                <w:rFonts w:hint="eastAsia" w:asciiTheme="minorEastAsia" w:hAnsiTheme="minorEastAsia" w:eastAsiaTheme="minorEastAsia" w:cstheme="minorEastAsia"/>
                <w:color w:val="auto"/>
                <w:spacing w:val="-2"/>
                <w:sz w:val="21"/>
                <w:szCs w:val="21"/>
              </w:rPr>
              <w:t>的，视同联合体存在不良信用记录</w:t>
            </w:r>
            <w:r>
              <w:rPr>
                <w:rFonts w:hint="eastAsia" w:asciiTheme="minorEastAsia" w:hAnsiTheme="minorEastAsia" w:eastAsiaTheme="minorEastAsia" w:cstheme="minorEastAsia"/>
                <w:color w:val="auto"/>
                <w:spacing w:val="14"/>
                <w:sz w:val="21"/>
                <w:szCs w:val="21"/>
                <w:lang w:val="en-US" w:eastAsia="zh-CN"/>
              </w:rPr>
              <w:t>。</w:t>
            </w:r>
          </w:p>
        </w:tc>
      </w:tr>
      <w:tr w14:paraId="631B0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044" w:type="dxa"/>
            <w:vAlign w:val="center"/>
          </w:tcPr>
          <w:p w14:paraId="283BB14C">
            <w:pPr>
              <w:pStyle w:val="25"/>
              <w:keepLines w:val="0"/>
              <w:pageBreakBefore w:val="0"/>
              <w:widowControl w:val="0"/>
              <w:wordWrap/>
              <w:overflowPunct/>
              <w:topLinePunct w:val="0"/>
              <w:bidi w:val="0"/>
              <w:spacing w:before="64" w:line="520" w:lineRule="exact"/>
              <w:ind w:left="288" w:leftChars="0"/>
              <w:jc w:val="center"/>
              <w:rPr>
                <w:rFonts w:hint="eastAsia" w:asciiTheme="minorEastAsia" w:hAnsiTheme="minorEastAsia" w:eastAsiaTheme="minorEastAsia" w:cstheme="minorEastAsia"/>
                <w:color w:val="auto"/>
                <w:spacing w:val="-13"/>
                <w:sz w:val="21"/>
                <w:szCs w:val="21"/>
              </w:rPr>
            </w:pPr>
            <w:r>
              <w:rPr>
                <w:rFonts w:hint="eastAsia" w:asciiTheme="minorEastAsia" w:hAnsiTheme="minorEastAsia" w:eastAsiaTheme="minorEastAsia" w:cstheme="minorEastAsia"/>
                <w:color w:val="auto"/>
                <w:spacing w:val="-2"/>
                <w:sz w:val="21"/>
                <w:szCs w:val="21"/>
              </w:rPr>
              <w:t>26.1</w:t>
            </w:r>
          </w:p>
        </w:tc>
        <w:tc>
          <w:tcPr>
            <w:tcW w:w="8554" w:type="dxa"/>
            <w:vAlign w:val="top"/>
          </w:tcPr>
          <w:p w14:paraId="50955045">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1"/>
                <w:sz w:val="21"/>
                <w:szCs w:val="21"/>
                <w:highlight w:val="none"/>
              </w:rPr>
              <w:t>评标委员会的人数：</w:t>
            </w:r>
            <w:r>
              <w:rPr>
                <w:rFonts w:hint="eastAsia" w:asciiTheme="minorEastAsia" w:hAnsiTheme="minorEastAsia" w:eastAsiaTheme="minorEastAsia" w:cstheme="minorEastAsia"/>
                <w:color w:val="auto"/>
                <w:spacing w:val="-1"/>
                <w:sz w:val="21"/>
                <w:szCs w:val="21"/>
                <w:highlight w:val="none"/>
                <w:u w:val="single" w:color="auto"/>
                <w:lang w:val="en-US" w:eastAsia="zh-CN"/>
              </w:rPr>
              <w:t>5</w:t>
            </w:r>
            <w:r>
              <w:rPr>
                <w:rFonts w:hint="eastAsia" w:asciiTheme="minorEastAsia" w:hAnsiTheme="minorEastAsia" w:eastAsiaTheme="minorEastAsia" w:cstheme="minorEastAsia"/>
                <w:color w:val="auto"/>
                <w:spacing w:val="-1"/>
                <w:sz w:val="21"/>
                <w:szCs w:val="21"/>
                <w:highlight w:val="none"/>
              </w:rPr>
              <w:t>人</w:t>
            </w:r>
          </w:p>
        </w:tc>
      </w:tr>
      <w:tr w14:paraId="4869A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51830F72">
            <w:pPr>
              <w:pStyle w:val="25"/>
              <w:keepLines w:val="0"/>
              <w:pageBreakBefore w:val="0"/>
              <w:widowControl/>
              <w:kinsoku w:val="0"/>
              <w:wordWrap/>
              <w:overflowPunct/>
              <w:topLinePunct w:val="0"/>
              <w:bidi w:val="0"/>
              <w:adjustRightInd w:val="0"/>
              <w:snapToGrid w:val="0"/>
              <w:spacing w:line="520" w:lineRule="exact"/>
              <w:ind w:left="0" w:right="0"/>
              <w:jc w:val="center"/>
              <w:textAlignment w:val="baseline"/>
              <w:rPr>
                <w:rFonts w:hint="eastAsia" w:asciiTheme="minorEastAsia" w:hAnsiTheme="minorEastAsia" w:eastAsiaTheme="minorEastAsia" w:cstheme="minorEastAsia"/>
                <w:color w:val="auto"/>
                <w:spacing w:val="-13"/>
                <w:sz w:val="21"/>
                <w:szCs w:val="21"/>
              </w:rPr>
            </w:pPr>
            <w:r>
              <w:rPr>
                <w:rFonts w:hint="eastAsia" w:asciiTheme="minorEastAsia" w:hAnsiTheme="minorEastAsia" w:eastAsiaTheme="minorEastAsia" w:cstheme="minorEastAsia"/>
                <w:color w:val="auto"/>
                <w:spacing w:val="-2"/>
                <w:sz w:val="21"/>
                <w:szCs w:val="21"/>
              </w:rPr>
              <w:t>29.1</w:t>
            </w:r>
          </w:p>
        </w:tc>
        <w:tc>
          <w:tcPr>
            <w:tcW w:w="8554" w:type="dxa"/>
            <w:vAlign w:val="top"/>
          </w:tcPr>
          <w:p w14:paraId="5738B178">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right="0"/>
              <w:jc w:val="both"/>
              <w:textAlignment w:val="baseline"/>
              <w:rPr>
                <w:rFonts w:hint="eastAsia" w:asciiTheme="minorEastAsia" w:hAnsiTheme="minorEastAsia" w:eastAsiaTheme="minorEastAsia" w:cstheme="minorEastAsia"/>
                <w:color w:val="auto"/>
                <w:spacing w:val="2"/>
                <w:sz w:val="21"/>
                <w:szCs w:val="21"/>
                <w:lang w:val="en-US" w:eastAsia="zh-CN"/>
              </w:rPr>
            </w:pPr>
            <w:r>
              <w:rPr>
                <w:rFonts w:hint="eastAsia" w:asciiTheme="minorEastAsia" w:hAnsiTheme="minorEastAsia" w:eastAsiaTheme="minorEastAsia" w:cstheme="minorEastAsia"/>
                <w:color w:val="auto"/>
                <w:spacing w:val="2"/>
                <w:sz w:val="21"/>
                <w:szCs w:val="21"/>
                <w:lang w:val="en-US" w:eastAsia="zh-CN"/>
              </w:rPr>
              <w:t>评分办法：综合评分法</w:t>
            </w:r>
          </w:p>
        </w:tc>
      </w:tr>
      <w:tr w14:paraId="0461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47DC441D">
            <w:pPr>
              <w:pStyle w:val="25"/>
              <w:keepLines w:val="0"/>
              <w:pageBreakBefore w:val="0"/>
              <w:widowControl w:val="0"/>
              <w:wordWrap/>
              <w:overflowPunct/>
              <w:topLinePunct w:val="0"/>
              <w:bidi w:val="0"/>
              <w:spacing w:before="270" w:line="520" w:lineRule="exact"/>
              <w:ind w:left="288" w:leftChars="0"/>
              <w:jc w:val="center"/>
              <w:rPr>
                <w:rFonts w:hint="eastAsia" w:asciiTheme="minorEastAsia" w:hAnsiTheme="minorEastAsia" w:eastAsiaTheme="minorEastAsia" w:cstheme="minorEastAsia"/>
                <w:color w:val="auto"/>
                <w:spacing w:val="-13"/>
                <w:sz w:val="21"/>
                <w:szCs w:val="21"/>
              </w:rPr>
            </w:pPr>
            <w:r>
              <w:rPr>
                <w:rFonts w:hint="eastAsia" w:asciiTheme="minorEastAsia" w:hAnsiTheme="minorEastAsia" w:eastAsiaTheme="minorEastAsia" w:cstheme="minorEastAsia"/>
                <w:color w:val="auto"/>
                <w:spacing w:val="-3"/>
                <w:sz w:val="21"/>
                <w:szCs w:val="21"/>
              </w:rPr>
              <w:t>29.2</w:t>
            </w:r>
          </w:p>
        </w:tc>
        <w:tc>
          <w:tcPr>
            <w:tcW w:w="8554" w:type="dxa"/>
            <w:vAlign w:val="top"/>
          </w:tcPr>
          <w:p w14:paraId="375FDEDC">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firstLine="0" w:firstLineChars="0"/>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2"/>
                <w:sz w:val="21"/>
                <w:szCs w:val="21"/>
              </w:rPr>
              <w:t>商务要求评审中允许负偏离的条款数为</w:t>
            </w:r>
            <w:r>
              <w:rPr>
                <w:rFonts w:hint="eastAsia" w:asciiTheme="minorEastAsia" w:hAnsiTheme="minorEastAsia" w:eastAsiaTheme="minorEastAsia" w:cstheme="minorEastAsia"/>
                <w:color w:val="auto"/>
                <w:spacing w:val="-2"/>
                <w:sz w:val="21"/>
                <w:szCs w:val="21"/>
                <w:u w:val="single" w:color="auto"/>
              </w:rPr>
              <w:t>0</w:t>
            </w:r>
            <w:r>
              <w:rPr>
                <w:rFonts w:hint="eastAsia" w:asciiTheme="minorEastAsia" w:hAnsiTheme="minorEastAsia" w:eastAsiaTheme="minorEastAsia" w:cstheme="minorEastAsia"/>
                <w:color w:val="auto"/>
                <w:spacing w:val="-2"/>
                <w:sz w:val="21"/>
                <w:szCs w:val="21"/>
              </w:rPr>
              <w:t>项。</w:t>
            </w:r>
          </w:p>
          <w:p w14:paraId="2CE5001D">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firstLine="0" w:firstLineChars="0"/>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2"/>
                <w:sz w:val="21"/>
                <w:szCs w:val="21"/>
              </w:rPr>
              <w:t>技术要求评审中允许负偏离的条款数为</w:t>
            </w:r>
            <w:r>
              <w:rPr>
                <w:rFonts w:hint="eastAsia" w:asciiTheme="minorEastAsia" w:hAnsiTheme="minorEastAsia" w:eastAsiaTheme="minorEastAsia" w:cstheme="minorEastAsia"/>
                <w:color w:val="auto"/>
                <w:spacing w:val="-2"/>
                <w:sz w:val="21"/>
                <w:szCs w:val="21"/>
                <w:u w:val="single" w:color="auto"/>
              </w:rPr>
              <w:t>0</w:t>
            </w:r>
            <w:r>
              <w:rPr>
                <w:rFonts w:hint="eastAsia" w:asciiTheme="minorEastAsia" w:hAnsiTheme="minorEastAsia" w:eastAsiaTheme="minorEastAsia" w:cstheme="minorEastAsia"/>
                <w:color w:val="auto"/>
                <w:spacing w:val="-2"/>
                <w:sz w:val="21"/>
                <w:szCs w:val="21"/>
              </w:rPr>
              <w:t>项。</w:t>
            </w:r>
          </w:p>
        </w:tc>
      </w:tr>
      <w:tr w14:paraId="3C80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7D2FC6BC">
            <w:pPr>
              <w:pStyle w:val="25"/>
              <w:keepLines w:val="0"/>
              <w:pageBreakBefore w:val="0"/>
              <w:widowControl w:val="0"/>
              <w:wordWrap/>
              <w:overflowPunct/>
              <w:topLinePunct w:val="0"/>
              <w:bidi w:val="0"/>
              <w:spacing w:before="141" w:line="520" w:lineRule="exact"/>
              <w:ind w:left="288" w:leftChars="0"/>
              <w:jc w:val="center"/>
              <w:rPr>
                <w:rFonts w:hint="eastAsia" w:asciiTheme="minorEastAsia" w:hAnsiTheme="minorEastAsia" w:eastAsiaTheme="minorEastAsia" w:cstheme="minorEastAsia"/>
                <w:color w:val="auto"/>
                <w:spacing w:val="-13"/>
                <w:sz w:val="21"/>
                <w:szCs w:val="21"/>
              </w:rPr>
            </w:pPr>
            <w:r>
              <w:rPr>
                <w:rFonts w:hint="eastAsia" w:asciiTheme="minorEastAsia" w:hAnsiTheme="minorEastAsia" w:eastAsiaTheme="minorEastAsia" w:cstheme="minorEastAsia"/>
                <w:color w:val="auto"/>
                <w:spacing w:val="-2"/>
                <w:sz w:val="21"/>
                <w:szCs w:val="21"/>
              </w:rPr>
              <w:t>29.3</w:t>
            </w:r>
          </w:p>
        </w:tc>
        <w:tc>
          <w:tcPr>
            <w:tcW w:w="8554" w:type="dxa"/>
            <w:vAlign w:val="top"/>
          </w:tcPr>
          <w:p w14:paraId="55DCF0CF">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firstLine="0"/>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2"/>
                <w:sz w:val="21"/>
                <w:szCs w:val="21"/>
              </w:rPr>
              <w:t>中标候选人推荐数量：</w:t>
            </w:r>
            <w:r>
              <w:rPr>
                <w:rFonts w:hint="eastAsia" w:asciiTheme="minorEastAsia" w:hAnsiTheme="minorEastAsia" w:eastAsiaTheme="minorEastAsia" w:cstheme="minorEastAsia"/>
                <w:color w:val="auto"/>
                <w:spacing w:val="-2"/>
                <w:sz w:val="21"/>
                <w:szCs w:val="21"/>
                <w:u w:val="single" w:color="auto"/>
              </w:rPr>
              <w:t>3</w:t>
            </w:r>
            <w:r>
              <w:rPr>
                <w:rFonts w:hint="eastAsia" w:asciiTheme="minorEastAsia" w:hAnsiTheme="minorEastAsia" w:eastAsiaTheme="minorEastAsia" w:cstheme="minorEastAsia"/>
                <w:color w:val="auto"/>
                <w:spacing w:val="-2"/>
                <w:sz w:val="21"/>
                <w:szCs w:val="21"/>
              </w:rPr>
              <w:t>名</w:t>
            </w:r>
          </w:p>
        </w:tc>
      </w:tr>
      <w:tr w14:paraId="2AAA6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12E4673C">
            <w:pPr>
              <w:pStyle w:val="25"/>
              <w:keepLines w:val="0"/>
              <w:pageBreakBefore w:val="0"/>
              <w:widowControl w:val="0"/>
              <w:wordWrap/>
              <w:overflowPunct/>
              <w:topLinePunct w:val="0"/>
              <w:bidi w:val="0"/>
              <w:spacing w:before="68" w:line="520" w:lineRule="exact"/>
              <w:ind w:left="290" w:leftChars="0"/>
              <w:jc w:val="center"/>
              <w:rPr>
                <w:rFonts w:hint="eastAsia" w:asciiTheme="minorEastAsia" w:hAnsiTheme="minorEastAsia" w:eastAsiaTheme="minorEastAsia" w:cstheme="minorEastAsia"/>
                <w:color w:val="auto"/>
                <w:spacing w:val="-13"/>
                <w:sz w:val="21"/>
                <w:szCs w:val="21"/>
              </w:rPr>
            </w:pPr>
            <w:r>
              <w:rPr>
                <w:rFonts w:hint="eastAsia" w:asciiTheme="minorEastAsia" w:hAnsiTheme="minorEastAsia" w:eastAsiaTheme="minorEastAsia" w:cstheme="minorEastAsia"/>
                <w:color w:val="auto"/>
                <w:spacing w:val="-3"/>
                <w:sz w:val="21"/>
                <w:szCs w:val="21"/>
              </w:rPr>
              <w:t>30.1</w:t>
            </w:r>
          </w:p>
        </w:tc>
        <w:tc>
          <w:tcPr>
            <w:tcW w:w="8554" w:type="dxa"/>
            <w:vAlign w:val="top"/>
          </w:tcPr>
          <w:p w14:paraId="136887E3">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0"/>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采用综合评分法的采购项目，采购人确定中标人时，出现中标候选人并列的情形，采购人按以下的方式确定中标人：</w:t>
            </w:r>
          </w:p>
          <w:p w14:paraId="4FD8E375">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firstLine="0"/>
              <w:jc w:val="both"/>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z w:val="21"/>
                <w:szCs w:val="21"/>
              </w:rPr>
              <w:t>依次按投标报价低的优先、政策分得分高的优先、技术评分高的优先、商务评分高的优先、故障响应时间短优先……的顺序确定；</w:t>
            </w:r>
          </w:p>
        </w:tc>
      </w:tr>
      <w:tr w14:paraId="3B4A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533F721A">
            <w:pPr>
              <w:pStyle w:val="25"/>
              <w:keepLines w:val="0"/>
              <w:pageBreakBefore w:val="0"/>
              <w:widowControl w:val="0"/>
              <w:wordWrap/>
              <w:overflowPunct/>
              <w:topLinePunct w:val="0"/>
              <w:bidi w:val="0"/>
              <w:spacing w:before="67" w:line="520" w:lineRule="exact"/>
              <w:ind w:left="290" w:leftChars="0"/>
              <w:jc w:val="center"/>
              <w:rPr>
                <w:rFonts w:hint="eastAsia" w:asciiTheme="minorEastAsia" w:hAnsiTheme="minorEastAsia" w:eastAsiaTheme="minorEastAsia" w:cstheme="minorEastAsia"/>
                <w:color w:val="auto"/>
                <w:spacing w:val="-13"/>
                <w:sz w:val="21"/>
                <w:szCs w:val="21"/>
              </w:rPr>
            </w:pPr>
            <w:r>
              <w:rPr>
                <w:rFonts w:hint="eastAsia" w:asciiTheme="minorEastAsia" w:hAnsiTheme="minorEastAsia" w:eastAsiaTheme="minorEastAsia" w:cstheme="minorEastAsia"/>
                <w:color w:val="auto"/>
                <w:spacing w:val="-3"/>
                <w:sz w:val="21"/>
                <w:szCs w:val="21"/>
              </w:rPr>
              <w:t>35.1</w:t>
            </w:r>
          </w:p>
        </w:tc>
        <w:tc>
          <w:tcPr>
            <w:tcW w:w="8554" w:type="dxa"/>
            <w:vAlign w:val="top"/>
          </w:tcPr>
          <w:p w14:paraId="34CCB002">
            <w:pPr>
              <w:keepNext w:val="0"/>
              <w:keepLines w:val="0"/>
              <w:pageBreakBefore w:val="0"/>
              <w:widowControl w:val="0"/>
              <w:kinsoku/>
              <w:wordWrap/>
              <w:overflowPunct/>
              <w:topLinePunct w:val="0"/>
              <w:autoSpaceDE/>
              <w:autoSpaceDN/>
              <w:bidi w:val="0"/>
              <w:adjustRightInd/>
              <w:snapToGrid/>
              <w:spacing w:line="520" w:lineRule="exact"/>
              <w:contextualSpacing/>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本项目不收取</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履约保证金</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28C660DA">
            <w:pPr>
              <w:keepNext w:val="0"/>
              <w:keepLines w:val="0"/>
              <w:pageBreakBefore w:val="0"/>
              <w:widowControl w:val="0"/>
              <w:kinsoku/>
              <w:wordWrap/>
              <w:overflowPunct/>
              <w:topLinePunct w:val="0"/>
              <w:autoSpaceDE/>
              <w:autoSpaceDN/>
              <w:bidi w:val="0"/>
              <w:adjustRightInd/>
              <w:snapToGrid/>
              <w:spacing w:line="520" w:lineRule="exact"/>
              <w:contextualSpacing/>
              <w:textAlignment w:val="auto"/>
              <w:rPr>
                <w:rFonts w:hint="eastAsia" w:asciiTheme="minorEastAsia" w:hAnsiTheme="minorEastAsia" w:eastAsiaTheme="minorEastAsia" w:cstheme="minorEastAsia"/>
                <w:color w:val="000000" w:themeColor="text1"/>
                <w:spacing w:val="2"/>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本项目收取</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履约</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保证金，具体规定如下：</w:t>
            </w:r>
          </w:p>
          <w:p w14:paraId="35CFC437">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textAlignment w:val="baseline"/>
              <w:rPr>
                <w:rFonts w:hint="eastAsia" w:asciiTheme="minorEastAsia" w:hAnsiTheme="minorEastAsia" w:eastAsiaTheme="minorEastAsia" w:cstheme="minorEastAsia"/>
                <w:color w:val="000000" w:themeColor="text1"/>
                <w:spacing w:val="2"/>
                <w:sz w:val="21"/>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 w:val="21"/>
                <w:szCs w:val="21"/>
                <w14:textFill>
                  <w14:solidFill>
                    <w14:schemeClr w14:val="tx1"/>
                  </w14:solidFill>
                </w14:textFill>
              </w:rPr>
              <w:t>履约保证金金额：每分标按中标金额的</w:t>
            </w:r>
            <w:r>
              <w:rPr>
                <w:rFonts w:hint="eastAsia" w:asciiTheme="minorEastAsia" w:hAnsiTheme="minorEastAsia" w:eastAsiaTheme="minorEastAsia" w:cstheme="minorEastAsia"/>
                <w:color w:val="000000" w:themeColor="text1"/>
                <w:spacing w:val="2"/>
                <w:sz w:val="21"/>
                <w:szCs w:val="21"/>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
                <w:sz w:val="21"/>
                <w:szCs w:val="21"/>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
                <w:sz w:val="21"/>
                <w:szCs w:val="21"/>
                <w14:textFill>
                  <w14:solidFill>
                    <w14:schemeClr w14:val="tx1"/>
                  </w14:solidFill>
                </w14:textFill>
              </w:rPr>
              <w:t>%（注：政府采购加大对中小企业发展的扶持力度，对中小企业收取的履约保证金数额按中标金额的</w:t>
            </w:r>
            <w:r>
              <w:rPr>
                <w:rFonts w:hint="eastAsia" w:asciiTheme="minorEastAsia" w:hAnsiTheme="minorEastAsia" w:eastAsiaTheme="minorEastAsia" w:cstheme="minorEastAsia"/>
                <w:color w:val="000000" w:themeColor="text1"/>
                <w:spacing w:val="2"/>
                <w:sz w:val="21"/>
                <w:szCs w:val="21"/>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
                <w:sz w:val="21"/>
                <w:szCs w:val="21"/>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
                <w:sz w:val="21"/>
                <w:szCs w:val="21"/>
                <w14:textFill>
                  <w14:solidFill>
                    <w14:schemeClr w14:val="tx1"/>
                  </w14:solidFill>
                </w14:textFill>
              </w:rPr>
              <w:t>%）。</w:t>
            </w:r>
          </w:p>
          <w:p w14:paraId="265E80E0">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textAlignment w:val="baseline"/>
              <w:rPr>
                <w:rFonts w:hint="eastAsia" w:asciiTheme="minorEastAsia" w:hAnsiTheme="minorEastAsia" w:eastAsiaTheme="minorEastAsia" w:cstheme="minorEastAsia"/>
                <w:color w:val="000000" w:themeColor="text1"/>
                <w:spacing w:val="2"/>
                <w:sz w:val="21"/>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 w:val="21"/>
                <w:szCs w:val="21"/>
                <w14:textFill>
                  <w14:solidFill>
                    <w14:schemeClr w14:val="tx1"/>
                  </w14:solidFill>
                </w14:textFill>
              </w:rPr>
              <w:t>履约保证金递交方式：支票、汇票、本票或者金融、担保机构出具的保函等非现金方式。</w:t>
            </w:r>
          </w:p>
          <w:p w14:paraId="59041F3C">
            <w:pPr>
              <w:keepNext w:val="0"/>
              <w:keepLines w:val="0"/>
              <w:pageBreakBefore w:val="0"/>
              <w:widowControl w:val="0"/>
              <w:kinsoku/>
              <w:wordWrap/>
              <w:overflowPunct/>
              <w:topLinePunct w:val="0"/>
              <w:autoSpaceDE/>
              <w:autoSpaceDN/>
              <w:bidi w:val="0"/>
              <w:adjustRightInd/>
              <w:snapToGrid/>
              <w:spacing w:line="520" w:lineRule="exact"/>
              <w:contextualSpacing/>
              <w:textAlignment w:val="auto"/>
              <w:rPr>
                <w:rFonts w:hint="eastAsia" w:asciiTheme="minorEastAsia" w:hAnsiTheme="minorEastAsia" w:eastAsiaTheme="minorEastAsia" w:cstheme="minorEastAsia"/>
                <w:color w:val="auto"/>
                <w:spacing w:val="2"/>
                <w:sz w:val="21"/>
                <w:szCs w:val="21"/>
                <w:lang w:val="en-US" w:eastAsia="zh-CN"/>
              </w:rPr>
            </w:pPr>
            <w:r>
              <w:rPr>
                <w:rFonts w:hint="eastAsia" w:asciiTheme="minorEastAsia" w:hAnsiTheme="minorEastAsia" w:eastAsiaTheme="minorEastAsia" w:cstheme="minorEastAsia"/>
                <w:color w:val="auto"/>
                <w:sz w:val="21"/>
                <w:szCs w:val="21"/>
                <w:highlight w:val="none"/>
              </w:rPr>
              <w:t>开户名称：</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开户银行：</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银行账号：</w:t>
            </w:r>
            <w:r>
              <w:rPr>
                <w:rFonts w:hint="eastAsia" w:asciiTheme="minorEastAsia" w:hAnsiTheme="minorEastAsia" w:eastAsiaTheme="minorEastAsia" w:cstheme="minorEastAsia"/>
                <w:color w:val="auto"/>
                <w:sz w:val="21"/>
                <w:szCs w:val="21"/>
                <w:highlight w:val="none"/>
                <w:u w:val="single"/>
                <w:lang w:val="en-US" w:eastAsia="zh-CN"/>
              </w:rPr>
              <w:t xml:space="preserve">                 </w:t>
            </w:r>
          </w:p>
        </w:tc>
      </w:tr>
      <w:tr w14:paraId="2556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3624D1F9">
            <w:pPr>
              <w:pStyle w:val="25"/>
              <w:keepLines w:val="0"/>
              <w:pageBreakBefore w:val="0"/>
              <w:widowControl w:val="0"/>
              <w:wordWrap/>
              <w:overflowPunct/>
              <w:topLinePunct w:val="0"/>
              <w:bidi w:val="0"/>
              <w:spacing w:before="69" w:line="520" w:lineRule="exact"/>
              <w:ind w:left="290" w:leftChars="0"/>
              <w:jc w:val="center"/>
              <w:rPr>
                <w:rFonts w:hint="eastAsia" w:asciiTheme="minorEastAsia" w:hAnsiTheme="minorEastAsia" w:eastAsiaTheme="minorEastAsia" w:cstheme="minorEastAsia"/>
                <w:color w:val="auto"/>
                <w:spacing w:val="-2"/>
                <w:sz w:val="21"/>
                <w:szCs w:val="21"/>
              </w:rPr>
            </w:pPr>
          </w:p>
        </w:tc>
        <w:tc>
          <w:tcPr>
            <w:tcW w:w="8554" w:type="dxa"/>
            <w:vAlign w:val="top"/>
          </w:tcPr>
          <w:p w14:paraId="101E8B4A">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textAlignment w:val="baseline"/>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sz w:val="21"/>
                <w:szCs w:val="21"/>
                <w:lang w:eastAsia="zh-CN"/>
              </w:rPr>
              <w:t>其他要求</w:t>
            </w:r>
            <w:r>
              <w:rPr>
                <w:rFonts w:hint="eastAsia" w:asciiTheme="minorEastAsia" w:hAnsiTheme="minorEastAsia" w:eastAsiaTheme="minorEastAsia" w:cstheme="minorEastAsia"/>
                <w:sz w:val="21"/>
                <w:szCs w:val="21"/>
              </w:rPr>
              <w:t>：</w:t>
            </w:r>
            <w:bookmarkStart w:id="74" w:name="EBabea10849925416eafa8221a75dd2939"/>
            <w:r>
              <w:rPr>
                <w:rFonts w:hint="eastAsia" w:asciiTheme="minorEastAsia" w:hAnsiTheme="minorEastAsia" w:eastAsiaTheme="minorEastAsia" w:cstheme="minorEastAsia"/>
                <w:sz w:val="21"/>
                <w:szCs w:val="21"/>
              </w:rPr>
              <w:t>中标</w:t>
            </w:r>
            <w:r>
              <w:rPr>
                <w:rFonts w:hint="eastAsia" w:asciiTheme="minorEastAsia" w:hAnsiTheme="minorEastAsia" w:eastAsiaTheme="minorEastAsia" w:cstheme="minorEastAsia"/>
                <w:sz w:val="21"/>
                <w:szCs w:val="21"/>
                <w:lang w:eastAsia="zh-CN"/>
              </w:rPr>
              <w:t>（成交）人</w:t>
            </w:r>
            <w:r>
              <w:rPr>
                <w:rFonts w:hint="eastAsia" w:asciiTheme="minorEastAsia" w:hAnsiTheme="minorEastAsia" w:eastAsiaTheme="minorEastAsia" w:cstheme="minorEastAsia"/>
                <w:sz w:val="21"/>
                <w:szCs w:val="21"/>
              </w:rPr>
              <w:t>在中标</w:t>
            </w:r>
            <w:r>
              <w:rPr>
                <w:rFonts w:hint="eastAsia" w:asciiTheme="minorEastAsia" w:hAnsiTheme="minorEastAsia" w:eastAsiaTheme="minorEastAsia" w:cstheme="minorEastAsia"/>
                <w:sz w:val="21"/>
                <w:szCs w:val="21"/>
                <w:lang w:val="en-US" w:eastAsia="zh-CN"/>
              </w:rPr>
              <w:t>(成交)</w:t>
            </w:r>
            <w:r>
              <w:rPr>
                <w:rFonts w:hint="eastAsia" w:asciiTheme="minorEastAsia" w:hAnsiTheme="minorEastAsia" w:eastAsiaTheme="minorEastAsia" w:cstheme="minorEastAsia"/>
                <w:sz w:val="21"/>
                <w:szCs w:val="21"/>
              </w:rPr>
              <w:t>公告发布之日起7个工作日内，向广西壮锦工程管理咨询有限公司邮寄纸质投标文件正本1份，副本</w:t>
            </w: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rPr>
              <w:t>份，共</w:t>
            </w: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rPr>
              <w:t>份。以便归档日后方便查阅。</w:t>
            </w:r>
            <w:bookmarkEnd w:id="74"/>
          </w:p>
        </w:tc>
      </w:tr>
      <w:tr w14:paraId="2ED9D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289491CF">
            <w:pPr>
              <w:pStyle w:val="25"/>
              <w:keepLines w:val="0"/>
              <w:pageBreakBefore w:val="0"/>
              <w:widowControl w:val="0"/>
              <w:wordWrap/>
              <w:overflowPunct/>
              <w:topLinePunct w:val="0"/>
              <w:bidi w:val="0"/>
              <w:spacing w:before="69" w:line="520" w:lineRule="exact"/>
              <w:ind w:left="290" w:leftChars="0"/>
              <w:jc w:val="center"/>
              <w:rPr>
                <w:rFonts w:hint="eastAsia" w:asciiTheme="minorEastAsia" w:hAnsiTheme="minorEastAsia" w:eastAsiaTheme="minorEastAsia" w:cstheme="minorEastAsia"/>
                <w:color w:val="auto"/>
                <w:spacing w:val="-13"/>
                <w:sz w:val="21"/>
                <w:szCs w:val="21"/>
              </w:rPr>
            </w:pPr>
            <w:r>
              <w:rPr>
                <w:rFonts w:hint="eastAsia" w:asciiTheme="minorEastAsia" w:hAnsiTheme="minorEastAsia" w:eastAsiaTheme="minorEastAsia" w:cstheme="minorEastAsia"/>
                <w:color w:val="auto"/>
                <w:spacing w:val="-2"/>
                <w:sz w:val="21"/>
                <w:szCs w:val="21"/>
              </w:rPr>
              <w:t>36.1</w:t>
            </w:r>
          </w:p>
        </w:tc>
        <w:tc>
          <w:tcPr>
            <w:tcW w:w="8554" w:type="dxa"/>
            <w:vAlign w:val="top"/>
          </w:tcPr>
          <w:p w14:paraId="34ADD57F">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3"/>
                <w:sz w:val="21"/>
                <w:szCs w:val="21"/>
              </w:rPr>
              <w:t>签订合同携带的证明材料：</w:t>
            </w:r>
          </w:p>
          <w:p w14:paraId="3111B52C">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委托代理人负责签订合同的，须携带授权委托书及委托代理人身份证原件等其他资格证</w:t>
            </w:r>
            <w:r>
              <w:rPr>
                <w:rFonts w:hint="eastAsia" w:asciiTheme="minorEastAsia" w:hAnsiTheme="minorEastAsia" w:eastAsiaTheme="minorEastAsia" w:cstheme="minorEastAsia"/>
                <w:color w:val="auto"/>
                <w:spacing w:val="-10"/>
                <w:sz w:val="21"/>
                <w:szCs w:val="21"/>
              </w:rPr>
              <w:t>件。</w:t>
            </w:r>
          </w:p>
          <w:p w14:paraId="099D5EE5">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1"/>
                <w:sz w:val="21"/>
                <w:szCs w:val="21"/>
              </w:rPr>
              <w:t>法定代表人</w:t>
            </w:r>
            <w:r>
              <w:rPr>
                <w:rFonts w:hint="eastAsia" w:asciiTheme="minorEastAsia" w:hAnsiTheme="minorEastAsia" w:eastAsiaTheme="minorEastAsia" w:cstheme="minorEastAsia"/>
                <w:color w:val="auto"/>
                <w:spacing w:val="-1"/>
                <w:sz w:val="21"/>
                <w:szCs w:val="21"/>
                <w:lang w:eastAsia="zh-CN"/>
              </w:rPr>
              <w:t>（负责人）</w:t>
            </w:r>
            <w:r>
              <w:rPr>
                <w:rFonts w:hint="eastAsia" w:asciiTheme="minorEastAsia" w:hAnsiTheme="minorEastAsia" w:eastAsiaTheme="minorEastAsia" w:cstheme="minorEastAsia"/>
                <w:color w:val="auto"/>
                <w:spacing w:val="-1"/>
                <w:sz w:val="21"/>
                <w:szCs w:val="21"/>
              </w:rPr>
              <w:t>负责签订合同的，须携带法定代表人</w:t>
            </w:r>
            <w:r>
              <w:rPr>
                <w:rFonts w:hint="eastAsia" w:asciiTheme="minorEastAsia" w:hAnsiTheme="minorEastAsia" w:eastAsiaTheme="minorEastAsia" w:cstheme="minorEastAsia"/>
                <w:color w:val="auto"/>
                <w:spacing w:val="-1"/>
                <w:sz w:val="21"/>
                <w:szCs w:val="21"/>
                <w:lang w:eastAsia="zh-CN"/>
              </w:rPr>
              <w:t>（负责人）</w:t>
            </w:r>
            <w:r>
              <w:rPr>
                <w:rFonts w:hint="eastAsia" w:asciiTheme="minorEastAsia" w:hAnsiTheme="minorEastAsia" w:eastAsiaTheme="minorEastAsia" w:cstheme="minorEastAsia"/>
                <w:color w:val="auto"/>
                <w:spacing w:val="-1"/>
                <w:sz w:val="21"/>
                <w:szCs w:val="21"/>
              </w:rPr>
              <w:t>身份证明原件及身份证原件等其他证明</w:t>
            </w:r>
            <w:r>
              <w:rPr>
                <w:rFonts w:hint="eastAsia" w:asciiTheme="minorEastAsia" w:hAnsiTheme="minorEastAsia" w:eastAsiaTheme="minorEastAsia" w:cstheme="minorEastAsia"/>
                <w:color w:val="auto"/>
                <w:spacing w:val="-8"/>
                <w:sz w:val="21"/>
                <w:szCs w:val="21"/>
              </w:rPr>
              <w:t>材料。</w:t>
            </w:r>
          </w:p>
        </w:tc>
      </w:tr>
      <w:tr w14:paraId="25E79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45991D8F">
            <w:pPr>
              <w:pStyle w:val="25"/>
              <w:keepLines w:val="0"/>
              <w:pageBreakBefore w:val="0"/>
              <w:widowControl w:val="0"/>
              <w:wordWrap/>
              <w:overflowPunct/>
              <w:topLinePunct w:val="0"/>
              <w:bidi w:val="0"/>
              <w:spacing w:before="68" w:line="520" w:lineRule="exact"/>
              <w:ind w:left="290" w:leftChars="0"/>
              <w:jc w:val="center"/>
              <w:rPr>
                <w:rFonts w:hint="eastAsia" w:asciiTheme="minorEastAsia" w:hAnsiTheme="minorEastAsia" w:eastAsiaTheme="minorEastAsia" w:cstheme="minorEastAsia"/>
                <w:color w:val="auto"/>
                <w:spacing w:val="-13"/>
                <w:sz w:val="21"/>
                <w:szCs w:val="21"/>
              </w:rPr>
            </w:pPr>
            <w:r>
              <w:rPr>
                <w:rFonts w:hint="eastAsia" w:asciiTheme="minorEastAsia" w:hAnsiTheme="minorEastAsia" w:eastAsiaTheme="minorEastAsia" w:cstheme="minorEastAsia"/>
                <w:color w:val="auto"/>
                <w:spacing w:val="-3"/>
                <w:sz w:val="21"/>
                <w:szCs w:val="21"/>
              </w:rPr>
              <w:t>38.2</w:t>
            </w:r>
          </w:p>
        </w:tc>
        <w:tc>
          <w:tcPr>
            <w:tcW w:w="8554" w:type="dxa"/>
            <w:vAlign w:val="top"/>
          </w:tcPr>
          <w:p w14:paraId="173D629E">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right="0"/>
              <w:jc w:val="left"/>
              <w:textAlignment w:val="baseline"/>
              <w:rPr>
                <w:rFonts w:hint="eastAsia" w:asciiTheme="minorEastAsia" w:hAnsiTheme="minorEastAsia" w:eastAsiaTheme="minorEastAsia" w:cstheme="minorEastAsia"/>
                <w:color w:val="auto"/>
                <w:spacing w:val="-4"/>
                <w:sz w:val="21"/>
                <w:szCs w:val="21"/>
                <w:u w:val="none" w:color="auto"/>
                <w:lang w:eastAsia="zh-CN"/>
              </w:rPr>
            </w:pPr>
            <w:r>
              <w:rPr>
                <w:rFonts w:hint="eastAsia" w:asciiTheme="minorEastAsia" w:hAnsiTheme="minorEastAsia" w:eastAsiaTheme="minorEastAsia" w:cstheme="minorEastAsia"/>
                <w:color w:val="auto"/>
                <w:spacing w:val="-4"/>
                <w:sz w:val="21"/>
                <w:szCs w:val="21"/>
                <w:u w:val="none" w:color="auto"/>
                <w:lang w:eastAsia="zh-CN"/>
              </w:rPr>
              <w:t>接收质疑函方式：以书面形式</w:t>
            </w:r>
            <w:r>
              <w:rPr>
                <w:rFonts w:hint="eastAsia" w:asciiTheme="minorEastAsia" w:hAnsiTheme="minorEastAsia" w:eastAsiaTheme="minorEastAsia" w:cstheme="minorEastAsia"/>
                <w:color w:val="auto"/>
                <w:sz w:val="21"/>
                <w:szCs w:val="21"/>
                <w:lang w:val="en-US" w:eastAsia="zh-CN"/>
              </w:rPr>
              <w:t>（注：广西政府采购云平台未开通在线质疑）</w:t>
            </w:r>
          </w:p>
          <w:p w14:paraId="09A5AF1F">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right="0"/>
              <w:jc w:val="both"/>
              <w:textAlignment w:val="baseline"/>
              <w:rPr>
                <w:rFonts w:hint="eastAsia" w:asciiTheme="minorEastAsia" w:hAnsiTheme="minorEastAsia" w:eastAsiaTheme="minorEastAsia" w:cstheme="minorEastAsia"/>
                <w:color w:val="auto"/>
                <w:spacing w:val="-4"/>
                <w:sz w:val="21"/>
                <w:szCs w:val="21"/>
                <w:u w:val="none" w:color="auto"/>
                <w:lang w:eastAsia="zh-CN"/>
              </w:rPr>
            </w:pPr>
            <w:r>
              <w:rPr>
                <w:rFonts w:hint="eastAsia" w:asciiTheme="minorEastAsia" w:hAnsiTheme="minorEastAsia" w:eastAsiaTheme="minorEastAsia" w:cstheme="minorEastAsia"/>
                <w:color w:val="auto"/>
                <w:spacing w:val="-4"/>
                <w:sz w:val="21"/>
                <w:szCs w:val="21"/>
                <w:u w:val="none" w:color="auto"/>
                <w:lang w:eastAsia="zh-CN"/>
              </w:rPr>
              <w:t>质疑联系部门及联系方式：广西壮锦工程管理咨询有限公司招标部门，联系电话：</w:t>
            </w:r>
            <w:r>
              <w:rPr>
                <w:rFonts w:hint="eastAsia" w:asciiTheme="minorEastAsia" w:hAnsiTheme="minorEastAsia" w:eastAsiaTheme="minorEastAsia" w:cstheme="minorEastAsia"/>
                <w:color w:val="auto"/>
                <w:spacing w:val="-4"/>
                <w:sz w:val="21"/>
                <w:szCs w:val="21"/>
                <w:u w:val="none" w:color="auto"/>
                <w:lang w:val="en-US" w:eastAsia="zh-CN"/>
              </w:rPr>
              <w:t>0</w:t>
            </w:r>
            <w:r>
              <w:rPr>
                <w:rFonts w:hint="eastAsia" w:asciiTheme="minorEastAsia" w:hAnsiTheme="minorEastAsia" w:eastAsiaTheme="minorEastAsia" w:cstheme="minorEastAsia"/>
                <w:color w:val="auto"/>
                <w:spacing w:val="-4"/>
                <w:sz w:val="21"/>
                <w:szCs w:val="21"/>
                <w:u w:val="none" w:color="auto"/>
                <w:lang w:eastAsia="zh-CN"/>
              </w:rPr>
              <w:t>776</w:t>
            </w:r>
            <w:r>
              <w:rPr>
                <w:rFonts w:hint="eastAsia" w:asciiTheme="minorEastAsia" w:hAnsiTheme="minorEastAsia" w:eastAsiaTheme="minorEastAsia" w:cstheme="minorEastAsia"/>
                <w:color w:val="auto"/>
                <w:spacing w:val="-4"/>
                <w:sz w:val="21"/>
                <w:szCs w:val="21"/>
                <w:u w:val="none" w:color="auto"/>
                <w:lang w:val="en-US" w:eastAsia="zh-CN"/>
              </w:rPr>
              <w:t>-</w:t>
            </w:r>
            <w:r>
              <w:rPr>
                <w:rFonts w:hint="eastAsia" w:asciiTheme="minorEastAsia" w:hAnsiTheme="minorEastAsia" w:eastAsiaTheme="minorEastAsia" w:cstheme="minorEastAsia"/>
                <w:color w:val="auto"/>
                <w:spacing w:val="-4"/>
                <w:sz w:val="21"/>
                <w:szCs w:val="21"/>
                <w:u w:val="none" w:color="auto"/>
                <w:lang w:eastAsia="zh-CN"/>
              </w:rPr>
              <w:t>5062589，通讯地址：百色市右江区前程路4号长乐星城写字楼10楼1006号。</w:t>
            </w:r>
          </w:p>
          <w:p w14:paraId="5E2AA587">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right="0" w:rightChars="0"/>
              <w:jc w:val="both"/>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3"/>
                <w:sz w:val="21"/>
                <w:szCs w:val="21"/>
              </w:rPr>
              <w:t>现场提交质疑办理业务时间：工作日每天上午</w:t>
            </w:r>
            <w:r>
              <w:rPr>
                <w:rFonts w:hint="eastAsia" w:asciiTheme="minorEastAsia" w:hAnsiTheme="minorEastAsia" w:eastAsiaTheme="minorEastAsia" w:cstheme="minorEastAsia"/>
                <w:color w:val="auto"/>
                <w:spacing w:val="-3"/>
                <w:sz w:val="21"/>
                <w:szCs w:val="21"/>
                <w:lang w:val="en-US" w:eastAsia="zh-CN"/>
              </w:rPr>
              <w:t>09</w:t>
            </w:r>
            <w:r>
              <w:rPr>
                <w:rFonts w:hint="eastAsia" w:asciiTheme="minorEastAsia" w:hAnsiTheme="minorEastAsia" w:eastAsiaTheme="minorEastAsia" w:cstheme="minorEastAsia"/>
                <w:color w:val="auto"/>
                <w:spacing w:val="-3"/>
                <w:sz w:val="21"/>
                <w:szCs w:val="21"/>
              </w:rPr>
              <w:t>时00分到1</w:t>
            </w:r>
            <w:r>
              <w:rPr>
                <w:rFonts w:hint="eastAsia" w:asciiTheme="minorEastAsia" w:hAnsiTheme="minorEastAsia" w:eastAsiaTheme="minorEastAsia" w:cstheme="minorEastAsia"/>
                <w:color w:val="auto"/>
                <w:spacing w:val="-4"/>
                <w:sz w:val="21"/>
                <w:szCs w:val="21"/>
              </w:rPr>
              <w:t>2时00分，下</w:t>
            </w:r>
            <w:r>
              <w:rPr>
                <w:rFonts w:hint="eastAsia" w:asciiTheme="minorEastAsia" w:hAnsiTheme="minorEastAsia" w:eastAsiaTheme="minorEastAsia" w:cstheme="minorEastAsia"/>
                <w:color w:val="auto"/>
                <w:spacing w:val="-4"/>
                <w:sz w:val="21"/>
                <w:szCs w:val="21"/>
                <w:u w:val="none" w:color="auto"/>
                <w:lang w:eastAsia="zh-CN"/>
              </w:rPr>
              <w:t>午</w:t>
            </w:r>
            <w:r>
              <w:rPr>
                <w:rFonts w:hint="eastAsia" w:asciiTheme="minorEastAsia" w:hAnsiTheme="minorEastAsia" w:eastAsiaTheme="minorEastAsia" w:cstheme="minorEastAsia"/>
                <w:color w:val="auto"/>
                <w:spacing w:val="-4"/>
                <w:sz w:val="21"/>
                <w:szCs w:val="21"/>
                <w:u w:val="none" w:color="auto"/>
                <w:lang w:val="en-US" w:eastAsia="zh-CN"/>
              </w:rPr>
              <w:t>15</w:t>
            </w:r>
            <w:r>
              <w:rPr>
                <w:rFonts w:hint="eastAsia" w:asciiTheme="minorEastAsia" w:hAnsiTheme="minorEastAsia" w:eastAsiaTheme="minorEastAsia" w:cstheme="minorEastAsia"/>
                <w:color w:val="auto"/>
                <w:spacing w:val="-4"/>
                <w:sz w:val="21"/>
                <w:szCs w:val="21"/>
                <w:u w:val="none" w:color="auto"/>
                <w:lang w:eastAsia="zh-CN"/>
              </w:rPr>
              <w:t>时00分到</w:t>
            </w:r>
            <w:r>
              <w:rPr>
                <w:rFonts w:hint="eastAsia" w:asciiTheme="minorEastAsia" w:hAnsiTheme="minorEastAsia" w:eastAsiaTheme="minorEastAsia" w:cstheme="minorEastAsia"/>
                <w:color w:val="auto"/>
                <w:spacing w:val="-4"/>
                <w:sz w:val="21"/>
                <w:szCs w:val="21"/>
                <w:u w:val="none" w:color="auto"/>
                <w:lang w:val="en-US" w:eastAsia="zh-CN"/>
              </w:rPr>
              <w:t>18</w:t>
            </w:r>
            <w:r>
              <w:rPr>
                <w:rFonts w:hint="eastAsia" w:asciiTheme="minorEastAsia" w:hAnsiTheme="minorEastAsia" w:eastAsiaTheme="minorEastAsia" w:cstheme="minorEastAsia"/>
                <w:color w:val="auto"/>
                <w:spacing w:val="-4"/>
                <w:sz w:val="21"/>
                <w:szCs w:val="21"/>
                <w:u w:val="none" w:color="auto"/>
                <w:lang w:eastAsia="zh-CN"/>
              </w:rPr>
              <w:t>时</w:t>
            </w:r>
            <w:r>
              <w:rPr>
                <w:rFonts w:hint="eastAsia" w:asciiTheme="minorEastAsia" w:hAnsiTheme="minorEastAsia" w:eastAsiaTheme="minorEastAsia" w:cstheme="minorEastAsia"/>
                <w:color w:val="auto"/>
                <w:spacing w:val="-8"/>
                <w:sz w:val="21"/>
                <w:szCs w:val="21"/>
              </w:rPr>
              <w:t>00分。</w:t>
            </w:r>
            <w:r>
              <w:rPr>
                <w:rFonts w:hint="eastAsia" w:asciiTheme="minorEastAsia" w:hAnsiTheme="minorEastAsia" w:eastAsiaTheme="minorEastAsia" w:cstheme="minorEastAsia"/>
                <w:color w:val="auto"/>
                <w:sz w:val="21"/>
                <w:szCs w:val="21"/>
              </w:rPr>
              <w:t>业务时间以外、双休日和法定节假日不办理业务。</w:t>
            </w:r>
          </w:p>
        </w:tc>
      </w:tr>
      <w:tr w14:paraId="339FE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7B43CDA9">
            <w:pPr>
              <w:pStyle w:val="25"/>
              <w:keepLines w:val="0"/>
              <w:pageBreakBefore w:val="0"/>
              <w:widowControl/>
              <w:kinsoku w:val="0"/>
              <w:wordWrap/>
              <w:overflowPunct/>
              <w:topLinePunct w:val="0"/>
              <w:bidi w:val="0"/>
              <w:adjustRightInd w:val="0"/>
              <w:snapToGrid w:val="0"/>
              <w:spacing w:line="520" w:lineRule="exact"/>
              <w:ind w:left="0" w:right="0"/>
              <w:jc w:val="center"/>
              <w:textAlignment w:val="baseline"/>
              <w:rPr>
                <w:rFonts w:hint="eastAsia" w:asciiTheme="minorEastAsia" w:hAnsiTheme="minorEastAsia" w:eastAsiaTheme="minorEastAsia" w:cstheme="minorEastAsia"/>
                <w:color w:val="auto"/>
                <w:spacing w:val="-13"/>
                <w:sz w:val="21"/>
                <w:szCs w:val="21"/>
                <w:lang w:val="en-US" w:eastAsia="zh-CN"/>
              </w:rPr>
            </w:pPr>
            <w:r>
              <w:rPr>
                <w:rFonts w:hint="eastAsia" w:asciiTheme="minorEastAsia" w:hAnsiTheme="minorEastAsia" w:eastAsiaTheme="minorEastAsia" w:cstheme="minorEastAsia"/>
                <w:color w:val="auto"/>
                <w:spacing w:val="-13"/>
                <w:sz w:val="21"/>
                <w:szCs w:val="21"/>
                <w:lang w:val="en-US" w:eastAsia="zh-CN"/>
              </w:rPr>
              <w:t>39.1</w:t>
            </w:r>
          </w:p>
        </w:tc>
        <w:tc>
          <w:tcPr>
            <w:tcW w:w="8554" w:type="dxa"/>
            <w:vAlign w:val="top"/>
          </w:tcPr>
          <w:p w14:paraId="4C65D672">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4"/>
                <w:sz w:val="21"/>
                <w:szCs w:val="21"/>
              </w:rPr>
              <w:t>1.采购代理费支付方式：</w:t>
            </w:r>
          </w:p>
          <w:p w14:paraId="13664D70">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right="0"/>
              <w:jc w:val="both"/>
              <w:textAlignment w:val="baseline"/>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color w:val="auto"/>
                <w:spacing w:val="-1"/>
                <w:sz w:val="21"/>
                <w:szCs w:val="21"/>
              </w:rPr>
              <w:t>本项目代理服务费由</w:t>
            </w:r>
            <w:r>
              <w:rPr>
                <w:rFonts w:hint="eastAsia" w:asciiTheme="minorEastAsia" w:hAnsiTheme="minorEastAsia" w:eastAsiaTheme="minorEastAsia" w:cstheme="minorEastAsia"/>
                <w:color w:val="auto"/>
                <w:spacing w:val="-1"/>
                <w:sz w:val="21"/>
                <w:szCs w:val="21"/>
                <w:u w:val="single" w:color="auto"/>
              </w:rPr>
              <w:t>中标人</w:t>
            </w:r>
            <w:r>
              <w:rPr>
                <w:rFonts w:hint="eastAsia" w:asciiTheme="minorEastAsia" w:hAnsiTheme="minorEastAsia" w:eastAsiaTheme="minorEastAsia" w:cstheme="minorEastAsia"/>
                <w:color w:val="auto"/>
                <w:spacing w:val="-1"/>
                <w:sz w:val="21"/>
                <w:szCs w:val="21"/>
              </w:rPr>
              <w:t>在领取中标通知书前，一次性向采购代理机构支付。</w:t>
            </w:r>
          </w:p>
          <w:p w14:paraId="0E0BE0EF">
            <w:pPr>
              <w:keepNext w:val="0"/>
              <w:keepLines w:val="0"/>
              <w:pageBreakBefore w:val="0"/>
              <w:widowControl/>
              <w:tabs>
                <w:tab w:val="left" w:pos="207"/>
              </w:tabs>
              <w:kinsoku w:val="0"/>
              <w:wordWrap/>
              <w:overflowPunct/>
              <w:topLinePunct w:val="0"/>
              <w:autoSpaceDE w:val="0"/>
              <w:autoSpaceDN w:val="0"/>
              <w:bidi w:val="0"/>
              <w:adjustRightInd w:val="0"/>
              <w:snapToGrid w:val="0"/>
              <w:spacing w:line="520" w:lineRule="exact"/>
              <w:ind w:right="0"/>
              <w:jc w:val="both"/>
              <w:textAlignment w:val="baseline"/>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3"/>
                <w:sz w:val="21"/>
                <w:szCs w:val="21"/>
              </w:rPr>
              <w:t>2.采购代理费收取标准：</w:t>
            </w:r>
            <w:r>
              <w:rPr>
                <w:rFonts w:hint="eastAsia" w:asciiTheme="minorEastAsia" w:hAnsiTheme="minorEastAsia" w:eastAsiaTheme="minorEastAsia" w:cstheme="minorEastAsia"/>
                <w:color w:val="auto"/>
                <w:spacing w:val="-1"/>
                <w:sz w:val="21"/>
                <w:szCs w:val="21"/>
              </w:rPr>
              <w:t>以分标中标金额为计费额，按本须知正文第39.2条规定的收费计算</w:t>
            </w:r>
            <w:r>
              <w:rPr>
                <w:rFonts w:hint="eastAsia" w:asciiTheme="minorEastAsia" w:hAnsiTheme="minorEastAsia" w:eastAsiaTheme="minorEastAsia" w:cstheme="minorEastAsia"/>
                <w:color w:val="auto"/>
                <w:spacing w:val="-2"/>
                <w:sz w:val="21"/>
                <w:szCs w:val="21"/>
              </w:rPr>
              <w:t>标准服务招标采用</w:t>
            </w:r>
            <w:r>
              <w:rPr>
                <w:rFonts w:hint="eastAsia" w:asciiTheme="minorEastAsia" w:hAnsiTheme="minorEastAsia" w:eastAsiaTheme="minorEastAsia" w:cstheme="minorEastAsia"/>
                <w:color w:val="auto"/>
                <w:spacing w:val="-1"/>
                <w:sz w:val="21"/>
                <w:szCs w:val="21"/>
              </w:rPr>
              <w:t>差额定率累进法计算出收费基准价格，采购代理收费以收费基准价格收取。</w:t>
            </w:r>
          </w:p>
        </w:tc>
      </w:tr>
      <w:tr w14:paraId="2A371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50D45CD3">
            <w:pPr>
              <w:pStyle w:val="25"/>
              <w:keepLines w:val="0"/>
              <w:pageBreakBefore w:val="0"/>
              <w:widowControl w:val="0"/>
              <w:wordWrap/>
              <w:overflowPunct/>
              <w:topLinePunct w:val="0"/>
              <w:bidi w:val="0"/>
              <w:spacing w:before="68" w:line="520" w:lineRule="exact"/>
              <w:ind w:left="285" w:leftChars="0"/>
              <w:jc w:val="center"/>
              <w:rPr>
                <w:rFonts w:hint="eastAsia" w:asciiTheme="minorEastAsia" w:hAnsiTheme="minorEastAsia" w:eastAsiaTheme="minorEastAsia" w:cstheme="minorEastAsia"/>
                <w:color w:val="auto"/>
                <w:spacing w:val="-13"/>
                <w:sz w:val="21"/>
                <w:szCs w:val="21"/>
                <w:lang w:val="en-US" w:eastAsia="zh-CN"/>
              </w:rPr>
            </w:pPr>
            <w:r>
              <w:rPr>
                <w:rFonts w:hint="eastAsia" w:asciiTheme="minorEastAsia" w:hAnsiTheme="minorEastAsia" w:eastAsiaTheme="minorEastAsia" w:cstheme="minorEastAsia"/>
                <w:color w:val="auto"/>
                <w:spacing w:val="-1"/>
                <w:sz w:val="21"/>
                <w:szCs w:val="21"/>
              </w:rPr>
              <w:t>40.1</w:t>
            </w:r>
          </w:p>
        </w:tc>
        <w:tc>
          <w:tcPr>
            <w:tcW w:w="8554" w:type="dxa"/>
            <w:vAlign w:val="top"/>
          </w:tcPr>
          <w:p w14:paraId="32611772">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firstLine="0" w:firstLineChars="0"/>
              <w:jc w:val="both"/>
              <w:textAlignment w:val="baseline"/>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color w:val="auto"/>
                <w:spacing w:val="-1"/>
                <w:sz w:val="21"/>
                <w:szCs w:val="21"/>
              </w:rPr>
              <w:t>解释：构成本招标文件的各个组成文件应互为解释，互为说明；除招标文件中有特别规</w:t>
            </w:r>
            <w:r>
              <w:rPr>
                <w:rFonts w:hint="eastAsia" w:asciiTheme="minorEastAsia" w:hAnsiTheme="minorEastAsia" w:eastAsiaTheme="minorEastAsia" w:cstheme="minorEastAsia"/>
                <w:color w:val="auto"/>
                <w:spacing w:val="-4"/>
                <w:sz w:val="21"/>
                <w:szCs w:val="21"/>
              </w:rPr>
              <w:t>定外，仅适用于招标投标阶段的规定，按更正公告（澄清公告）、招标公告</w:t>
            </w:r>
            <w:r>
              <w:rPr>
                <w:rFonts w:hint="eastAsia" w:asciiTheme="minorEastAsia" w:hAnsiTheme="minorEastAsia" w:eastAsiaTheme="minorEastAsia" w:cstheme="minorEastAsia"/>
                <w:color w:val="auto"/>
                <w:spacing w:val="-5"/>
                <w:sz w:val="21"/>
                <w:szCs w:val="21"/>
              </w:rPr>
              <w:t>、采购需求、</w:t>
            </w:r>
            <w:r>
              <w:rPr>
                <w:rFonts w:hint="eastAsia" w:asciiTheme="minorEastAsia" w:hAnsiTheme="minorEastAsia" w:eastAsiaTheme="minorEastAsia" w:cstheme="minorEastAsia"/>
                <w:color w:val="auto"/>
                <w:spacing w:val="-4"/>
                <w:sz w:val="21"/>
                <w:szCs w:val="21"/>
              </w:rPr>
              <w:t>投标人须知、评标方法及评标标准、拟签订的合同文本、投标文件格式的先</w:t>
            </w:r>
            <w:r>
              <w:rPr>
                <w:rFonts w:hint="eastAsia" w:asciiTheme="minorEastAsia" w:hAnsiTheme="minorEastAsia" w:eastAsiaTheme="minorEastAsia" w:cstheme="minorEastAsia"/>
                <w:color w:val="auto"/>
                <w:spacing w:val="-5"/>
                <w:sz w:val="21"/>
                <w:szCs w:val="21"/>
              </w:rPr>
              <w:t>后顺序解释；</w:t>
            </w:r>
            <w:r>
              <w:rPr>
                <w:rFonts w:hint="eastAsia" w:asciiTheme="minorEastAsia" w:hAnsiTheme="minorEastAsia" w:eastAsiaTheme="minorEastAsia" w:cstheme="minorEastAsia"/>
                <w:color w:val="auto"/>
                <w:spacing w:val="-1"/>
                <w:sz w:val="21"/>
                <w:szCs w:val="21"/>
              </w:rPr>
              <w:t>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r w14:paraId="6E50E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vAlign w:val="center"/>
          </w:tcPr>
          <w:p w14:paraId="4D5040B9">
            <w:pPr>
              <w:pStyle w:val="25"/>
              <w:keepLines w:val="0"/>
              <w:pageBreakBefore w:val="0"/>
              <w:widowControl w:val="0"/>
              <w:wordWrap/>
              <w:overflowPunct/>
              <w:topLinePunct w:val="0"/>
              <w:bidi w:val="0"/>
              <w:spacing w:before="69" w:line="520" w:lineRule="exact"/>
              <w:ind w:left="285" w:leftChars="0"/>
              <w:jc w:val="center"/>
              <w:rPr>
                <w:rFonts w:hint="eastAsia" w:asciiTheme="minorEastAsia" w:hAnsiTheme="minorEastAsia" w:eastAsiaTheme="minorEastAsia" w:cstheme="minorEastAsia"/>
                <w:color w:val="auto"/>
                <w:spacing w:val="-13"/>
                <w:sz w:val="21"/>
                <w:szCs w:val="21"/>
                <w:lang w:val="en-US" w:eastAsia="zh-CN"/>
              </w:rPr>
            </w:pPr>
            <w:r>
              <w:rPr>
                <w:rFonts w:hint="eastAsia" w:asciiTheme="minorEastAsia" w:hAnsiTheme="minorEastAsia" w:eastAsiaTheme="minorEastAsia" w:cstheme="minorEastAsia"/>
                <w:color w:val="auto"/>
                <w:spacing w:val="-1"/>
                <w:sz w:val="21"/>
                <w:szCs w:val="21"/>
              </w:rPr>
              <w:t>40.2</w:t>
            </w:r>
          </w:p>
        </w:tc>
        <w:tc>
          <w:tcPr>
            <w:tcW w:w="8554" w:type="dxa"/>
            <w:vAlign w:val="top"/>
          </w:tcPr>
          <w:p w14:paraId="024F6B1F">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13"/>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1.本招标文件中描述投标人的“公章”是指根据我国对公章的管理规定，用投标人</w:t>
            </w:r>
            <w:r>
              <w:rPr>
                <w:rFonts w:hint="eastAsia" w:asciiTheme="minorEastAsia" w:hAnsiTheme="minorEastAsia" w:eastAsiaTheme="minorEastAsia" w:cstheme="minorEastAsia"/>
                <w:color w:val="auto"/>
                <w:spacing w:val="-2"/>
                <w:sz w:val="21"/>
                <w:szCs w:val="21"/>
              </w:rPr>
              <w:t>法定</w:t>
            </w:r>
            <w:r>
              <w:rPr>
                <w:rFonts w:hint="eastAsia" w:asciiTheme="minorEastAsia" w:hAnsiTheme="minorEastAsia" w:eastAsiaTheme="minorEastAsia" w:cstheme="minorEastAsia"/>
                <w:color w:val="auto"/>
                <w:spacing w:val="-1"/>
                <w:sz w:val="21"/>
                <w:szCs w:val="21"/>
              </w:rPr>
              <w:t>主体行为名称制作的印章，除本招标文件有特殊规定外，投标人的财务章、部门章、分</w:t>
            </w:r>
            <w:r>
              <w:rPr>
                <w:rFonts w:hint="eastAsia" w:asciiTheme="minorEastAsia" w:hAnsiTheme="minorEastAsia" w:eastAsiaTheme="minorEastAsia" w:cstheme="minorEastAsia"/>
                <w:color w:val="auto"/>
                <w:spacing w:val="9"/>
                <w:sz w:val="21"/>
                <w:szCs w:val="21"/>
              </w:rPr>
              <w:t xml:space="preserve"> </w:t>
            </w:r>
            <w:r>
              <w:rPr>
                <w:rFonts w:hint="eastAsia" w:asciiTheme="minorEastAsia" w:hAnsiTheme="minorEastAsia" w:eastAsiaTheme="minorEastAsia" w:cstheme="minorEastAsia"/>
                <w:color w:val="auto"/>
                <w:spacing w:val="-1"/>
                <w:sz w:val="21"/>
                <w:szCs w:val="21"/>
              </w:rPr>
              <w:t>公司章、工会章、合同章、投标专用章、业务专用章及银行的转账章、现金收讫章、现</w:t>
            </w:r>
            <w:r>
              <w:rPr>
                <w:rFonts w:hint="eastAsia" w:asciiTheme="minorEastAsia" w:hAnsiTheme="minorEastAsia" w:eastAsiaTheme="minorEastAsia" w:cstheme="minorEastAsia"/>
                <w:color w:val="auto"/>
                <w:spacing w:val="4"/>
                <w:sz w:val="21"/>
                <w:szCs w:val="21"/>
              </w:rPr>
              <w:t xml:space="preserve"> </w:t>
            </w:r>
            <w:r>
              <w:rPr>
                <w:rFonts w:hint="eastAsia" w:asciiTheme="minorEastAsia" w:hAnsiTheme="minorEastAsia" w:eastAsiaTheme="minorEastAsia" w:cstheme="minorEastAsia"/>
                <w:color w:val="auto"/>
                <w:spacing w:val="-1"/>
                <w:sz w:val="21"/>
                <w:szCs w:val="21"/>
              </w:rPr>
              <w:t>金付讫章等其他形式印章均不能代替公章。</w:t>
            </w:r>
          </w:p>
          <w:p w14:paraId="2923B17D">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2"/>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2.本招标文件所称的“电子签章”、“电子签名”，是指经“广西政府采购云平台”认可的</w:t>
            </w:r>
            <w:r>
              <w:rPr>
                <w:rFonts w:hint="eastAsia" w:asciiTheme="minorEastAsia" w:hAnsiTheme="minorEastAsia" w:eastAsiaTheme="minorEastAsia" w:cstheme="minorEastAsia"/>
                <w:color w:val="auto"/>
                <w:sz w:val="21"/>
                <w:szCs w:val="21"/>
              </w:rPr>
              <w:t>CA</w:t>
            </w:r>
            <w:r>
              <w:rPr>
                <w:rFonts w:hint="eastAsia" w:asciiTheme="minorEastAsia" w:hAnsiTheme="minorEastAsia" w:eastAsiaTheme="minorEastAsia" w:cstheme="minorEastAsia"/>
                <w:color w:val="auto"/>
                <w:spacing w:val="-1"/>
                <w:sz w:val="21"/>
                <w:szCs w:val="21"/>
              </w:rPr>
              <w:t>认证的电子签名数据为表现形式的印章，可用于签署电子投标文件，电子印章与实物印章具有同等法律效力，不因其采用电子化表现形式而否定其法律效力。</w:t>
            </w:r>
          </w:p>
          <w:p w14:paraId="41B18BD1">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5"/>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5"/>
                <w:sz w:val="21"/>
                <w:szCs w:val="21"/>
              </w:rPr>
              <w:t>3.投标人为其他组织或者自然人时，本招标文</w:t>
            </w:r>
            <w:r>
              <w:rPr>
                <w:rFonts w:hint="eastAsia" w:asciiTheme="minorEastAsia" w:hAnsiTheme="minorEastAsia" w:eastAsiaTheme="minorEastAsia" w:cstheme="minorEastAsia"/>
                <w:color w:val="auto"/>
                <w:spacing w:val="4"/>
                <w:sz w:val="21"/>
                <w:szCs w:val="21"/>
              </w:rPr>
              <w:t>件规定的法定代表人指负责人或者自然</w:t>
            </w:r>
            <w:r>
              <w:rPr>
                <w:rFonts w:hint="eastAsia" w:asciiTheme="minorEastAsia" w:hAnsiTheme="minorEastAsia" w:eastAsiaTheme="minorEastAsia" w:cstheme="minorEastAsia"/>
                <w:color w:val="auto"/>
                <w:spacing w:val="-1"/>
                <w:sz w:val="21"/>
                <w:szCs w:val="21"/>
              </w:rPr>
              <w:t>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0FD0CD4A">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hanging="2"/>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4.本招标文件中描述投标人的“签字”是指投标人的法定代表人或者委托代理人亲自在文件规定签字处亲笔写上个人的名字的行为，私章、签字章、印鉴、影印等其他形式均</w:t>
            </w:r>
            <w:r>
              <w:rPr>
                <w:rFonts w:hint="eastAsia" w:asciiTheme="minorEastAsia" w:hAnsiTheme="minorEastAsia" w:eastAsiaTheme="minorEastAsia" w:cstheme="minorEastAsia"/>
                <w:color w:val="auto"/>
                <w:spacing w:val="-3"/>
                <w:sz w:val="21"/>
                <w:szCs w:val="21"/>
              </w:rPr>
              <w:t>不能代替亲笔签字。</w:t>
            </w:r>
          </w:p>
          <w:p w14:paraId="3B5B95A5">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16"/>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3"/>
                <w:sz w:val="21"/>
                <w:szCs w:val="21"/>
              </w:rPr>
              <w:t>5.本招标文件所称的“以上”“以下”“以内”“</w:t>
            </w:r>
            <w:r>
              <w:rPr>
                <w:rFonts w:hint="eastAsia" w:asciiTheme="minorEastAsia" w:hAnsiTheme="minorEastAsia" w:eastAsiaTheme="minorEastAsia" w:cstheme="minorEastAsia"/>
                <w:color w:val="auto"/>
                <w:spacing w:val="2"/>
                <w:sz w:val="21"/>
                <w:szCs w:val="21"/>
              </w:rPr>
              <w:t>届满”，包括本数；所称的“不满”</w:t>
            </w:r>
            <w:r>
              <w:rPr>
                <w:rFonts w:hint="eastAsia" w:asciiTheme="minorEastAsia" w:hAnsiTheme="minorEastAsia" w:eastAsiaTheme="minorEastAsia" w:cstheme="minorEastAsia"/>
                <w:color w:val="auto"/>
                <w:sz w:val="21"/>
                <w:szCs w:val="21"/>
              </w:rPr>
              <w:t>“超过”“以外”，不包括本数。</w:t>
            </w:r>
          </w:p>
          <w:p w14:paraId="01E35103">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both"/>
              <w:textAlignment w:val="baseline"/>
              <w:rPr>
                <w:rFonts w:hint="eastAsia" w:asciiTheme="minorEastAsia" w:hAnsiTheme="minorEastAsia" w:eastAsiaTheme="minorEastAsia" w:cstheme="minorEastAsia"/>
                <w:color w:val="auto"/>
                <w:spacing w:val="7"/>
                <w:sz w:val="21"/>
                <w:szCs w:val="21"/>
                <w:lang w:val="en-US" w:eastAsia="zh-CN"/>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color w:val="auto"/>
                <w:spacing w:val="7"/>
                <w:sz w:val="21"/>
                <w:szCs w:val="21"/>
                <w:lang w:val="en-US" w:eastAsia="zh-CN"/>
                <w14:textOutline w14:w="3795" w14:cap="sq" w14:cmpd="sng">
                  <w14:solidFill>
                    <w14:srgbClr w14:val="000000"/>
                  </w14:solidFill>
                  <w14:prstDash w14:val="solid"/>
                  <w14:bevel/>
                </w14:textOutline>
              </w:rPr>
              <w:t>6.根据《政府采购促进中小企业发展管理办法》（财库〔2020〕46 号）第六条符合下列情形之一的，可不专门面向中小企业预留采购份额：“（二）因确需使用不可替代的专利、专有技术，基础设施限制，或者提供特定公共服务等原因，只能从中小企业之外的供应商处采购的”，由于本项目存在以上情形，无法专门面向中小企业采购。</w:t>
            </w:r>
          </w:p>
          <w:p w14:paraId="4CD85AE7">
            <w:pPr>
              <w:pStyle w:val="25"/>
              <w:keepNext w:val="0"/>
              <w:keepLines w:val="0"/>
              <w:pageBreakBefore w:val="0"/>
              <w:widowControl/>
              <w:kinsoku w:val="0"/>
              <w:wordWrap/>
              <w:overflowPunct/>
              <w:topLinePunct w:val="0"/>
              <w:autoSpaceDE w:val="0"/>
              <w:autoSpaceDN w:val="0"/>
              <w:bidi w:val="0"/>
              <w:adjustRightInd w:val="0"/>
              <w:snapToGrid w:val="0"/>
              <w:spacing w:line="520" w:lineRule="exact"/>
              <w:ind w:left="0" w:leftChars="0" w:right="0" w:rightChars="0"/>
              <w:jc w:val="both"/>
              <w:textAlignment w:val="baseline"/>
              <w:rPr>
                <w:rFonts w:hint="default" w:asciiTheme="minorEastAsia" w:hAnsiTheme="minorEastAsia" w:eastAsiaTheme="minorEastAsia" w:cstheme="minorEastAsia"/>
                <w:color w:val="auto"/>
                <w:spacing w:val="7"/>
                <w:sz w:val="21"/>
                <w:szCs w:val="21"/>
                <w:lang w:val="en-US" w:eastAsia="zh-CN"/>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color w:val="auto"/>
                <w:spacing w:val="7"/>
                <w:sz w:val="21"/>
                <w:szCs w:val="21"/>
                <w:lang w:val="en-US" w:eastAsia="zh-CN"/>
                <w14:textOutline w14:w="3795" w14:cap="sq" w14:cmpd="sng">
                  <w14:solidFill>
                    <w14:srgbClr w14:val="000000"/>
                  </w14:solidFill>
                  <w14:prstDash w14:val="solid"/>
                  <w14:bevel/>
                </w14:textOutline>
              </w:rPr>
              <w:t>7.凡招标文件要求提供的来源于其他信息系统、平台、网站的证明材料，如该来源渠道信息查询路径直接跳转或已声明信息查询路径发生改变的，则通过新的信息查询路径获得的证明材料均予以认可。</w:t>
            </w:r>
          </w:p>
        </w:tc>
      </w:tr>
    </w:tbl>
    <w:p w14:paraId="1BFB6738">
      <w:pPr>
        <w:pStyle w:val="6"/>
        <w:rPr>
          <w:color w:val="auto"/>
        </w:rPr>
      </w:pPr>
    </w:p>
    <w:p w14:paraId="1BD8873F">
      <w:pPr>
        <w:rPr>
          <w:rFonts w:ascii="Arial" w:hAnsi="Arial" w:eastAsia="Arial" w:cs="Arial"/>
          <w:color w:val="auto"/>
          <w:sz w:val="21"/>
          <w:szCs w:val="21"/>
        </w:rPr>
        <w:sectPr>
          <w:footerReference r:id="rId12" w:type="default"/>
          <w:pgSz w:w="11905" w:h="16838"/>
          <w:pgMar w:top="1417" w:right="1417" w:bottom="1417" w:left="1417" w:header="0" w:footer="1196" w:gutter="0"/>
          <w:pgNumType w:fmt="decimal"/>
          <w:cols w:space="0" w:num="1"/>
          <w:rtlGutter w:val="0"/>
          <w:docGrid w:linePitch="0" w:charSpace="0"/>
        </w:sectPr>
      </w:pPr>
    </w:p>
    <w:p w14:paraId="43198C9D">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360" w:lineRule="auto"/>
        <w:ind w:left="0"/>
        <w:jc w:val="center"/>
        <w:textAlignment w:val="baseline"/>
        <w:rPr>
          <w:rFonts w:ascii="Arial"/>
          <w:color w:val="auto"/>
          <w:sz w:val="21"/>
        </w:rPr>
      </w:pPr>
      <w:r>
        <w:rPr>
          <w:rFonts w:ascii="宋体" w:hAnsi="宋体" w:eastAsia="宋体" w:cs="宋体"/>
          <w:b/>
          <w:bCs/>
          <w:color w:val="auto"/>
          <w:spacing w:val="5"/>
          <w:sz w:val="31"/>
          <w:szCs w:val="31"/>
        </w:rPr>
        <w:t>投标人须知正文</w:t>
      </w:r>
    </w:p>
    <w:p w14:paraId="14E65724">
      <w:pPr>
        <w:spacing w:before="101" w:line="226" w:lineRule="auto"/>
        <w:ind w:left="3459"/>
        <w:outlineLvl w:val="1"/>
        <w:rPr>
          <w:rFonts w:ascii="Arial"/>
          <w:color w:val="auto"/>
          <w:sz w:val="21"/>
        </w:rPr>
      </w:pPr>
      <w:r>
        <w:rPr>
          <w:rFonts w:ascii="宋体" w:hAnsi="宋体" w:eastAsia="宋体" w:cs="宋体"/>
          <w:b/>
          <w:bCs/>
          <w:color w:val="auto"/>
          <w:spacing w:val="-7"/>
          <w:sz w:val="31"/>
          <w:szCs w:val="31"/>
        </w:rPr>
        <w:t>一、总</w:t>
      </w:r>
      <w:r>
        <w:rPr>
          <w:rFonts w:ascii="宋体" w:hAnsi="宋体" w:eastAsia="宋体" w:cs="宋体"/>
          <w:color w:val="auto"/>
          <w:spacing w:val="31"/>
          <w:sz w:val="31"/>
          <w:szCs w:val="31"/>
        </w:rPr>
        <w:t xml:space="preserve">  </w:t>
      </w:r>
      <w:r>
        <w:rPr>
          <w:rFonts w:ascii="宋体" w:hAnsi="宋体" w:eastAsia="宋体" w:cs="宋体"/>
          <w:b/>
          <w:bCs/>
          <w:color w:val="auto"/>
          <w:spacing w:val="-7"/>
          <w:sz w:val="31"/>
          <w:szCs w:val="31"/>
        </w:rPr>
        <w:t>则</w:t>
      </w:r>
    </w:p>
    <w:p w14:paraId="64B1CD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8" w:firstLineChars="200"/>
        <w:textAlignment w:val="baseline"/>
        <w:outlineLvl w:val="2"/>
        <w:rPr>
          <w:rFonts w:ascii="黑体" w:hAnsi="黑体" w:eastAsia="黑体" w:cs="黑体"/>
          <w:color w:val="auto"/>
          <w:sz w:val="24"/>
          <w:szCs w:val="24"/>
        </w:rPr>
      </w:pPr>
      <w:r>
        <w:rPr>
          <w:rFonts w:ascii="黑体" w:hAnsi="黑体" w:eastAsia="黑体" w:cs="黑体"/>
          <w:b/>
          <w:bCs/>
          <w:color w:val="auto"/>
          <w:spacing w:val="-6"/>
          <w:sz w:val="24"/>
          <w:szCs w:val="24"/>
        </w:rPr>
        <w:t>1.适用范围</w:t>
      </w:r>
    </w:p>
    <w:p w14:paraId="6A04878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textAlignment w:val="baseline"/>
        <w:rPr>
          <w:rFonts w:ascii="宋体" w:hAnsi="宋体" w:eastAsia="宋体" w:cs="宋体"/>
          <w:color w:val="auto"/>
          <w:sz w:val="21"/>
          <w:szCs w:val="21"/>
        </w:rPr>
      </w:pPr>
      <w:r>
        <w:rPr>
          <w:rFonts w:ascii="宋体" w:hAnsi="宋体" w:eastAsia="宋体" w:cs="宋体"/>
          <w:color w:val="auto"/>
          <w:spacing w:val="-3"/>
          <w:sz w:val="21"/>
          <w:szCs w:val="21"/>
        </w:rPr>
        <w:t>1.1</w:t>
      </w:r>
      <w:r>
        <w:rPr>
          <w:rFonts w:ascii="宋体" w:hAnsi="宋体" w:eastAsia="宋体" w:cs="宋体"/>
          <w:color w:val="auto"/>
          <w:spacing w:val="-29"/>
          <w:sz w:val="21"/>
          <w:szCs w:val="21"/>
        </w:rPr>
        <w:t xml:space="preserve"> </w:t>
      </w:r>
      <w:r>
        <w:rPr>
          <w:rFonts w:ascii="宋体" w:hAnsi="宋体" w:eastAsia="宋体" w:cs="宋体"/>
          <w:color w:val="auto"/>
          <w:spacing w:val="-3"/>
          <w:sz w:val="21"/>
          <w:szCs w:val="21"/>
        </w:rPr>
        <w:t>适用法律：本项目采购人、采购代理机构、投标人、评标委员会的相关行为均受《中</w:t>
      </w:r>
      <w:r>
        <w:rPr>
          <w:rFonts w:ascii="宋体" w:hAnsi="宋体" w:eastAsia="宋体" w:cs="宋体"/>
          <w:color w:val="auto"/>
          <w:sz w:val="21"/>
          <w:szCs w:val="21"/>
        </w:rPr>
        <w:t xml:space="preserve"> 华人民共和国政府采购法》、《中华人民共和国政府采购法实施条例》、《政府采购货物和服务招标投标管理办法》及本项目本级和上级财政部门政府采购有关规定的约束和保护。</w:t>
      </w:r>
    </w:p>
    <w:p w14:paraId="19B080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1.2 本招标文件适用于本项目的所有采购程序和环节（法律、法规另有规定的，从其规定）。</w:t>
      </w:r>
    </w:p>
    <w:p w14:paraId="0B6CA8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4"/>
          <w:sz w:val="24"/>
          <w:szCs w:val="24"/>
        </w:rPr>
        <w:t>2.定义</w:t>
      </w:r>
    </w:p>
    <w:p w14:paraId="5EA98E0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2.1“采购人”是指依法进行政府采购的国家机关、事业单位</w:t>
      </w:r>
      <w:r>
        <w:rPr>
          <w:rFonts w:ascii="宋体" w:hAnsi="宋体" w:eastAsia="宋体" w:cs="宋体"/>
          <w:color w:val="auto"/>
          <w:spacing w:val="-1"/>
          <w:sz w:val="21"/>
          <w:szCs w:val="21"/>
        </w:rPr>
        <w:t>、团体组织。</w:t>
      </w:r>
    </w:p>
    <w:p w14:paraId="620C7AFF">
      <w:pPr>
        <w:keepNext w:val="0"/>
        <w:keepLines w:val="0"/>
        <w:pageBreakBefore w:val="0"/>
        <w:widowControl/>
        <w:kinsoku w:val="0"/>
        <w:wordWrap/>
        <w:overflowPunct/>
        <w:topLinePunct w:val="0"/>
        <w:autoSpaceDE w:val="0"/>
        <w:autoSpaceDN w:val="0"/>
        <w:bidi w:val="0"/>
        <w:adjustRightInd w:val="0"/>
        <w:snapToGrid w:val="0"/>
        <w:spacing w:line="360" w:lineRule="auto"/>
        <w:ind w:left="420" w:leftChars="200" w:right="0" w:firstLine="0" w:firstLineChars="0"/>
        <w:textAlignment w:val="baseline"/>
        <w:rPr>
          <w:rFonts w:ascii="宋体" w:hAnsi="宋体" w:eastAsia="宋体" w:cs="宋体"/>
          <w:color w:val="auto"/>
          <w:sz w:val="21"/>
          <w:szCs w:val="21"/>
        </w:rPr>
      </w:pPr>
      <w:r>
        <w:rPr>
          <w:rFonts w:ascii="宋体" w:hAnsi="宋体" w:eastAsia="宋体" w:cs="宋体"/>
          <w:color w:val="auto"/>
          <w:spacing w:val="-1"/>
          <w:sz w:val="21"/>
          <w:szCs w:val="21"/>
        </w:rPr>
        <w:t>2.2“采购代理机构”是指政府采购集中采购机构和集中采购机构以外的采购代理机构。</w:t>
      </w:r>
      <w:r>
        <w:rPr>
          <w:rFonts w:ascii="宋体" w:hAnsi="宋体" w:eastAsia="宋体" w:cs="宋体"/>
          <w:color w:val="auto"/>
          <w:spacing w:val="2"/>
          <w:sz w:val="21"/>
          <w:szCs w:val="21"/>
        </w:rPr>
        <w:t xml:space="preserve"> </w:t>
      </w:r>
      <w:r>
        <w:rPr>
          <w:rFonts w:ascii="宋体" w:hAnsi="宋体" w:eastAsia="宋体" w:cs="宋体"/>
          <w:color w:val="auto"/>
          <w:sz w:val="21"/>
          <w:szCs w:val="21"/>
        </w:rPr>
        <w:t>2.3“供应商”是指向采购人提供货物、工程或者服务的法人、其他组织或</w:t>
      </w:r>
      <w:r>
        <w:rPr>
          <w:rFonts w:ascii="宋体" w:hAnsi="宋体" w:eastAsia="宋体" w:cs="宋体"/>
          <w:color w:val="auto"/>
          <w:spacing w:val="-1"/>
          <w:sz w:val="21"/>
          <w:szCs w:val="21"/>
        </w:rPr>
        <w:t>者自然人。</w:t>
      </w:r>
    </w:p>
    <w:p w14:paraId="63F9DFD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2.4“投标人”是指响应招标、参加投标竞争的法人、其他组织或者自</w:t>
      </w:r>
      <w:r>
        <w:rPr>
          <w:rFonts w:ascii="宋体" w:hAnsi="宋体" w:eastAsia="宋体" w:cs="宋体"/>
          <w:color w:val="auto"/>
          <w:spacing w:val="-2"/>
          <w:sz w:val="21"/>
          <w:szCs w:val="21"/>
        </w:rPr>
        <w:t>然人。</w:t>
      </w:r>
      <w:r>
        <w:rPr>
          <w:rFonts w:ascii="宋体" w:hAnsi="宋体" w:eastAsia="宋体" w:cs="宋体"/>
          <w:color w:val="auto"/>
          <w:sz w:val="21"/>
          <w:szCs w:val="21"/>
        </w:rPr>
        <w:t xml:space="preserve"> </w:t>
      </w:r>
    </w:p>
    <w:p w14:paraId="5318FFD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2.5“服务”是指除货物和工程以外的其他政府采购对象。</w:t>
      </w:r>
    </w:p>
    <w:p w14:paraId="097610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2.6“书面形式”是指合同书、信件和数据电文（包括电报</w:t>
      </w:r>
      <w:r>
        <w:rPr>
          <w:rFonts w:ascii="宋体" w:hAnsi="宋体" w:eastAsia="宋体" w:cs="宋体"/>
          <w:color w:val="auto"/>
          <w:spacing w:val="-1"/>
          <w:sz w:val="21"/>
          <w:szCs w:val="21"/>
        </w:rPr>
        <w:t>、电传、传真、电子数据交换和电子邮件）等可以有形地表现所载内容的形式。</w:t>
      </w:r>
    </w:p>
    <w:p w14:paraId="4C41C70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2.7“实质性要求”是指招标文件中已经指明不满足则投标无效的条款</w:t>
      </w:r>
      <w:r>
        <w:rPr>
          <w:rFonts w:ascii="宋体" w:hAnsi="宋体" w:eastAsia="宋体" w:cs="宋体"/>
          <w:color w:val="auto"/>
          <w:spacing w:val="-1"/>
          <w:sz w:val="21"/>
          <w:szCs w:val="21"/>
        </w:rPr>
        <w:t>，或者不能负偏离</w:t>
      </w:r>
      <w:r>
        <w:rPr>
          <w:rFonts w:ascii="宋体" w:hAnsi="宋体" w:eastAsia="宋体" w:cs="宋体"/>
          <w:color w:val="auto"/>
          <w:spacing w:val="-2"/>
          <w:sz w:val="21"/>
          <w:szCs w:val="21"/>
        </w:rPr>
        <w:t>的条款，或者采购需求中带“▲”的条款。</w:t>
      </w:r>
    </w:p>
    <w:p w14:paraId="799672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2.8“正偏离”，是指投标文件对招标文件“采购需求”中有关条</w:t>
      </w:r>
      <w:r>
        <w:rPr>
          <w:rFonts w:ascii="宋体" w:hAnsi="宋体" w:eastAsia="宋体" w:cs="宋体"/>
          <w:color w:val="auto"/>
          <w:spacing w:val="-1"/>
          <w:sz w:val="21"/>
          <w:szCs w:val="21"/>
        </w:rPr>
        <w:t>款作出的响应优于条款</w:t>
      </w:r>
      <w:r>
        <w:rPr>
          <w:rFonts w:ascii="宋体" w:hAnsi="宋体" w:eastAsia="宋体" w:cs="宋体"/>
          <w:color w:val="auto"/>
          <w:spacing w:val="-2"/>
          <w:sz w:val="21"/>
          <w:szCs w:val="21"/>
        </w:rPr>
        <w:t>要求并有利于采购人的情形。</w:t>
      </w:r>
    </w:p>
    <w:p w14:paraId="18C6DA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2.9“负偏离”，是指投标文件对招标文件“采购需求”中有关条</w:t>
      </w:r>
      <w:r>
        <w:rPr>
          <w:rFonts w:ascii="宋体" w:hAnsi="宋体" w:eastAsia="宋体" w:cs="宋体"/>
          <w:color w:val="auto"/>
          <w:spacing w:val="-1"/>
          <w:sz w:val="21"/>
          <w:szCs w:val="21"/>
        </w:rPr>
        <w:t>款作出的响应不满足条款要求，导致采购人要求不能得到满足的情形。</w:t>
      </w:r>
    </w:p>
    <w:p w14:paraId="03854A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2.10“允许负偏离的条款”是指采购需求中的不属于“实质性要求</w:t>
      </w:r>
      <w:r>
        <w:rPr>
          <w:rFonts w:ascii="宋体" w:hAnsi="宋体" w:eastAsia="宋体" w:cs="宋体"/>
          <w:color w:val="auto"/>
          <w:spacing w:val="-1"/>
          <w:sz w:val="21"/>
          <w:szCs w:val="21"/>
        </w:rPr>
        <w:t>”的条款。</w:t>
      </w:r>
    </w:p>
    <w:p w14:paraId="50A9C4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3.投标人的资格要求</w:t>
      </w:r>
    </w:p>
    <w:p w14:paraId="494192C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投标人的资格要求详见“投标人须知前附表”。</w:t>
      </w:r>
    </w:p>
    <w:p w14:paraId="40E30D3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4.投标委托</w:t>
      </w:r>
    </w:p>
    <w:p w14:paraId="4A9886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3"/>
        <w:textAlignment w:val="baseline"/>
        <w:rPr>
          <w:rFonts w:ascii="宋体" w:hAnsi="宋体" w:eastAsia="宋体" w:cs="宋体"/>
          <w:color w:val="auto"/>
          <w:sz w:val="21"/>
          <w:szCs w:val="21"/>
        </w:rPr>
      </w:pPr>
      <w:r>
        <w:rPr>
          <w:rFonts w:ascii="宋体" w:hAnsi="宋体" w:eastAsia="宋体" w:cs="宋体"/>
          <w:color w:val="auto"/>
          <w:sz w:val="21"/>
          <w:szCs w:val="21"/>
        </w:rPr>
        <w:t>投标人代表参加投标活动过程中必须携带个人有效身份证件。如投标人代表不是</w:t>
      </w:r>
      <w:r>
        <w:rPr>
          <w:rFonts w:ascii="宋体" w:hAnsi="宋体" w:eastAsia="宋体" w:cs="宋体"/>
          <w:color w:val="auto"/>
          <w:spacing w:val="-1"/>
          <w:sz w:val="21"/>
          <w:szCs w:val="21"/>
        </w:rPr>
        <w:t>法定代表人</w:t>
      </w:r>
      <w:r>
        <w:rPr>
          <w:rFonts w:hint="eastAsia" w:ascii="宋体" w:hAnsi="宋体" w:eastAsia="宋体" w:cs="宋体"/>
          <w:color w:val="auto"/>
          <w:spacing w:val="-1"/>
          <w:sz w:val="21"/>
          <w:szCs w:val="21"/>
          <w:lang w:eastAsia="zh-CN"/>
        </w:rPr>
        <w:t>（负责人）</w:t>
      </w:r>
      <w:r>
        <w:rPr>
          <w:rFonts w:ascii="宋体" w:hAnsi="宋体" w:eastAsia="宋体" w:cs="宋体"/>
          <w:color w:val="auto"/>
          <w:spacing w:val="-1"/>
          <w:sz w:val="21"/>
          <w:szCs w:val="21"/>
        </w:rPr>
        <w:t>，须持有授权委托书（按第六章要求格式填写）。</w:t>
      </w:r>
    </w:p>
    <w:p w14:paraId="70320E9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5.投标费用</w:t>
      </w:r>
    </w:p>
    <w:p w14:paraId="669FEDB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投标费用：投标人应承担参与本次采购活动有关的所有费用，包括但不限于获</w:t>
      </w:r>
      <w:r>
        <w:rPr>
          <w:rFonts w:ascii="宋体" w:hAnsi="宋体" w:eastAsia="宋体" w:cs="宋体"/>
          <w:color w:val="auto"/>
          <w:spacing w:val="-1"/>
          <w:sz w:val="21"/>
          <w:szCs w:val="21"/>
        </w:rPr>
        <w:t>取招标文</w:t>
      </w:r>
      <w:r>
        <w:rPr>
          <w:rFonts w:ascii="宋体" w:hAnsi="宋体" w:eastAsia="宋体" w:cs="宋体"/>
          <w:color w:val="auto"/>
          <w:sz w:val="21"/>
          <w:szCs w:val="21"/>
        </w:rPr>
        <w:t>件、勘查现场、编制和提交投标文件、参加澄清说明、签订</w:t>
      </w:r>
      <w:r>
        <w:rPr>
          <w:rFonts w:ascii="宋体" w:hAnsi="宋体" w:eastAsia="宋体" w:cs="宋体"/>
          <w:color w:val="auto"/>
          <w:spacing w:val="-1"/>
          <w:sz w:val="21"/>
          <w:szCs w:val="21"/>
        </w:rPr>
        <w:t>合同等，不论投标结果如何，均应自行承担。</w:t>
      </w:r>
    </w:p>
    <w:p w14:paraId="4F70DBB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6.联合体投标</w:t>
      </w:r>
    </w:p>
    <w:p w14:paraId="3F75583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outlineLvl w:val="3"/>
        <w:rPr>
          <w:rFonts w:ascii="宋体" w:hAnsi="宋体" w:eastAsia="宋体" w:cs="宋体"/>
          <w:color w:val="auto"/>
          <w:sz w:val="21"/>
          <w:szCs w:val="21"/>
        </w:rPr>
      </w:pPr>
      <w:r>
        <w:rPr>
          <w:rFonts w:ascii="宋体" w:hAnsi="宋体" w:eastAsia="宋体" w:cs="宋体"/>
          <w:color w:val="auto"/>
          <w:spacing w:val="-1"/>
          <w:sz w:val="21"/>
          <w:szCs w:val="21"/>
        </w:rPr>
        <w:t>6.1</w:t>
      </w:r>
      <w:r>
        <w:rPr>
          <w:rFonts w:ascii="宋体" w:hAnsi="宋体" w:eastAsia="宋体" w:cs="宋体"/>
          <w:color w:val="auto"/>
          <w:spacing w:val="-28"/>
          <w:sz w:val="21"/>
          <w:szCs w:val="21"/>
        </w:rPr>
        <w:t xml:space="preserve"> </w:t>
      </w:r>
      <w:r>
        <w:rPr>
          <w:rFonts w:ascii="宋体" w:hAnsi="宋体" w:eastAsia="宋体" w:cs="宋体"/>
          <w:color w:val="auto"/>
          <w:spacing w:val="-1"/>
          <w:sz w:val="21"/>
          <w:szCs w:val="21"/>
        </w:rPr>
        <w:t>本项目是否接受联合体投标，详见“投标人须知前附表”。</w:t>
      </w:r>
    </w:p>
    <w:p w14:paraId="6CBBB9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6.2</w:t>
      </w:r>
      <w:r>
        <w:rPr>
          <w:rFonts w:ascii="宋体" w:hAnsi="宋体" w:eastAsia="宋体" w:cs="宋体"/>
          <w:color w:val="auto"/>
          <w:spacing w:val="-41"/>
          <w:sz w:val="21"/>
          <w:szCs w:val="21"/>
        </w:rPr>
        <w:t xml:space="preserve"> </w:t>
      </w:r>
      <w:r>
        <w:rPr>
          <w:rFonts w:ascii="宋体" w:hAnsi="宋体" w:eastAsia="宋体" w:cs="宋体"/>
          <w:color w:val="auto"/>
          <w:spacing w:val="-1"/>
          <w:sz w:val="21"/>
          <w:szCs w:val="21"/>
        </w:rPr>
        <w:t>如接受联合体投标，联合体投标要求详见“投标人须知前附表”。</w:t>
      </w:r>
    </w:p>
    <w:p w14:paraId="4F370B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hint="eastAsia" w:ascii="宋体" w:hAnsi="宋体" w:eastAsia="宋体" w:cs="宋体"/>
          <w:color w:val="auto"/>
          <w:spacing w:val="-1"/>
          <w:sz w:val="21"/>
          <w:szCs w:val="21"/>
        </w:rPr>
      </w:pPr>
      <w:r>
        <w:rPr>
          <w:rFonts w:ascii="宋体" w:hAnsi="宋体" w:eastAsia="宋体" w:cs="宋体"/>
          <w:color w:val="auto"/>
          <w:spacing w:val="-1"/>
          <w:sz w:val="21"/>
          <w:szCs w:val="21"/>
        </w:rPr>
        <w:t>6.3</w:t>
      </w:r>
      <w:r>
        <w:rPr>
          <w:rFonts w:ascii="宋体" w:hAnsi="宋体" w:eastAsia="宋体" w:cs="宋体"/>
          <w:color w:val="auto"/>
          <w:spacing w:val="-27"/>
          <w:sz w:val="21"/>
          <w:szCs w:val="21"/>
        </w:rPr>
        <w:t xml:space="preserve"> </w:t>
      </w:r>
      <w:r>
        <w:rPr>
          <w:rFonts w:hint="eastAsia" w:ascii="宋体" w:hAnsi="宋体" w:eastAsia="宋体" w:cs="宋体"/>
          <w:color w:val="auto"/>
          <w:spacing w:val="-1"/>
          <w:sz w:val="21"/>
          <w:szCs w:val="21"/>
        </w:rPr>
        <w:t>按照《政府采购促进中小企业发展管理办法》（财库〔2020〕46号）及《广西壮族自治区财政厅关于持续优化政府采购营商环境推动高质量发展的通知》桂财采〔2024〕55号的规定，供应商在其响应文件中提供《中小企业声明函》，且其服务为小型和微型企业承接的，对供应商的投标报价给予10%的扣除，扣除后的价格为评标价，即评标价=</w:t>
      </w:r>
      <w:r>
        <w:rPr>
          <w:rFonts w:hint="eastAsia" w:ascii="宋体" w:hAnsi="宋体" w:eastAsia="宋体" w:cs="宋体"/>
          <w:color w:val="auto"/>
          <w:spacing w:val="-1"/>
          <w:sz w:val="21"/>
          <w:szCs w:val="21"/>
          <w:lang w:eastAsia="zh-CN"/>
        </w:rPr>
        <w:t>投标</w:t>
      </w:r>
      <w:r>
        <w:rPr>
          <w:rFonts w:hint="eastAsia" w:ascii="宋体" w:hAnsi="宋体" w:eastAsia="宋体" w:cs="宋体"/>
          <w:color w:val="auto"/>
          <w:spacing w:val="-1"/>
          <w:sz w:val="21"/>
          <w:szCs w:val="21"/>
        </w:rPr>
        <w:t>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的扣除，用扣除后的价格参加评审，扣除后的价格为评标价，即评标价=</w:t>
      </w:r>
      <w:r>
        <w:rPr>
          <w:rFonts w:hint="eastAsia" w:ascii="宋体" w:hAnsi="宋体" w:eastAsia="宋体" w:cs="宋体"/>
          <w:color w:val="auto"/>
          <w:spacing w:val="-1"/>
          <w:sz w:val="21"/>
          <w:szCs w:val="21"/>
          <w:lang w:eastAsia="zh-CN"/>
        </w:rPr>
        <w:t>投标</w:t>
      </w:r>
      <w:r>
        <w:rPr>
          <w:rFonts w:hint="eastAsia" w:ascii="宋体" w:hAnsi="宋体" w:eastAsia="宋体" w:cs="宋体"/>
          <w:color w:val="auto"/>
          <w:spacing w:val="-1"/>
          <w:sz w:val="21"/>
          <w:szCs w:val="21"/>
        </w:rPr>
        <w:t>报价×（1-4%）。</w:t>
      </w:r>
    </w:p>
    <w:p w14:paraId="1AC93E4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hint="eastAsia" w:ascii="宋体" w:hAnsi="宋体" w:eastAsia="宋体" w:cs="宋体"/>
          <w:color w:val="auto"/>
          <w:spacing w:val="-1"/>
          <w:sz w:val="21"/>
          <w:szCs w:val="21"/>
        </w:rPr>
      </w:pPr>
      <w:r>
        <w:rPr>
          <w:rFonts w:hint="eastAsia" w:ascii="宋体" w:hAnsi="宋体" w:eastAsia="宋体" w:cs="宋体"/>
          <w:color w:val="auto"/>
          <w:spacing w:val="-1"/>
          <w:sz w:val="21"/>
          <w:szCs w:val="21"/>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20D7A40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hint="eastAsia" w:ascii="宋体" w:hAnsi="宋体" w:eastAsia="宋体" w:cs="宋体"/>
          <w:color w:val="auto"/>
          <w:spacing w:val="-1"/>
          <w:sz w:val="21"/>
          <w:szCs w:val="21"/>
        </w:rPr>
      </w:pPr>
      <w:r>
        <w:rPr>
          <w:rFonts w:hint="eastAsia" w:ascii="宋体" w:hAnsi="宋体" w:eastAsia="宋体" w:cs="宋体"/>
          <w:color w:val="auto"/>
          <w:spacing w:val="-1"/>
          <w:sz w:val="21"/>
          <w:szCs w:val="21"/>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25F7EC6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pacing w:val="-1"/>
          <w:sz w:val="21"/>
          <w:szCs w:val="21"/>
        </w:rPr>
      </w:pPr>
      <w:r>
        <w:rPr>
          <w:rFonts w:hint="eastAsia" w:ascii="宋体" w:hAnsi="宋体" w:eastAsia="宋体" w:cs="宋体"/>
          <w:color w:val="auto"/>
          <w:spacing w:val="-1"/>
          <w:sz w:val="21"/>
          <w:szCs w:val="21"/>
        </w:rPr>
        <w:t>除上述情况外，评标价＝</w:t>
      </w:r>
      <w:r>
        <w:rPr>
          <w:rFonts w:hint="eastAsia" w:ascii="宋体" w:hAnsi="宋体" w:eastAsia="宋体" w:cs="宋体"/>
          <w:color w:val="auto"/>
          <w:spacing w:val="-1"/>
          <w:sz w:val="21"/>
          <w:szCs w:val="21"/>
          <w:lang w:eastAsia="zh-CN"/>
        </w:rPr>
        <w:t>投</w:t>
      </w:r>
      <w:r>
        <w:rPr>
          <w:rFonts w:hint="eastAsia" w:ascii="宋体" w:hAnsi="宋体" w:eastAsia="宋体" w:cs="宋体"/>
          <w:color w:val="auto"/>
          <w:spacing w:val="-1"/>
          <w:sz w:val="21"/>
          <w:szCs w:val="21"/>
        </w:rPr>
        <w:t>标报价。</w:t>
      </w:r>
    </w:p>
    <w:p w14:paraId="287D10E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4"/>
          <w:sz w:val="24"/>
          <w:szCs w:val="24"/>
        </w:rPr>
        <w:t>7.转包与分包</w:t>
      </w:r>
    </w:p>
    <w:p w14:paraId="4DC99EC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textAlignment w:val="baseline"/>
        <w:outlineLvl w:val="3"/>
        <w:rPr>
          <w:rFonts w:ascii="宋体" w:hAnsi="宋体" w:eastAsia="宋体" w:cs="宋体"/>
          <w:color w:val="auto"/>
          <w:sz w:val="21"/>
          <w:szCs w:val="21"/>
        </w:rPr>
      </w:pPr>
      <w:r>
        <w:rPr>
          <w:rFonts w:ascii="宋体" w:hAnsi="宋体" w:eastAsia="宋体" w:cs="宋体"/>
          <w:color w:val="auto"/>
          <w:spacing w:val="-3"/>
          <w:sz w:val="21"/>
          <w:szCs w:val="21"/>
        </w:rPr>
        <w:t>7.1</w:t>
      </w:r>
      <w:r>
        <w:rPr>
          <w:rFonts w:ascii="宋体" w:hAnsi="宋体" w:eastAsia="宋体" w:cs="宋体"/>
          <w:color w:val="auto"/>
          <w:spacing w:val="-43"/>
          <w:sz w:val="21"/>
          <w:szCs w:val="21"/>
        </w:rPr>
        <w:t xml:space="preserve"> </w:t>
      </w:r>
      <w:r>
        <w:rPr>
          <w:rFonts w:ascii="宋体" w:hAnsi="宋体" w:eastAsia="宋体" w:cs="宋体"/>
          <w:color w:val="auto"/>
          <w:spacing w:val="-3"/>
          <w:sz w:val="21"/>
          <w:szCs w:val="21"/>
        </w:rPr>
        <w:t>本项目不允许转包。</w:t>
      </w:r>
    </w:p>
    <w:p w14:paraId="60FB0B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rPr>
          <w:rFonts w:ascii="宋体" w:hAnsi="宋体" w:eastAsia="宋体" w:cs="宋体"/>
          <w:color w:val="auto"/>
          <w:sz w:val="21"/>
          <w:szCs w:val="21"/>
        </w:rPr>
      </w:pPr>
      <w:r>
        <w:rPr>
          <w:rFonts w:ascii="宋体" w:hAnsi="宋体" w:eastAsia="宋体" w:cs="宋体"/>
          <w:color w:val="auto"/>
          <w:spacing w:val="-2"/>
          <w:sz w:val="21"/>
          <w:szCs w:val="21"/>
        </w:rPr>
        <w:t>7.2</w:t>
      </w:r>
      <w:r>
        <w:rPr>
          <w:rFonts w:ascii="宋体" w:hAnsi="宋体" w:eastAsia="宋体" w:cs="宋体"/>
          <w:color w:val="auto"/>
          <w:spacing w:val="-40"/>
          <w:sz w:val="21"/>
          <w:szCs w:val="21"/>
        </w:rPr>
        <w:t xml:space="preserve"> </w:t>
      </w:r>
      <w:r>
        <w:rPr>
          <w:rFonts w:ascii="宋体" w:hAnsi="宋体" w:eastAsia="宋体" w:cs="宋体"/>
          <w:color w:val="auto"/>
          <w:spacing w:val="-2"/>
          <w:sz w:val="21"/>
          <w:szCs w:val="21"/>
        </w:rPr>
        <w:t>本项目是否允许分包详见“投标人须知前附表”，本项目不允许违法分包。允许分包</w:t>
      </w:r>
      <w:r>
        <w:rPr>
          <w:rFonts w:ascii="宋体" w:hAnsi="宋体" w:eastAsia="宋体" w:cs="宋体"/>
          <w:color w:val="auto"/>
          <w:spacing w:val="2"/>
          <w:sz w:val="21"/>
          <w:szCs w:val="21"/>
        </w:rPr>
        <w:t>的非主体、非关键性工作，根据法律法规规定承担该工作需要行政许可的，如该工作由投标人自行承担，投标人应具备相应的行政许可，如投标人不具备相应的行政许可必须采用分包</w:t>
      </w:r>
      <w:r>
        <w:rPr>
          <w:rFonts w:ascii="宋体" w:hAnsi="宋体" w:eastAsia="宋体" w:cs="宋体"/>
          <w:color w:val="auto"/>
          <w:spacing w:val="-2"/>
          <w:sz w:val="21"/>
          <w:szCs w:val="21"/>
        </w:rPr>
        <w:t>的方式，但分包投标人应具备相应行政许可。</w:t>
      </w:r>
    </w:p>
    <w:p w14:paraId="57F545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textAlignment w:val="baseline"/>
        <w:rPr>
          <w:rFonts w:ascii="宋体" w:hAnsi="宋体" w:eastAsia="宋体" w:cs="宋体"/>
          <w:color w:val="auto"/>
          <w:sz w:val="21"/>
          <w:szCs w:val="21"/>
        </w:rPr>
      </w:pPr>
      <w:r>
        <w:rPr>
          <w:rFonts w:ascii="宋体" w:hAnsi="宋体" w:eastAsia="宋体" w:cs="宋体"/>
          <w:color w:val="auto"/>
          <w:spacing w:val="2"/>
          <w:sz w:val="21"/>
          <w:szCs w:val="21"/>
        </w:rPr>
        <w:t>7.3 投标人根据招标文件的规定和采购项目的实际情况，拟在中标后将中标项目的非主</w:t>
      </w:r>
      <w:r>
        <w:rPr>
          <w:rFonts w:ascii="宋体" w:hAnsi="宋体" w:eastAsia="宋体" w:cs="宋体"/>
          <w:color w:val="auto"/>
          <w:spacing w:val="3"/>
          <w:sz w:val="21"/>
          <w:szCs w:val="21"/>
        </w:rPr>
        <w:t>体、非关键性工作分包的，应当在投标文件</w:t>
      </w:r>
      <w:r>
        <w:rPr>
          <w:rFonts w:ascii="宋体" w:hAnsi="宋体" w:eastAsia="宋体" w:cs="宋体"/>
          <w:color w:val="auto"/>
          <w:spacing w:val="2"/>
          <w:sz w:val="21"/>
          <w:szCs w:val="21"/>
        </w:rPr>
        <w:t>中载明分包承担主体，分包承担主体应当具备相</w:t>
      </w:r>
      <w:r>
        <w:rPr>
          <w:rFonts w:ascii="宋体" w:hAnsi="宋体" w:eastAsia="宋体" w:cs="宋体"/>
          <w:color w:val="auto"/>
          <w:spacing w:val="-2"/>
          <w:sz w:val="21"/>
          <w:szCs w:val="21"/>
        </w:rPr>
        <w:t>应资质条件且不得再次分包。</w:t>
      </w:r>
    </w:p>
    <w:p w14:paraId="1719986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8.特别说明</w:t>
      </w:r>
    </w:p>
    <w:p w14:paraId="5F49C6C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67"/>
        <w:textAlignment w:val="baseline"/>
        <w:rPr>
          <w:rFonts w:ascii="宋体" w:hAnsi="宋体" w:eastAsia="宋体" w:cs="宋体"/>
          <w:color w:val="auto"/>
          <w:sz w:val="21"/>
          <w:szCs w:val="21"/>
        </w:rPr>
      </w:pPr>
      <w:r>
        <w:rPr>
          <w:rFonts w:ascii="宋体" w:hAnsi="宋体" w:eastAsia="宋体" w:cs="宋体"/>
          <w:color w:val="auto"/>
          <w:sz w:val="21"/>
          <w:szCs w:val="21"/>
        </w:rPr>
        <w:t>8.1</w:t>
      </w:r>
      <w:r>
        <w:rPr>
          <w:rFonts w:ascii="宋体" w:hAnsi="宋体" w:eastAsia="宋体" w:cs="宋体"/>
          <w:color w:val="auto"/>
          <w:spacing w:val="-40"/>
          <w:sz w:val="21"/>
          <w:szCs w:val="21"/>
        </w:rPr>
        <w:t xml:space="preserve"> </w:t>
      </w:r>
      <w:r>
        <w:rPr>
          <w:rFonts w:ascii="宋体" w:hAnsi="宋体" w:eastAsia="宋体" w:cs="宋体"/>
          <w:color w:val="auto"/>
          <w:sz w:val="21"/>
          <w:szCs w:val="21"/>
        </w:rPr>
        <w:t>如果本招标文件要求提供投标人或制造商的</w:t>
      </w:r>
      <w:r>
        <w:rPr>
          <w:rFonts w:ascii="宋体" w:hAnsi="宋体" w:eastAsia="宋体" w:cs="宋体"/>
          <w:color w:val="auto"/>
          <w:spacing w:val="-1"/>
          <w:sz w:val="21"/>
          <w:szCs w:val="21"/>
        </w:rPr>
        <w:t>资格、信誉、荣誉、业绩与企业认证等材</w:t>
      </w:r>
      <w:r>
        <w:rPr>
          <w:rFonts w:ascii="宋体" w:hAnsi="宋体" w:eastAsia="宋体" w:cs="宋体"/>
          <w:color w:val="auto"/>
          <w:sz w:val="21"/>
          <w:szCs w:val="21"/>
        </w:rPr>
        <w:t>料的，资格、信誉、荣誉、业绩与企业认证等必须为投标人或者制造商所拥有或</w:t>
      </w:r>
      <w:r>
        <w:rPr>
          <w:rFonts w:ascii="宋体" w:hAnsi="宋体" w:eastAsia="宋体" w:cs="宋体"/>
          <w:color w:val="auto"/>
          <w:spacing w:val="-1"/>
          <w:sz w:val="21"/>
          <w:szCs w:val="21"/>
        </w:rPr>
        <w:t>自身获得 。</w:t>
      </w:r>
    </w:p>
    <w:p w14:paraId="312AF0B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67"/>
        <w:textAlignment w:val="baseline"/>
        <w:rPr>
          <w:rFonts w:ascii="宋体" w:hAnsi="宋体" w:eastAsia="宋体" w:cs="宋体"/>
          <w:color w:val="auto"/>
          <w:sz w:val="21"/>
          <w:szCs w:val="21"/>
        </w:rPr>
      </w:pPr>
      <w:r>
        <w:rPr>
          <w:rFonts w:ascii="宋体" w:hAnsi="宋体" w:eastAsia="宋体" w:cs="宋体"/>
          <w:color w:val="auto"/>
          <w:sz w:val="21"/>
          <w:szCs w:val="21"/>
        </w:rPr>
        <w:t>8.2</w:t>
      </w:r>
      <w:r>
        <w:rPr>
          <w:rFonts w:ascii="宋体" w:hAnsi="宋体" w:eastAsia="宋体" w:cs="宋体"/>
          <w:color w:val="auto"/>
          <w:spacing w:val="-41"/>
          <w:sz w:val="21"/>
          <w:szCs w:val="21"/>
        </w:rPr>
        <w:t xml:space="preserve"> </w:t>
      </w:r>
      <w:r>
        <w:rPr>
          <w:rFonts w:ascii="宋体" w:hAnsi="宋体" w:eastAsia="宋体" w:cs="宋体"/>
          <w:color w:val="auto"/>
          <w:sz w:val="21"/>
          <w:szCs w:val="21"/>
        </w:rPr>
        <w:t>投标人应仔细阅读招标文件的所有内容，按照</w:t>
      </w:r>
      <w:r>
        <w:rPr>
          <w:rFonts w:ascii="宋体" w:hAnsi="宋体" w:eastAsia="宋体" w:cs="宋体"/>
          <w:color w:val="auto"/>
          <w:spacing w:val="-1"/>
          <w:sz w:val="21"/>
          <w:szCs w:val="21"/>
        </w:rPr>
        <w:t>招标文件的要求提交投标文件，并对所</w:t>
      </w:r>
      <w:r>
        <w:rPr>
          <w:rFonts w:ascii="宋体" w:hAnsi="宋体" w:eastAsia="宋体" w:cs="宋体"/>
          <w:color w:val="auto"/>
          <w:spacing w:val="-2"/>
          <w:sz w:val="21"/>
          <w:szCs w:val="21"/>
        </w:rPr>
        <w:t>提供的全部资料的真实性承担法律责任。</w:t>
      </w:r>
    </w:p>
    <w:p w14:paraId="6C0F874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67"/>
        <w:textAlignment w:val="baseline"/>
        <w:rPr>
          <w:rFonts w:ascii="宋体" w:hAnsi="宋体" w:eastAsia="宋体" w:cs="宋体"/>
          <w:color w:val="auto"/>
          <w:sz w:val="21"/>
          <w:szCs w:val="21"/>
        </w:rPr>
      </w:pPr>
      <w:r>
        <w:rPr>
          <w:rFonts w:ascii="宋体" w:hAnsi="宋体" w:eastAsia="宋体" w:cs="宋体"/>
          <w:color w:val="auto"/>
          <w:sz w:val="21"/>
          <w:szCs w:val="21"/>
        </w:rPr>
        <w:t>8.3</w:t>
      </w:r>
      <w:r>
        <w:rPr>
          <w:rFonts w:ascii="宋体" w:hAnsi="宋体" w:eastAsia="宋体" w:cs="宋体"/>
          <w:color w:val="auto"/>
          <w:spacing w:val="-41"/>
          <w:sz w:val="21"/>
          <w:szCs w:val="21"/>
        </w:rPr>
        <w:t xml:space="preserve"> </w:t>
      </w:r>
      <w:r>
        <w:rPr>
          <w:rFonts w:ascii="宋体" w:hAnsi="宋体" w:eastAsia="宋体" w:cs="宋体"/>
          <w:color w:val="auto"/>
          <w:sz w:val="21"/>
          <w:szCs w:val="21"/>
        </w:rPr>
        <w:t>投标人在投标活动中提供任何虚假材料，</w:t>
      </w:r>
      <w:r>
        <w:rPr>
          <w:rFonts w:ascii="宋体" w:hAnsi="宋体" w:eastAsia="宋体" w:cs="宋体"/>
          <w:color w:val="auto"/>
          <w:spacing w:val="-1"/>
          <w:sz w:val="21"/>
          <w:szCs w:val="21"/>
        </w:rPr>
        <w:t>将报监管部门查处；中标后发现的，中标人</w:t>
      </w:r>
      <w:r>
        <w:rPr>
          <w:rFonts w:ascii="宋体" w:hAnsi="宋体" w:eastAsia="宋体" w:cs="宋体"/>
          <w:color w:val="auto"/>
          <w:spacing w:val="2"/>
          <w:sz w:val="21"/>
          <w:szCs w:val="21"/>
        </w:rPr>
        <w:t>须依照《中华人民共和国消费者权益保护法》规定赔偿采购人，且民事赔偿并不免除违法投</w:t>
      </w:r>
      <w:r>
        <w:rPr>
          <w:rFonts w:ascii="宋体" w:hAnsi="宋体" w:eastAsia="宋体" w:cs="宋体"/>
          <w:color w:val="auto"/>
          <w:spacing w:val="-2"/>
          <w:sz w:val="21"/>
          <w:szCs w:val="21"/>
        </w:rPr>
        <w:t>标人的行政与刑事责任。</w:t>
      </w:r>
    </w:p>
    <w:p w14:paraId="50C31F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2"/>
          <w:sz w:val="24"/>
          <w:szCs w:val="24"/>
        </w:rPr>
        <w:t>9.回避与串通投标</w:t>
      </w:r>
    </w:p>
    <w:p w14:paraId="1D99B8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right"/>
        <w:textAlignment w:val="baseline"/>
        <w:rPr>
          <w:rFonts w:ascii="宋体" w:hAnsi="宋体" w:eastAsia="宋体" w:cs="宋体"/>
          <w:color w:val="auto"/>
          <w:sz w:val="21"/>
          <w:szCs w:val="21"/>
        </w:rPr>
      </w:pPr>
      <w:r>
        <w:rPr>
          <w:rFonts w:ascii="宋体" w:hAnsi="宋体" w:eastAsia="宋体" w:cs="宋体"/>
          <w:color w:val="auto"/>
          <w:spacing w:val="-4"/>
          <w:sz w:val="21"/>
          <w:szCs w:val="21"/>
        </w:rPr>
        <w:t>9.1</w:t>
      </w:r>
      <w:r>
        <w:rPr>
          <w:rFonts w:ascii="宋体" w:hAnsi="宋体" w:eastAsia="宋体" w:cs="宋体"/>
          <w:color w:val="auto"/>
          <w:spacing w:val="-45"/>
          <w:sz w:val="21"/>
          <w:szCs w:val="21"/>
        </w:rPr>
        <w:t xml:space="preserve"> </w:t>
      </w:r>
      <w:r>
        <w:rPr>
          <w:rFonts w:ascii="宋体" w:hAnsi="宋体" w:eastAsia="宋体" w:cs="宋体"/>
          <w:color w:val="auto"/>
          <w:spacing w:val="-4"/>
          <w:sz w:val="21"/>
          <w:szCs w:val="21"/>
        </w:rPr>
        <w:t>在政府采购活动中，采购人员及相关人员与供应商有下列利害关系之一的，应当</w:t>
      </w:r>
      <w:r>
        <w:rPr>
          <w:rFonts w:ascii="宋体" w:hAnsi="宋体" w:eastAsia="宋体" w:cs="宋体"/>
          <w:color w:val="auto"/>
          <w:spacing w:val="-5"/>
          <w:sz w:val="21"/>
          <w:szCs w:val="21"/>
        </w:rPr>
        <w:t>回避：</w:t>
      </w:r>
    </w:p>
    <w:p w14:paraId="499FC7C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rPr>
          <w:rFonts w:ascii="宋体" w:hAnsi="宋体" w:eastAsia="宋体" w:cs="宋体"/>
          <w:color w:val="auto"/>
          <w:sz w:val="21"/>
          <w:szCs w:val="21"/>
        </w:rPr>
      </w:pPr>
      <w:r>
        <w:rPr>
          <w:rFonts w:ascii="宋体" w:hAnsi="宋体" w:eastAsia="宋体" w:cs="宋体"/>
          <w:color w:val="auto"/>
          <w:spacing w:val="-2"/>
          <w:sz w:val="21"/>
          <w:szCs w:val="21"/>
        </w:rPr>
        <w:t>（1）参加采购活动前3年内与供应商存在劳动关系；</w:t>
      </w:r>
    </w:p>
    <w:p w14:paraId="1A3E1C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textAlignment w:val="baseline"/>
        <w:rPr>
          <w:rFonts w:ascii="宋体" w:hAnsi="宋体" w:eastAsia="宋体" w:cs="宋体"/>
          <w:color w:val="auto"/>
          <w:sz w:val="21"/>
          <w:szCs w:val="21"/>
        </w:rPr>
      </w:pPr>
      <w:r>
        <w:rPr>
          <w:rFonts w:ascii="宋体" w:hAnsi="宋体" w:eastAsia="宋体" w:cs="宋体"/>
          <w:color w:val="auto"/>
          <w:spacing w:val="-3"/>
          <w:sz w:val="21"/>
          <w:szCs w:val="21"/>
        </w:rPr>
        <w:t>（2）参加采购活动前3年内担任供应商的董事、监事；</w:t>
      </w:r>
    </w:p>
    <w:p w14:paraId="3077FA2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rPr>
          <w:rFonts w:ascii="宋体" w:hAnsi="宋体" w:eastAsia="宋体" w:cs="宋体"/>
          <w:color w:val="auto"/>
          <w:sz w:val="21"/>
          <w:szCs w:val="21"/>
        </w:rPr>
      </w:pPr>
      <w:r>
        <w:rPr>
          <w:rFonts w:ascii="宋体" w:hAnsi="宋体" w:eastAsia="宋体" w:cs="宋体"/>
          <w:color w:val="auto"/>
          <w:spacing w:val="-2"/>
          <w:sz w:val="21"/>
          <w:szCs w:val="21"/>
        </w:rPr>
        <w:t>（3）参加采购活动前3年内是供应商的控股股东或者实际控制人；</w:t>
      </w:r>
    </w:p>
    <w:p w14:paraId="4518654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（4）与供应商的法定代表人或者负责人有夫妻、直系血</w:t>
      </w:r>
      <w:r>
        <w:rPr>
          <w:rFonts w:ascii="宋体" w:hAnsi="宋体" w:eastAsia="宋体" w:cs="宋体"/>
          <w:color w:val="auto"/>
          <w:spacing w:val="-1"/>
          <w:sz w:val="21"/>
          <w:szCs w:val="21"/>
        </w:rPr>
        <w:t>亲、三代以内旁系血亲或者近姻</w:t>
      </w:r>
      <w:r>
        <w:rPr>
          <w:rFonts w:ascii="宋体" w:hAnsi="宋体" w:eastAsia="宋体" w:cs="宋体"/>
          <w:color w:val="auto"/>
          <w:spacing w:val="-2"/>
          <w:sz w:val="21"/>
          <w:szCs w:val="21"/>
        </w:rPr>
        <w:t>亲关系；</w:t>
      </w:r>
    </w:p>
    <w:p w14:paraId="47D4F78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（5）与供应商有其他可能影响政府采购活动</w:t>
      </w:r>
      <w:r>
        <w:rPr>
          <w:rFonts w:ascii="宋体" w:hAnsi="宋体" w:eastAsia="宋体" w:cs="宋体"/>
          <w:color w:val="auto"/>
          <w:spacing w:val="-1"/>
          <w:sz w:val="21"/>
          <w:szCs w:val="21"/>
        </w:rPr>
        <w:t>公平、公正进行的关系。</w:t>
      </w:r>
    </w:p>
    <w:p w14:paraId="3ED375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jc w:val="both"/>
        <w:textAlignment w:val="baseline"/>
        <w:rPr>
          <w:rFonts w:ascii="宋体" w:hAnsi="宋体" w:eastAsia="宋体" w:cs="宋体"/>
          <w:color w:val="auto"/>
          <w:sz w:val="21"/>
          <w:szCs w:val="21"/>
        </w:rPr>
      </w:pPr>
      <w:r>
        <w:rPr>
          <w:rFonts w:ascii="宋体" w:hAnsi="宋体" w:eastAsia="宋体" w:cs="宋体"/>
          <w:color w:val="auto"/>
          <w:spacing w:val="2"/>
          <w:sz w:val="21"/>
          <w:szCs w:val="21"/>
        </w:rPr>
        <w:t>供应商认为采购人员及相关人员与其他供应商有利害关系的，可以向采购人或者采购代理机构书面提出回避申请，并说明理由。采购人或者采购代理机构应当及时询问被申请回避</w:t>
      </w:r>
      <w:r>
        <w:rPr>
          <w:rFonts w:ascii="宋体" w:hAnsi="宋体" w:eastAsia="宋体" w:cs="宋体"/>
          <w:color w:val="auto"/>
          <w:spacing w:val="-1"/>
          <w:sz w:val="21"/>
          <w:szCs w:val="21"/>
        </w:rPr>
        <w:t>人员，有利害关系的被申请回避人员应当回避。</w:t>
      </w:r>
    </w:p>
    <w:p w14:paraId="43EFF58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9.2</w:t>
      </w:r>
      <w:r>
        <w:rPr>
          <w:rFonts w:ascii="宋体" w:hAnsi="宋体" w:eastAsia="宋体" w:cs="宋体"/>
          <w:color w:val="auto"/>
          <w:spacing w:val="-31"/>
          <w:sz w:val="21"/>
          <w:szCs w:val="21"/>
        </w:rPr>
        <w:t xml:space="preserve"> </w:t>
      </w:r>
      <w:r>
        <w:rPr>
          <w:rFonts w:ascii="宋体" w:hAnsi="宋体" w:eastAsia="宋体" w:cs="宋体"/>
          <w:b/>
          <w:bCs/>
          <w:color w:val="auto"/>
          <w:spacing w:val="-3"/>
          <w:sz w:val="21"/>
          <w:szCs w:val="21"/>
        </w:rPr>
        <w:t>有下列情形之一的视为投标人相互串通投标，投标文件将被视为无效：</w:t>
      </w:r>
    </w:p>
    <w:p w14:paraId="3F6D47F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0" w:firstLineChars="200"/>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（1）不同投标人的投标文件由同一单位或者个人编制；</w:t>
      </w:r>
      <w:r>
        <w:rPr>
          <w:rFonts w:hint="eastAsia" w:ascii="宋体" w:hAnsi="宋体" w:eastAsia="宋体" w:cs="宋体"/>
          <w:b/>
          <w:bCs/>
          <w:color w:val="auto"/>
          <w:spacing w:val="-3"/>
          <w:sz w:val="21"/>
          <w:szCs w:val="21"/>
          <w:lang w:val="en-US" w:eastAsia="zh-CN"/>
        </w:rPr>
        <w:t>或者不同供应商报名的IP地址一致的；或者编制响应文件硬件设备CPU编号、硬盘编号、网卡地址一致的情况。</w:t>
      </w:r>
    </w:p>
    <w:p w14:paraId="3221DF4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0" w:firstLineChars="200"/>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（2）不同投标人委托同一单位或者个人办理投标事宜；</w:t>
      </w:r>
    </w:p>
    <w:p w14:paraId="126DA69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0" w:firstLineChars="200"/>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（3）不同的投标人的投标文件载明的项目管理员为同</w:t>
      </w:r>
      <w:r>
        <w:rPr>
          <w:rFonts w:ascii="宋体" w:hAnsi="宋体" w:eastAsia="宋体" w:cs="宋体"/>
          <w:b/>
          <w:bCs/>
          <w:color w:val="auto"/>
          <w:spacing w:val="-4"/>
          <w:sz w:val="21"/>
          <w:szCs w:val="21"/>
        </w:rPr>
        <w:t>一个人；</w:t>
      </w:r>
    </w:p>
    <w:p w14:paraId="2DE9CEE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0" w:firstLineChars="200"/>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（4）不同投标人的投标文件异常一致或者投标</w:t>
      </w:r>
      <w:r>
        <w:rPr>
          <w:rFonts w:ascii="宋体" w:hAnsi="宋体" w:eastAsia="宋体" w:cs="宋体"/>
          <w:b/>
          <w:bCs/>
          <w:color w:val="auto"/>
          <w:spacing w:val="-4"/>
          <w:sz w:val="21"/>
          <w:szCs w:val="21"/>
        </w:rPr>
        <w:t>报价呈规律性差异；</w:t>
      </w:r>
    </w:p>
    <w:p w14:paraId="6E8F1A6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2" w:firstLineChars="200"/>
        <w:textAlignment w:val="baseline"/>
        <w:rPr>
          <w:rFonts w:ascii="宋体" w:hAnsi="宋体" w:eastAsia="宋体" w:cs="宋体"/>
          <w:color w:val="auto"/>
          <w:sz w:val="21"/>
          <w:szCs w:val="21"/>
        </w:rPr>
      </w:pPr>
      <w:r>
        <w:rPr>
          <w:rFonts w:ascii="宋体" w:hAnsi="宋体" w:eastAsia="宋体" w:cs="宋体"/>
          <w:b/>
          <w:bCs/>
          <w:color w:val="auto"/>
          <w:spacing w:val="-5"/>
          <w:sz w:val="21"/>
          <w:szCs w:val="21"/>
        </w:rPr>
        <w:t>（5）不同投标人的投标文件相互混装；</w:t>
      </w:r>
    </w:p>
    <w:p w14:paraId="4626C6C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0" w:firstLineChars="200"/>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（6）不同投标人的投标保证金从同一单位或者个人账户转出。</w:t>
      </w:r>
    </w:p>
    <w:p w14:paraId="329161B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ascii="宋体" w:hAnsi="宋体" w:eastAsia="宋体" w:cs="宋体"/>
          <w:color w:val="auto"/>
          <w:sz w:val="21"/>
          <w:szCs w:val="21"/>
        </w:rPr>
      </w:pPr>
      <w:r>
        <w:rPr>
          <w:rFonts w:ascii="宋体" w:hAnsi="宋体" w:eastAsia="宋体" w:cs="宋体"/>
          <w:color w:val="auto"/>
          <w:sz w:val="21"/>
          <w:szCs w:val="21"/>
        </w:rPr>
        <w:t>9.3</w:t>
      </w:r>
      <w:r>
        <w:rPr>
          <w:rFonts w:ascii="宋体" w:hAnsi="宋体" w:eastAsia="宋体" w:cs="宋体"/>
          <w:color w:val="auto"/>
          <w:spacing w:val="-44"/>
          <w:sz w:val="21"/>
          <w:szCs w:val="21"/>
        </w:rPr>
        <w:t xml:space="preserve"> </w:t>
      </w:r>
      <w:r>
        <w:rPr>
          <w:rFonts w:ascii="宋体" w:hAnsi="宋体" w:eastAsia="宋体" w:cs="宋体"/>
          <w:color w:val="auto"/>
          <w:sz w:val="21"/>
          <w:szCs w:val="21"/>
        </w:rPr>
        <w:t>供应商有下列情形之一的，属于恶意串通行为</w:t>
      </w:r>
      <w:r>
        <w:rPr>
          <w:rFonts w:ascii="宋体" w:hAnsi="宋体" w:eastAsia="宋体" w:cs="宋体"/>
          <w:color w:val="auto"/>
          <w:spacing w:val="-1"/>
          <w:sz w:val="21"/>
          <w:szCs w:val="21"/>
        </w:rPr>
        <w:t>，将报同级监督管理部门：</w:t>
      </w:r>
    </w:p>
    <w:p w14:paraId="3F9FC5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（1）供应商直接或者间接从采购人或者采购代理机构处获得其他供应商的相关信息并修</w:t>
      </w:r>
      <w:r>
        <w:rPr>
          <w:rFonts w:ascii="宋体" w:hAnsi="宋体" w:eastAsia="宋体" w:cs="宋体"/>
          <w:color w:val="auto"/>
          <w:spacing w:val="-3"/>
          <w:sz w:val="21"/>
          <w:szCs w:val="21"/>
        </w:rPr>
        <w:t>改其投标文件或者响应文件；</w:t>
      </w:r>
    </w:p>
    <w:p w14:paraId="453A11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（2）供应商按照采购人或者采购代理机构的授意撤换、修改投标</w:t>
      </w:r>
      <w:r>
        <w:rPr>
          <w:rFonts w:ascii="宋体" w:hAnsi="宋体" w:eastAsia="宋体" w:cs="宋体"/>
          <w:color w:val="auto"/>
          <w:spacing w:val="-1"/>
          <w:sz w:val="21"/>
          <w:szCs w:val="21"/>
        </w:rPr>
        <w:t>文件或者响应文件；</w:t>
      </w:r>
    </w:p>
    <w:p w14:paraId="1042F60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（3）供应商之间协商报价、技术方案等投标文件或者响</w:t>
      </w:r>
      <w:r>
        <w:rPr>
          <w:rFonts w:ascii="宋体" w:hAnsi="宋体" w:eastAsia="宋体" w:cs="宋体"/>
          <w:color w:val="auto"/>
          <w:spacing w:val="-1"/>
          <w:sz w:val="21"/>
          <w:szCs w:val="21"/>
        </w:rPr>
        <w:t>应文件的实质性内容；</w:t>
      </w:r>
    </w:p>
    <w:p w14:paraId="3BDEC298">
      <w:pPr>
        <w:keepNext w:val="0"/>
        <w:keepLines w:val="0"/>
        <w:pageBreakBefore w:val="0"/>
        <w:widowControl/>
        <w:kinsoku/>
        <w:wordWrap w:val="0"/>
        <w:overflowPunct w:val="0"/>
        <w:topLinePunct w:val="0"/>
        <w:autoSpaceDE/>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（4）属于同一集团、协会、商会等组织成员的供应商按</w:t>
      </w:r>
      <w:r>
        <w:rPr>
          <w:rFonts w:ascii="宋体" w:hAnsi="宋体" w:eastAsia="宋体" w:cs="宋体"/>
          <w:color w:val="auto"/>
          <w:spacing w:val="-1"/>
          <w:sz w:val="21"/>
          <w:szCs w:val="21"/>
        </w:rPr>
        <w:t>照该组织要求协同参加政府采购</w:t>
      </w:r>
      <w:r>
        <w:rPr>
          <w:rFonts w:ascii="宋体" w:hAnsi="宋体" w:eastAsia="宋体" w:cs="宋体"/>
          <w:color w:val="auto"/>
          <w:spacing w:val="-13"/>
          <w:sz w:val="21"/>
          <w:szCs w:val="21"/>
        </w:rPr>
        <w:t>活动；</w:t>
      </w:r>
    </w:p>
    <w:p w14:paraId="720B5E2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（5）供应商之间事先约定一致抬高或者压低投标报价，</w:t>
      </w:r>
      <w:r>
        <w:rPr>
          <w:rFonts w:ascii="宋体" w:hAnsi="宋体" w:eastAsia="宋体" w:cs="宋体"/>
          <w:color w:val="auto"/>
          <w:spacing w:val="-1"/>
          <w:sz w:val="21"/>
          <w:szCs w:val="21"/>
        </w:rPr>
        <w:t>或者在招标项目中事先约定轮流以高价位或者低价位中标，或者事先约定由某一特定供应商中标，然后再参加投标；</w:t>
      </w:r>
    </w:p>
    <w:p w14:paraId="37F68C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（6）供应商之间商定部分供应商放弃参加政府采购活动或者放</w:t>
      </w:r>
      <w:r>
        <w:rPr>
          <w:rFonts w:ascii="宋体" w:hAnsi="宋体" w:eastAsia="宋体" w:cs="宋体"/>
          <w:color w:val="auto"/>
          <w:spacing w:val="-2"/>
          <w:sz w:val="21"/>
          <w:szCs w:val="21"/>
        </w:rPr>
        <w:t>弃中标；</w:t>
      </w:r>
    </w:p>
    <w:p w14:paraId="7466495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Arial"/>
          <w:color w:val="auto"/>
          <w:sz w:val="21"/>
        </w:rPr>
      </w:pPr>
      <w:r>
        <w:rPr>
          <w:rFonts w:ascii="宋体" w:hAnsi="宋体" w:eastAsia="宋体" w:cs="宋体"/>
          <w:color w:val="auto"/>
          <w:spacing w:val="-1"/>
          <w:sz w:val="21"/>
          <w:szCs w:val="21"/>
        </w:rPr>
        <w:t>（7）供应商与采购人或者采购代理机构之间、供应商相互之间，为谋求特定供应商中标或者排斥其他供应商的其他串通行为。</w:t>
      </w:r>
    </w:p>
    <w:p w14:paraId="22967652">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360" w:lineRule="auto"/>
        <w:ind w:left="0"/>
        <w:jc w:val="center"/>
        <w:textAlignment w:val="baseline"/>
        <w:outlineLvl w:val="1"/>
        <w:rPr>
          <w:rFonts w:ascii="Arial"/>
          <w:color w:val="auto"/>
          <w:sz w:val="21"/>
        </w:rPr>
      </w:pPr>
      <w:r>
        <w:rPr>
          <w:rFonts w:ascii="宋体" w:hAnsi="宋体" w:eastAsia="宋体" w:cs="宋体"/>
          <w:b/>
          <w:bCs/>
          <w:color w:val="auto"/>
          <w:spacing w:val="5"/>
          <w:sz w:val="31"/>
          <w:szCs w:val="31"/>
        </w:rPr>
        <w:t>二、招标文件</w:t>
      </w:r>
    </w:p>
    <w:p w14:paraId="0A3228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4"/>
          <w:sz w:val="24"/>
          <w:szCs w:val="24"/>
        </w:rPr>
        <w:t>10.招标文件的组成</w:t>
      </w:r>
    </w:p>
    <w:p w14:paraId="7C2DEFA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ascii="宋体" w:hAnsi="宋体" w:eastAsia="宋体" w:cs="宋体"/>
          <w:color w:val="auto"/>
          <w:sz w:val="21"/>
          <w:szCs w:val="21"/>
        </w:rPr>
      </w:pPr>
      <w:r>
        <w:rPr>
          <w:rFonts w:ascii="宋体" w:hAnsi="宋体" w:eastAsia="宋体" w:cs="宋体"/>
          <w:color w:val="auto"/>
          <w:spacing w:val="-2"/>
          <w:sz w:val="21"/>
          <w:szCs w:val="21"/>
        </w:rPr>
        <w:t>（1）招标公告；</w:t>
      </w:r>
    </w:p>
    <w:p w14:paraId="16F01D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ascii="宋体" w:hAnsi="宋体" w:eastAsia="宋体" w:cs="宋体"/>
          <w:color w:val="auto"/>
          <w:sz w:val="21"/>
          <w:szCs w:val="21"/>
        </w:rPr>
      </w:pPr>
      <w:r>
        <w:rPr>
          <w:rFonts w:ascii="宋体" w:hAnsi="宋体" w:eastAsia="宋体" w:cs="宋体"/>
          <w:color w:val="auto"/>
          <w:spacing w:val="-2"/>
          <w:sz w:val="21"/>
          <w:szCs w:val="21"/>
        </w:rPr>
        <w:t>（2）采购需求；</w:t>
      </w:r>
    </w:p>
    <w:p w14:paraId="031ADB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ascii="宋体" w:hAnsi="宋体" w:eastAsia="宋体" w:cs="宋体"/>
          <w:color w:val="auto"/>
          <w:spacing w:val="-5"/>
          <w:sz w:val="21"/>
          <w:szCs w:val="21"/>
        </w:rPr>
      </w:pPr>
      <w:r>
        <w:rPr>
          <w:rFonts w:ascii="宋体" w:hAnsi="宋体" w:eastAsia="宋体" w:cs="宋体"/>
          <w:color w:val="auto"/>
          <w:spacing w:val="-5"/>
          <w:sz w:val="21"/>
          <w:szCs w:val="21"/>
        </w:rPr>
        <w:t>（3）投标人须知；</w:t>
      </w:r>
    </w:p>
    <w:p w14:paraId="6B6390A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ascii="宋体" w:hAnsi="宋体" w:eastAsia="宋体" w:cs="宋体"/>
          <w:color w:val="auto"/>
          <w:sz w:val="21"/>
          <w:szCs w:val="21"/>
        </w:rPr>
      </w:pPr>
      <w:r>
        <w:rPr>
          <w:rFonts w:ascii="宋体" w:hAnsi="宋体" w:eastAsia="宋体" w:cs="宋体"/>
          <w:color w:val="auto"/>
          <w:spacing w:val="-1"/>
          <w:sz w:val="21"/>
          <w:szCs w:val="21"/>
        </w:rPr>
        <w:t>（4）评标方法及评标标准；</w:t>
      </w:r>
    </w:p>
    <w:p w14:paraId="28CBD76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ascii="宋体" w:hAnsi="宋体" w:eastAsia="宋体" w:cs="宋体"/>
          <w:color w:val="auto"/>
          <w:spacing w:val="-2"/>
          <w:sz w:val="21"/>
          <w:szCs w:val="21"/>
        </w:rPr>
      </w:pPr>
      <w:r>
        <w:rPr>
          <w:rFonts w:ascii="宋体" w:hAnsi="宋体" w:eastAsia="宋体" w:cs="宋体"/>
          <w:color w:val="auto"/>
          <w:spacing w:val="-1"/>
          <w:sz w:val="21"/>
          <w:szCs w:val="21"/>
        </w:rPr>
        <w:t>（5）拟签订的合同文本；</w:t>
      </w:r>
    </w:p>
    <w:p w14:paraId="367FED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ascii="宋体" w:hAnsi="宋体" w:eastAsia="宋体" w:cs="宋体"/>
          <w:color w:val="auto"/>
          <w:sz w:val="21"/>
          <w:szCs w:val="21"/>
        </w:rPr>
      </w:pPr>
      <w:r>
        <w:rPr>
          <w:rFonts w:ascii="宋体" w:hAnsi="宋体" w:eastAsia="宋体" w:cs="宋体"/>
          <w:color w:val="auto"/>
          <w:spacing w:val="-2"/>
          <w:sz w:val="21"/>
          <w:szCs w:val="21"/>
        </w:rPr>
        <w:t>（6）投标文件格式。</w:t>
      </w:r>
    </w:p>
    <w:p w14:paraId="545F77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11.招标文件的澄清、修改</w:t>
      </w:r>
      <w:r>
        <w:rPr>
          <w:rFonts w:ascii="黑体" w:hAnsi="黑体" w:eastAsia="黑体" w:cs="黑体"/>
          <w:color w:val="auto"/>
          <w:spacing w:val="-3"/>
          <w:sz w:val="24"/>
          <w:szCs w:val="24"/>
        </w:rPr>
        <w:t xml:space="preserve"> </w:t>
      </w:r>
      <w:r>
        <w:rPr>
          <w:rFonts w:ascii="黑体" w:hAnsi="黑体" w:eastAsia="黑体" w:cs="黑体"/>
          <w:b/>
          <w:bCs/>
          <w:color w:val="auto"/>
          <w:spacing w:val="-3"/>
          <w:sz w:val="24"/>
          <w:szCs w:val="24"/>
        </w:rPr>
        <w:t>、现场考察和答疑会</w:t>
      </w:r>
    </w:p>
    <w:p w14:paraId="096645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ascii="宋体" w:hAnsi="宋体" w:eastAsia="宋体" w:cs="宋体"/>
          <w:color w:val="auto"/>
          <w:sz w:val="21"/>
          <w:szCs w:val="21"/>
        </w:rPr>
      </w:pPr>
      <w:r>
        <w:rPr>
          <w:rFonts w:ascii="宋体" w:hAnsi="宋体" w:eastAsia="宋体" w:cs="宋体"/>
          <w:color w:val="auto"/>
          <w:sz w:val="21"/>
          <w:szCs w:val="21"/>
        </w:rPr>
        <w:t>11.1 采购人或者采购代理机构可以对已</w:t>
      </w:r>
      <w:r>
        <w:rPr>
          <w:rFonts w:ascii="宋体" w:hAnsi="宋体" w:eastAsia="宋体" w:cs="宋体"/>
          <w:color w:val="auto"/>
          <w:spacing w:val="-1"/>
          <w:sz w:val="21"/>
          <w:szCs w:val="21"/>
        </w:rPr>
        <w:t>发出的招标文件进行必要的澄清或者修改，但不</w:t>
      </w:r>
      <w:r>
        <w:rPr>
          <w:rFonts w:ascii="宋体" w:hAnsi="宋体" w:eastAsia="宋体" w:cs="宋体"/>
          <w:color w:val="auto"/>
          <w:spacing w:val="2"/>
          <w:sz w:val="21"/>
          <w:szCs w:val="21"/>
        </w:rPr>
        <w:t>得改变采购标的和资格条件。澄清或者修改应当在原公告发布媒体上发布澄清公告。澄清或</w:t>
      </w:r>
      <w:r>
        <w:rPr>
          <w:rFonts w:ascii="宋体" w:hAnsi="宋体" w:eastAsia="宋体" w:cs="宋体"/>
          <w:color w:val="auto"/>
          <w:spacing w:val="-1"/>
          <w:sz w:val="21"/>
          <w:szCs w:val="21"/>
        </w:rPr>
        <w:t>者修改的内容为招标文件的组成部分。</w:t>
      </w:r>
    </w:p>
    <w:p w14:paraId="240CF13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jc w:val="both"/>
        <w:textAlignment w:val="baseline"/>
        <w:rPr>
          <w:rFonts w:ascii="宋体" w:hAnsi="宋体" w:eastAsia="宋体" w:cs="宋体"/>
          <w:color w:val="auto"/>
          <w:sz w:val="21"/>
          <w:szCs w:val="21"/>
        </w:rPr>
      </w:pPr>
      <w:r>
        <w:rPr>
          <w:rFonts w:ascii="宋体" w:hAnsi="宋体" w:eastAsia="宋体" w:cs="宋体"/>
          <w:color w:val="auto"/>
          <w:spacing w:val="2"/>
          <w:sz w:val="21"/>
          <w:szCs w:val="21"/>
        </w:rPr>
        <w:t>澄清或者修改的内容可能影响投标文件编制的，采购人或者采购代理机构应当在投标截</w:t>
      </w:r>
      <w:r>
        <w:rPr>
          <w:rFonts w:ascii="宋体" w:hAnsi="宋体" w:eastAsia="宋体" w:cs="宋体"/>
          <w:color w:val="auto"/>
          <w:spacing w:val="-2"/>
          <w:sz w:val="21"/>
          <w:szCs w:val="21"/>
        </w:rPr>
        <w:t>止时间至少15日前，以书面形式通知所有获取招</w:t>
      </w:r>
      <w:r>
        <w:rPr>
          <w:rFonts w:ascii="宋体" w:hAnsi="宋体" w:eastAsia="宋体" w:cs="宋体"/>
          <w:color w:val="auto"/>
          <w:spacing w:val="-3"/>
          <w:sz w:val="21"/>
          <w:szCs w:val="21"/>
        </w:rPr>
        <w:t>标文件的潜在投标人；不足15日的，采购</w:t>
      </w:r>
      <w:r>
        <w:rPr>
          <w:rFonts w:ascii="宋体" w:hAnsi="宋体" w:eastAsia="宋体" w:cs="宋体"/>
          <w:color w:val="auto"/>
          <w:spacing w:val="-1"/>
          <w:sz w:val="21"/>
          <w:szCs w:val="21"/>
        </w:rPr>
        <w:t>人或者采购代理机构应当顺延提交投标文件的截止时间。</w:t>
      </w:r>
    </w:p>
    <w:p w14:paraId="47C5DE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11.2 采购人或者采购代理机构可以在招</w:t>
      </w:r>
      <w:r>
        <w:rPr>
          <w:rFonts w:ascii="宋体" w:hAnsi="宋体" w:eastAsia="宋体" w:cs="宋体"/>
          <w:color w:val="auto"/>
          <w:spacing w:val="-1"/>
          <w:sz w:val="21"/>
          <w:szCs w:val="21"/>
        </w:rPr>
        <w:t>标文件提供期限截止后，组织已获取招标文件的潜在投标人现场考察或者召开开标前答疑会，具体详见“投标人须知前附表”。</w:t>
      </w:r>
    </w:p>
    <w:p w14:paraId="115BEA85">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360" w:lineRule="auto"/>
        <w:ind w:left="0" w:right="0"/>
        <w:jc w:val="center"/>
        <w:textAlignment w:val="baseline"/>
        <w:outlineLvl w:val="1"/>
        <w:rPr>
          <w:rFonts w:ascii="Arial"/>
          <w:color w:val="auto"/>
          <w:sz w:val="21"/>
        </w:rPr>
      </w:pPr>
      <w:r>
        <w:rPr>
          <w:rFonts w:ascii="宋体" w:hAnsi="宋体" w:eastAsia="宋体" w:cs="宋体"/>
          <w:b/>
          <w:bCs/>
          <w:color w:val="auto"/>
          <w:spacing w:val="6"/>
          <w:sz w:val="31"/>
          <w:szCs w:val="31"/>
        </w:rPr>
        <w:t>三、投标文件的编制</w:t>
      </w:r>
    </w:p>
    <w:p w14:paraId="237F22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4"/>
          <w:sz w:val="24"/>
          <w:szCs w:val="24"/>
        </w:rPr>
        <w:t>12.投标文件的编制原则</w:t>
      </w:r>
    </w:p>
    <w:p w14:paraId="60E4F1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textAlignment w:val="baseline"/>
        <w:rPr>
          <w:rFonts w:ascii="宋体" w:hAnsi="宋体" w:eastAsia="宋体" w:cs="宋体"/>
          <w:color w:val="auto"/>
          <w:sz w:val="21"/>
          <w:szCs w:val="21"/>
        </w:rPr>
      </w:pPr>
      <w:r>
        <w:rPr>
          <w:rFonts w:ascii="宋体" w:hAnsi="宋体" w:eastAsia="宋体" w:cs="宋体"/>
          <w:color w:val="auto"/>
          <w:sz w:val="21"/>
          <w:szCs w:val="21"/>
        </w:rPr>
        <w:t>投标人必须按照招标文件的要求编制投标文件。投标文件必须对招标文件提出</w:t>
      </w:r>
      <w:r>
        <w:rPr>
          <w:rFonts w:ascii="宋体" w:hAnsi="宋体" w:eastAsia="宋体" w:cs="宋体"/>
          <w:color w:val="auto"/>
          <w:spacing w:val="-1"/>
          <w:sz w:val="21"/>
          <w:szCs w:val="21"/>
        </w:rPr>
        <w:t>的要求和</w:t>
      </w:r>
      <w:r>
        <w:rPr>
          <w:rFonts w:ascii="宋体" w:hAnsi="宋体" w:eastAsia="宋体" w:cs="宋体"/>
          <w:color w:val="auto"/>
          <w:spacing w:val="-3"/>
          <w:sz w:val="21"/>
          <w:szCs w:val="21"/>
        </w:rPr>
        <w:t>条件作出明确响应。</w:t>
      </w:r>
    </w:p>
    <w:p w14:paraId="55089A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4"/>
          <w:sz w:val="24"/>
          <w:szCs w:val="24"/>
        </w:rPr>
        <w:t>13.投标文件的组成</w:t>
      </w:r>
    </w:p>
    <w:p w14:paraId="7D02E30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ascii="宋体" w:hAnsi="宋体" w:eastAsia="宋体" w:cs="宋体"/>
          <w:color w:val="auto"/>
          <w:sz w:val="21"/>
          <w:szCs w:val="21"/>
        </w:rPr>
      </w:pPr>
      <w:r>
        <w:rPr>
          <w:rFonts w:ascii="宋体" w:hAnsi="宋体" w:eastAsia="宋体" w:cs="宋体"/>
          <w:color w:val="auto"/>
          <w:sz w:val="21"/>
          <w:szCs w:val="21"/>
        </w:rPr>
        <w:t>投标文件由报价文件、资格证明文件、商务文件、技术文件四</w:t>
      </w:r>
      <w:r>
        <w:rPr>
          <w:rFonts w:ascii="宋体" w:hAnsi="宋体" w:eastAsia="宋体" w:cs="宋体"/>
          <w:color w:val="auto"/>
          <w:spacing w:val="-1"/>
          <w:sz w:val="21"/>
          <w:szCs w:val="21"/>
        </w:rPr>
        <w:t>部分组成。</w:t>
      </w:r>
    </w:p>
    <w:p w14:paraId="4786EA9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（1）报价文件：具体材料见“投标人须知前附表”。</w:t>
      </w:r>
    </w:p>
    <w:p w14:paraId="282BF0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（2）资格证明文件：具体材料见“投标人须知前附表”。</w:t>
      </w:r>
    </w:p>
    <w:p w14:paraId="61E400A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（3）商务文件：具体材料见“投标人须知前附表”。</w:t>
      </w:r>
    </w:p>
    <w:p w14:paraId="6AAB5A0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（4）技术文件：具体材料见“投标人须知前附表”。</w:t>
      </w:r>
    </w:p>
    <w:p w14:paraId="7B2AB6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4"/>
          <w:sz w:val="24"/>
          <w:szCs w:val="24"/>
        </w:rPr>
        <w:t>14.投标文件的语言及计量</w:t>
      </w:r>
    </w:p>
    <w:p w14:paraId="0F50AD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3"/>
        <w:rPr>
          <w:rFonts w:ascii="宋体" w:hAnsi="宋体" w:eastAsia="宋体" w:cs="宋体"/>
          <w:color w:val="auto"/>
          <w:sz w:val="21"/>
          <w:szCs w:val="21"/>
        </w:rPr>
      </w:pPr>
      <w:r>
        <w:rPr>
          <w:rFonts w:ascii="宋体" w:hAnsi="宋体" w:eastAsia="宋体" w:cs="宋体"/>
          <w:color w:val="auto"/>
          <w:spacing w:val="-4"/>
          <w:sz w:val="21"/>
          <w:szCs w:val="21"/>
        </w:rPr>
        <w:t>14.1</w:t>
      </w:r>
      <w:r>
        <w:rPr>
          <w:rFonts w:ascii="宋体" w:hAnsi="宋体" w:eastAsia="宋体" w:cs="宋体"/>
          <w:color w:val="auto"/>
          <w:spacing w:val="-43"/>
          <w:sz w:val="21"/>
          <w:szCs w:val="21"/>
        </w:rPr>
        <w:t xml:space="preserve"> </w:t>
      </w:r>
      <w:r>
        <w:rPr>
          <w:rFonts w:ascii="宋体" w:hAnsi="宋体" w:eastAsia="宋体" w:cs="宋体"/>
          <w:color w:val="auto"/>
          <w:spacing w:val="-4"/>
          <w:sz w:val="21"/>
          <w:szCs w:val="21"/>
        </w:rPr>
        <w:t>语言文字</w:t>
      </w:r>
    </w:p>
    <w:p w14:paraId="5D67F1C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3"/>
        <w:textAlignment w:val="baseline"/>
        <w:rPr>
          <w:rFonts w:ascii="宋体" w:hAnsi="宋体" w:eastAsia="宋体" w:cs="宋体"/>
          <w:color w:val="auto"/>
          <w:sz w:val="21"/>
          <w:szCs w:val="21"/>
        </w:rPr>
      </w:pPr>
      <w:r>
        <w:rPr>
          <w:rFonts w:ascii="宋体" w:hAnsi="宋体" w:eastAsia="宋体" w:cs="宋体"/>
          <w:color w:val="auto"/>
          <w:spacing w:val="2"/>
          <w:sz w:val="21"/>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w:t>
      </w:r>
      <w:r>
        <w:rPr>
          <w:rFonts w:ascii="宋体" w:hAnsi="宋体" w:eastAsia="宋体" w:cs="宋体"/>
          <w:color w:val="auto"/>
          <w:spacing w:val="-4"/>
          <w:sz w:val="21"/>
          <w:szCs w:val="21"/>
        </w:rPr>
        <w:t>文本为准。</w:t>
      </w:r>
    </w:p>
    <w:p w14:paraId="777CC1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3"/>
        <w:rPr>
          <w:rFonts w:ascii="宋体" w:hAnsi="宋体" w:eastAsia="宋体" w:cs="宋体"/>
          <w:color w:val="auto"/>
          <w:spacing w:val="-3"/>
          <w:sz w:val="21"/>
          <w:szCs w:val="21"/>
        </w:rPr>
      </w:pPr>
      <w:r>
        <w:rPr>
          <w:rFonts w:ascii="宋体" w:hAnsi="宋体" w:eastAsia="宋体" w:cs="宋体"/>
          <w:color w:val="auto"/>
          <w:spacing w:val="-3"/>
          <w:sz w:val="21"/>
          <w:szCs w:val="21"/>
        </w:rPr>
        <w:t>14.2</w:t>
      </w:r>
      <w:r>
        <w:rPr>
          <w:rFonts w:ascii="宋体" w:hAnsi="宋体" w:eastAsia="宋体" w:cs="宋体"/>
          <w:color w:val="auto"/>
          <w:spacing w:val="-44"/>
          <w:sz w:val="21"/>
          <w:szCs w:val="21"/>
        </w:rPr>
        <w:t xml:space="preserve"> </w:t>
      </w:r>
      <w:r>
        <w:rPr>
          <w:rFonts w:ascii="宋体" w:hAnsi="宋体" w:eastAsia="宋体" w:cs="宋体"/>
          <w:color w:val="auto"/>
          <w:spacing w:val="-3"/>
          <w:sz w:val="21"/>
          <w:szCs w:val="21"/>
        </w:rPr>
        <w:t>投标计量单位</w:t>
      </w:r>
    </w:p>
    <w:p w14:paraId="10CE9E0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textAlignment w:val="baseline"/>
        <w:outlineLvl w:val="3"/>
        <w:rPr>
          <w:rFonts w:ascii="宋体" w:hAnsi="宋体" w:eastAsia="宋体" w:cs="宋体"/>
          <w:color w:val="auto"/>
          <w:sz w:val="21"/>
          <w:szCs w:val="21"/>
        </w:rPr>
      </w:pPr>
      <w:r>
        <w:rPr>
          <w:rFonts w:ascii="宋体" w:hAnsi="宋体" w:eastAsia="宋体" w:cs="宋体"/>
          <w:color w:val="auto"/>
          <w:spacing w:val="2"/>
          <w:sz w:val="21"/>
          <w:szCs w:val="21"/>
        </w:rPr>
        <w:t>招标文件已有明确规定的，使用招标文件规定的计量单位；招标文件没有规定的，应采</w:t>
      </w:r>
      <w:r>
        <w:rPr>
          <w:rFonts w:ascii="宋体" w:hAnsi="宋体" w:eastAsia="宋体" w:cs="宋体"/>
          <w:color w:val="auto"/>
          <w:spacing w:val="-2"/>
          <w:sz w:val="21"/>
          <w:szCs w:val="21"/>
        </w:rPr>
        <w:t>用中华人民共和国法定计量单位，货币种类为人民币</w:t>
      </w:r>
      <w:r>
        <w:rPr>
          <w:rFonts w:ascii="宋体" w:hAnsi="宋体" w:eastAsia="宋体" w:cs="宋体"/>
          <w:b/>
          <w:bCs/>
          <w:color w:val="auto"/>
          <w:spacing w:val="-2"/>
          <w:sz w:val="21"/>
          <w:szCs w:val="21"/>
        </w:rPr>
        <w:t>，否则视同未响应。</w:t>
      </w:r>
    </w:p>
    <w:p w14:paraId="79E5E78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5"/>
          <w:sz w:val="24"/>
          <w:szCs w:val="24"/>
        </w:rPr>
        <w:t>15.投标的风险</w:t>
      </w:r>
    </w:p>
    <w:p w14:paraId="7FA910E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2"/>
        <w:textAlignment w:val="baseline"/>
        <w:rPr>
          <w:rFonts w:ascii="宋体" w:hAnsi="宋体" w:eastAsia="宋体" w:cs="宋体"/>
          <w:color w:val="auto"/>
          <w:sz w:val="21"/>
          <w:szCs w:val="21"/>
        </w:rPr>
      </w:pPr>
      <w:r>
        <w:rPr>
          <w:rFonts w:ascii="宋体" w:hAnsi="宋体" w:eastAsia="宋体" w:cs="宋体"/>
          <w:color w:val="auto"/>
          <w:sz w:val="21"/>
          <w:szCs w:val="21"/>
        </w:rPr>
        <w:t>投标人没有按照招标文件要求提供全部资料，或者投标人没有对招标文件作出</w:t>
      </w:r>
      <w:r>
        <w:rPr>
          <w:rFonts w:ascii="宋体" w:hAnsi="宋体" w:eastAsia="宋体" w:cs="宋体"/>
          <w:color w:val="auto"/>
          <w:spacing w:val="-1"/>
          <w:sz w:val="21"/>
          <w:szCs w:val="21"/>
        </w:rPr>
        <w:t>实质性响应是投标人的风险，并可能导致其投标被拒绝。</w:t>
      </w:r>
    </w:p>
    <w:p w14:paraId="2BC9A0A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5"/>
          <w:sz w:val="24"/>
          <w:szCs w:val="24"/>
        </w:rPr>
        <w:t>16.投标报价</w:t>
      </w:r>
    </w:p>
    <w:p w14:paraId="6850AF7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16.1</w:t>
      </w:r>
      <w:r>
        <w:rPr>
          <w:rFonts w:ascii="宋体" w:hAnsi="宋体" w:eastAsia="宋体" w:cs="宋体"/>
          <w:color w:val="auto"/>
          <w:spacing w:val="-44"/>
          <w:sz w:val="21"/>
          <w:szCs w:val="21"/>
        </w:rPr>
        <w:t xml:space="preserve"> </w:t>
      </w:r>
      <w:r>
        <w:rPr>
          <w:rFonts w:ascii="宋体" w:hAnsi="宋体" w:eastAsia="宋体" w:cs="宋体"/>
          <w:color w:val="auto"/>
          <w:spacing w:val="-1"/>
          <w:sz w:val="21"/>
          <w:szCs w:val="21"/>
        </w:rPr>
        <w:t>投标报价应按“第六章投标文件格式”中“开标一</w:t>
      </w:r>
      <w:r>
        <w:rPr>
          <w:rFonts w:ascii="宋体" w:hAnsi="宋体" w:eastAsia="宋体" w:cs="宋体"/>
          <w:color w:val="auto"/>
          <w:spacing w:val="-2"/>
          <w:sz w:val="21"/>
          <w:szCs w:val="21"/>
        </w:rPr>
        <w:t>览表”格式填写。</w:t>
      </w:r>
    </w:p>
    <w:p w14:paraId="259F488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outlineLvl w:val="3"/>
        <w:rPr>
          <w:rFonts w:ascii="宋体" w:hAnsi="宋体" w:eastAsia="宋体" w:cs="宋体"/>
          <w:color w:val="auto"/>
          <w:sz w:val="21"/>
          <w:szCs w:val="21"/>
        </w:rPr>
      </w:pPr>
      <w:r>
        <w:rPr>
          <w:rFonts w:ascii="宋体" w:hAnsi="宋体" w:eastAsia="宋体" w:cs="宋体"/>
          <w:color w:val="auto"/>
          <w:spacing w:val="-2"/>
          <w:sz w:val="21"/>
          <w:szCs w:val="21"/>
        </w:rPr>
        <w:t>16.2</w:t>
      </w:r>
      <w:r>
        <w:rPr>
          <w:rFonts w:ascii="宋体" w:hAnsi="宋体" w:eastAsia="宋体" w:cs="宋体"/>
          <w:color w:val="auto"/>
          <w:spacing w:val="-40"/>
          <w:sz w:val="21"/>
          <w:szCs w:val="21"/>
        </w:rPr>
        <w:t xml:space="preserve"> </w:t>
      </w:r>
      <w:r>
        <w:rPr>
          <w:rFonts w:ascii="宋体" w:hAnsi="宋体" w:eastAsia="宋体" w:cs="宋体"/>
          <w:color w:val="auto"/>
          <w:spacing w:val="-2"/>
          <w:sz w:val="21"/>
          <w:szCs w:val="21"/>
        </w:rPr>
        <w:t>投标报价具体包括内容详见“投标人须知前附表”。</w:t>
      </w:r>
    </w:p>
    <w:p w14:paraId="4708A62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pacing w:val="-1"/>
          <w:sz w:val="21"/>
          <w:szCs w:val="21"/>
        </w:rPr>
      </w:pPr>
      <w:r>
        <w:rPr>
          <w:rFonts w:ascii="宋体" w:hAnsi="宋体" w:eastAsia="宋体" w:cs="宋体"/>
          <w:color w:val="auto"/>
          <w:sz w:val="21"/>
          <w:szCs w:val="21"/>
        </w:rPr>
        <w:t>16.3 投标人必须就所投每个分标的全部</w:t>
      </w:r>
      <w:r>
        <w:rPr>
          <w:rFonts w:ascii="宋体" w:hAnsi="宋体" w:eastAsia="宋体" w:cs="宋体"/>
          <w:color w:val="auto"/>
          <w:spacing w:val="-1"/>
          <w:sz w:val="21"/>
          <w:szCs w:val="21"/>
        </w:rPr>
        <w:t>内容分别作完整唯一总价报价，不得存在漏项报价；投标人必须就所投分标的单项内容作唯一报价。</w:t>
      </w:r>
    </w:p>
    <w:p w14:paraId="58897FA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5"/>
          <w:sz w:val="24"/>
          <w:szCs w:val="24"/>
        </w:rPr>
        <w:t>17.投标有效期</w:t>
      </w:r>
    </w:p>
    <w:p w14:paraId="0107303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17.1 投标有效期是指为保证采购人有足</w:t>
      </w:r>
      <w:r>
        <w:rPr>
          <w:rFonts w:ascii="宋体" w:hAnsi="宋体" w:eastAsia="宋体" w:cs="宋体"/>
          <w:color w:val="auto"/>
          <w:spacing w:val="-1"/>
          <w:sz w:val="21"/>
          <w:szCs w:val="21"/>
        </w:rPr>
        <w:t>够的时间在开标后完成评标、定标、合同签订等工作而要求投标人提交的投标文件在一定时间内保持有效的期限。</w:t>
      </w:r>
    </w:p>
    <w:p w14:paraId="1FBD4D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17.2 投标有效期应按规定的期限作出承诺，具体详见“投标人须知前附表”。</w:t>
      </w:r>
    </w:p>
    <w:p w14:paraId="581A686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outlineLvl w:val="3"/>
        <w:rPr>
          <w:rFonts w:ascii="宋体" w:hAnsi="宋体" w:eastAsia="宋体" w:cs="宋体"/>
          <w:color w:val="auto"/>
          <w:sz w:val="21"/>
          <w:szCs w:val="21"/>
        </w:rPr>
      </w:pPr>
      <w:r>
        <w:rPr>
          <w:rFonts w:ascii="宋体" w:hAnsi="宋体" w:eastAsia="宋体" w:cs="宋体"/>
          <w:color w:val="auto"/>
          <w:spacing w:val="-1"/>
          <w:sz w:val="21"/>
          <w:szCs w:val="21"/>
        </w:rPr>
        <w:t>17.3</w:t>
      </w:r>
      <w:r>
        <w:rPr>
          <w:rFonts w:ascii="宋体" w:hAnsi="宋体" w:eastAsia="宋体" w:cs="宋体"/>
          <w:color w:val="auto"/>
          <w:spacing w:val="-43"/>
          <w:sz w:val="21"/>
          <w:szCs w:val="21"/>
        </w:rPr>
        <w:t xml:space="preserve"> </w:t>
      </w:r>
      <w:r>
        <w:rPr>
          <w:rFonts w:ascii="宋体" w:hAnsi="宋体" w:eastAsia="宋体" w:cs="宋体"/>
          <w:color w:val="auto"/>
          <w:spacing w:val="-1"/>
          <w:sz w:val="21"/>
          <w:szCs w:val="21"/>
        </w:rPr>
        <w:t>投标人的投标文件在投标有效期内</w:t>
      </w:r>
      <w:r>
        <w:rPr>
          <w:rFonts w:ascii="宋体" w:hAnsi="宋体" w:eastAsia="宋体" w:cs="宋体"/>
          <w:color w:val="auto"/>
          <w:spacing w:val="-2"/>
          <w:sz w:val="21"/>
          <w:szCs w:val="21"/>
        </w:rPr>
        <w:t>均保持有效。</w:t>
      </w:r>
    </w:p>
    <w:p w14:paraId="1B0AF80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5"/>
          <w:sz w:val="24"/>
          <w:szCs w:val="24"/>
        </w:rPr>
        <w:t>18.投标保证金</w:t>
      </w:r>
    </w:p>
    <w:p w14:paraId="0D7062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18.1</w:t>
      </w:r>
      <w:r>
        <w:rPr>
          <w:rFonts w:ascii="宋体" w:hAnsi="宋体" w:eastAsia="宋体" w:cs="宋体"/>
          <w:color w:val="auto"/>
          <w:spacing w:val="-43"/>
          <w:sz w:val="21"/>
          <w:szCs w:val="21"/>
        </w:rPr>
        <w:t xml:space="preserve"> </w:t>
      </w:r>
      <w:r>
        <w:rPr>
          <w:rFonts w:ascii="宋体" w:hAnsi="宋体" w:eastAsia="宋体" w:cs="宋体"/>
          <w:color w:val="auto"/>
          <w:spacing w:val="-1"/>
          <w:sz w:val="21"/>
          <w:szCs w:val="21"/>
        </w:rPr>
        <w:t>投标人须按“投标人须知前附表”的规定提交投标保证金。</w:t>
      </w:r>
    </w:p>
    <w:p w14:paraId="179B89D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textAlignment w:val="baseline"/>
        <w:outlineLvl w:val="3"/>
        <w:rPr>
          <w:rFonts w:ascii="宋体" w:hAnsi="宋体" w:eastAsia="宋体" w:cs="宋体"/>
          <w:color w:val="auto"/>
          <w:sz w:val="21"/>
          <w:szCs w:val="21"/>
        </w:rPr>
      </w:pPr>
      <w:r>
        <w:rPr>
          <w:rFonts w:ascii="宋体" w:hAnsi="宋体" w:eastAsia="宋体" w:cs="宋体"/>
          <w:color w:val="auto"/>
          <w:spacing w:val="-3"/>
          <w:sz w:val="21"/>
          <w:szCs w:val="21"/>
        </w:rPr>
        <w:t>18.2</w:t>
      </w:r>
      <w:r>
        <w:rPr>
          <w:rFonts w:ascii="宋体" w:hAnsi="宋体" w:eastAsia="宋体" w:cs="宋体"/>
          <w:color w:val="auto"/>
          <w:spacing w:val="-39"/>
          <w:sz w:val="21"/>
          <w:szCs w:val="21"/>
        </w:rPr>
        <w:t xml:space="preserve"> </w:t>
      </w:r>
      <w:r>
        <w:rPr>
          <w:rFonts w:ascii="宋体" w:hAnsi="宋体" w:eastAsia="宋体" w:cs="宋体"/>
          <w:color w:val="auto"/>
          <w:spacing w:val="-3"/>
          <w:sz w:val="21"/>
          <w:szCs w:val="21"/>
        </w:rPr>
        <w:t>投标保证金的退还</w:t>
      </w:r>
    </w:p>
    <w:p w14:paraId="7A540D2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未中标人的投标保证金自中标通知书发出之日起5个工作日内退还</w:t>
      </w:r>
      <w:r>
        <w:rPr>
          <w:rFonts w:ascii="宋体" w:hAnsi="宋体" w:eastAsia="宋体" w:cs="宋体"/>
          <w:color w:val="auto"/>
          <w:spacing w:val="-1"/>
          <w:sz w:val="21"/>
          <w:szCs w:val="21"/>
        </w:rPr>
        <w:t>；中标人的投标保证</w:t>
      </w:r>
      <w:r>
        <w:rPr>
          <w:rFonts w:ascii="宋体" w:hAnsi="宋体" w:eastAsia="宋体" w:cs="宋体"/>
          <w:color w:val="auto"/>
          <w:spacing w:val="-2"/>
          <w:sz w:val="21"/>
          <w:szCs w:val="21"/>
        </w:rPr>
        <w:t>金自政府采购合同签订之日起5个工作日内退还。</w:t>
      </w:r>
    </w:p>
    <w:p w14:paraId="6934E93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18.3</w:t>
      </w:r>
      <w:r>
        <w:rPr>
          <w:rFonts w:ascii="宋体" w:hAnsi="宋体" w:eastAsia="宋体" w:cs="宋体"/>
          <w:color w:val="auto"/>
          <w:spacing w:val="-34"/>
          <w:sz w:val="21"/>
          <w:szCs w:val="21"/>
        </w:rPr>
        <w:t xml:space="preserve"> </w:t>
      </w:r>
      <w:r>
        <w:rPr>
          <w:rFonts w:ascii="宋体" w:hAnsi="宋体" w:eastAsia="宋体" w:cs="宋体"/>
          <w:color w:val="auto"/>
          <w:spacing w:val="-1"/>
          <w:sz w:val="21"/>
          <w:szCs w:val="21"/>
        </w:rPr>
        <w:t>除逾期退还投标保证金和终止招标的情形以外，投标保证</w:t>
      </w:r>
      <w:r>
        <w:rPr>
          <w:rFonts w:ascii="宋体" w:hAnsi="宋体" w:eastAsia="宋体" w:cs="宋体"/>
          <w:color w:val="auto"/>
          <w:spacing w:val="-2"/>
          <w:sz w:val="21"/>
          <w:szCs w:val="21"/>
        </w:rPr>
        <w:t>金不计息。</w:t>
      </w:r>
    </w:p>
    <w:p w14:paraId="333B882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outlineLvl w:val="3"/>
        <w:rPr>
          <w:rFonts w:ascii="宋体" w:hAnsi="宋体" w:eastAsia="宋体" w:cs="宋体"/>
          <w:color w:val="auto"/>
          <w:sz w:val="21"/>
          <w:szCs w:val="21"/>
        </w:rPr>
      </w:pPr>
      <w:r>
        <w:rPr>
          <w:rFonts w:ascii="宋体" w:hAnsi="宋体" w:eastAsia="宋体" w:cs="宋体"/>
          <w:color w:val="auto"/>
          <w:spacing w:val="-2"/>
          <w:sz w:val="21"/>
          <w:szCs w:val="21"/>
        </w:rPr>
        <w:t>18.4</w:t>
      </w:r>
      <w:r>
        <w:rPr>
          <w:rFonts w:ascii="宋体" w:hAnsi="宋体" w:eastAsia="宋体" w:cs="宋体"/>
          <w:color w:val="auto"/>
          <w:spacing w:val="-44"/>
          <w:sz w:val="21"/>
          <w:szCs w:val="21"/>
        </w:rPr>
        <w:t xml:space="preserve"> </w:t>
      </w:r>
      <w:r>
        <w:rPr>
          <w:rFonts w:ascii="宋体" w:hAnsi="宋体" w:eastAsia="宋体" w:cs="宋体"/>
          <w:color w:val="auto"/>
          <w:spacing w:val="-2"/>
          <w:sz w:val="21"/>
          <w:szCs w:val="21"/>
        </w:rPr>
        <w:t>投标人有下列情形之一的，投标保</w:t>
      </w:r>
      <w:r>
        <w:rPr>
          <w:rFonts w:ascii="宋体" w:hAnsi="宋体" w:eastAsia="宋体" w:cs="宋体"/>
          <w:color w:val="auto"/>
          <w:spacing w:val="-3"/>
          <w:sz w:val="21"/>
          <w:szCs w:val="21"/>
        </w:rPr>
        <w:t>证金将不予退还：</w:t>
      </w:r>
    </w:p>
    <w:p w14:paraId="55F7517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rPr>
          <w:rFonts w:ascii="宋体" w:hAnsi="宋体" w:eastAsia="宋体" w:cs="宋体"/>
          <w:color w:val="auto"/>
          <w:sz w:val="21"/>
          <w:szCs w:val="21"/>
        </w:rPr>
      </w:pPr>
      <w:r>
        <w:rPr>
          <w:rFonts w:ascii="宋体" w:hAnsi="宋体" w:eastAsia="宋体" w:cs="宋体"/>
          <w:color w:val="auto"/>
          <w:spacing w:val="-2"/>
          <w:sz w:val="21"/>
          <w:szCs w:val="21"/>
        </w:rPr>
        <w:t>（1）投标人在投标有效期内撤销投标文件的；</w:t>
      </w:r>
    </w:p>
    <w:p w14:paraId="270F16C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（2）未按规定提交履约保证金的；</w:t>
      </w:r>
    </w:p>
    <w:p w14:paraId="7F5614F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rPr>
          <w:rFonts w:ascii="宋体" w:hAnsi="宋体" w:eastAsia="宋体" w:cs="宋体"/>
          <w:color w:val="auto"/>
          <w:sz w:val="21"/>
          <w:szCs w:val="21"/>
        </w:rPr>
      </w:pPr>
      <w:r>
        <w:rPr>
          <w:rFonts w:ascii="宋体" w:hAnsi="宋体" w:eastAsia="宋体" w:cs="宋体"/>
          <w:color w:val="auto"/>
          <w:spacing w:val="-2"/>
          <w:sz w:val="21"/>
          <w:szCs w:val="21"/>
        </w:rPr>
        <w:t>（3）投标人在投标过程中弄虚作假，提供虚假材料的；</w:t>
      </w:r>
    </w:p>
    <w:p w14:paraId="27AC539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（4）中标人无正当理由不与采购人签订合同的；</w:t>
      </w:r>
    </w:p>
    <w:p w14:paraId="739A5AA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rPr>
          <w:rFonts w:ascii="宋体" w:hAnsi="宋体" w:eastAsia="宋体" w:cs="宋体"/>
          <w:color w:val="auto"/>
          <w:sz w:val="21"/>
          <w:szCs w:val="21"/>
        </w:rPr>
      </w:pPr>
      <w:r>
        <w:rPr>
          <w:rFonts w:ascii="宋体" w:hAnsi="宋体" w:eastAsia="宋体" w:cs="宋体"/>
          <w:color w:val="auto"/>
          <w:spacing w:val="-2"/>
          <w:sz w:val="21"/>
          <w:szCs w:val="21"/>
        </w:rPr>
        <w:t>（5）投标人出现本章第9.2、9.3情形的；</w:t>
      </w:r>
    </w:p>
    <w:p w14:paraId="59D7C27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（6）法律法规规定的其他情形。</w:t>
      </w:r>
    </w:p>
    <w:p w14:paraId="3F3996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4"/>
          <w:sz w:val="24"/>
          <w:szCs w:val="24"/>
        </w:rPr>
        <w:t>19.投标文件的编制</w:t>
      </w:r>
    </w:p>
    <w:p w14:paraId="01E8F28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96" w:firstLineChars="200"/>
        <w:jc w:val="both"/>
        <w:textAlignment w:val="baseline"/>
        <w:rPr>
          <w:rFonts w:ascii="宋体" w:hAnsi="宋体" w:eastAsia="宋体" w:cs="宋体"/>
          <w:color w:val="auto"/>
          <w:sz w:val="21"/>
          <w:szCs w:val="21"/>
        </w:rPr>
      </w:pPr>
      <w:r>
        <w:rPr>
          <w:rFonts w:ascii="宋体" w:hAnsi="宋体" w:eastAsia="宋体" w:cs="宋体"/>
          <w:color w:val="auto"/>
          <w:spacing w:val="-6"/>
          <w:sz w:val="21"/>
          <w:szCs w:val="21"/>
        </w:rPr>
        <w:t>19.1</w:t>
      </w:r>
      <w:r>
        <w:rPr>
          <w:rFonts w:ascii="宋体" w:hAnsi="宋体" w:eastAsia="宋体" w:cs="宋体"/>
          <w:color w:val="auto"/>
          <w:spacing w:val="-43"/>
          <w:sz w:val="21"/>
          <w:szCs w:val="21"/>
        </w:rPr>
        <w:t xml:space="preserve"> </w:t>
      </w:r>
      <w:r>
        <w:rPr>
          <w:rFonts w:ascii="宋体" w:hAnsi="宋体" w:eastAsia="宋体" w:cs="宋体"/>
          <w:color w:val="auto"/>
          <w:spacing w:val="-6"/>
          <w:sz w:val="21"/>
          <w:szCs w:val="21"/>
        </w:rPr>
        <w:t>投标人应先安装“</w:t>
      </w:r>
      <w:r>
        <w:rPr>
          <w:rFonts w:hint="eastAsia" w:ascii="宋体" w:hAnsi="宋体" w:eastAsia="宋体" w:cs="宋体"/>
          <w:color w:val="auto"/>
          <w:spacing w:val="-6"/>
          <w:sz w:val="21"/>
          <w:szCs w:val="21"/>
        </w:rPr>
        <w:t>广西政府采购云平台</w:t>
      </w:r>
      <w:r>
        <w:rPr>
          <w:rFonts w:ascii="宋体" w:hAnsi="宋体" w:eastAsia="宋体" w:cs="宋体"/>
          <w:color w:val="auto"/>
          <w:spacing w:val="-6"/>
          <w:sz w:val="21"/>
          <w:szCs w:val="21"/>
        </w:rPr>
        <w:t>电子投标客户端”（请自行前往“</w:t>
      </w:r>
      <w:r>
        <w:rPr>
          <w:rFonts w:hint="eastAsia" w:ascii="宋体" w:hAnsi="宋体" w:eastAsia="宋体" w:cs="宋体"/>
          <w:color w:val="auto"/>
          <w:spacing w:val="-7"/>
          <w:sz w:val="21"/>
          <w:szCs w:val="21"/>
        </w:rPr>
        <w:t>广西政府采购云平台</w:t>
      </w:r>
      <w:r>
        <w:rPr>
          <w:rFonts w:ascii="宋体" w:hAnsi="宋体" w:eastAsia="宋体" w:cs="宋体"/>
          <w:color w:val="auto"/>
          <w:spacing w:val="-7"/>
          <w:sz w:val="21"/>
          <w:szCs w:val="21"/>
        </w:rPr>
        <w:t>”进行下载</w:t>
      </w:r>
      <w:r>
        <w:rPr>
          <w:rFonts w:ascii="宋体" w:hAnsi="宋体" w:eastAsia="宋体" w:cs="宋体"/>
          <w:color w:val="auto"/>
          <w:spacing w:val="-47"/>
          <w:sz w:val="21"/>
          <w:szCs w:val="21"/>
        </w:rPr>
        <w:t>），</w:t>
      </w:r>
      <w:r>
        <w:rPr>
          <w:rFonts w:ascii="宋体" w:hAnsi="宋体" w:eastAsia="宋体" w:cs="宋体"/>
          <w:color w:val="auto"/>
          <w:spacing w:val="2"/>
          <w:sz w:val="21"/>
          <w:szCs w:val="21"/>
        </w:rPr>
        <w:t>并按照本项目招标文件规定的格式和顺序和“</w:t>
      </w:r>
      <w:r>
        <w:rPr>
          <w:rFonts w:hint="eastAsia" w:ascii="宋体" w:hAnsi="宋体" w:eastAsia="宋体" w:cs="宋体"/>
          <w:color w:val="auto"/>
          <w:spacing w:val="2"/>
          <w:sz w:val="21"/>
          <w:szCs w:val="21"/>
        </w:rPr>
        <w:t>广西政府采购云平台</w:t>
      </w:r>
      <w:r>
        <w:rPr>
          <w:rFonts w:ascii="宋体" w:hAnsi="宋体" w:eastAsia="宋体" w:cs="宋体"/>
          <w:color w:val="auto"/>
          <w:spacing w:val="2"/>
          <w:sz w:val="21"/>
          <w:szCs w:val="21"/>
        </w:rPr>
        <w:t>”的要求编制并加密。投标文件内容不完整、编排混乱导致投标文件被误读、漏读或者查找不到相关内容的，由此引发的后果</w:t>
      </w:r>
      <w:r>
        <w:rPr>
          <w:rFonts w:ascii="宋体" w:hAnsi="宋体" w:eastAsia="宋体" w:cs="宋体"/>
          <w:color w:val="auto"/>
          <w:spacing w:val="-7"/>
          <w:sz w:val="21"/>
          <w:szCs w:val="21"/>
        </w:rPr>
        <w:t>由投标人承担。</w:t>
      </w:r>
    </w:p>
    <w:p w14:paraId="300FB1B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textAlignment w:val="baseline"/>
        <w:rPr>
          <w:rFonts w:ascii="宋体" w:hAnsi="宋体" w:eastAsia="宋体" w:cs="宋体"/>
          <w:color w:val="auto"/>
          <w:spacing w:val="-2"/>
          <w:sz w:val="21"/>
          <w:szCs w:val="21"/>
        </w:rPr>
      </w:pPr>
      <w:r>
        <w:rPr>
          <w:rFonts w:ascii="宋体" w:hAnsi="宋体" w:eastAsia="宋体" w:cs="宋体"/>
          <w:color w:val="auto"/>
          <w:spacing w:val="2"/>
          <w:sz w:val="21"/>
          <w:szCs w:val="21"/>
        </w:rPr>
        <w:t>19.2</w:t>
      </w:r>
      <w:r>
        <w:rPr>
          <w:rFonts w:ascii="宋体" w:hAnsi="宋体" w:eastAsia="宋体" w:cs="宋体"/>
          <w:color w:val="auto"/>
          <w:spacing w:val="-44"/>
          <w:sz w:val="21"/>
          <w:szCs w:val="21"/>
        </w:rPr>
        <w:t xml:space="preserve"> </w:t>
      </w:r>
      <w:r>
        <w:rPr>
          <w:rFonts w:ascii="宋体" w:hAnsi="宋体" w:eastAsia="宋体" w:cs="宋体"/>
          <w:color w:val="auto"/>
          <w:spacing w:val="2"/>
          <w:sz w:val="21"/>
          <w:szCs w:val="21"/>
        </w:rPr>
        <w:t>为确保网上操作合法、有效和安全，投标人应当在投标截止时间前完成</w:t>
      </w:r>
      <w:r>
        <w:rPr>
          <w:rFonts w:ascii="宋体" w:hAnsi="宋体" w:eastAsia="宋体" w:cs="宋体"/>
          <w:color w:val="auto"/>
          <w:spacing w:val="1"/>
          <w:sz w:val="21"/>
          <w:szCs w:val="21"/>
        </w:rPr>
        <w:t>在“</w:t>
      </w:r>
      <w:r>
        <w:rPr>
          <w:rFonts w:hint="eastAsia" w:ascii="宋体" w:hAnsi="宋体" w:eastAsia="宋体" w:cs="宋体"/>
          <w:color w:val="auto"/>
          <w:spacing w:val="1"/>
          <w:sz w:val="21"/>
          <w:szCs w:val="21"/>
        </w:rPr>
        <w:t>广西政府采购云平台</w:t>
      </w:r>
      <w:r>
        <w:rPr>
          <w:rFonts w:ascii="宋体" w:hAnsi="宋体" w:eastAsia="宋体" w:cs="宋体"/>
          <w:color w:val="auto"/>
          <w:spacing w:val="1"/>
          <w:sz w:val="21"/>
          <w:szCs w:val="21"/>
        </w:rPr>
        <w:t>”</w:t>
      </w:r>
      <w:r>
        <w:rPr>
          <w:rFonts w:ascii="宋体" w:hAnsi="宋体" w:eastAsia="宋体" w:cs="宋体"/>
          <w:color w:val="auto"/>
          <w:sz w:val="21"/>
          <w:szCs w:val="21"/>
        </w:rPr>
        <w:t>的身份认证，确保在电子投标过程中能够对相关数据电文进行加密和使用电子签章。</w:t>
      </w:r>
    </w:p>
    <w:p w14:paraId="5AD3382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rPr>
          <w:rFonts w:ascii="宋体" w:hAnsi="宋体" w:eastAsia="宋体" w:cs="宋体"/>
          <w:color w:val="auto"/>
          <w:sz w:val="21"/>
          <w:szCs w:val="21"/>
        </w:rPr>
      </w:pPr>
      <w:r>
        <w:rPr>
          <w:rFonts w:ascii="宋体" w:hAnsi="宋体" w:eastAsia="宋体" w:cs="宋体"/>
          <w:color w:val="auto"/>
          <w:spacing w:val="-2"/>
          <w:sz w:val="21"/>
          <w:szCs w:val="21"/>
        </w:rPr>
        <w:t>19.3</w:t>
      </w:r>
      <w:r>
        <w:rPr>
          <w:rFonts w:ascii="宋体" w:hAnsi="宋体" w:eastAsia="宋体" w:cs="宋体"/>
          <w:color w:val="auto"/>
          <w:spacing w:val="-44"/>
          <w:sz w:val="21"/>
          <w:szCs w:val="21"/>
        </w:rPr>
        <w:t xml:space="preserve"> </w:t>
      </w:r>
      <w:r>
        <w:rPr>
          <w:rFonts w:ascii="宋体" w:hAnsi="宋体" w:eastAsia="宋体" w:cs="宋体"/>
          <w:color w:val="auto"/>
          <w:spacing w:val="-2"/>
          <w:sz w:val="21"/>
          <w:szCs w:val="21"/>
        </w:rPr>
        <w:t>投标文件须由投标人在规定位置签字（或者电子签名）、盖章（具体</w:t>
      </w:r>
      <w:r>
        <w:rPr>
          <w:rFonts w:ascii="宋体" w:hAnsi="宋体" w:eastAsia="宋体" w:cs="宋体"/>
          <w:color w:val="auto"/>
          <w:spacing w:val="-3"/>
          <w:sz w:val="21"/>
          <w:szCs w:val="21"/>
        </w:rPr>
        <w:t>以投标人须知前附</w:t>
      </w:r>
      <w:r>
        <w:rPr>
          <w:rFonts w:ascii="宋体" w:hAnsi="宋体" w:eastAsia="宋体" w:cs="宋体"/>
          <w:color w:val="auto"/>
          <w:spacing w:val="-2"/>
          <w:sz w:val="21"/>
          <w:szCs w:val="21"/>
        </w:rPr>
        <w:t>表或投标文件格式规定为准</w:t>
      </w:r>
      <w:r>
        <w:rPr>
          <w:rFonts w:ascii="宋体" w:hAnsi="宋体" w:eastAsia="宋体" w:cs="宋体"/>
          <w:color w:val="auto"/>
          <w:spacing w:val="12"/>
          <w:sz w:val="21"/>
          <w:szCs w:val="21"/>
        </w:rPr>
        <w:t>），</w:t>
      </w:r>
      <w:r>
        <w:rPr>
          <w:rFonts w:ascii="宋体" w:hAnsi="宋体" w:eastAsia="宋体" w:cs="宋体"/>
          <w:b/>
          <w:bCs/>
          <w:color w:val="auto"/>
          <w:spacing w:val="-2"/>
          <w:sz w:val="21"/>
          <w:szCs w:val="21"/>
        </w:rPr>
        <w:t>否则按无效投标处理</w:t>
      </w:r>
      <w:r>
        <w:rPr>
          <w:rFonts w:ascii="宋体" w:hAnsi="宋体" w:eastAsia="宋体" w:cs="宋体"/>
          <w:color w:val="auto"/>
          <w:spacing w:val="-2"/>
          <w:sz w:val="21"/>
          <w:szCs w:val="21"/>
        </w:rPr>
        <w:t>。</w:t>
      </w:r>
    </w:p>
    <w:p w14:paraId="7842196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rPr>
          <w:rFonts w:ascii="宋体" w:hAnsi="宋体" w:eastAsia="宋体" w:cs="宋体"/>
          <w:color w:val="auto"/>
          <w:sz w:val="21"/>
          <w:szCs w:val="21"/>
        </w:rPr>
      </w:pPr>
      <w:r>
        <w:rPr>
          <w:rFonts w:ascii="宋体" w:hAnsi="宋体" w:eastAsia="宋体" w:cs="宋体"/>
          <w:color w:val="auto"/>
          <w:spacing w:val="-2"/>
          <w:sz w:val="21"/>
          <w:szCs w:val="21"/>
        </w:rPr>
        <w:t>19.4</w:t>
      </w:r>
      <w:r>
        <w:rPr>
          <w:rFonts w:ascii="宋体" w:hAnsi="宋体" w:eastAsia="宋体" w:cs="宋体"/>
          <w:color w:val="auto"/>
          <w:spacing w:val="-43"/>
          <w:sz w:val="21"/>
          <w:szCs w:val="21"/>
        </w:rPr>
        <w:t xml:space="preserve"> </w:t>
      </w:r>
      <w:r>
        <w:rPr>
          <w:rFonts w:ascii="宋体" w:hAnsi="宋体" w:eastAsia="宋体" w:cs="宋体"/>
          <w:color w:val="auto"/>
          <w:spacing w:val="-2"/>
          <w:sz w:val="21"/>
          <w:szCs w:val="21"/>
        </w:rPr>
        <w:t>投标文件中标注的投标人名称应与主体资格证明（如营业执照或者事业单位法人</w:t>
      </w:r>
      <w:r>
        <w:rPr>
          <w:rFonts w:ascii="宋体" w:hAnsi="宋体" w:eastAsia="宋体" w:cs="宋体"/>
          <w:color w:val="auto"/>
          <w:spacing w:val="-3"/>
          <w:sz w:val="21"/>
          <w:szCs w:val="21"/>
        </w:rPr>
        <w:t>证书</w:t>
      </w:r>
      <w:r>
        <w:rPr>
          <w:rFonts w:ascii="宋体" w:hAnsi="宋体" w:eastAsia="宋体" w:cs="宋体"/>
          <w:color w:val="auto"/>
          <w:spacing w:val="3"/>
          <w:sz w:val="21"/>
          <w:szCs w:val="21"/>
        </w:rPr>
        <w:t>或者执业许可证或者登记证书等）及公章一致，</w:t>
      </w:r>
      <w:r>
        <w:rPr>
          <w:rFonts w:ascii="宋体" w:hAnsi="宋体" w:eastAsia="宋体" w:cs="宋体"/>
          <w:color w:val="auto"/>
          <w:spacing w:val="2"/>
          <w:sz w:val="21"/>
          <w:szCs w:val="21"/>
        </w:rPr>
        <w:t>并与“</w:t>
      </w:r>
      <w:r>
        <w:rPr>
          <w:rFonts w:hint="eastAsia" w:ascii="宋体" w:hAnsi="宋体" w:eastAsia="宋体" w:cs="宋体"/>
          <w:color w:val="auto"/>
          <w:spacing w:val="2"/>
          <w:sz w:val="21"/>
          <w:szCs w:val="21"/>
        </w:rPr>
        <w:t>广西政府采购云平台</w:t>
      </w:r>
      <w:r>
        <w:rPr>
          <w:rFonts w:ascii="宋体" w:hAnsi="宋体" w:eastAsia="宋体" w:cs="宋体"/>
          <w:color w:val="auto"/>
          <w:spacing w:val="2"/>
          <w:sz w:val="21"/>
          <w:szCs w:val="21"/>
        </w:rPr>
        <w:t>”中获取招标文件的投标人名称一致，投标人为自然人的，标注的投标人名称应与身份证姓名及签名一致，</w:t>
      </w:r>
      <w:r>
        <w:rPr>
          <w:rFonts w:ascii="宋体" w:hAnsi="宋体" w:eastAsia="宋体" w:cs="宋体"/>
          <w:b/>
          <w:bCs/>
          <w:color w:val="auto"/>
          <w:spacing w:val="2"/>
          <w:sz w:val="21"/>
          <w:szCs w:val="21"/>
        </w:rPr>
        <w:t>否则按无效投</w:t>
      </w:r>
      <w:r>
        <w:rPr>
          <w:rFonts w:ascii="宋体" w:hAnsi="宋体" w:eastAsia="宋体" w:cs="宋体"/>
          <w:b/>
          <w:bCs/>
          <w:color w:val="auto"/>
          <w:spacing w:val="-3"/>
          <w:sz w:val="21"/>
          <w:szCs w:val="21"/>
        </w:rPr>
        <w:t>标处理</w:t>
      </w:r>
      <w:r>
        <w:rPr>
          <w:rFonts w:ascii="宋体" w:hAnsi="宋体" w:eastAsia="宋体" w:cs="宋体"/>
          <w:color w:val="auto"/>
          <w:spacing w:val="-3"/>
          <w:sz w:val="21"/>
          <w:szCs w:val="21"/>
        </w:rPr>
        <w:t>。</w:t>
      </w:r>
    </w:p>
    <w:p w14:paraId="6C254D4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3"/>
        <w:textAlignment w:val="baseline"/>
        <w:rPr>
          <w:rFonts w:ascii="宋体" w:hAnsi="宋体" w:eastAsia="宋体" w:cs="宋体"/>
          <w:color w:val="auto"/>
          <w:sz w:val="21"/>
          <w:szCs w:val="21"/>
        </w:rPr>
      </w:pPr>
      <w:r>
        <w:rPr>
          <w:rFonts w:ascii="宋体" w:hAnsi="宋体" w:eastAsia="宋体" w:cs="宋体"/>
          <w:color w:val="auto"/>
          <w:sz w:val="21"/>
          <w:szCs w:val="21"/>
        </w:rPr>
        <w:t>19.5 投标文件应尽量避免涂改、行间插</w:t>
      </w:r>
      <w:r>
        <w:rPr>
          <w:rFonts w:ascii="宋体" w:hAnsi="宋体" w:eastAsia="宋体" w:cs="宋体"/>
          <w:color w:val="auto"/>
          <w:spacing w:val="-1"/>
          <w:sz w:val="21"/>
          <w:szCs w:val="21"/>
        </w:rPr>
        <w:t>字或者删除。如果出现上述情况，改动之处应由</w:t>
      </w:r>
      <w:r>
        <w:rPr>
          <w:rFonts w:ascii="宋体" w:hAnsi="宋体" w:eastAsia="宋体" w:cs="宋体"/>
          <w:color w:val="auto"/>
          <w:spacing w:val="2"/>
          <w:sz w:val="21"/>
          <w:szCs w:val="21"/>
        </w:rPr>
        <w:t>投标人的法定代表人</w:t>
      </w:r>
      <w:r>
        <w:rPr>
          <w:rFonts w:hint="eastAsia" w:ascii="宋体" w:hAnsi="宋体" w:eastAsia="宋体" w:cs="宋体"/>
          <w:color w:val="auto"/>
          <w:spacing w:val="2"/>
          <w:sz w:val="21"/>
          <w:szCs w:val="21"/>
          <w:lang w:eastAsia="zh-CN"/>
        </w:rPr>
        <w:t>（负责人）</w:t>
      </w:r>
      <w:r>
        <w:rPr>
          <w:rFonts w:ascii="宋体" w:hAnsi="宋体" w:eastAsia="宋体" w:cs="宋体"/>
          <w:color w:val="auto"/>
          <w:spacing w:val="2"/>
          <w:sz w:val="21"/>
          <w:szCs w:val="21"/>
        </w:rPr>
        <w:t>或者其委托代理人签字（或者电子签名）或者加盖公章或者加盖电子签</w:t>
      </w:r>
      <w:r>
        <w:rPr>
          <w:rFonts w:ascii="宋体" w:hAnsi="宋体" w:eastAsia="宋体" w:cs="宋体"/>
          <w:color w:val="auto"/>
          <w:sz w:val="21"/>
          <w:szCs w:val="21"/>
        </w:rPr>
        <w:t>章。投标文件因字迹潦草或者表达不清所引起的后果由投</w:t>
      </w:r>
      <w:r>
        <w:rPr>
          <w:rFonts w:ascii="宋体" w:hAnsi="宋体" w:eastAsia="宋体" w:cs="宋体"/>
          <w:color w:val="auto"/>
          <w:spacing w:val="-1"/>
          <w:sz w:val="21"/>
          <w:szCs w:val="21"/>
        </w:rPr>
        <w:t>标人承担。</w:t>
      </w:r>
    </w:p>
    <w:p w14:paraId="08FF4B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color w:val="auto"/>
          <w:spacing w:val="-1"/>
          <w:sz w:val="24"/>
          <w:szCs w:val="24"/>
        </w:rPr>
        <w:t>20.电子备份投标文件</w:t>
      </w:r>
    </w:p>
    <w:p w14:paraId="15F5185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7"/>
        <w:textAlignment w:val="baseline"/>
        <w:rPr>
          <w:rFonts w:ascii="宋体" w:hAnsi="宋体" w:eastAsia="宋体" w:cs="宋体"/>
          <w:color w:val="auto"/>
          <w:sz w:val="21"/>
          <w:szCs w:val="21"/>
        </w:rPr>
      </w:pPr>
      <w:r>
        <w:rPr>
          <w:rFonts w:ascii="宋体" w:hAnsi="宋体" w:eastAsia="宋体" w:cs="宋体"/>
          <w:color w:val="auto"/>
          <w:spacing w:val="1"/>
          <w:sz w:val="21"/>
          <w:szCs w:val="21"/>
        </w:rPr>
        <w:t>电子备份投标文件是指通过“</w:t>
      </w:r>
      <w:r>
        <w:rPr>
          <w:rFonts w:hint="eastAsia" w:ascii="宋体" w:hAnsi="宋体" w:eastAsia="宋体" w:cs="宋体"/>
          <w:color w:val="auto"/>
          <w:spacing w:val="1"/>
          <w:sz w:val="21"/>
          <w:szCs w:val="21"/>
        </w:rPr>
        <w:t>广西政府采购云平台</w:t>
      </w:r>
      <w:r>
        <w:rPr>
          <w:rFonts w:ascii="宋体" w:hAnsi="宋体" w:eastAsia="宋体" w:cs="宋体"/>
          <w:color w:val="auto"/>
          <w:spacing w:val="1"/>
          <w:sz w:val="21"/>
          <w:szCs w:val="21"/>
        </w:rPr>
        <w:t>电子投标客户端”在线编制生成且后缀名为“</w:t>
      </w:r>
      <w:r>
        <w:rPr>
          <w:rFonts w:ascii="Times New Roman" w:hAnsi="Times New Roman" w:eastAsia="Times New Roman" w:cs="Times New Roman"/>
          <w:color w:val="auto"/>
          <w:sz w:val="21"/>
          <w:szCs w:val="21"/>
        </w:rPr>
        <w:t>bfbs</w:t>
      </w:r>
      <w:r>
        <w:rPr>
          <w:rFonts w:ascii="Times New Roman" w:hAnsi="Times New Roman" w:eastAsia="Times New Roman" w:cs="Times New Roman"/>
          <w:color w:val="auto"/>
          <w:spacing w:val="-13"/>
          <w:sz w:val="21"/>
          <w:szCs w:val="21"/>
        </w:rPr>
        <w:t xml:space="preserve"> </w:t>
      </w:r>
      <w:r>
        <w:rPr>
          <w:rFonts w:ascii="宋体" w:hAnsi="宋体" w:eastAsia="宋体" w:cs="宋体"/>
          <w:color w:val="auto"/>
          <w:spacing w:val="1"/>
          <w:sz w:val="21"/>
          <w:szCs w:val="21"/>
        </w:rPr>
        <w:t>”</w:t>
      </w:r>
      <w:r>
        <w:rPr>
          <w:rFonts w:ascii="宋体" w:hAnsi="宋体" w:eastAsia="宋体" w:cs="宋体"/>
          <w:color w:val="auto"/>
          <w:spacing w:val="-1"/>
          <w:sz w:val="21"/>
          <w:szCs w:val="21"/>
        </w:rPr>
        <w:t>的文件，是否接受电子备份投标文件详见在“投标人须知前附表”。</w:t>
      </w:r>
    </w:p>
    <w:p w14:paraId="257305D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21.投标文件的提交</w:t>
      </w:r>
    </w:p>
    <w:p w14:paraId="6686A4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4" w:firstLineChars="200"/>
        <w:jc w:val="both"/>
        <w:textAlignment w:val="baseline"/>
        <w:rPr>
          <w:rFonts w:ascii="宋体" w:hAnsi="宋体" w:eastAsia="宋体" w:cs="宋体"/>
          <w:color w:val="auto"/>
          <w:sz w:val="21"/>
          <w:szCs w:val="21"/>
        </w:rPr>
      </w:pPr>
      <w:r>
        <w:rPr>
          <w:rFonts w:ascii="Times New Roman" w:hAnsi="Times New Roman" w:eastAsia="Times New Roman" w:cs="Times New Roman"/>
          <w:color w:val="auto"/>
          <w:spacing w:val="1"/>
          <w:sz w:val="21"/>
          <w:szCs w:val="21"/>
        </w:rPr>
        <w:t xml:space="preserve">21.1  </w:t>
      </w:r>
      <w:r>
        <w:rPr>
          <w:rFonts w:ascii="宋体" w:hAnsi="宋体" w:eastAsia="宋体" w:cs="宋体"/>
          <w:color w:val="auto"/>
          <w:spacing w:val="1"/>
          <w:sz w:val="21"/>
          <w:szCs w:val="21"/>
        </w:rPr>
        <w:t>投标人必须在“投标人须知前附表”规定的投标文件提交截止时间前将电子投标文</w:t>
      </w:r>
      <w:r>
        <w:rPr>
          <w:rFonts w:ascii="宋体" w:hAnsi="宋体" w:eastAsia="宋体" w:cs="宋体"/>
          <w:color w:val="auto"/>
          <w:spacing w:val="-5"/>
          <w:sz w:val="21"/>
          <w:szCs w:val="21"/>
        </w:rPr>
        <w:t>件提交至投标地点。电子投标文件应在制作完成后，在投标截止时间前通过有效数字证书（</w:t>
      </w:r>
      <w:r>
        <w:rPr>
          <w:rFonts w:ascii="Times New Roman" w:hAnsi="Times New Roman" w:eastAsia="Times New Roman" w:cs="Times New Roman"/>
          <w:color w:val="auto"/>
          <w:spacing w:val="-5"/>
          <w:sz w:val="21"/>
          <w:szCs w:val="21"/>
        </w:rPr>
        <w:t>CA</w:t>
      </w:r>
      <w:r>
        <w:rPr>
          <w:rFonts w:ascii="宋体" w:hAnsi="宋体" w:eastAsia="宋体" w:cs="宋体"/>
          <w:color w:val="auto"/>
          <w:spacing w:val="-1"/>
          <w:sz w:val="21"/>
          <w:szCs w:val="21"/>
        </w:rPr>
        <w:t>认证锁）进行电子签章、加密，然后通过网络将加密的电子投标文件</w:t>
      </w:r>
      <w:r>
        <w:rPr>
          <w:rFonts w:ascii="宋体" w:hAnsi="宋体" w:eastAsia="宋体" w:cs="宋体"/>
          <w:color w:val="auto"/>
          <w:spacing w:val="-2"/>
          <w:sz w:val="21"/>
          <w:szCs w:val="21"/>
        </w:rPr>
        <w:t>递交至</w:t>
      </w:r>
      <w:r>
        <w:rPr>
          <w:rFonts w:ascii="宋体" w:hAnsi="宋体" w:eastAsia="宋体" w:cs="宋体"/>
          <w:b/>
          <w:bCs/>
          <w:color w:val="auto"/>
          <w:spacing w:val="-2"/>
          <w:sz w:val="21"/>
          <w:szCs w:val="21"/>
        </w:rPr>
        <w:t>“</w:t>
      </w:r>
      <w:r>
        <w:rPr>
          <w:rFonts w:hint="eastAsia" w:ascii="宋体" w:hAnsi="宋体" w:eastAsia="宋体" w:cs="宋体"/>
          <w:b/>
          <w:bCs/>
          <w:color w:val="auto"/>
          <w:spacing w:val="-2"/>
          <w:sz w:val="21"/>
          <w:szCs w:val="21"/>
        </w:rPr>
        <w:t>广西政府采购云平台</w:t>
      </w:r>
      <w:r>
        <w:rPr>
          <w:rFonts w:ascii="宋体" w:hAnsi="宋体" w:eastAsia="宋体" w:cs="宋体"/>
          <w:b/>
          <w:bCs/>
          <w:color w:val="auto"/>
          <w:spacing w:val="-2"/>
          <w:sz w:val="21"/>
          <w:szCs w:val="21"/>
        </w:rPr>
        <w:t>”</w:t>
      </w:r>
      <w:r>
        <w:rPr>
          <w:rFonts w:ascii="宋体" w:hAnsi="宋体" w:eastAsia="宋体" w:cs="宋体"/>
          <w:color w:val="auto"/>
          <w:spacing w:val="-2"/>
          <w:sz w:val="21"/>
          <w:szCs w:val="21"/>
        </w:rPr>
        <w:t>。</w:t>
      </w:r>
    </w:p>
    <w:p w14:paraId="5E21BA2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4" w:firstLineChars="200"/>
        <w:textAlignment w:val="baseline"/>
        <w:rPr>
          <w:rFonts w:ascii="宋体" w:hAnsi="宋体" w:eastAsia="宋体" w:cs="宋体"/>
          <w:color w:val="auto"/>
          <w:sz w:val="21"/>
          <w:szCs w:val="21"/>
        </w:rPr>
      </w:pPr>
      <w:r>
        <w:rPr>
          <w:rFonts w:ascii="宋体" w:hAnsi="宋体" w:eastAsia="宋体" w:cs="宋体"/>
          <w:b/>
          <w:bCs/>
          <w:color w:val="auto"/>
          <w:spacing w:val="-2"/>
          <w:sz w:val="21"/>
          <w:szCs w:val="21"/>
        </w:rPr>
        <w:t>21.2</w:t>
      </w:r>
      <w:r>
        <w:rPr>
          <w:rFonts w:ascii="宋体" w:hAnsi="宋体" w:eastAsia="宋体" w:cs="宋体"/>
          <w:color w:val="auto"/>
          <w:spacing w:val="-21"/>
          <w:sz w:val="21"/>
          <w:szCs w:val="21"/>
        </w:rPr>
        <w:t xml:space="preserve"> </w:t>
      </w:r>
      <w:r>
        <w:rPr>
          <w:rFonts w:ascii="宋体" w:hAnsi="宋体" w:eastAsia="宋体" w:cs="宋体"/>
          <w:b/>
          <w:bCs/>
          <w:color w:val="auto"/>
          <w:spacing w:val="-2"/>
          <w:sz w:val="21"/>
          <w:szCs w:val="21"/>
        </w:rPr>
        <w:t>未在规定时间内提交或者未按照招标文件要求加密的电子投标文件，“</w:t>
      </w:r>
      <w:r>
        <w:rPr>
          <w:rFonts w:hint="eastAsia" w:ascii="宋体" w:hAnsi="宋体" w:eastAsia="宋体" w:cs="宋体"/>
          <w:b/>
          <w:bCs/>
          <w:color w:val="auto"/>
          <w:spacing w:val="-2"/>
          <w:sz w:val="21"/>
          <w:szCs w:val="21"/>
        </w:rPr>
        <w:t>广西政府采购云平台</w:t>
      </w:r>
      <w:r>
        <w:rPr>
          <w:rFonts w:ascii="宋体" w:hAnsi="宋体" w:eastAsia="宋体" w:cs="宋体"/>
          <w:b/>
          <w:bCs/>
          <w:color w:val="auto"/>
          <w:spacing w:val="-2"/>
          <w:sz w:val="21"/>
          <w:szCs w:val="21"/>
        </w:rPr>
        <w:t>”</w:t>
      </w:r>
      <w:r>
        <w:rPr>
          <w:rFonts w:ascii="宋体" w:hAnsi="宋体" w:eastAsia="宋体" w:cs="宋体"/>
          <w:b/>
          <w:bCs/>
          <w:color w:val="auto"/>
          <w:spacing w:val="-11"/>
          <w:sz w:val="21"/>
          <w:szCs w:val="21"/>
        </w:rPr>
        <w:t>将拒收。</w:t>
      </w:r>
    </w:p>
    <w:p w14:paraId="644129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2"/>
          <w:sz w:val="24"/>
          <w:szCs w:val="24"/>
        </w:rPr>
        <w:t>22.</w:t>
      </w:r>
      <w:r>
        <w:rPr>
          <w:rFonts w:ascii="黑体" w:hAnsi="黑体" w:eastAsia="黑体" w:cs="黑体"/>
          <w:color w:val="auto"/>
          <w:spacing w:val="-2"/>
          <w:sz w:val="24"/>
          <w:szCs w:val="24"/>
        </w:rPr>
        <w:t xml:space="preserve"> </w:t>
      </w:r>
      <w:r>
        <w:rPr>
          <w:rFonts w:ascii="黑体" w:hAnsi="黑体" w:eastAsia="黑体" w:cs="黑体"/>
          <w:b/>
          <w:bCs/>
          <w:color w:val="auto"/>
          <w:spacing w:val="-2"/>
          <w:sz w:val="24"/>
          <w:szCs w:val="24"/>
        </w:rPr>
        <w:t>投标文件的补充、修改、撤回与退回</w:t>
      </w:r>
    </w:p>
    <w:p w14:paraId="7082FFE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宋体" w:hAnsi="宋体" w:eastAsia="宋体" w:cs="宋体"/>
          <w:color w:val="auto"/>
          <w:sz w:val="21"/>
          <w:szCs w:val="21"/>
          <w:lang w:eastAsia="zh-CN"/>
        </w:rPr>
      </w:pPr>
      <w:r>
        <w:rPr>
          <w:rFonts w:ascii="宋体" w:hAnsi="宋体" w:eastAsia="宋体" w:cs="宋体"/>
          <w:color w:val="auto"/>
          <w:sz w:val="21"/>
          <w:szCs w:val="21"/>
        </w:rPr>
        <w:t>22.1</w:t>
      </w:r>
      <w:r>
        <w:rPr>
          <w:rFonts w:ascii="宋体" w:hAnsi="宋体" w:eastAsia="宋体" w:cs="宋体"/>
          <w:color w:val="auto"/>
          <w:spacing w:val="-44"/>
          <w:sz w:val="21"/>
          <w:szCs w:val="21"/>
        </w:rPr>
        <w:t xml:space="preserve"> </w:t>
      </w:r>
      <w:r>
        <w:rPr>
          <w:rFonts w:ascii="宋体" w:hAnsi="宋体" w:eastAsia="宋体" w:cs="宋体"/>
          <w:color w:val="auto"/>
          <w:sz w:val="21"/>
          <w:szCs w:val="21"/>
        </w:rPr>
        <w:t>投标人应当在投标截止时间前完成电子投标文件的</w:t>
      </w:r>
      <w:r>
        <w:rPr>
          <w:rFonts w:ascii="宋体" w:hAnsi="宋体" w:eastAsia="宋体" w:cs="宋体"/>
          <w:color w:val="auto"/>
          <w:spacing w:val="-1"/>
          <w:sz w:val="21"/>
          <w:szCs w:val="21"/>
        </w:rPr>
        <w:t>上传、提交，投标截止时间前可</w:t>
      </w:r>
      <w:r>
        <w:rPr>
          <w:rFonts w:ascii="宋体" w:hAnsi="宋体" w:eastAsia="宋体" w:cs="宋体"/>
          <w:color w:val="auto"/>
          <w:sz w:val="21"/>
          <w:szCs w:val="21"/>
        </w:rPr>
        <w:t>以补充、修改或者撤回投标文件。补充或者修改投</w:t>
      </w:r>
      <w:r>
        <w:rPr>
          <w:rFonts w:ascii="宋体" w:hAnsi="宋体" w:eastAsia="宋体" w:cs="宋体"/>
          <w:color w:val="auto"/>
          <w:spacing w:val="-1"/>
          <w:sz w:val="21"/>
          <w:szCs w:val="21"/>
        </w:rPr>
        <w:t>标文件的，应当先行撤回原投标文件，补</w:t>
      </w:r>
      <w:r>
        <w:rPr>
          <w:rFonts w:ascii="宋体" w:hAnsi="宋体" w:eastAsia="宋体" w:cs="宋体"/>
          <w:color w:val="auto"/>
          <w:sz w:val="21"/>
          <w:szCs w:val="21"/>
        </w:rPr>
        <w:t>充、修改后重新上传、提交，投标截止时间前未完成上传、提交的</w:t>
      </w:r>
      <w:r>
        <w:rPr>
          <w:rFonts w:ascii="宋体" w:hAnsi="宋体" w:eastAsia="宋体" w:cs="宋体"/>
          <w:color w:val="auto"/>
          <w:spacing w:val="-1"/>
          <w:sz w:val="21"/>
          <w:szCs w:val="21"/>
        </w:rPr>
        <w:t>，视为撤回投标文件。投</w:t>
      </w:r>
      <w:r>
        <w:rPr>
          <w:rFonts w:ascii="宋体" w:hAnsi="宋体" w:eastAsia="宋体" w:cs="宋体"/>
          <w:color w:val="auto"/>
          <w:sz w:val="21"/>
          <w:szCs w:val="21"/>
        </w:rPr>
        <w:t>标截止时间以后上传递交的投标文件，“</w:t>
      </w:r>
      <w:r>
        <w:rPr>
          <w:rFonts w:hint="eastAsia" w:ascii="宋体" w:hAnsi="宋体" w:eastAsia="宋体" w:cs="宋体"/>
          <w:color w:val="auto"/>
          <w:sz w:val="21"/>
          <w:szCs w:val="21"/>
        </w:rPr>
        <w:t>广西政府采购云平台</w:t>
      </w:r>
      <w:r>
        <w:rPr>
          <w:rFonts w:ascii="宋体" w:hAnsi="宋体" w:eastAsia="宋体" w:cs="宋体"/>
          <w:color w:val="auto"/>
          <w:sz w:val="21"/>
          <w:szCs w:val="21"/>
        </w:rPr>
        <w:t>”将予以拒收。（补充、修改或者</w:t>
      </w:r>
      <w:r>
        <w:rPr>
          <w:rFonts w:ascii="宋体" w:hAnsi="宋体" w:eastAsia="宋体" w:cs="宋体"/>
          <w:color w:val="auto"/>
          <w:spacing w:val="-1"/>
          <w:sz w:val="21"/>
          <w:szCs w:val="21"/>
        </w:rPr>
        <w:t>撤回</w:t>
      </w:r>
      <w:r>
        <w:rPr>
          <w:rFonts w:ascii="宋体" w:hAnsi="宋体" w:eastAsia="宋体" w:cs="宋体"/>
          <w:color w:val="auto"/>
          <w:spacing w:val="-7"/>
          <w:sz w:val="21"/>
          <w:szCs w:val="21"/>
        </w:rPr>
        <w:t>方式可登陆“</w:t>
      </w:r>
      <w:r>
        <w:rPr>
          <w:rFonts w:hint="eastAsia" w:ascii="宋体" w:hAnsi="宋体" w:eastAsia="宋体" w:cs="宋体"/>
          <w:color w:val="auto"/>
          <w:spacing w:val="-7"/>
          <w:sz w:val="21"/>
          <w:szCs w:val="21"/>
        </w:rPr>
        <w:t>广西政府采购云平台</w:t>
      </w:r>
      <w:r>
        <w:rPr>
          <w:rFonts w:ascii="宋体" w:hAnsi="宋体" w:eastAsia="宋体" w:cs="宋体"/>
          <w:color w:val="auto"/>
          <w:spacing w:val="-7"/>
          <w:sz w:val="21"/>
          <w:szCs w:val="21"/>
        </w:rPr>
        <w:t>”，依次进入“服务中心”中查看“电子投标文件制作与投送教程”）</w:t>
      </w:r>
      <w:r>
        <w:rPr>
          <w:rFonts w:hint="eastAsia" w:ascii="宋体" w:hAnsi="宋体" w:eastAsia="宋体" w:cs="宋体"/>
          <w:color w:val="auto"/>
          <w:spacing w:val="-7"/>
          <w:sz w:val="21"/>
          <w:szCs w:val="21"/>
          <w:lang w:eastAsia="zh-CN"/>
        </w:rPr>
        <w:t>。</w:t>
      </w:r>
    </w:p>
    <w:p w14:paraId="60C96C4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4"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22.2“</w:t>
      </w:r>
      <w:r>
        <w:rPr>
          <w:rFonts w:hint="eastAsia" w:ascii="宋体" w:hAnsi="宋体" w:eastAsia="宋体" w:cs="宋体"/>
          <w:color w:val="auto"/>
          <w:spacing w:val="1"/>
          <w:sz w:val="21"/>
          <w:szCs w:val="21"/>
        </w:rPr>
        <w:t>广西政府采购云平台</w:t>
      </w:r>
      <w:r>
        <w:rPr>
          <w:rFonts w:ascii="宋体" w:hAnsi="宋体" w:eastAsia="宋体" w:cs="宋体"/>
          <w:color w:val="auto"/>
          <w:spacing w:val="1"/>
          <w:sz w:val="21"/>
          <w:szCs w:val="21"/>
        </w:rPr>
        <w:t>”收到投标文件后向供应商发出确认回执通知。在投标截止时间前，</w:t>
      </w:r>
      <w:r>
        <w:rPr>
          <w:rFonts w:ascii="宋体" w:hAnsi="宋体" w:eastAsia="宋体" w:cs="宋体"/>
          <w:color w:val="auto"/>
          <w:spacing w:val="9"/>
          <w:sz w:val="21"/>
          <w:szCs w:val="21"/>
        </w:rPr>
        <w:t xml:space="preserve"> </w:t>
      </w:r>
      <w:r>
        <w:rPr>
          <w:rFonts w:ascii="宋体" w:hAnsi="宋体" w:eastAsia="宋体" w:cs="宋体"/>
          <w:color w:val="auto"/>
          <w:spacing w:val="-1"/>
          <w:sz w:val="21"/>
          <w:szCs w:val="21"/>
        </w:rPr>
        <w:t>除供应商补充、修改或者撤回投标文件外，任何单位和个人不得解密或提取投标文件。</w:t>
      </w:r>
    </w:p>
    <w:p w14:paraId="432E75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Arial"/>
          <w:color w:val="auto"/>
          <w:sz w:val="21"/>
        </w:rPr>
      </w:pPr>
      <w:r>
        <w:rPr>
          <w:rFonts w:ascii="宋体" w:hAnsi="宋体" w:eastAsia="宋体" w:cs="宋体"/>
          <w:color w:val="auto"/>
          <w:spacing w:val="-1"/>
          <w:sz w:val="21"/>
          <w:szCs w:val="21"/>
        </w:rPr>
        <w:t>22.3</w:t>
      </w:r>
      <w:r>
        <w:rPr>
          <w:rFonts w:ascii="宋体" w:hAnsi="宋体" w:eastAsia="宋体" w:cs="宋体"/>
          <w:color w:val="auto"/>
          <w:spacing w:val="-38"/>
          <w:sz w:val="21"/>
          <w:szCs w:val="21"/>
        </w:rPr>
        <w:t xml:space="preserve"> </w:t>
      </w:r>
      <w:r>
        <w:rPr>
          <w:rFonts w:ascii="宋体" w:hAnsi="宋体" w:eastAsia="宋体" w:cs="宋体"/>
          <w:color w:val="auto"/>
          <w:spacing w:val="-1"/>
          <w:sz w:val="21"/>
          <w:szCs w:val="21"/>
        </w:rPr>
        <w:t>在投标截止时间后，采购人和采购代理机构对已提交的投标文件概不退回。</w:t>
      </w:r>
    </w:p>
    <w:p w14:paraId="199DECF4">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360" w:lineRule="auto"/>
        <w:ind w:left="0"/>
        <w:jc w:val="center"/>
        <w:textAlignment w:val="baseline"/>
        <w:outlineLvl w:val="1"/>
        <w:rPr>
          <w:rFonts w:ascii="Arial"/>
          <w:color w:val="auto"/>
          <w:sz w:val="21"/>
        </w:rPr>
      </w:pPr>
      <w:r>
        <w:rPr>
          <w:rFonts w:ascii="宋体" w:hAnsi="宋体" w:eastAsia="宋体" w:cs="宋体"/>
          <w:b/>
          <w:bCs/>
          <w:color w:val="auto"/>
          <w:spacing w:val="-6"/>
          <w:sz w:val="31"/>
          <w:szCs w:val="31"/>
        </w:rPr>
        <w:t>四、开</w:t>
      </w:r>
      <w:r>
        <w:rPr>
          <w:rFonts w:ascii="宋体" w:hAnsi="宋体" w:eastAsia="宋体" w:cs="宋体"/>
          <w:color w:val="auto"/>
          <w:spacing w:val="9"/>
          <w:sz w:val="31"/>
          <w:szCs w:val="31"/>
        </w:rPr>
        <w:t xml:space="preserve">    </w:t>
      </w:r>
      <w:r>
        <w:rPr>
          <w:rFonts w:ascii="宋体" w:hAnsi="宋体" w:eastAsia="宋体" w:cs="宋体"/>
          <w:b/>
          <w:bCs/>
          <w:color w:val="auto"/>
          <w:spacing w:val="-6"/>
          <w:sz w:val="31"/>
          <w:szCs w:val="31"/>
        </w:rPr>
        <w:t>标</w:t>
      </w:r>
    </w:p>
    <w:p w14:paraId="79F23CD5">
      <w:pPr>
        <w:spacing w:before="78" w:line="220" w:lineRule="auto"/>
        <w:ind w:left="433"/>
        <w:outlineLvl w:val="2"/>
        <w:rPr>
          <w:rFonts w:ascii="黑体" w:hAnsi="黑体" w:eastAsia="黑体" w:cs="黑体"/>
          <w:color w:val="auto"/>
          <w:sz w:val="24"/>
          <w:szCs w:val="24"/>
        </w:rPr>
      </w:pPr>
      <w:r>
        <w:rPr>
          <w:rFonts w:ascii="黑体" w:hAnsi="黑体" w:eastAsia="黑体" w:cs="黑体"/>
          <w:b/>
          <w:bCs/>
          <w:color w:val="auto"/>
          <w:spacing w:val="-3"/>
          <w:sz w:val="24"/>
          <w:szCs w:val="24"/>
        </w:rPr>
        <w:t>23.开标时间和地点</w:t>
      </w:r>
    </w:p>
    <w:p w14:paraId="7BEA9103">
      <w:pPr>
        <w:spacing w:before="172" w:line="220" w:lineRule="auto"/>
        <w:ind w:left="434"/>
        <w:rPr>
          <w:rFonts w:ascii="黑体" w:hAnsi="黑体" w:eastAsia="黑体" w:cs="黑体"/>
          <w:b/>
          <w:bCs/>
          <w:color w:val="auto"/>
          <w:spacing w:val="-3"/>
          <w:sz w:val="24"/>
          <w:szCs w:val="24"/>
        </w:rPr>
      </w:pPr>
      <w:r>
        <w:rPr>
          <w:rFonts w:ascii="宋体" w:hAnsi="宋体" w:eastAsia="宋体" w:cs="宋体"/>
          <w:color w:val="auto"/>
          <w:spacing w:val="5"/>
          <w:sz w:val="21"/>
          <w:szCs w:val="21"/>
        </w:rPr>
        <w:t>开标时间及地点详见“投标人须知前附表”</w:t>
      </w:r>
    </w:p>
    <w:p w14:paraId="56A25018">
      <w:pPr>
        <w:spacing w:before="164" w:line="219" w:lineRule="auto"/>
        <w:ind w:left="433"/>
        <w:outlineLvl w:val="2"/>
        <w:rPr>
          <w:rFonts w:ascii="黑体" w:hAnsi="黑体" w:eastAsia="黑体" w:cs="黑体"/>
          <w:color w:val="auto"/>
          <w:sz w:val="24"/>
          <w:szCs w:val="24"/>
        </w:rPr>
      </w:pPr>
      <w:r>
        <w:rPr>
          <w:rFonts w:ascii="黑体" w:hAnsi="黑体" w:eastAsia="黑体" w:cs="黑体"/>
          <w:b/>
          <w:bCs/>
          <w:color w:val="auto"/>
          <w:spacing w:val="-3"/>
          <w:sz w:val="24"/>
          <w:szCs w:val="24"/>
        </w:rPr>
        <w:t>24.开标程序</w:t>
      </w:r>
    </w:p>
    <w:p w14:paraId="08D22F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Times New Roman" w:hAnsi="Times New Roman" w:eastAsia="Times New Roman" w:cs="Times New Roman"/>
          <w:color w:val="auto"/>
          <w:sz w:val="21"/>
          <w:szCs w:val="21"/>
        </w:rPr>
        <w:t xml:space="preserve">24.1 </w:t>
      </w:r>
      <w:r>
        <w:rPr>
          <w:rFonts w:ascii="宋体" w:hAnsi="宋体" w:eastAsia="宋体" w:cs="宋体"/>
          <w:color w:val="auto"/>
          <w:sz w:val="21"/>
          <w:szCs w:val="21"/>
        </w:rPr>
        <w:t>提交投标文件截止时间止，投标人不足</w:t>
      </w:r>
      <w:r>
        <w:rPr>
          <w:rFonts w:ascii="Times New Roman" w:hAnsi="Times New Roman" w:eastAsia="Times New Roman" w:cs="Times New Roman"/>
          <w:color w:val="auto"/>
          <w:sz w:val="21"/>
          <w:szCs w:val="21"/>
        </w:rPr>
        <w:t>3</w:t>
      </w:r>
      <w:r>
        <w:rPr>
          <w:rFonts w:ascii="宋体" w:hAnsi="宋体" w:eastAsia="宋体" w:cs="宋体"/>
          <w:color w:val="auto"/>
          <w:spacing w:val="-1"/>
          <w:sz w:val="21"/>
          <w:szCs w:val="21"/>
        </w:rPr>
        <w:t>家的，不得开标。</w:t>
      </w:r>
    </w:p>
    <w:p w14:paraId="1194137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4" w:firstLineChars="200"/>
        <w:textAlignment w:val="baseline"/>
        <w:rPr>
          <w:rFonts w:ascii="宋体" w:hAnsi="宋体" w:eastAsia="宋体" w:cs="宋体"/>
          <w:color w:val="auto"/>
          <w:sz w:val="21"/>
          <w:szCs w:val="21"/>
        </w:rPr>
      </w:pPr>
      <w:r>
        <w:rPr>
          <w:rFonts w:ascii="Times New Roman" w:hAnsi="Times New Roman" w:eastAsia="Times New Roman" w:cs="Times New Roman"/>
          <w:color w:val="auto"/>
          <w:spacing w:val="1"/>
          <w:sz w:val="21"/>
          <w:szCs w:val="21"/>
        </w:rPr>
        <w:t xml:space="preserve">24.2  </w:t>
      </w:r>
      <w:r>
        <w:rPr>
          <w:rFonts w:ascii="宋体" w:hAnsi="宋体" w:eastAsia="宋体" w:cs="宋体"/>
          <w:color w:val="auto"/>
          <w:spacing w:val="1"/>
          <w:sz w:val="21"/>
          <w:szCs w:val="21"/>
        </w:rPr>
        <w:t>采购代理机构将按照招标文件规定的时间通过“</w:t>
      </w:r>
      <w:r>
        <w:rPr>
          <w:rFonts w:hint="eastAsia" w:ascii="宋体" w:hAnsi="宋体" w:eastAsia="宋体" w:cs="宋体"/>
          <w:color w:val="auto"/>
          <w:spacing w:val="1"/>
          <w:sz w:val="21"/>
          <w:szCs w:val="21"/>
        </w:rPr>
        <w:t>广西政府采购云平台</w:t>
      </w:r>
      <w:r>
        <w:rPr>
          <w:rFonts w:ascii="宋体" w:hAnsi="宋体" w:eastAsia="宋体" w:cs="宋体"/>
          <w:color w:val="auto"/>
          <w:spacing w:val="1"/>
          <w:sz w:val="21"/>
          <w:szCs w:val="21"/>
        </w:rPr>
        <w:t>”组织线上开标活动，</w:t>
      </w:r>
      <w:r>
        <w:rPr>
          <w:rFonts w:ascii="宋体" w:hAnsi="宋体" w:eastAsia="宋体" w:cs="宋体"/>
          <w:color w:val="auto"/>
          <w:spacing w:val="2"/>
          <w:sz w:val="21"/>
          <w:szCs w:val="21"/>
        </w:rPr>
        <w:t>所有供应商均应当准时在线参加，投标人因未在线参加开标而导致投标文件无法按时解密等</w:t>
      </w:r>
      <w:r>
        <w:rPr>
          <w:rFonts w:ascii="宋体" w:hAnsi="宋体" w:eastAsia="宋体" w:cs="宋体"/>
          <w:color w:val="auto"/>
          <w:spacing w:val="-2"/>
          <w:sz w:val="21"/>
          <w:szCs w:val="21"/>
        </w:rPr>
        <w:t>一切后果由投标人自己承担。</w:t>
      </w:r>
    </w:p>
    <w:p w14:paraId="55A1852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outlineLvl w:val="3"/>
        <w:rPr>
          <w:rFonts w:ascii="宋体" w:hAnsi="宋体" w:eastAsia="宋体" w:cs="宋体"/>
          <w:color w:val="auto"/>
          <w:sz w:val="21"/>
          <w:szCs w:val="21"/>
        </w:rPr>
      </w:pPr>
      <w:r>
        <w:rPr>
          <w:rFonts w:ascii="Times New Roman" w:hAnsi="Times New Roman" w:eastAsia="Times New Roman" w:cs="Times New Roman"/>
          <w:color w:val="auto"/>
          <w:spacing w:val="-1"/>
          <w:sz w:val="21"/>
          <w:szCs w:val="21"/>
        </w:rPr>
        <w:t xml:space="preserve">24.3 </w:t>
      </w:r>
      <w:r>
        <w:rPr>
          <w:rFonts w:ascii="宋体" w:hAnsi="宋体" w:eastAsia="宋体" w:cs="宋体"/>
          <w:color w:val="auto"/>
          <w:spacing w:val="-1"/>
          <w:sz w:val="21"/>
          <w:szCs w:val="21"/>
        </w:rPr>
        <w:t>开标程序</w:t>
      </w:r>
    </w:p>
    <w:p w14:paraId="0897126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w:t>
      </w:r>
      <w:r>
        <w:rPr>
          <w:rFonts w:ascii="Times New Roman" w:hAnsi="Times New Roman" w:eastAsia="Times New Roman" w:cs="Times New Roman"/>
          <w:color w:val="auto"/>
          <w:sz w:val="21"/>
          <w:szCs w:val="21"/>
        </w:rPr>
        <w:t>1</w:t>
      </w:r>
      <w:r>
        <w:rPr>
          <w:rFonts w:ascii="宋体" w:hAnsi="宋体" w:eastAsia="宋体" w:cs="宋体"/>
          <w:color w:val="auto"/>
          <w:sz w:val="21"/>
          <w:szCs w:val="21"/>
        </w:rPr>
        <w:t>）解密电子投标文件。“</w:t>
      </w:r>
      <w:r>
        <w:rPr>
          <w:rFonts w:hint="eastAsia" w:ascii="宋体" w:hAnsi="宋体" w:eastAsia="宋体" w:cs="宋体"/>
          <w:color w:val="auto"/>
          <w:sz w:val="21"/>
          <w:szCs w:val="21"/>
        </w:rPr>
        <w:t>广西政府采购云平台</w:t>
      </w:r>
      <w:r>
        <w:rPr>
          <w:rFonts w:ascii="宋体" w:hAnsi="宋体" w:eastAsia="宋体" w:cs="宋体"/>
          <w:color w:val="auto"/>
          <w:sz w:val="21"/>
          <w:szCs w:val="21"/>
        </w:rPr>
        <w:t>”按开标时间自动</w:t>
      </w:r>
      <w:r>
        <w:rPr>
          <w:rFonts w:ascii="宋体" w:hAnsi="宋体" w:eastAsia="宋体" w:cs="宋体"/>
          <w:color w:val="auto"/>
          <w:spacing w:val="-1"/>
          <w:sz w:val="21"/>
          <w:szCs w:val="21"/>
        </w:rPr>
        <w:t>提取所有投标文件。采购代理</w:t>
      </w:r>
      <w:r>
        <w:rPr>
          <w:rFonts w:ascii="宋体" w:hAnsi="宋体" w:eastAsia="宋体" w:cs="宋体"/>
          <w:color w:val="auto"/>
          <w:spacing w:val="2"/>
          <w:sz w:val="21"/>
          <w:szCs w:val="21"/>
        </w:rPr>
        <w:t>机构依托“</w:t>
      </w:r>
      <w:r>
        <w:rPr>
          <w:rFonts w:hint="eastAsia" w:ascii="宋体" w:hAnsi="宋体" w:eastAsia="宋体" w:cs="宋体"/>
          <w:color w:val="auto"/>
          <w:spacing w:val="2"/>
          <w:sz w:val="21"/>
          <w:szCs w:val="21"/>
        </w:rPr>
        <w:t>广西政府采购云平台</w:t>
      </w:r>
      <w:r>
        <w:rPr>
          <w:rFonts w:ascii="宋体" w:hAnsi="宋体" w:eastAsia="宋体" w:cs="宋体"/>
          <w:color w:val="auto"/>
          <w:spacing w:val="2"/>
          <w:sz w:val="21"/>
          <w:szCs w:val="21"/>
        </w:rPr>
        <w:t>”向各投标人发出电子加密投标文件【</w:t>
      </w:r>
      <w:r>
        <w:rPr>
          <w:rFonts w:ascii="宋体" w:hAnsi="宋体" w:eastAsia="宋体" w:cs="宋体"/>
          <w:color w:val="auto"/>
          <w:spacing w:val="1"/>
          <w:sz w:val="21"/>
          <w:szCs w:val="21"/>
        </w:rPr>
        <w:t>开始解密】通知，由投标人按</w:t>
      </w:r>
      <w:r>
        <w:rPr>
          <w:rFonts w:ascii="宋体" w:hAnsi="宋体" w:eastAsia="宋体" w:cs="宋体"/>
          <w:color w:val="auto"/>
          <w:spacing w:val="3"/>
          <w:sz w:val="21"/>
          <w:szCs w:val="21"/>
        </w:rPr>
        <w:t>“投标人须知前附表”规定的时间内自行进行投标文件解密。投</w:t>
      </w:r>
      <w:r>
        <w:rPr>
          <w:rFonts w:ascii="宋体" w:hAnsi="宋体" w:eastAsia="宋体" w:cs="宋体"/>
          <w:color w:val="auto"/>
          <w:spacing w:val="2"/>
          <w:sz w:val="21"/>
          <w:szCs w:val="21"/>
        </w:rPr>
        <w:t>标人的法定代表人</w:t>
      </w:r>
      <w:r>
        <w:rPr>
          <w:rFonts w:hint="eastAsia" w:ascii="宋体" w:hAnsi="宋体" w:eastAsia="宋体" w:cs="宋体"/>
          <w:color w:val="auto"/>
          <w:spacing w:val="2"/>
          <w:sz w:val="21"/>
          <w:szCs w:val="21"/>
          <w:lang w:eastAsia="zh-CN"/>
        </w:rPr>
        <w:t>（负责人）</w:t>
      </w:r>
      <w:r>
        <w:rPr>
          <w:rFonts w:ascii="宋体" w:hAnsi="宋体" w:eastAsia="宋体" w:cs="宋体"/>
          <w:color w:val="auto"/>
          <w:spacing w:val="2"/>
          <w:sz w:val="21"/>
          <w:szCs w:val="21"/>
        </w:rPr>
        <w:t>或其委托</w:t>
      </w:r>
      <w:r>
        <w:rPr>
          <w:rFonts w:ascii="宋体" w:hAnsi="宋体" w:eastAsia="宋体" w:cs="宋体"/>
          <w:color w:val="auto"/>
          <w:spacing w:val="-2"/>
          <w:sz w:val="21"/>
          <w:szCs w:val="21"/>
        </w:rPr>
        <w:t>代理人须凭加密时所用的</w:t>
      </w:r>
      <w:r>
        <w:rPr>
          <w:rFonts w:ascii="Times New Roman" w:hAnsi="Times New Roman" w:eastAsia="Times New Roman" w:cs="Times New Roman"/>
          <w:color w:val="auto"/>
          <w:spacing w:val="-2"/>
          <w:sz w:val="21"/>
          <w:szCs w:val="21"/>
        </w:rPr>
        <w:t>CA</w:t>
      </w:r>
      <w:r>
        <w:rPr>
          <w:rFonts w:ascii="宋体" w:hAnsi="宋体" w:eastAsia="宋体" w:cs="宋体"/>
          <w:color w:val="auto"/>
          <w:spacing w:val="-2"/>
          <w:sz w:val="21"/>
          <w:szCs w:val="21"/>
        </w:rPr>
        <w:t>锁准时登录到“</w:t>
      </w:r>
      <w:r>
        <w:rPr>
          <w:rFonts w:hint="eastAsia" w:ascii="宋体" w:hAnsi="宋体" w:eastAsia="宋体" w:cs="宋体"/>
          <w:color w:val="auto"/>
          <w:spacing w:val="-2"/>
          <w:sz w:val="21"/>
          <w:szCs w:val="21"/>
        </w:rPr>
        <w:t>广西政府采购云平台</w:t>
      </w:r>
      <w:r>
        <w:rPr>
          <w:rFonts w:ascii="宋体" w:hAnsi="宋体" w:eastAsia="宋体" w:cs="宋体"/>
          <w:color w:val="auto"/>
          <w:spacing w:val="-2"/>
          <w:sz w:val="21"/>
          <w:szCs w:val="21"/>
        </w:rPr>
        <w:t>”电子开标大厅签到并对电子投标文</w:t>
      </w:r>
      <w:r>
        <w:rPr>
          <w:rFonts w:ascii="宋体" w:hAnsi="宋体" w:eastAsia="宋体" w:cs="宋体"/>
          <w:color w:val="auto"/>
          <w:spacing w:val="1"/>
          <w:sz w:val="21"/>
          <w:szCs w:val="21"/>
        </w:rPr>
        <w:t>件解密。</w:t>
      </w:r>
      <w:r>
        <w:rPr>
          <w:rFonts w:ascii="宋体" w:hAnsi="宋体" w:eastAsia="宋体" w:cs="宋体"/>
          <w:b/>
          <w:bCs/>
          <w:color w:val="auto"/>
          <w:spacing w:val="1"/>
          <w:sz w:val="21"/>
          <w:szCs w:val="21"/>
        </w:rPr>
        <w:t>投标人未在规定的时间内解密投标文件或者解密失败的，投标人的</w:t>
      </w:r>
      <w:r>
        <w:rPr>
          <w:rFonts w:ascii="宋体" w:hAnsi="宋体" w:eastAsia="宋体" w:cs="宋体"/>
          <w:b/>
          <w:bCs/>
          <w:color w:val="auto"/>
          <w:sz w:val="21"/>
          <w:szCs w:val="21"/>
        </w:rPr>
        <w:t>投标文件作无效处理。</w:t>
      </w:r>
    </w:p>
    <w:p w14:paraId="726825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textAlignment w:val="baseline"/>
        <w:rPr>
          <w:rFonts w:ascii="宋体" w:hAnsi="宋体" w:eastAsia="宋体" w:cs="宋体"/>
          <w:color w:val="auto"/>
          <w:sz w:val="21"/>
          <w:szCs w:val="21"/>
        </w:rPr>
      </w:pPr>
      <w:r>
        <w:rPr>
          <w:rFonts w:ascii="宋体" w:hAnsi="宋体" w:eastAsia="宋体" w:cs="宋体"/>
          <w:color w:val="auto"/>
          <w:spacing w:val="-4"/>
          <w:sz w:val="21"/>
          <w:szCs w:val="21"/>
        </w:rPr>
        <w:t>（</w:t>
      </w:r>
      <w:r>
        <w:rPr>
          <w:rFonts w:ascii="Times New Roman" w:hAnsi="Times New Roman" w:eastAsia="Times New Roman" w:cs="Times New Roman"/>
          <w:color w:val="auto"/>
          <w:spacing w:val="-4"/>
          <w:sz w:val="21"/>
          <w:szCs w:val="21"/>
        </w:rPr>
        <w:t>2</w:t>
      </w:r>
      <w:r>
        <w:rPr>
          <w:rFonts w:ascii="宋体" w:hAnsi="宋体" w:eastAsia="宋体" w:cs="宋体"/>
          <w:color w:val="auto"/>
          <w:spacing w:val="-4"/>
          <w:sz w:val="21"/>
          <w:szCs w:val="21"/>
        </w:rPr>
        <w:t>）电子唱标。投标文件解密结束，宣布的内容均在“</w:t>
      </w:r>
      <w:r>
        <w:rPr>
          <w:rFonts w:hint="eastAsia" w:ascii="宋体" w:hAnsi="宋体" w:eastAsia="宋体" w:cs="宋体"/>
          <w:color w:val="auto"/>
          <w:spacing w:val="-4"/>
          <w:sz w:val="21"/>
          <w:szCs w:val="21"/>
        </w:rPr>
        <w:t>广西政府采购云平台</w:t>
      </w:r>
      <w:r>
        <w:rPr>
          <w:rFonts w:ascii="宋体" w:hAnsi="宋体" w:eastAsia="宋体" w:cs="宋体"/>
          <w:color w:val="auto"/>
          <w:spacing w:val="-4"/>
          <w:sz w:val="21"/>
          <w:szCs w:val="21"/>
        </w:rPr>
        <w:t>”远程开标大</w:t>
      </w:r>
      <w:r>
        <w:rPr>
          <w:rFonts w:ascii="宋体" w:hAnsi="宋体" w:eastAsia="宋体" w:cs="宋体"/>
          <w:color w:val="auto"/>
          <w:spacing w:val="-5"/>
          <w:sz w:val="21"/>
          <w:szCs w:val="21"/>
        </w:rPr>
        <w:t>厅展示，</w:t>
      </w:r>
      <w:r>
        <w:rPr>
          <w:rFonts w:ascii="宋体" w:hAnsi="宋体" w:eastAsia="宋体" w:cs="宋体"/>
          <w:color w:val="auto"/>
          <w:spacing w:val="-1"/>
          <w:sz w:val="21"/>
          <w:szCs w:val="21"/>
        </w:rPr>
        <w:t>具体详见“投标人须知前附表”；</w:t>
      </w:r>
    </w:p>
    <w:p w14:paraId="017756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w:t>
      </w:r>
      <w:r>
        <w:rPr>
          <w:rFonts w:ascii="Times New Roman" w:hAnsi="Times New Roman" w:eastAsia="Times New Roman" w:cs="Times New Roman"/>
          <w:color w:val="auto"/>
          <w:sz w:val="21"/>
          <w:szCs w:val="21"/>
        </w:rPr>
        <w:t>3</w:t>
      </w:r>
      <w:r>
        <w:rPr>
          <w:rFonts w:ascii="宋体" w:hAnsi="宋体" w:eastAsia="宋体" w:cs="宋体"/>
          <w:color w:val="auto"/>
          <w:sz w:val="21"/>
          <w:szCs w:val="21"/>
        </w:rPr>
        <w:t>）开标过程由采购代理机构如实记录，并电子留痕，</w:t>
      </w:r>
      <w:r>
        <w:rPr>
          <w:rFonts w:ascii="宋体" w:hAnsi="宋体" w:eastAsia="宋体" w:cs="宋体"/>
          <w:color w:val="auto"/>
          <w:spacing w:val="-1"/>
          <w:sz w:val="21"/>
          <w:szCs w:val="21"/>
        </w:rPr>
        <w:t>由参加电子开标的各投标人代表对电子开标记录在开标记录公布后</w:t>
      </w:r>
      <w:r>
        <w:rPr>
          <w:rFonts w:ascii="Times New Roman" w:hAnsi="Times New Roman" w:eastAsia="Times New Roman" w:cs="Times New Roman"/>
          <w:color w:val="auto"/>
          <w:spacing w:val="-1"/>
          <w:sz w:val="21"/>
          <w:szCs w:val="21"/>
        </w:rPr>
        <w:t>15</w:t>
      </w:r>
      <w:r>
        <w:rPr>
          <w:rFonts w:ascii="宋体" w:hAnsi="宋体" w:eastAsia="宋体" w:cs="宋体"/>
          <w:color w:val="auto"/>
          <w:spacing w:val="-1"/>
          <w:sz w:val="21"/>
          <w:szCs w:val="21"/>
        </w:rPr>
        <w:t>分钟内进行当场校核及勘误，并线上确认是否有异议，</w:t>
      </w:r>
      <w:r>
        <w:rPr>
          <w:rFonts w:ascii="宋体" w:hAnsi="宋体" w:eastAsia="宋体" w:cs="宋体"/>
          <w:color w:val="auto"/>
          <w:spacing w:val="-2"/>
          <w:sz w:val="21"/>
          <w:szCs w:val="21"/>
        </w:rPr>
        <w:t>未确认的视同认可开标结果。</w:t>
      </w:r>
    </w:p>
    <w:p w14:paraId="53E1CE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w:t>
      </w:r>
      <w:r>
        <w:rPr>
          <w:rFonts w:ascii="Times New Roman" w:hAnsi="Times New Roman" w:eastAsia="Times New Roman" w:cs="Times New Roman"/>
          <w:color w:val="auto"/>
          <w:sz w:val="21"/>
          <w:szCs w:val="21"/>
        </w:rPr>
        <w:t>4</w:t>
      </w:r>
      <w:r>
        <w:rPr>
          <w:rFonts w:ascii="宋体" w:hAnsi="宋体" w:eastAsia="宋体" w:cs="宋体"/>
          <w:color w:val="auto"/>
          <w:sz w:val="21"/>
          <w:szCs w:val="21"/>
        </w:rPr>
        <w:t>）投标人代表对开标过程和开标记录有</w:t>
      </w:r>
      <w:r>
        <w:rPr>
          <w:rFonts w:ascii="宋体" w:hAnsi="宋体" w:eastAsia="宋体" w:cs="宋体"/>
          <w:color w:val="auto"/>
          <w:spacing w:val="-1"/>
          <w:sz w:val="21"/>
          <w:szCs w:val="21"/>
        </w:rPr>
        <w:t>疑义，以及认为采购人、采购代理机构相关工</w:t>
      </w:r>
      <w:r>
        <w:rPr>
          <w:rFonts w:ascii="宋体" w:hAnsi="宋体" w:eastAsia="宋体" w:cs="宋体"/>
          <w:color w:val="auto"/>
          <w:spacing w:val="2"/>
          <w:sz w:val="21"/>
          <w:szCs w:val="21"/>
        </w:rPr>
        <w:t>作人员有需要回避的情形的，应当场提出询问或者回避申请。采购人、采购代理机构对投标</w:t>
      </w:r>
      <w:r>
        <w:rPr>
          <w:rFonts w:ascii="宋体" w:hAnsi="宋体" w:eastAsia="宋体" w:cs="宋体"/>
          <w:color w:val="auto"/>
          <w:spacing w:val="-1"/>
          <w:sz w:val="21"/>
          <w:szCs w:val="21"/>
        </w:rPr>
        <w:t>人代表提出的询问或者回避申请应当及时处理。</w:t>
      </w:r>
    </w:p>
    <w:p w14:paraId="5E83E3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outlineLvl w:val="4"/>
        <w:rPr>
          <w:rFonts w:ascii="宋体" w:hAnsi="宋体" w:eastAsia="宋体" w:cs="宋体"/>
          <w:color w:val="auto"/>
          <w:sz w:val="21"/>
          <w:szCs w:val="21"/>
        </w:rPr>
      </w:pPr>
      <w:r>
        <w:rPr>
          <w:rFonts w:ascii="宋体" w:hAnsi="宋体" w:eastAsia="宋体" w:cs="宋体"/>
          <w:color w:val="auto"/>
          <w:spacing w:val="-2"/>
          <w:sz w:val="21"/>
          <w:szCs w:val="21"/>
        </w:rPr>
        <w:t>（</w:t>
      </w:r>
      <w:r>
        <w:rPr>
          <w:rFonts w:ascii="Times New Roman" w:hAnsi="Times New Roman" w:eastAsia="Times New Roman" w:cs="Times New Roman"/>
          <w:color w:val="auto"/>
          <w:spacing w:val="-2"/>
          <w:sz w:val="21"/>
          <w:szCs w:val="21"/>
        </w:rPr>
        <w:t>5</w:t>
      </w:r>
      <w:r>
        <w:rPr>
          <w:rFonts w:ascii="宋体" w:hAnsi="宋体" w:eastAsia="宋体" w:cs="宋体"/>
          <w:color w:val="auto"/>
          <w:spacing w:val="-2"/>
          <w:sz w:val="21"/>
          <w:szCs w:val="21"/>
        </w:rPr>
        <w:t>）开标结束。</w:t>
      </w:r>
    </w:p>
    <w:p w14:paraId="5D9A44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ascii="Arial"/>
          <w:color w:val="auto"/>
          <w:sz w:val="21"/>
        </w:rPr>
      </w:pPr>
      <w:r>
        <w:rPr>
          <w:rFonts w:ascii="宋体" w:hAnsi="宋体" w:eastAsia="宋体" w:cs="宋体"/>
          <w:color w:val="auto"/>
          <w:spacing w:val="-1"/>
          <w:sz w:val="21"/>
          <w:szCs w:val="21"/>
        </w:rPr>
        <w:t>特别说明：如遇“</w:t>
      </w:r>
      <w:r>
        <w:rPr>
          <w:rFonts w:hint="eastAsia" w:ascii="宋体" w:hAnsi="宋体" w:eastAsia="宋体" w:cs="宋体"/>
          <w:color w:val="auto"/>
          <w:spacing w:val="-1"/>
          <w:sz w:val="21"/>
          <w:szCs w:val="21"/>
        </w:rPr>
        <w:t>广西政府采购云平台</w:t>
      </w:r>
      <w:r>
        <w:rPr>
          <w:rFonts w:ascii="宋体" w:hAnsi="宋体" w:eastAsia="宋体" w:cs="宋体"/>
          <w:color w:val="auto"/>
          <w:spacing w:val="-1"/>
          <w:sz w:val="21"/>
          <w:szCs w:val="21"/>
        </w:rPr>
        <w:t>”电子化开标或评审程序调整的，按调整后执行。</w:t>
      </w:r>
    </w:p>
    <w:p w14:paraId="2C784DB6">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360" w:lineRule="auto"/>
        <w:ind w:left="0"/>
        <w:jc w:val="center"/>
        <w:textAlignment w:val="baseline"/>
        <w:outlineLvl w:val="1"/>
        <w:rPr>
          <w:rFonts w:ascii="Arial"/>
          <w:color w:val="auto"/>
          <w:sz w:val="21"/>
        </w:rPr>
      </w:pPr>
      <w:r>
        <w:rPr>
          <w:rFonts w:ascii="宋体" w:hAnsi="宋体" w:eastAsia="宋体" w:cs="宋体"/>
          <w:b/>
          <w:bCs/>
          <w:color w:val="auto"/>
          <w:spacing w:val="5"/>
          <w:sz w:val="31"/>
          <w:szCs w:val="31"/>
        </w:rPr>
        <w:t>五、资格审查</w:t>
      </w:r>
    </w:p>
    <w:p w14:paraId="0D7CFFC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25.资格审查</w:t>
      </w:r>
    </w:p>
    <w:p w14:paraId="0AB677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25.1 开标结束后，采购人或者采购代理机构通过电子开评标系统依据招</w:t>
      </w:r>
      <w:r>
        <w:rPr>
          <w:rFonts w:ascii="宋体" w:hAnsi="宋体" w:eastAsia="宋体" w:cs="宋体"/>
          <w:color w:val="auto"/>
          <w:spacing w:val="-1"/>
          <w:sz w:val="21"/>
          <w:szCs w:val="21"/>
        </w:rPr>
        <w:t>标文件对电子投标文件进行线上资格审查。</w:t>
      </w:r>
    </w:p>
    <w:p w14:paraId="31E622A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25.2 资格审查标准为本招标文件中载明对投标人资格要求的条件。本项目</w:t>
      </w:r>
      <w:r>
        <w:rPr>
          <w:rFonts w:ascii="宋体" w:hAnsi="宋体" w:eastAsia="宋体" w:cs="宋体"/>
          <w:color w:val="auto"/>
          <w:spacing w:val="-1"/>
          <w:sz w:val="21"/>
          <w:szCs w:val="21"/>
        </w:rPr>
        <w:t>资格审查采用合格制，凡符合招标文件规定的投标人资格要求的投标人均通过资格审查。</w:t>
      </w:r>
    </w:p>
    <w:p w14:paraId="7F4C08F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0" w:firstLineChars="200"/>
        <w:textAlignment w:val="baseline"/>
        <w:rPr>
          <w:rFonts w:ascii="宋体" w:hAnsi="宋体" w:eastAsia="宋体" w:cs="宋体"/>
          <w:b/>
          <w:bCs/>
          <w:color w:val="auto"/>
          <w:spacing w:val="-3"/>
          <w:sz w:val="21"/>
          <w:szCs w:val="21"/>
        </w:rPr>
      </w:pPr>
      <w:r>
        <w:rPr>
          <w:rFonts w:ascii="宋体" w:hAnsi="宋体" w:eastAsia="宋体" w:cs="宋体"/>
          <w:b/>
          <w:bCs/>
          <w:color w:val="auto"/>
          <w:spacing w:val="-3"/>
          <w:sz w:val="21"/>
          <w:szCs w:val="21"/>
        </w:rPr>
        <w:t>25.3</w:t>
      </w:r>
      <w:r>
        <w:rPr>
          <w:rFonts w:ascii="宋体" w:hAnsi="宋体" w:eastAsia="宋体" w:cs="宋体"/>
          <w:color w:val="auto"/>
          <w:spacing w:val="-3"/>
          <w:sz w:val="21"/>
          <w:szCs w:val="21"/>
        </w:rPr>
        <w:t xml:space="preserve"> </w:t>
      </w:r>
      <w:r>
        <w:rPr>
          <w:rFonts w:ascii="宋体" w:hAnsi="宋体" w:eastAsia="宋体" w:cs="宋体"/>
          <w:b/>
          <w:bCs/>
          <w:color w:val="auto"/>
          <w:spacing w:val="-3"/>
          <w:sz w:val="21"/>
          <w:szCs w:val="21"/>
        </w:rPr>
        <w:t>投标人有下列情形之一的，资格审查不通过，作无效投标处理：</w:t>
      </w:r>
    </w:p>
    <w:p w14:paraId="09FB70D5">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firstLine="422" w:firstLineChars="20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lang w:val="en-US" w:eastAsia="zh-CN"/>
        </w:rPr>
        <w:t>1</w:t>
      </w: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rPr>
        <w:t>未按招标文件规定的方式获取本招标文件的投标人；</w:t>
      </w:r>
    </w:p>
    <w:p w14:paraId="76AF906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422" w:firstLineChars="200"/>
        <w:textAlignment w:val="baseline"/>
        <w:outlineLvl w:val="3"/>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lang w:val="en-US" w:eastAsia="zh-CN"/>
        </w:rPr>
        <w:t>2</w:t>
      </w: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bCs/>
          <w:color w:val="auto"/>
          <w:spacing w:val="-5"/>
          <w:sz w:val="21"/>
          <w:szCs w:val="21"/>
        </w:rPr>
        <w:t>不具备招标文件中规定的资格要求的；</w:t>
      </w:r>
    </w:p>
    <w:p w14:paraId="161C0D3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422" w:firstLineChars="200"/>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lang w:val="en-US" w:eastAsia="zh-CN"/>
        </w:rPr>
        <w:t>3</w:t>
      </w: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bCs/>
          <w:color w:val="auto"/>
          <w:spacing w:val="-13"/>
          <w:sz w:val="21"/>
          <w:szCs w:val="21"/>
        </w:rPr>
        <w:t>在“信用中国”网站（www.creditchina.gov.cn）、中国政府采购网（www.ccgp.gov.cn）</w:t>
      </w:r>
      <w:r>
        <w:rPr>
          <w:rFonts w:hint="eastAsia" w:asciiTheme="minorEastAsia" w:hAnsiTheme="minorEastAsia" w:eastAsiaTheme="minorEastAsia" w:cstheme="minorEastAsia"/>
          <w:b/>
          <w:bCs/>
          <w:color w:val="auto"/>
          <w:sz w:val="21"/>
          <w:szCs w:val="21"/>
        </w:rPr>
        <w:t>被列入失信被执行人、重大税收违法案件</w:t>
      </w:r>
      <w:r>
        <w:rPr>
          <w:rFonts w:hint="eastAsia" w:asciiTheme="minorEastAsia" w:hAnsiTheme="minorEastAsia" w:eastAsiaTheme="minorEastAsia" w:cstheme="minorEastAsia"/>
          <w:b/>
          <w:bCs/>
          <w:color w:val="auto"/>
          <w:sz w:val="21"/>
          <w:szCs w:val="21"/>
          <w:lang w:val="en-US" w:eastAsia="zh-CN"/>
        </w:rPr>
        <w:t>失信主体</w:t>
      </w:r>
      <w:r>
        <w:rPr>
          <w:rFonts w:hint="eastAsia" w:asciiTheme="minorEastAsia" w:hAnsiTheme="minorEastAsia" w:eastAsiaTheme="minorEastAsia" w:cstheme="minorEastAsia"/>
          <w:b/>
          <w:bCs/>
          <w:color w:val="auto"/>
          <w:sz w:val="21"/>
          <w:szCs w:val="21"/>
        </w:rPr>
        <w:t>、政府采购严重违法失信行为记录名单及其他不符合《中华人民共和国政府采购法》第二十二条规</w:t>
      </w:r>
      <w:r>
        <w:rPr>
          <w:rFonts w:hint="eastAsia" w:asciiTheme="minorEastAsia" w:hAnsiTheme="minorEastAsia" w:eastAsiaTheme="minorEastAsia" w:cstheme="minorEastAsia"/>
          <w:b/>
          <w:bCs/>
          <w:color w:val="auto"/>
          <w:spacing w:val="-1"/>
          <w:sz w:val="21"/>
          <w:szCs w:val="21"/>
        </w:rPr>
        <w:t>定条件的</w:t>
      </w:r>
      <w:r>
        <w:rPr>
          <w:rFonts w:hint="eastAsia" w:asciiTheme="minorEastAsia" w:hAnsiTheme="minorEastAsia" w:eastAsiaTheme="minorEastAsia" w:cstheme="minorEastAsia"/>
          <w:b/>
          <w:bCs/>
          <w:color w:val="auto"/>
          <w:spacing w:val="-14"/>
          <w:sz w:val="21"/>
          <w:szCs w:val="21"/>
        </w:rPr>
        <w:t>；（</w:t>
      </w:r>
      <w:r>
        <w:rPr>
          <w:rFonts w:hint="eastAsia" w:asciiTheme="minorEastAsia" w:hAnsiTheme="minorEastAsia" w:eastAsiaTheme="minorEastAsia" w:cstheme="minorEastAsia"/>
          <w:b/>
          <w:bCs/>
          <w:color w:val="auto"/>
          <w:spacing w:val="-1"/>
          <w:sz w:val="21"/>
          <w:szCs w:val="21"/>
        </w:rPr>
        <w:t>注</w:t>
      </w:r>
      <w:r>
        <w:rPr>
          <w:rFonts w:hint="eastAsia" w:asciiTheme="minorEastAsia" w:hAnsiTheme="minorEastAsia" w:eastAsiaTheme="minorEastAsia" w:cstheme="minorEastAsia"/>
          <w:b/>
          <w:bCs/>
          <w:color w:val="auto"/>
          <w:spacing w:val="-1"/>
          <w:sz w:val="21"/>
          <w:szCs w:val="21"/>
          <w:lang w:eastAsia="zh-CN"/>
        </w:rPr>
        <w:t>：</w:t>
      </w:r>
      <w:r>
        <w:rPr>
          <w:rFonts w:hint="eastAsia" w:asciiTheme="minorEastAsia" w:hAnsiTheme="minorEastAsia" w:eastAsiaTheme="minorEastAsia" w:cstheme="minorEastAsia"/>
          <w:b/>
          <w:bCs/>
          <w:color w:val="auto"/>
          <w:spacing w:val="-1"/>
          <w:sz w:val="21"/>
          <w:szCs w:val="21"/>
        </w:rPr>
        <w:t>其中信用查询</w:t>
      </w:r>
      <w:r>
        <w:rPr>
          <w:rFonts w:hint="eastAsia" w:asciiTheme="minorEastAsia" w:hAnsiTheme="minorEastAsia" w:eastAsiaTheme="minorEastAsia" w:cstheme="minorEastAsia"/>
          <w:b/>
          <w:bCs/>
          <w:color w:val="auto"/>
          <w:sz w:val="21"/>
          <w:szCs w:val="21"/>
        </w:rPr>
        <w:t>规则见“投标人须知前附表”，“广西政府采购云平台”已与“信用中国”网站、中国政府采购网实</w:t>
      </w:r>
      <w:r>
        <w:rPr>
          <w:rFonts w:hint="eastAsia" w:asciiTheme="minorEastAsia" w:hAnsiTheme="minorEastAsia" w:eastAsiaTheme="minorEastAsia" w:cstheme="minorEastAsia"/>
          <w:b/>
          <w:bCs/>
          <w:color w:val="auto"/>
          <w:spacing w:val="-3"/>
          <w:sz w:val="21"/>
          <w:szCs w:val="21"/>
        </w:rPr>
        <w:t>现数据对接，可直接在线查询）</w:t>
      </w:r>
    </w:p>
    <w:p w14:paraId="7E4AFD4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422" w:firstLineChars="200"/>
        <w:jc w:val="both"/>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lang w:val="en-US" w:eastAsia="zh-CN"/>
        </w:rPr>
        <w:t>4</w:t>
      </w: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bCs/>
          <w:color w:val="auto"/>
          <w:spacing w:val="-6"/>
          <w:sz w:val="21"/>
          <w:szCs w:val="21"/>
        </w:rPr>
        <w:t>同一合同项下的不同投标人，单位负责人为</w:t>
      </w:r>
      <w:r>
        <w:rPr>
          <w:rFonts w:hint="eastAsia" w:asciiTheme="minorEastAsia" w:hAnsiTheme="minorEastAsia" w:eastAsiaTheme="minorEastAsia" w:cstheme="minorEastAsia"/>
          <w:b/>
          <w:bCs/>
          <w:color w:val="auto"/>
          <w:spacing w:val="-7"/>
          <w:sz w:val="21"/>
          <w:szCs w:val="21"/>
        </w:rPr>
        <w:t>同一人或者存在直接控股、管理关系的；</w:t>
      </w:r>
      <w:r>
        <w:rPr>
          <w:rFonts w:hint="eastAsia" w:asciiTheme="minorEastAsia" w:hAnsiTheme="minorEastAsia" w:eastAsiaTheme="minorEastAsia" w:cstheme="minorEastAsia"/>
          <w:b/>
          <w:bCs/>
          <w:color w:val="auto"/>
          <w:sz w:val="21"/>
          <w:szCs w:val="21"/>
        </w:rPr>
        <w:t>为本项目提供过整体设计、规范编制或者项目管理、监理、检测等服务的供应商，再参加该</w:t>
      </w:r>
      <w:r>
        <w:rPr>
          <w:rFonts w:hint="eastAsia" w:asciiTheme="minorEastAsia" w:hAnsiTheme="minorEastAsia" w:eastAsiaTheme="minorEastAsia" w:cstheme="minorEastAsia"/>
          <w:b/>
          <w:bCs/>
          <w:color w:val="auto"/>
          <w:spacing w:val="-4"/>
          <w:sz w:val="21"/>
          <w:szCs w:val="21"/>
        </w:rPr>
        <w:t>采购项目的其他采购活动的；</w:t>
      </w:r>
    </w:p>
    <w:p w14:paraId="23D314B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422" w:firstLineChars="20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lang w:val="en-US" w:eastAsia="zh-CN"/>
        </w:rPr>
        <w:t>5</w:t>
      </w: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bCs/>
          <w:color w:val="auto"/>
          <w:spacing w:val="-8"/>
          <w:sz w:val="21"/>
          <w:szCs w:val="21"/>
        </w:rPr>
        <w:t>投标文件中的资格证明文件缺少任一项“投标人须知前附表”资格证明文件规定“必</w:t>
      </w:r>
      <w:r>
        <w:rPr>
          <w:rFonts w:hint="eastAsia" w:asciiTheme="minorEastAsia" w:hAnsiTheme="minorEastAsia" w:eastAsiaTheme="minorEastAsia" w:cstheme="minorEastAsia"/>
          <w:b/>
          <w:bCs/>
          <w:color w:val="auto"/>
          <w:spacing w:val="-5"/>
          <w:sz w:val="21"/>
          <w:szCs w:val="21"/>
        </w:rPr>
        <w:t>须提供”的文件资料的；</w:t>
      </w:r>
    </w:p>
    <w:p w14:paraId="49D6476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firstLine="422" w:firstLineChars="20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lang w:val="en-US" w:eastAsia="zh-CN"/>
        </w:rPr>
        <w:t>6</w:t>
      </w: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bCs/>
          <w:color w:val="auto"/>
          <w:spacing w:val="-3"/>
          <w:sz w:val="21"/>
          <w:szCs w:val="21"/>
        </w:rPr>
        <w:t>投标文件中的资格证明文件出现任一项不符合“投标人须知前附表”资格证明文件</w:t>
      </w:r>
      <w:r>
        <w:rPr>
          <w:rFonts w:hint="eastAsia" w:asciiTheme="minorEastAsia" w:hAnsiTheme="minorEastAsia" w:eastAsiaTheme="minorEastAsia" w:cstheme="minorEastAsia"/>
          <w:color w:val="auto"/>
          <w:spacing w:val="17"/>
          <w:sz w:val="21"/>
          <w:szCs w:val="21"/>
        </w:rPr>
        <w:t xml:space="preserve"> </w:t>
      </w:r>
      <w:r>
        <w:rPr>
          <w:rFonts w:hint="eastAsia" w:asciiTheme="minorEastAsia" w:hAnsiTheme="minorEastAsia" w:eastAsiaTheme="minorEastAsia" w:cstheme="minorEastAsia"/>
          <w:b/>
          <w:bCs/>
          <w:color w:val="auto"/>
          <w:spacing w:val="-2"/>
          <w:sz w:val="21"/>
          <w:szCs w:val="21"/>
        </w:rPr>
        <w:t>规定“必须提供”的文件资料要求或者无效的。</w:t>
      </w:r>
    </w:p>
    <w:p w14:paraId="730AF0B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2" w:firstLineChars="200"/>
        <w:textAlignment w:val="baseline"/>
        <w:outlineLvl w:val="4"/>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5"/>
          <w:sz w:val="21"/>
          <w:szCs w:val="21"/>
        </w:rPr>
        <w:t>25.4</w:t>
      </w:r>
      <w:r>
        <w:rPr>
          <w:rFonts w:hint="eastAsia" w:asciiTheme="minorEastAsia" w:hAnsiTheme="minorEastAsia" w:eastAsiaTheme="minorEastAsia" w:cstheme="minorEastAsia"/>
          <w:color w:val="auto"/>
          <w:spacing w:val="-40"/>
          <w:sz w:val="21"/>
          <w:szCs w:val="21"/>
        </w:rPr>
        <w:t xml:space="preserve"> </w:t>
      </w:r>
      <w:r>
        <w:rPr>
          <w:rFonts w:hint="eastAsia" w:asciiTheme="minorEastAsia" w:hAnsiTheme="minorEastAsia" w:eastAsiaTheme="minorEastAsia" w:cstheme="minorEastAsia"/>
          <w:b/>
          <w:bCs/>
          <w:color w:val="auto"/>
          <w:spacing w:val="-5"/>
          <w:sz w:val="21"/>
          <w:szCs w:val="21"/>
        </w:rPr>
        <w:t>合格投标人不足3家的，不得评标。</w:t>
      </w:r>
    </w:p>
    <w:p w14:paraId="51AC12C5">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360" w:lineRule="auto"/>
        <w:ind w:left="0"/>
        <w:jc w:val="center"/>
        <w:textAlignment w:val="baseline"/>
        <w:outlineLvl w:val="1"/>
        <w:rPr>
          <w:rFonts w:ascii="Arial"/>
          <w:color w:val="auto"/>
          <w:sz w:val="21"/>
        </w:rPr>
      </w:pPr>
      <w:r>
        <w:rPr>
          <w:rFonts w:ascii="宋体" w:hAnsi="宋体" w:eastAsia="宋体" w:cs="宋体"/>
          <w:b/>
          <w:bCs/>
          <w:color w:val="auto"/>
          <w:spacing w:val="1"/>
          <w:sz w:val="31"/>
          <w:szCs w:val="31"/>
        </w:rPr>
        <w:t>六、评</w:t>
      </w:r>
      <w:r>
        <w:rPr>
          <w:rFonts w:ascii="宋体" w:hAnsi="宋体" w:eastAsia="宋体" w:cs="宋体"/>
          <w:color w:val="auto"/>
          <w:spacing w:val="11"/>
          <w:sz w:val="31"/>
          <w:szCs w:val="31"/>
        </w:rPr>
        <w:t xml:space="preserve">   </w:t>
      </w:r>
      <w:r>
        <w:rPr>
          <w:rFonts w:ascii="宋体" w:hAnsi="宋体" w:eastAsia="宋体" w:cs="宋体"/>
          <w:b/>
          <w:bCs/>
          <w:color w:val="auto"/>
          <w:spacing w:val="1"/>
          <w:sz w:val="31"/>
          <w:szCs w:val="31"/>
        </w:rPr>
        <w:t>标</w:t>
      </w:r>
    </w:p>
    <w:p w14:paraId="6DB3E92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26.组建评标委员会</w:t>
      </w:r>
    </w:p>
    <w:p w14:paraId="78F428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26.1 评标委员会由采购人代表和评审专家组成，具体</w:t>
      </w:r>
      <w:r>
        <w:rPr>
          <w:rFonts w:ascii="宋体" w:hAnsi="宋体" w:eastAsia="宋体" w:cs="宋体"/>
          <w:color w:val="auto"/>
          <w:spacing w:val="-2"/>
          <w:sz w:val="21"/>
          <w:szCs w:val="21"/>
        </w:rPr>
        <w:t>人数详见“投标人须知前附表”，</w:t>
      </w:r>
      <w:r>
        <w:rPr>
          <w:rFonts w:ascii="宋体" w:hAnsi="宋体" w:eastAsia="宋体" w:cs="宋体"/>
          <w:color w:val="auto"/>
          <w:spacing w:val="-1"/>
          <w:sz w:val="21"/>
          <w:szCs w:val="21"/>
        </w:rPr>
        <w:t>其中评审专家不得少于成员总数的三分之二。</w:t>
      </w:r>
    </w:p>
    <w:p w14:paraId="73A483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26.2</w:t>
      </w:r>
      <w:r>
        <w:rPr>
          <w:rFonts w:ascii="宋体" w:hAnsi="宋体" w:eastAsia="宋体" w:cs="宋体"/>
          <w:color w:val="auto"/>
          <w:spacing w:val="-44"/>
          <w:sz w:val="21"/>
          <w:szCs w:val="21"/>
        </w:rPr>
        <w:t xml:space="preserve"> </w:t>
      </w:r>
      <w:r>
        <w:rPr>
          <w:rFonts w:ascii="宋体" w:hAnsi="宋体" w:eastAsia="宋体" w:cs="宋体"/>
          <w:color w:val="auto"/>
          <w:sz w:val="21"/>
          <w:szCs w:val="21"/>
        </w:rPr>
        <w:t>参加过采购项目前期咨询论证的专家，</w:t>
      </w:r>
      <w:r>
        <w:rPr>
          <w:rFonts w:ascii="宋体" w:hAnsi="宋体" w:eastAsia="宋体" w:cs="宋体"/>
          <w:color w:val="auto"/>
          <w:spacing w:val="-1"/>
          <w:sz w:val="21"/>
          <w:szCs w:val="21"/>
        </w:rPr>
        <w:t>不得参加该采购项目的评审活动。</w:t>
      </w:r>
    </w:p>
    <w:p w14:paraId="15A1FD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26.3</w:t>
      </w:r>
      <w:r>
        <w:rPr>
          <w:rFonts w:ascii="宋体" w:hAnsi="宋体" w:eastAsia="宋体" w:cs="宋体"/>
          <w:color w:val="auto"/>
          <w:spacing w:val="-44"/>
          <w:sz w:val="21"/>
          <w:szCs w:val="21"/>
        </w:rPr>
        <w:t xml:space="preserve"> </w:t>
      </w:r>
      <w:r>
        <w:rPr>
          <w:rFonts w:ascii="宋体" w:hAnsi="宋体" w:eastAsia="宋体" w:cs="宋体"/>
          <w:color w:val="auto"/>
          <w:spacing w:val="-1"/>
          <w:sz w:val="21"/>
          <w:szCs w:val="21"/>
        </w:rPr>
        <w:t>采购代理机构应当基于“</w:t>
      </w:r>
      <w:r>
        <w:rPr>
          <w:rFonts w:hint="eastAsia" w:ascii="宋体" w:hAnsi="宋体" w:eastAsia="宋体" w:cs="宋体"/>
          <w:color w:val="auto"/>
          <w:spacing w:val="-1"/>
          <w:sz w:val="21"/>
          <w:szCs w:val="21"/>
        </w:rPr>
        <w:t>广西政府采购云平台</w:t>
      </w:r>
      <w:r>
        <w:rPr>
          <w:rFonts w:ascii="宋体" w:hAnsi="宋体" w:eastAsia="宋体" w:cs="宋体"/>
          <w:color w:val="auto"/>
          <w:spacing w:val="-1"/>
          <w:sz w:val="21"/>
          <w:szCs w:val="21"/>
        </w:rPr>
        <w:t>”抽（选）取评审专家。</w:t>
      </w:r>
    </w:p>
    <w:p w14:paraId="067CE2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27.评标的依据</w:t>
      </w:r>
    </w:p>
    <w:p w14:paraId="6B17ED9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8"/>
        <w:textAlignment w:val="baseline"/>
        <w:rPr>
          <w:rFonts w:ascii="宋体" w:hAnsi="宋体" w:eastAsia="宋体" w:cs="宋体"/>
          <w:color w:val="auto"/>
          <w:sz w:val="21"/>
          <w:szCs w:val="21"/>
        </w:rPr>
      </w:pPr>
      <w:r>
        <w:rPr>
          <w:rFonts w:ascii="宋体" w:hAnsi="宋体" w:eastAsia="宋体" w:cs="宋体"/>
          <w:color w:val="auto"/>
          <w:sz w:val="21"/>
          <w:szCs w:val="21"/>
        </w:rPr>
        <w:t>评标委员会以“第四章评标方法和评标标准”为依据对投标文件进行评</w:t>
      </w:r>
      <w:r>
        <w:rPr>
          <w:rFonts w:ascii="宋体" w:hAnsi="宋体" w:eastAsia="宋体" w:cs="宋体"/>
          <w:color w:val="auto"/>
          <w:spacing w:val="-1"/>
          <w:sz w:val="21"/>
          <w:szCs w:val="21"/>
        </w:rPr>
        <w:t>审，没有规定的方法、评审因素和标准，不作为评标依据。</w:t>
      </w:r>
    </w:p>
    <w:p w14:paraId="5BB9B8A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28.评标原则</w:t>
      </w:r>
    </w:p>
    <w:p w14:paraId="14CE40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3"/>
        <w:textAlignment w:val="baseline"/>
        <w:rPr>
          <w:rFonts w:ascii="宋体" w:hAnsi="宋体" w:eastAsia="宋体" w:cs="宋体"/>
          <w:color w:val="auto"/>
          <w:sz w:val="21"/>
          <w:szCs w:val="21"/>
        </w:rPr>
      </w:pPr>
      <w:r>
        <w:rPr>
          <w:rFonts w:ascii="宋体" w:hAnsi="宋体" w:eastAsia="宋体" w:cs="宋体"/>
          <w:color w:val="auto"/>
          <w:sz w:val="21"/>
          <w:szCs w:val="21"/>
        </w:rPr>
        <w:t>28.1 评标原则。评标委员会评标时必须公平、公正</w:t>
      </w:r>
      <w:r>
        <w:rPr>
          <w:rFonts w:ascii="宋体" w:hAnsi="宋体" w:eastAsia="宋体" w:cs="宋体"/>
          <w:color w:val="auto"/>
          <w:spacing w:val="-1"/>
          <w:sz w:val="21"/>
          <w:szCs w:val="21"/>
        </w:rPr>
        <w:t>、客观，不带任何倾向性和启发性；</w:t>
      </w:r>
      <w:r>
        <w:rPr>
          <w:rFonts w:ascii="宋体" w:hAnsi="宋体" w:eastAsia="宋体" w:cs="宋体"/>
          <w:color w:val="auto"/>
          <w:spacing w:val="2"/>
          <w:sz w:val="21"/>
          <w:szCs w:val="21"/>
        </w:rPr>
        <w:t>不得向外界透露任何与评标有关的内容；任何单位和个人不得干扰、影响评标的正常进行；评标委员会及有关工作人员不得私下与投标人接触，不得收受利害关系人的财物或者其他好</w:t>
      </w:r>
      <w:r>
        <w:rPr>
          <w:rFonts w:ascii="宋体" w:hAnsi="宋体" w:eastAsia="宋体" w:cs="宋体"/>
          <w:color w:val="auto"/>
          <w:spacing w:val="-11"/>
          <w:sz w:val="21"/>
          <w:szCs w:val="21"/>
        </w:rPr>
        <w:t>处。</w:t>
      </w:r>
    </w:p>
    <w:p w14:paraId="7AE7458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textAlignment w:val="baseline"/>
        <w:rPr>
          <w:rFonts w:ascii="宋体" w:hAnsi="宋体" w:eastAsia="宋体" w:cs="宋体"/>
          <w:color w:val="auto"/>
          <w:sz w:val="21"/>
          <w:szCs w:val="21"/>
        </w:rPr>
      </w:pPr>
      <w:r>
        <w:rPr>
          <w:rFonts w:ascii="宋体" w:hAnsi="宋体" w:eastAsia="宋体" w:cs="宋体"/>
          <w:color w:val="auto"/>
          <w:sz w:val="21"/>
          <w:szCs w:val="21"/>
        </w:rPr>
        <w:t>28.2 评委表决。评标委员会成员对需要共同认定的事项存在争议的，</w:t>
      </w:r>
      <w:r>
        <w:rPr>
          <w:rFonts w:ascii="宋体" w:hAnsi="宋体" w:eastAsia="宋体" w:cs="宋体"/>
          <w:color w:val="auto"/>
          <w:spacing w:val="-1"/>
          <w:sz w:val="21"/>
          <w:szCs w:val="21"/>
        </w:rPr>
        <w:t>应当按照少数服从</w:t>
      </w:r>
      <w:r>
        <w:rPr>
          <w:rFonts w:ascii="宋体" w:hAnsi="宋体" w:eastAsia="宋体" w:cs="宋体"/>
          <w:color w:val="auto"/>
          <w:spacing w:val="-2"/>
          <w:sz w:val="21"/>
          <w:szCs w:val="21"/>
        </w:rPr>
        <w:t>多数的原则作出结论。</w:t>
      </w:r>
    </w:p>
    <w:p w14:paraId="3417286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3"/>
        <w:textAlignment w:val="baseline"/>
        <w:rPr>
          <w:rFonts w:ascii="宋体" w:hAnsi="宋体" w:eastAsia="宋体" w:cs="宋体"/>
          <w:color w:val="auto"/>
          <w:sz w:val="21"/>
          <w:szCs w:val="21"/>
        </w:rPr>
      </w:pPr>
      <w:r>
        <w:rPr>
          <w:rFonts w:ascii="宋体" w:hAnsi="宋体" w:eastAsia="宋体" w:cs="宋体"/>
          <w:color w:val="auto"/>
          <w:sz w:val="21"/>
          <w:szCs w:val="21"/>
        </w:rPr>
        <w:t>28.3 评标的保密。采购人、采购代理机构应当采取必要措施，保证评标</w:t>
      </w:r>
      <w:r>
        <w:rPr>
          <w:rFonts w:ascii="宋体" w:hAnsi="宋体" w:eastAsia="宋体" w:cs="宋体"/>
          <w:color w:val="auto"/>
          <w:spacing w:val="-1"/>
          <w:sz w:val="21"/>
          <w:szCs w:val="21"/>
        </w:rPr>
        <w:t>在严格保密（封</w:t>
      </w:r>
      <w:r>
        <w:rPr>
          <w:rFonts w:ascii="宋体" w:hAnsi="宋体" w:eastAsia="宋体" w:cs="宋体"/>
          <w:color w:val="auto"/>
          <w:spacing w:val="2"/>
          <w:sz w:val="21"/>
          <w:szCs w:val="21"/>
        </w:rPr>
        <w:t>闭式评标）的情况下进行。除采购人代表、评标现场组织人员外，采购人的其他工作人员以</w:t>
      </w:r>
      <w:r>
        <w:rPr>
          <w:rFonts w:ascii="宋体" w:hAnsi="宋体" w:eastAsia="宋体" w:cs="宋体"/>
          <w:color w:val="auto"/>
          <w:spacing w:val="3"/>
          <w:sz w:val="21"/>
          <w:szCs w:val="21"/>
        </w:rPr>
        <w:t>及与评标工作无关的人员不得进入评标现场。</w:t>
      </w:r>
      <w:r>
        <w:rPr>
          <w:rFonts w:ascii="宋体" w:hAnsi="宋体" w:eastAsia="宋体" w:cs="宋体"/>
          <w:color w:val="auto"/>
          <w:spacing w:val="2"/>
          <w:sz w:val="21"/>
          <w:szCs w:val="21"/>
        </w:rPr>
        <w:t>有关人员对评标情况以及在评标过程中获悉的</w:t>
      </w:r>
      <w:r>
        <w:rPr>
          <w:rFonts w:ascii="宋体" w:hAnsi="宋体" w:eastAsia="宋体" w:cs="宋体"/>
          <w:color w:val="auto"/>
          <w:spacing w:val="-2"/>
          <w:sz w:val="21"/>
          <w:szCs w:val="21"/>
        </w:rPr>
        <w:t>国家秘密、商业秘密负有保密责任。</w:t>
      </w:r>
    </w:p>
    <w:p w14:paraId="3BDE712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textAlignment w:val="baseline"/>
        <w:rPr>
          <w:rFonts w:ascii="黑体" w:hAnsi="黑体" w:eastAsia="黑体" w:cs="黑体"/>
          <w:b/>
          <w:bCs/>
          <w:color w:val="auto"/>
          <w:spacing w:val="-2"/>
          <w:sz w:val="24"/>
          <w:szCs w:val="24"/>
        </w:rPr>
      </w:pPr>
      <w:r>
        <w:rPr>
          <w:rFonts w:ascii="宋体" w:hAnsi="宋体" w:eastAsia="宋体" w:cs="宋体"/>
          <w:color w:val="auto"/>
          <w:sz w:val="21"/>
          <w:szCs w:val="21"/>
        </w:rPr>
        <w:t>28.4 评标过程的监控。本项目电子评标过程实行网上留痕、</w:t>
      </w:r>
      <w:r>
        <w:rPr>
          <w:rFonts w:ascii="宋体" w:hAnsi="宋体" w:eastAsia="宋体" w:cs="宋体"/>
          <w:color w:val="auto"/>
          <w:spacing w:val="-1"/>
          <w:sz w:val="21"/>
          <w:szCs w:val="21"/>
        </w:rPr>
        <w:t>全程录音、录像监控，</w:t>
      </w:r>
      <w:r>
        <w:rPr>
          <w:rFonts w:ascii="宋体" w:hAnsi="宋体" w:eastAsia="宋体" w:cs="宋体"/>
          <w:b/>
          <w:bCs/>
          <w:color w:val="auto"/>
          <w:spacing w:val="-1"/>
          <w:sz w:val="21"/>
          <w:szCs w:val="21"/>
        </w:rPr>
        <w:t>投标</w:t>
      </w:r>
      <w:r>
        <w:rPr>
          <w:rFonts w:ascii="宋体" w:hAnsi="宋体" w:eastAsia="宋体" w:cs="宋体"/>
          <w:b/>
          <w:bCs/>
          <w:color w:val="auto"/>
          <w:spacing w:val="-2"/>
          <w:sz w:val="21"/>
          <w:szCs w:val="21"/>
        </w:rPr>
        <w:t>人在评标过程中所进行的试图影响评标结果的不公正活动，</w:t>
      </w:r>
      <w:r>
        <w:rPr>
          <w:rFonts w:ascii="宋体" w:hAnsi="宋体" w:eastAsia="宋体" w:cs="宋体"/>
          <w:b/>
          <w:bCs/>
          <w:color w:val="auto"/>
          <w:spacing w:val="-3"/>
          <w:sz w:val="21"/>
          <w:szCs w:val="21"/>
        </w:rPr>
        <w:t>可能导致其投标按无效处理。</w:t>
      </w:r>
    </w:p>
    <w:p w14:paraId="6C22B5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b/>
          <w:bCs/>
          <w:color w:val="auto"/>
          <w:sz w:val="24"/>
          <w:szCs w:val="24"/>
        </w:rPr>
      </w:pPr>
      <w:r>
        <w:rPr>
          <w:rFonts w:ascii="黑体" w:hAnsi="黑体" w:eastAsia="黑体" w:cs="黑体"/>
          <w:b/>
          <w:bCs/>
          <w:color w:val="auto"/>
          <w:spacing w:val="-2"/>
          <w:sz w:val="24"/>
          <w:szCs w:val="24"/>
        </w:rPr>
        <w:t>29.评标方法及中标候选人推荐</w:t>
      </w:r>
    </w:p>
    <w:p w14:paraId="40CD78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outlineLvl w:val="3"/>
        <w:rPr>
          <w:rFonts w:hint="eastAsia" w:ascii="宋体" w:hAnsi="宋体" w:eastAsia="宋体" w:cs="宋体"/>
          <w:color w:val="auto"/>
          <w:sz w:val="21"/>
          <w:szCs w:val="21"/>
        </w:rPr>
      </w:pPr>
      <w:r>
        <w:rPr>
          <w:rFonts w:hint="eastAsia" w:ascii="宋体" w:hAnsi="宋体" w:eastAsia="宋体" w:cs="宋体"/>
          <w:color w:val="auto"/>
          <w:spacing w:val="-1"/>
          <w:sz w:val="21"/>
          <w:szCs w:val="21"/>
        </w:rPr>
        <w:t>29.1</w:t>
      </w:r>
      <w:r>
        <w:rPr>
          <w:rFonts w:hint="eastAsia" w:ascii="宋体" w:hAnsi="宋体" w:eastAsia="宋体" w:cs="宋体"/>
          <w:color w:val="auto"/>
          <w:spacing w:val="-36"/>
          <w:sz w:val="21"/>
          <w:szCs w:val="21"/>
        </w:rPr>
        <w:t xml:space="preserve"> </w:t>
      </w:r>
      <w:r>
        <w:rPr>
          <w:rFonts w:hint="eastAsia" w:ascii="宋体" w:hAnsi="宋体" w:eastAsia="宋体" w:cs="宋体"/>
          <w:color w:val="auto"/>
          <w:spacing w:val="-1"/>
          <w:sz w:val="21"/>
          <w:szCs w:val="21"/>
        </w:rPr>
        <w:t>本项目的评标方法详见“投标人须知前附表”。</w:t>
      </w:r>
    </w:p>
    <w:p w14:paraId="2201DB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hint="eastAsia" w:ascii="宋体" w:hAnsi="宋体" w:eastAsia="宋体" w:cs="宋体"/>
          <w:color w:val="auto"/>
          <w:sz w:val="21"/>
          <w:szCs w:val="21"/>
        </w:rPr>
      </w:pPr>
      <w:r>
        <w:rPr>
          <w:rFonts w:hint="eastAsia" w:ascii="宋体" w:hAnsi="宋体" w:eastAsia="宋体" w:cs="宋体"/>
          <w:color w:val="auto"/>
          <w:spacing w:val="-1"/>
          <w:sz w:val="21"/>
          <w:szCs w:val="21"/>
        </w:rPr>
        <w:t>29.2 商务/技术要求允许负偏离的条款数详见“投标人须知前附表”。</w:t>
      </w:r>
    </w:p>
    <w:p w14:paraId="596BE3B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outlineLvl w:val="3"/>
        <w:rPr>
          <w:rFonts w:hint="eastAsia" w:ascii="宋体" w:hAnsi="宋体" w:eastAsia="宋体" w:cs="宋体"/>
          <w:color w:val="auto"/>
          <w:sz w:val="21"/>
          <w:szCs w:val="21"/>
        </w:rPr>
      </w:pPr>
      <w:r>
        <w:rPr>
          <w:rFonts w:hint="eastAsia" w:ascii="宋体" w:hAnsi="宋体" w:eastAsia="宋体" w:cs="宋体"/>
          <w:color w:val="auto"/>
          <w:spacing w:val="-2"/>
          <w:sz w:val="21"/>
          <w:szCs w:val="21"/>
        </w:rPr>
        <w:t>29.3</w:t>
      </w:r>
      <w:r>
        <w:rPr>
          <w:rFonts w:hint="eastAsia" w:ascii="宋体" w:hAnsi="宋体" w:eastAsia="宋体" w:cs="宋体"/>
          <w:color w:val="auto"/>
          <w:spacing w:val="28"/>
          <w:sz w:val="21"/>
          <w:szCs w:val="21"/>
        </w:rPr>
        <w:t xml:space="preserve"> </w:t>
      </w:r>
      <w:r>
        <w:rPr>
          <w:rFonts w:hint="eastAsia" w:ascii="宋体" w:hAnsi="宋体" w:eastAsia="宋体" w:cs="宋体"/>
          <w:color w:val="auto"/>
          <w:spacing w:val="-2"/>
          <w:sz w:val="21"/>
          <w:szCs w:val="21"/>
        </w:rPr>
        <w:t>中标候选人推荐数量详见“投标人须知前附表”。</w:t>
      </w:r>
    </w:p>
    <w:p w14:paraId="221C9E3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textAlignment w:val="baseline"/>
        <w:rPr>
          <w:rFonts w:hint="eastAsia" w:ascii="宋体" w:hAnsi="宋体" w:eastAsia="宋体" w:cs="宋体"/>
          <w:color w:val="auto"/>
          <w:sz w:val="21"/>
          <w:szCs w:val="21"/>
        </w:rPr>
      </w:pPr>
      <w:r>
        <w:rPr>
          <w:rFonts w:hint="eastAsia" w:ascii="宋体" w:hAnsi="宋体" w:eastAsia="宋体" w:cs="宋体"/>
          <w:color w:val="auto"/>
          <w:spacing w:val="-3"/>
          <w:sz w:val="21"/>
          <w:szCs w:val="21"/>
        </w:rPr>
        <w:t>29.4</w:t>
      </w:r>
      <w:r>
        <w:rPr>
          <w:rFonts w:hint="eastAsia" w:ascii="宋体" w:hAnsi="宋体" w:eastAsia="宋体" w:cs="宋体"/>
          <w:color w:val="auto"/>
          <w:spacing w:val="15"/>
          <w:w w:val="101"/>
          <w:sz w:val="21"/>
          <w:szCs w:val="21"/>
        </w:rPr>
        <w:t xml:space="preserve"> </w:t>
      </w:r>
      <w:r>
        <w:rPr>
          <w:rFonts w:hint="eastAsia" w:ascii="宋体" w:hAnsi="宋体" w:eastAsia="宋体" w:cs="宋体"/>
          <w:color w:val="auto"/>
          <w:spacing w:val="-3"/>
          <w:sz w:val="21"/>
          <w:szCs w:val="21"/>
        </w:rPr>
        <w:t>电子交易活动的中止。采购过程中出现以下情形，导</w:t>
      </w:r>
      <w:r>
        <w:rPr>
          <w:rFonts w:hint="eastAsia" w:ascii="宋体" w:hAnsi="宋体" w:eastAsia="宋体" w:cs="宋体"/>
          <w:color w:val="auto"/>
          <w:spacing w:val="-4"/>
          <w:sz w:val="21"/>
          <w:szCs w:val="21"/>
        </w:rPr>
        <w:t>致电子交易平台无法正常运行，</w:t>
      </w:r>
      <w:r>
        <w:rPr>
          <w:rFonts w:hint="eastAsia" w:ascii="宋体" w:hAnsi="宋体" w:eastAsia="宋体" w:cs="宋体"/>
          <w:color w:val="auto"/>
          <w:spacing w:val="-1"/>
          <w:sz w:val="21"/>
          <w:szCs w:val="21"/>
        </w:rPr>
        <w:t>或者无法保证电子交易的公平、公正和安全时，采购代理机构可以中止电子交易活动：</w:t>
      </w:r>
    </w:p>
    <w:p w14:paraId="0903A66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hint="eastAsia" w:ascii="宋体" w:hAnsi="宋体" w:eastAsia="宋体" w:cs="宋体"/>
          <w:color w:val="auto"/>
          <w:sz w:val="21"/>
          <w:szCs w:val="21"/>
        </w:rPr>
      </w:pPr>
      <w:r>
        <w:rPr>
          <w:rFonts w:hint="eastAsia" w:ascii="宋体" w:hAnsi="宋体" w:eastAsia="宋体" w:cs="宋体"/>
          <w:color w:val="auto"/>
          <w:spacing w:val="-1"/>
          <w:sz w:val="21"/>
          <w:szCs w:val="21"/>
        </w:rPr>
        <w:t>（1）电子交易平台发生故障而无法登录访问的；</w:t>
      </w:r>
    </w:p>
    <w:p w14:paraId="4C990D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hint="eastAsia" w:ascii="宋体" w:hAnsi="宋体" w:eastAsia="宋体" w:cs="宋体"/>
          <w:color w:val="auto"/>
          <w:sz w:val="21"/>
          <w:szCs w:val="21"/>
        </w:rPr>
      </w:pPr>
      <w:r>
        <w:rPr>
          <w:rFonts w:hint="eastAsia" w:ascii="宋体" w:hAnsi="宋体" w:eastAsia="宋体" w:cs="宋体"/>
          <w:color w:val="auto"/>
          <w:spacing w:val="-1"/>
          <w:sz w:val="21"/>
          <w:szCs w:val="21"/>
        </w:rPr>
        <w:t>（2）电子交易平台应用或数据库出现错误，不能进行</w:t>
      </w:r>
      <w:r>
        <w:rPr>
          <w:rFonts w:hint="eastAsia" w:ascii="宋体" w:hAnsi="宋体" w:eastAsia="宋体" w:cs="宋体"/>
          <w:color w:val="auto"/>
          <w:spacing w:val="-2"/>
          <w:sz w:val="21"/>
          <w:szCs w:val="21"/>
        </w:rPr>
        <w:t>正常操作的；</w:t>
      </w:r>
    </w:p>
    <w:p w14:paraId="1B7936E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hint="eastAsia" w:ascii="宋体" w:hAnsi="宋体" w:eastAsia="宋体" w:cs="宋体"/>
          <w:color w:val="auto"/>
          <w:sz w:val="21"/>
          <w:szCs w:val="21"/>
        </w:rPr>
      </w:pPr>
      <w:r>
        <w:rPr>
          <w:rFonts w:hint="eastAsia" w:ascii="宋体" w:hAnsi="宋体" w:eastAsia="宋体" w:cs="宋体"/>
          <w:color w:val="auto"/>
          <w:spacing w:val="-1"/>
          <w:sz w:val="21"/>
          <w:szCs w:val="21"/>
        </w:rPr>
        <w:t>（3）电子交易平台发现严重安全漏洞，有潜在泄密危险的；</w:t>
      </w:r>
    </w:p>
    <w:p w14:paraId="278A248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rPr>
          <w:rFonts w:hint="eastAsia" w:ascii="宋体" w:hAnsi="宋体" w:eastAsia="宋体" w:cs="宋体"/>
          <w:color w:val="auto"/>
          <w:sz w:val="21"/>
          <w:szCs w:val="21"/>
        </w:rPr>
      </w:pPr>
      <w:r>
        <w:rPr>
          <w:rFonts w:hint="eastAsia" w:ascii="宋体" w:hAnsi="宋体" w:eastAsia="宋体" w:cs="宋体"/>
          <w:color w:val="auto"/>
          <w:spacing w:val="-2"/>
          <w:sz w:val="21"/>
          <w:szCs w:val="21"/>
        </w:rPr>
        <w:t>（4）病毒发作导致不能进行正常操作的；</w:t>
      </w:r>
    </w:p>
    <w:p w14:paraId="48541E8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hint="eastAsia" w:ascii="宋体" w:hAnsi="宋体" w:eastAsia="宋体" w:cs="宋体"/>
          <w:color w:val="auto"/>
          <w:sz w:val="21"/>
          <w:szCs w:val="21"/>
        </w:rPr>
      </w:pPr>
      <w:r>
        <w:rPr>
          <w:rFonts w:hint="eastAsia" w:ascii="宋体" w:hAnsi="宋体" w:eastAsia="宋体" w:cs="宋体"/>
          <w:color w:val="auto"/>
          <w:spacing w:val="-1"/>
          <w:sz w:val="21"/>
          <w:szCs w:val="21"/>
        </w:rPr>
        <w:t>（5）其他无法保证电子交易的公平、公正和</w:t>
      </w:r>
      <w:r>
        <w:rPr>
          <w:rFonts w:hint="eastAsia" w:ascii="宋体" w:hAnsi="宋体" w:eastAsia="宋体" w:cs="宋体"/>
          <w:color w:val="auto"/>
          <w:spacing w:val="-2"/>
          <w:sz w:val="21"/>
          <w:szCs w:val="21"/>
        </w:rPr>
        <w:t>安全的情况。</w:t>
      </w:r>
    </w:p>
    <w:p w14:paraId="1181A6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jc w:val="both"/>
        <w:textAlignment w:val="baseline"/>
        <w:rPr>
          <w:rFonts w:ascii="Arial"/>
          <w:color w:val="auto"/>
          <w:sz w:val="21"/>
        </w:rPr>
      </w:pPr>
      <w:r>
        <w:rPr>
          <w:rFonts w:hint="eastAsia" w:ascii="宋体" w:hAnsi="宋体" w:eastAsia="宋体" w:cs="宋体"/>
          <w:color w:val="auto"/>
          <w:spacing w:val="2"/>
          <w:sz w:val="21"/>
          <w:szCs w:val="21"/>
        </w:rPr>
        <w:t>出现以上情形，不影响采购公平、公正性的，采购代理机构可以待上述情形消除后继续</w:t>
      </w:r>
      <w:r>
        <w:rPr>
          <w:rFonts w:hint="eastAsia" w:ascii="宋体" w:hAnsi="宋体" w:eastAsia="宋体" w:cs="宋体"/>
          <w:color w:val="auto"/>
          <w:spacing w:val="1"/>
          <w:sz w:val="21"/>
          <w:szCs w:val="21"/>
        </w:rPr>
        <w:t xml:space="preserve"> </w:t>
      </w:r>
      <w:r>
        <w:rPr>
          <w:rFonts w:hint="eastAsia" w:ascii="宋体" w:hAnsi="宋体" w:eastAsia="宋体" w:cs="宋体"/>
          <w:color w:val="auto"/>
          <w:spacing w:val="2"/>
          <w:sz w:val="21"/>
          <w:szCs w:val="21"/>
        </w:rPr>
        <w:t>组织电子交易活动；影响或可能影响采购公平、公正性的，经采购代理机构确认、报采购人</w:t>
      </w:r>
      <w:r>
        <w:rPr>
          <w:rFonts w:hint="eastAsia" w:ascii="宋体" w:hAnsi="宋体" w:eastAsia="宋体" w:cs="宋体"/>
          <w:color w:val="auto"/>
          <w:spacing w:val="15"/>
          <w:sz w:val="21"/>
          <w:szCs w:val="21"/>
        </w:rPr>
        <w:t xml:space="preserve"> </w:t>
      </w:r>
      <w:r>
        <w:rPr>
          <w:rFonts w:hint="eastAsia" w:ascii="宋体" w:hAnsi="宋体" w:eastAsia="宋体" w:cs="宋体"/>
          <w:color w:val="auto"/>
          <w:spacing w:val="2"/>
          <w:sz w:val="21"/>
          <w:szCs w:val="21"/>
        </w:rPr>
        <w:t>同意后，终止电子采购活动，应当重新采购。采购代理机构必须对原有的资料及信息作出妥</w:t>
      </w:r>
      <w:r>
        <w:rPr>
          <w:rFonts w:hint="eastAsia" w:ascii="宋体" w:hAnsi="宋体" w:eastAsia="宋体" w:cs="宋体"/>
          <w:color w:val="auto"/>
          <w:spacing w:val="12"/>
          <w:sz w:val="21"/>
          <w:szCs w:val="21"/>
        </w:rPr>
        <w:t xml:space="preserve"> </w:t>
      </w:r>
      <w:r>
        <w:rPr>
          <w:rFonts w:hint="eastAsia" w:ascii="宋体" w:hAnsi="宋体" w:eastAsia="宋体" w:cs="宋体"/>
          <w:color w:val="auto"/>
          <w:spacing w:val="-1"/>
          <w:sz w:val="21"/>
          <w:szCs w:val="21"/>
        </w:rPr>
        <w:t>善保密处理，并报财政部门备案。</w:t>
      </w:r>
    </w:p>
    <w:p w14:paraId="0AA320EB">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360" w:lineRule="auto"/>
        <w:ind w:left="0"/>
        <w:jc w:val="center"/>
        <w:textAlignment w:val="baseline"/>
        <w:outlineLvl w:val="1"/>
        <w:rPr>
          <w:rFonts w:ascii="Arial"/>
          <w:color w:val="auto"/>
          <w:sz w:val="21"/>
        </w:rPr>
      </w:pPr>
      <w:r>
        <w:rPr>
          <w:rFonts w:ascii="宋体" w:hAnsi="宋体" w:eastAsia="宋体" w:cs="宋体"/>
          <w:b/>
          <w:bCs/>
          <w:color w:val="auto"/>
          <w:spacing w:val="6"/>
          <w:sz w:val="31"/>
          <w:szCs w:val="31"/>
        </w:rPr>
        <w:t>七、中标和合同</w:t>
      </w:r>
    </w:p>
    <w:p w14:paraId="69CD1520">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30</w:t>
      </w:r>
      <w:r>
        <w:rPr>
          <w:rFonts w:ascii="黑体" w:hAnsi="黑体" w:eastAsia="黑体" w:cs="黑体"/>
          <w:color w:val="auto"/>
          <w:spacing w:val="-3"/>
          <w:sz w:val="24"/>
          <w:szCs w:val="24"/>
        </w:rPr>
        <w:t xml:space="preserve"> </w:t>
      </w:r>
      <w:r>
        <w:rPr>
          <w:rFonts w:ascii="黑体" w:hAnsi="黑体" w:eastAsia="黑体" w:cs="黑体"/>
          <w:b/>
          <w:bCs/>
          <w:color w:val="auto"/>
          <w:spacing w:val="-3"/>
          <w:sz w:val="24"/>
          <w:szCs w:val="24"/>
        </w:rPr>
        <w:t>确定中标人</w:t>
      </w:r>
    </w:p>
    <w:p w14:paraId="20677A3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ascii="Arial"/>
          <w:color w:val="auto"/>
          <w:sz w:val="21"/>
        </w:rPr>
      </w:pPr>
      <w:r>
        <w:rPr>
          <w:rFonts w:ascii="宋体" w:hAnsi="宋体" w:eastAsia="宋体" w:cs="宋体"/>
          <w:color w:val="auto"/>
          <w:spacing w:val="-1"/>
          <w:sz w:val="21"/>
          <w:szCs w:val="21"/>
        </w:rPr>
        <w:t>30.1</w:t>
      </w:r>
      <w:r>
        <w:rPr>
          <w:rFonts w:ascii="宋体" w:hAnsi="宋体" w:eastAsia="宋体" w:cs="宋体"/>
          <w:color w:val="auto"/>
          <w:spacing w:val="-21"/>
          <w:sz w:val="21"/>
          <w:szCs w:val="21"/>
        </w:rPr>
        <w:t xml:space="preserve"> </w:t>
      </w:r>
      <w:r>
        <w:rPr>
          <w:rFonts w:ascii="宋体" w:hAnsi="宋体" w:eastAsia="宋体" w:cs="宋体"/>
          <w:color w:val="auto"/>
          <w:spacing w:val="-1"/>
          <w:sz w:val="21"/>
          <w:szCs w:val="21"/>
        </w:rPr>
        <w:t>采购代理机构在评标结束之日起2个工作日内将评标报告送采购人，采购人在收到</w:t>
      </w:r>
      <w:r>
        <w:rPr>
          <w:rFonts w:ascii="宋体" w:hAnsi="宋体" w:eastAsia="宋体" w:cs="宋体"/>
          <w:color w:val="auto"/>
          <w:sz w:val="21"/>
          <w:szCs w:val="21"/>
        </w:rPr>
        <w:t>评标报告之日起5个工作日内，在评标报告确定的中标候选人名单中按顺序确定中</w:t>
      </w:r>
      <w:r>
        <w:rPr>
          <w:rFonts w:ascii="宋体" w:hAnsi="宋体" w:eastAsia="宋体" w:cs="宋体"/>
          <w:color w:val="auto"/>
          <w:spacing w:val="-1"/>
          <w:sz w:val="21"/>
          <w:szCs w:val="21"/>
        </w:rPr>
        <w:t>标人。中</w:t>
      </w:r>
      <w:r>
        <w:rPr>
          <w:rFonts w:ascii="宋体" w:hAnsi="宋体" w:eastAsia="宋体" w:cs="宋体"/>
          <w:color w:val="auto"/>
          <w:spacing w:val="2"/>
          <w:sz w:val="21"/>
          <w:szCs w:val="21"/>
        </w:rPr>
        <w:t>标候选人并列的，按照“投标人须知前附表”规定的方式确定中标人。采购人也可以事先授</w:t>
      </w:r>
      <w:r>
        <w:rPr>
          <w:rFonts w:ascii="宋体" w:hAnsi="宋体" w:eastAsia="宋体" w:cs="宋体"/>
          <w:color w:val="auto"/>
          <w:spacing w:val="-2"/>
          <w:sz w:val="21"/>
          <w:szCs w:val="21"/>
        </w:rPr>
        <w:t>权评标委员会直接确定中标人。</w:t>
      </w:r>
    </w:p>
    <w:p w14:paraId="752A831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30.2</w:t>
      </w:r>
      <w:r>
        <w:rPr>
          <w:rFonts w:ascii="宋体" w:hAnsi="宋体" w:eastAsia="宋体" w:cs="宋体"/>
          <w:color w:val="auto"/>
          <w:spacing w:val="-24"/>
          <w:sz w:val="21"/>
          <w:szCs w:val="21"/>
        </w:rPr>
        <w:t xml:space="preserve"> </w:t>
      </w:r>
      <w:r>
        <w:rPr>
          <w:rFonts w:ascii="宋体" w:hAnsi="宋体" w:eastAsia="宋体" w:cs="宋体"/>
          <w:color w:val="auto"/>
          <w:spacing w:val="-1"/>
          <w:sz w:val="21"/>
          <w:szCs w:val="21"/>
        </w:rPr>
        <w:t>采购人在收到评标报告5个工作日内未按评标报告推荐的中标候选人顺序确定中标</w:t>
      </w:r>
      <w:r>
        <w:rPr>
          <w:rFonts w:ascii="宋体" w:hAnsi="宋体" w:eastAsia="宋体" w:cs="宋体"/>
          <w:color w:val="auto"/>
          <w:spacing w:val="2"/>
          <w:sz w:val="21"/>
          <w:szCs w:val="21"/>
        </w:rPr>
        <w:t>人，又不能说明合法理由的，视同按评标报告推荐的顺序确定排名第一的中标候选人为中标</w:t>
      </w:r>
      <w:r>
        <w:rPr>
          <w:rFonts w:ascii="宋体" w:hAnsi="宋体" w:eastAsia="宋体" w:cs="宋体"/>
          <w:color w:val="auto"/>
          <w:spacing w:val="-10"/>
          <w:sz w:val="21"/>
          <w:szCs w:val="21"/>
        </w:rPr>
        <w:t>人。</w:t>
      </w:r>
    </w:p>
    <w:p w14:paraId="0A2947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outlineLvl w:val="3"/>
        <w:rPr>
          <w:rFonts w:ascii="宋体" w:hAnsi="宋体" w:eastAsia="宋体" w:cs="宋体"/>
          <w:color w:val="auto"/>
          <w:sz w:val="21"/>
          <w:szCs w:val="21"/>
        </w:rPr>
      </w:pPr>
      <w:r>
        <w:rPr>
          <w:rFonts w:ascii="宋体" w:hAnsi="宋体" w:eastAsia="宋体" w:cs="宋体"/>
          <w:color w:val="auto"/>
          <w:spacing w:val="-2"/>
          <w:sz w:val="21"/>
          <w:szCs w:val="21"/>
        </w:rPr>
        <w:t>30.3</w:t>
      </w:r>
      <w:r>
        <w:rPr>
          <w:rFonts w:ascii="宋体" w:hAnsi="宋体" w:eastAsia="宋体" w:cs="宋体"/>
          <w:color w:val="auto"/>
          <w:spacing w:val="-25"/>
          <w:sz w:val="21"/>
          <w:szCs w:val="21"/>
        </w:rPr>
        <w:t xml:space="preserve"> </w:t>
      </w:r>
      <w:r>
        <w:rPr>
          <w:rFonts w:ascii="宋体" w:hAnsi="宋体" w:eastAsia="宋体" w:cs="宋体"/>
          <w:color w:val="auto"/>
          <w:spacing w:val="-2"/>
          <w:sz w:val="21"/>
          <w:szCs w:val="21"/>
        </w:rPr>
        <w:t>出现下列情形之一的，应予废标：</w:t>
      </w:r>
    </w:p>
    <w:p w14:paraId="0783E7A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（1）符合专业条件的供应商或者对招标文件作实质响</w:t>
      </w:r>
      <w:r>
        <w:rPr>
          <w:rFonts w:ascii="宋体" w:hAnsi="宋体" w:eastAsia="宋体" w:cs="宋体"/>
          <w:color w:val="auto"/>
          <w:spacing w:val="-1"/>
          <w:sz w:val="21"/>
          <w:szCs w:val="21"/>
        </w:rPr>
        <w:t>应的供应商不足三家的；</w:t>
      </w:r>
    </w:p>
    <w:p w14:paraId="3FA3F3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rPr>
          <w:rFonts w:ascii="宋体" w:hAnsi="宋体" w:eastAsia="宋体" w:cs="宋体"/>
          <w:color w:val="auto"/>
          <w:sz w:val="21"/>
          <w:szCs w:val="21"/>
        </w:rPr>
      </w:pPr>
      <w:r>
        <w:rPr>
          <w:rFonts w:ascii="宋体" w:hAnsi="宋体" w:eastAsia="宋体" w:cs="宋体"/>
          <w:color w:val="auto"/>
          <w:spacing w:val="-2"/>
          <w:sz w:val="21"/>
          <w:szCs w:val="21"/>
        </w:rPr>
        <w:t>（2）出现影响采购公正的违法、违规行为的；</w:t>
      </w:r>
    </w:p>
    <w:p w14:paraId="12D50F8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（3）投标人的报价均超过了采购预算，采购人不能支付的；</w:t>
      </w:r>
    </w:p>
    <w:p w14:paraId="6DD967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rPr>
          <w:rFonts w:ascii="宋体" w:hAnsi="宋体" w:eastAsia="宋体" w:cs="宋体"/>
          <w:color w:val="auto"/>
          <w:sz w:val="21"/>
          <w:szCs w:val="21"/>
        </w:rPr>
      </w:pPr>
      <w:r>
        <w:rPr>
          <w:rFonts w:ascii="宋体" w:hAnsi="宋体" w:eastAsia="宋体" w:cs="宋体"/>
          <w:color w:val="auto"/>
          <w:spacing w:val="-2"/>
          <w:sz w:val="21"/>
          <w:szCs w:val="21"/>
        </w:rPr>
        <w:t>（4）因重大变故，采购任务取消的。</w:t>
      </w:r>
    </w:p>
    <w:p w14:paraId="35F390C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废标后，采购人应当将废标理由通知所有投标人。</w:t>
      </w:r>
    </w:p>
    <w:p w14:paraId="768E750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宋体" w:hAnsi="宋体" w:eastAsia="宋体" w:cs="宋体"/>
          <w:color w:val="auto"/>
          <w:spacing w:val="-1"/>
          <w:sz w:val="21"/>
          <w:szCs w:val="21"/>
        </w:rPr>
      </w:pPr>
      <w:r>
        <w:rPr>
          <w:rFonts w:ascii="黑体" w:hAnsi="黑体" w:eastAsia="黑体" w:cs="黑体"/>
          <w:b/>
          <w:bCs/>
          <w:color w:val="auto"/>
          <w:spacing w:val="-3"/>
          <w:sz w:val="24"/>
          <w:szCs w:val="24"/>
        </w:rPr>
        <w:t>31.</w:t>
      </w:r>
      <w:r>
        <w:rPr>
          <w:rFonts w:ascii="黑体" w:hAnsi="黑体" w:eastAsia="黑体" w:cs="黑体"/>
          <w:color w:val="auto"/>
          <w:spacing w:val="-3"/>
          <w:sz w:val="24"/>
          <w:szCs w:val="24"/>
        </w:rPr>
        <w:t xml:space="preserve"> </w:t>
      </w:r>
      <w:r>
        <w:rPr>
          <w:rFonts w:ascii="黑体" w:hAnsi="黑体" w:eastAsia="黑体" w:cs="黑体"/>
          <w:b/>
          <w:bCs/>
          <w:color w:val="auto"/>
          <w:spacing w:val="-3"/>
          <w:sz w:val="24"/>
          <w:szCs w:val="24"/>
        </w:rPr>
        <w:t>结果公告</w:t>
      </w:r>
    </w:p>
    <w:p w14:paraId="52E6BB6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ascii="宋体" w:hAnsi="宋体" w:eastAsia="宋体" w:cs="宋体"/>
          <w:color w:val="auto"/>
          <w:sz w:val="21"/>
          <w:szCs w:val="21"/>
        </w:rPr>
      </w:pPr>
      <w:r>
        <w:rPr>
          <w:rFonts w:ascii="宋体" w:hAnsi="宋体" w:eastAsia="宋体" w:cs="宋体"/>
          <w:color w:val="auto"/>
          <w:spacing w:val="-1"/>
          <w:sz w:val="21"/>
          <w:szCs w:val="21"/>
        </w:rPr>
        <w:t>31.1</w:t>
      </w:r>
      <w:r>
        <w:rPr>
          <w:rFonts w:ascii="宋体" w:hAnsi="宋体" w:eastAsia="宋体" w:cs="宋体"/>
          <w:color w:val="auto"/>
          <w:spacing w:val="-20"/>
          <w:sz w:val="21"/>
          <w:szCs w:val="21"/>
        </w:rPr>
        <w:t xml:space="preserve"> </w:t>
      </w:r>
      <w:r>
        <w:rPr>
          <w:rFonts w:ascii="宋体" w:hAnsi="宋体" w:eastAsia="宋体" w:cs="宋体"/>
          <w:color w:val="auto"/>
          <w:spacing w:val="-1"/>
          <w:sz w:val="21"/>
          <w:szCs w:val="21"/>
        </w:rPr>
        <w:t>采购人或者采购代理机构应当自中标人确定之日起2个工作日内，在省级以上财政</w:t>
      </w:r>
      <w:r>
        <w:rPr>
          <w:rFonts w:ascii="宋体" w:hAnsi="宋体" w:eastAsia="宋体" w:cs="宋体"/>
          <w:color w:val="auto"/>
          <w:spacing w:val="3"/>
          <w:sz w:val="21"/>
          <w:szCs w:val="21"/>
        </w:rPr>
        <w:t>部门指定的媒体上公告中标结果，招标文件应</w:t>
      </w:r>
      <w:r>
        <w:rPr>
          <w:rFonts w:ascii="宋体" w:hAnsi="宋体" w:eastAsia="宋体" w:cs="宋体"/>
          <w:color w:val="auto"/>
          <w:spacing w:val="2"/>
          <w:sz w:val="21"/>
          <w:szCs w:val="21"/>
        </w:rPr>
        <w:t>当随中标结果同时公告。采购人或者采购代理发出中标通知书前，应当对中标人信用进行查询，对列入失信被执行人、重大税收违法案件</w:t>
      </w:r>
      <w:r>
        <w:rPr>
          <w:rFonts w:ascii="宋体" w:hAnsi="宋体" w:eastAsia="宋体" w:cs="宋体"/>
          <w:color w:val="auto"/>
          <w:spacing w:val="11"/>
          <w:sz w:val="21"/>
          <w:szCs w:val="21"/>
        </w:rPr>
        <w:t xml:space="preserve"> </w:t>
      </w:r>
      <w:r>
        <w:rPr>
          <w:rFonts w:hint="eastAsia" w:ascii="宋体" w:hAnsi="宋体" w:eastAsia="宋体" w:cs="宋体"/>
          <w:color w:val="auto"/>
          <w:spacing w:val="2"/>
          <w:sz w:val="21"/>
          <w:szCs w:val="21"/>
          <w:lang w:val="en-US" w:eastAsia="zh-CN"/>
        </w:rPr>
        <w:t>失信主体</w:t>
      </w:r>
      <w:r>
        <w:rPr>
          <w:rFonts w:ascii="宋体" w:hAnsi="宋体" w:eastAsia="宋体" w:cs="宋体"/>
          <w:color w:val="auto"/>
          <w:spacing w:val="2"/>
          <w:sz w:val="21"/>
          <w:szCs w:val="21"/>
        </w:rPr>
        <w:t>、政府采购严重违法失信行为记录名单及其他不符合《中华人民共和国政府采购法》第二十二条规定条件的投标人，取消其中标资格，并确定排名第二的中标候选人为中标</w:t>
      </w:r>
      <w:r>
        <w:rPr>
          <w:rFonts w:ascii="宋体" w:hAnsi="宋体" w:eastAsia="宋体" w:cs="宋体"/>
          <w:color w:val="auto"/>
          <w:spacing w:val="3"/>
          <w:sz w:val="21"/>
          <w:szCs w:val="21"/>
        </w:rPr>
        <w:t>人。排名第二的中标候选人因前款规定的同</w:t>
      </w:r>
      <w:r>
        <w:rPr>
          <w:rFonts w:ascii="宋体" w:hAnsi="宋体" w:eastAsia="宋体" w:cs="宋体"/>
          <w:color w:val="auto"/>
          <w:spacing w:val="2"/>
          <w:sz w:val="21"/>
          <w:szCs w:val="21"/>
        </w:rPr>
        <w:t>样原因被取消中标资格的，采购人可以确定排名</w:t>
      </w:r>
      <w:r>
        <w:rPr>
          <w:rFonts w:ascii="宋体" w:hAnsi="宋体" w:eastAsia="宋体" w:cs="宋体"/>
          <w:color w:val="auto"/>
          <w:sz w:val="21"/>
          <w:szCs w:val="21"/>
        </w:rPr>
        <w:t xml:space="preserve"> </w:t>
      </w:r>
      <w:r>
        <w:rPr>
          <w:rFonts w:ascii="宋体" w:hAnsi="宋体" w:eastAsia="宋体" w:cs="宋体"/>
          <w:color w:val="auto"/>
          <w:spacing w:val="-2"/>
          <w:sz w:val="21"/>
          <w:szCs w:val="21"/>
        </w:rPr>
        <w:t>第三的中标候选人为中标人，以此类推。</w:t>
      </w:r>
    </w:p>
    <w:p w14:paraId="258F0B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rPr>
          <w:rFonts w:ascii="宋体" w:hAnsi="宋体" w:eastAsia="宋体" w:cs="宋体"/>
          <w:color w:val="auto"/>
          <w:sz w:val="21"/>
          <w:szCs w:val="21"/>
        </w:rPr>
      </w:pPr>
      <w:r>
        <w:rPr>
          <w:rFonts w:ascii="宋体" w:hAnsi="宋体" w:eastAsia="宋体" w:cs="宋体"/>
          <w:color w:val="auto"/>
          <w:spacing w:val="-2"/>
          <w:sz w:val="21"/>
          <w:szCs w:val="21"/>
        </w:rPr>
        <w:t>以上信息查询记录及相关证据与采购文件一并保存。</w:t>
      </w:r>
    </w:p>
    <w:p w14:paraId="510F16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ascii="宋体" w:hAnsi="宋体" w:eastAsia="宋体" w:cs="宋体"/>
          <w:color w:val="auto"/>
          <w:sz w:val="21"/>
          <w:szCs w:val="21"/>
        </w:rPr>
      </w:pPr>
      <w:r>
        <w:rPr>
          <w:rFonts w:ascii="宋体" w:hAnsi="宋体" w:eastAsia="宋体" w:cs="宋体"/>
          <w:color w:val="auto"/>
          <w:spacing w:val="-1"/>
          <w:sz w:val="21"/>
          <w:szCs w:val="21"/>
        </w:rPr>
        <w:t>31.2</w:t>
      </w:r>
      <w:r>
        <w:rPr>
          <w:rFonts w:ascii="宋体" w:hAnsi="宋体" w:eastAsia="宋体" w:cs="宋体"/>
          <w:color w:val="auto"/>
          <w:spacing w:val="-26"/>
          <w:sz w:val="21"/>
          <w:szCs w:val="21"/>
        </w:rPr>
        <w:t xml:space="preserve"> </w:t>
      </w:r>
      <w:r>
        <w:rPr>
          <w:rFonts w:ascii="宋体" w:hAnsi="宋体" w:eastAsia="宋体" w:cs="宋体"/>
          <w:color w:val="auto"/>
          <w:spacing w:val="-1"/>
          <w:sz w:val="21"/>
          <w:szCs w:val="21"/>
        </w:rPr>
        <w:t>中标供应商享受《政府采购促进中小企业发展管理办法》（财库〔2020</w:t>
      </w:r>
      <w:r>
        <w:rPr>
          <w:rFonts w:ascii="宋体" w:hAnsi="宋体" w:eastAsia="宋体" w:cs="宋体"/>
          <w:color w:val="auto"/>
          <w:spacing w:val="-2"/>
          <w:sz w:val="21"/>
          <w:szCs w:val="21"/>
        </w:rPr>
        <w:t>〕46号）规</w:t>
      </w:r>
      <w:r>
        <w:rPr>
          <w:rFonts w:ascii="宋体" w:hAnsi="宋体" w:eastAsia="宋体" w:cs="宋体"/>
          <w:color w:val="auto"/>
          <w:spacing w:val="2"/>
          <w:sz w:val="21"/>
          <w:szCs w:val="21"/>
        </w:rPr>
        <w:t>定的中小企业扶持政策的，采购人、采购代理机构应当随中标结果公开中标供应商的《中小</w:t>
      </w:r>
      <w:r>
        <w:rPr>
          <w:rFonts w:ascii="宋体" w:hAnsi="宋体" w:eastAsia="宋体" w:cs="宋体"/>
          <w:color w:val="auto"/>
          <w:spacing w:val="-4"/>
          <w:sz w:val="21"/>
          <w:szCs w:val="21"/>
        </w:rPr>
        <w:t>企业声明函》。</w:t>
      </w:r>
    </w:p>
    <w:p w14:paraId="264305A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32.发出中标通知书</w:t>
      </w:r>
    </w:p>
    <w:p w14:paraId="2914AF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jc w:val="both"/>
        <w:textAlignment w:val="baseline"/>
        <w:rPr>
          <w:rFonts w:ascii="宋体" w:hAnsi="宋体" w:eastAsia="宋体" w:cs="宋体"/>
          <w:color w:val="auto"/>
          <w:sz w:val="21"/>
          <w:szCs w:val="21"/>
        </w:rPr>
      </w:pPr>
      <w:r>
        <w:rPr>
          <w:rFonts w:ascii="宋体" w:hAnsi="宋体" w:eastAsia="宋体" w:cs="宋体"/>
          <w:color w:val="auto"/>
          <w:spacing w:val="2"/>
          <w:sz w:val="21"/>
          <w:szCs w:val="21"/>
        </w:rPr>
        <w:t>在发布中标公告的同时，采购代理机构向中标人通过“</w:t>
      </w:r>
      <w:r>
        <w:rPr>
          <w:rFonts w:hint="eastAsia" w:ascii="宋体" w:hAnsi="宋体" w:eastAsia="宋体" w:cs="宋体"/>
          <w:color w:val="auto"/>
          <w:spacing w:val="2"/>
          <w:sz w:val="21"/>
          <w:szCs w:val="21"/>
        </w:rPr>
        <w:t>广西政府采购云平台</w:t>
      </w:r>
      <w:r>
        <w:rPr>
          <w:rFonts w:ascii="宋体" w:hAnsi="宋体" w:eastAsia="宋体" w:cs="宋体"/>
          <w:color w:val="auto"/>
          <w:spacing w:val="2"/>
          <w:sz w:val="21"/>
          <w:szCs w:val="21"/>
        </w:rPr>
        <w:t>”发出电子中标通知书。对未通过资格审查的投标人，应当告知其未通过的原因；采用综合评分办法评审的，还</w:t>
      </w:r>
      <w:r>
        <w:rPr>
          <w:rFonts w:ascii="宋体" w:hAnsi="宋体" w:eastAsia="宋体" w:cs="宋体"/>
          <w:color w:val="auto"/>
          <w:spacing w:val="-1"/>
          <w:sz w:val="21"/>
          <w:szCs w:val="21"/>
        </w:rPr>
        <w:t>应当告知未中标人本人的评审得分与排序。</w:t>
      </w:r>
    </w:p>
    <w:p w14:paraId="58E14F7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2"/>
          <w:sz w:val="24"/>
          <w:szCs w:val="24"/>
        </w:rPr>
        <w:t>33.</w:t>
      </w:r>
      <w:r>
        <w:rPr>
          <w:rFonts w:ascii="黑体" w:hAnsi="黑体" w:eastAsia="黑体" w:cs="黑体"/>
          <w:color w:val="auto"/>
          <w:spacing w:val="-2"/>
          <w:sz w:val="24"/>
          <w:szCs w:val="24"/>
        </w:rPr>
        <w:t xml:space="preserve"> </w:t>
      </w:r>
      <w:r>
        <w:rPr>
          <w:rFonts w:ascii="黑体" w:hAnsi="黑体" w:eastAsia="黑体" w:cs="黑体"/>
          <w:b/>
          <w:bCs/>
          <w:color w:val="auto"/>
          <w:spacing w:val="-2"/>
          <w:sz w:val="24"/>
          <w:szCs w:val="24"/>
        </w:rPr>
        <w:t>无义务解释未中标原因</w:t>
      </w:r>
    </w:p>
    <w:p w14:paraId="21E9A2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ascii="宋体" w:hAnsi="宋体" w:eastAsia="宋体" w:cs="宋体"/>
          <w:color w:val="auto"/>
          <w:sz w:val="21"/>
          <w:szCs w:val="21"/>
        </w:rPr>
      </w:pPr>
      <w:r>
        <w:rPr>
          <w:rFonts w:ascii="宋体" w:hAnsi="宋体" w:eastAsia="宋体" w:cs="宋体"/>
          <w:color w:val="auto"/>
          <w:sz w:val="21"/>
          <w:szCs w:val="21"/>
        </w:rPr>
        <w:t>采购代理机构无义务向未中标的投标人解释未中标</w:t>
      </w:r>
      <w:r>
        <w:rPr>
          <w:rFonts w:ascii="宋体" w:hAnsi="宋体" w:eastAsia="宋体" w:cs="宋体"/>
          <w:color w:val="auto"/>
          <w:spacing w:val="-1"/>
          <w:sz w:val="21"/>
          <w:szCs w:val="21"/>
        </w:rPr>
        <w:t>原因。</w:t>
      </w:r>
    </w:p>
    <w:p w14:paraId="3C4CD56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34.合同授予标准</w:t>
      </w:r>
    </w:p>
    <w:p w14:paraId="6B4C7D7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ascii="宋体" w:hAnsi="宋体" w:eastAsia="宋体" w:cs="宋体"/>
          <w:color w:val="auto"/>
          <w:sz w:val="21"/>
          <w:szCs w:val="21"/>
        </w:rPr>
      </w:pPr>
      <w:r>
        <w:rPr>
          <w:rFonts w:ascii="宋体" w:hAnsi="宋体" w:eastAsia="宋体" w:cs="宋体"/>
          <w:color w:val="auto"/>
          <w:spacing w:val="-1"/>
          <w:sz w:val="21"/>
          <w:szCs w:val="21"/>
        </w:rPr>
        <w:t>合同将授予被确定实质上响应招标文件要求，具备履行合同能力的中标人。</w:t>
      </w:r>
    </w:p>
    <w:p w14:paraId="054F711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35.履约保证金</w:t>
      </w:r>
    </w:p>
    <w:p w14:paraId="7022B3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jc w:val="both"/>
        <w:textAlignment w:val="baseline"/>
        <w:rPr>
          <w:rFonts w:ascii="Arial"/>
          <w:color w:val="auto"/>
          <w:sz w:val="21"/>
        </w:rPr>
      </w:pPr>
      <w:r>
        <w:rPr>
          <w:rFonts w:ascii="宋体" w:hAnsi="宋体" w:eastAsia="宋体" w:cs="宋体"/>
          <w:color w:val="auto"/>
          <w:spacing w:val="2"/>
          <w:sz w:val="21"/>
          <w:szCs w:val="21"/>
        </w:rPr>
        <w:t>35.1 履约保证金的金额、提交方式、</w:t>
      </w:r>
      <w:r>
        <w:rPr>
          <w:rFonts w:ascii="宋体" w:hAnsi="宋体" w:eastAsia="宋体" w:cs="宋体"/>
          <w:color w:val="auto"/>
          <w:spacing w:val="1"/>
          <w:sz w:val="21"/>
          <w:szCs w:val="21"/>
        </w:rPr>
        <w:t>退付的时间和条件详见“投标人须知前附表”。</w:t>
      </w:r>
      <w:r>
        <w:rPr>
          <w:rFonts w:ascii="宋体" w:hAnsi="宋体" w:eastAsia="宋体" w:cs="宋体"/>
          <w:color w:val="auto"/>
          <w:spacing w:val="-1"/>
          <w:sz w:val="21"/>
          <w:szCs w:val="21"/>
        </w:rPr>
        <w:t>中标人未按规定提交履约保证金的，视为拒绝</w:t>
      </w:r>
      <w:r>
        <w:rPr>
          <w:rFonts w:ascii="宋体" w:hAnsi="宋体" w:eastAsia="宋体" w:cs="宋体"/>
          <w:color w:val="auto"/>
          <w:spacing w:val="-2"/>
          <w:sz w:val="21"/>
          <w:szCs w:val="21"/>
        </w:rPr>
        <w:t>与采购人签订合同。</w:t>
      </w:r>
    </w:p>
    <w:p w14:paraId="2656906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4"/>
        <w:jc w:val="both"/>
        <w:textAlignment w:val="baseline"/>
        <w:rPr>
          <w:rFonts w:ascii="宋体" w:hAnsi="宋体" w:eastAsia="宋体" w:cs="宋体"/>
          <w:color w:val="auto"/>
          <w:sz w:val="21"/>
          <w:szCs w:val="21"/>
        </w:rPr>
      </w:pPr>
      <w:r>
        <w:rPr>
          <w:rFonts w:ascii="宋体" w:hAnsi="宋体" w:eastAsia="宋体" w:cs="宋体"/>
          <w:color w:val="auto"/>
          <w:sz w:val="21"/>
          <w:szCs w:val="21"/>
        </w:rPr>
        <w:t>35.2 在履约保证金退还日期前，若中标人的开户名称、</w:t>
      </w:r>
      <w:r>
        <w:rPr>
          <w:rFonts w:ascii="宋体" w:hAnsi="宋体" w:eastAsia="宋体" w:cs="宋体"/>
          <w:color w:val="auto"/>
          <w:spacing w:val="-1"/>
          <w:sz w:val="21"/>
          <w:szCs w:val="21"/>
        </w:rPr>
        <w:t>开户银行、帐号有变动的，请以</w:t>
      </w:r>
      <w:r>
        <w:rPr>
          <w:rFonts w:ascii="宋体" w:hAnsi="宋体" w:eastAsia="宋体" w:cs="宋体"/>
          <w:color w:val="auto"/>
          <w:sz w:val="21"/>
          <w:szCs w:val="21"/>
        </w:rPr>
        <w:t>书面形式通知履约保证金收取单位，否则由此产生的后果由中</w:t>
      </w:r>
      <w:r>
        <w:rPr>
          <w:rFonts w:ascii="宋体" w:hAnsi="宋体" w:eastAsia="宋体" w:cs="宋体"/>
          <w:color w:val="auto"/>
          <w:spacing w:val="-1"/>
          <w:sz w:val="21"/>
          <w:szCs w:val="21"/>
        </w:rPr>
        <w:t>标人自行承担。</w:t>
      </w:r>
    </w:p>
    <w:p w14:paraId="7287DC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36.签订合同</w:t>
      </w:r>
    </w:p>
    <w:p w14:paraId="53D6251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0" w:firstLineChars="200"/>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36.1</w:t>
      </w:r>
      <w:r>
        <w:rPr>
          <w:rFonts w:ascii="宋体" w:hAnsi="宋体" w:eastAsia="宋体" w:cs="宋体"/>
          <w:color w:val="auto"/>
          <w:spacing w:val="-25"/>
          <w:sz w:val="21"/>
          <w:szCs w:val="21"/>
        </w:rPr>
        <w:t xml:space="preserve"> </w:t>
      </w:r>
      <w:r>
        <w:rPr>
          <w:rFonts w:ascii="宋体" w:hAnsi="宋体" w:eastAsia="宋体" w:cs="宋体"/>
          <w:b/>
          <w:bCs/>
          <w:color w:val="auto"/>
          <w:spacing w:val="-3"/>
          <w:sz w:val="21"/>
          <w:szCs w:val="21"/>
        </w:rPr>
        <w:t>签订电子采购合同：中标人领取电子中标通知书后，在规定的日期、时间、</w:t>
      </w:r>
      <w:r>
        <w:rPr>
          <w:rFonts w:ascii="宋体" w:hAnsi="宋体" w:eastAsia="宋体" w:cs="宋体"/>
          <w:b/>
          <w:bCs/>
          <w:color w:val="auto"/>
          <w:spacing w:val="-4"/>
          <w:sz w:val="21"/>
          <w:szCs w:val="21"/>
        </w:rPr>
        <w:t>地点，</w:t>
      </w:r>
      <w:r>
        <w:rPr>
          <w:rFonts w:ascii="宋体" w:hAnsi="宋体" w:eastAsia="宋体" w:cs="宋体"/>
          <w:b/>
          <w:bCs/>
          <w:color w:val="auto"/>
          <w:sz w:val="21"/>
          <w:szCs w:val="21"/>
        </w:rPr>
        <w:t>由法定代表人</w:t>
      </w:r>
      <w:r>
        <w:rPr>
          <w:rFonts w:hint="eastAsia" w:ascii="宋体" w:hAnsi="宋体" w:eastAsia="宋体" w:cs="宋体"/>
          <w:b/>
          <w:bCs/>
          <w:color w:val="auto"/>
          <w:spacing w:val="-3"/>
          <w:sz w:val="21"/>
          <w:szCs w:val="21"/>
          <w:lang w:eastAsia="zh-CN"/>
        </w:rPr>
        <w:t>（负责人）</w:t>
      </w:r>
      <w:r>
        <w:rPr>
          <w:rFonts w:ascii="宋体" w:hAnsi="宋体" w:eastAsia="宋体" w:cs="宋体"/>
          <w:b/>
          <w:bCs/>
          <w:color w:val="auto"/>
          <w:sz w:val="21"/>
          <w:szCs w:val="21"/>
        </w:rPr>
        <w:t>或其授权代表与采购人代表签订电子采购合同。如中标人为联合体的，由联合</w:t>
      </w:r>
      <w:r>
        <w:rPr>
          <w:rFonts w:ascii="宋体" w:hAnsi="宋体" w:eastAsia="宋体" w:cs="宋体"/>
          <w:b/>
          <w:bCs/>
          <w:color w:val="auto"/>
          <w:spacing w:val="-3"/>
          <w:sz w:val="21"/>
          <w:szCs w:val="21"/>
        </w:rPr>
        <w:t>体成员各方法定代表人或其授权代表与采购人代表签订合同。</w:t>
      </w:r>
    </w:p>
    <w:p w14:paraId="319A6A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jc w:val="both"/>
        <w:textAlignment w:val="baseline"/>
        <w:rPr>
          <w:rFonts w:ascii="宋体" w:hAnsi="宋体" w:eastAsia="宋体" w:cs="宋体"/>
          <w:color w:val="auto"/>
          <w:sz w:val="21"/>
          <w:szCs w:val="21"/>
        </w:rPr>
      </w:pPr>
      <w:r>
        <w:rPr>
          <w:rFonts w:ascii="宋体" w:hAnsi="宋体" w:eastAsia="宋体" w:cs="宋体"/>
          <w:color w:val="auto"/>
          <w:spacing w:val="2"/>
          <w:sz w:val="21"/>
          <w:szCs w:val="21"/>
        </w:rPr>
        <w:t>线下签订纸质合同：投标人领取中标通知书后，按“投标人须知前附表”规定向采购人</w:t>
      </w:r>
      <w:r>
        <w:rPr>
          <w:rFonts w:ascii="宋体" w:hAnsi="宋体" w:eastAsia="宋体" w:cs="宋体"/>
          <w:color w:val="auto"/>
          <w:spacing w:val="-2"/>
          <w:sz w:val="21"/>
          <w:szCs w:val="21"/>
        </w:rPr>
        <w:t>出示相关证明材料，经采购人核验合格后方可签订合同。</w:t>
      </w:r>
    </w:p>
    <w:p w14:paraId="3D11A1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ascii="宋体" w:hAnsi="宋体" w:eastAsia="宋体" w:cs="宋体"/>
          <w:color w:val="auto"/>
          <w:sz w:val="21"/>
          <w:szCs w:val="21"/>
        </w:rPr>
      </w:pPr>
      <w:r>
        <w:rPr>
          <w:rFonts w:ascii="宋体" w:hAnsi="宋体" w:eastAsia="宋体" w:cs="宋体"/>
          <w:color w:val="auto"/>
          <w:spacing w:val="-1"/>
          <w:sz w:val="21"/>
          <w:szCs w:val="21"/>
        </w:rPr>
        <w:t>36.2</w:t>
      </w:r>
      <w:r>
        <w:rPr>
          <w:rFonts w:ascii="宋体" w:hAnsi="宋体" w:eastAsia="宋体" w:cs="宋体"/>
          <w:color w:val="auto"/>
          <w:spacing w:val="-46"/>
          <w:sz w:val="21"/>
          <w:szCs w:val="21"/>
        </w:rPr>
        <w:t xml:space="preserve"> </w:t>
      </w:r>
      <w:r>
        <w:rPr>
          <w:rFonts w:ascii="宋体" w:hAnsi="宋体" w:eastAsia="宋体" w:cs="宋体"/>
          <w:color w:val="auto"/>
          <w:spacing w:val="-1"/>
          <w:sz w:val="21"/>
          <w:szCs w:val="21"/>
        </w:rPr>
        <w:t>签订合同时间：按中标通知书规定的时间与采购人签订合同。</w:t>
      </w:r>
    </w:p>
    <w:p w14:paraId="3F6662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ascii="宋体" w:hAnsi="宋体" w:eastAsia="宋体" w:cs="宋体"/>
          <w:color w:val="auto"/>
          <w:sz w:val="21"/>
          <w:szCs w:val="21"/>
        </w:rPr>
      </w:pPr>
      <w:r>
        <w:rPr>
          <w:rFonts w:ascii="宋体" w:hAnsi="宋体" w:eastAsia="宋体" w:cs="宋体"/>
          <w:color w:val="auto"/>
          <w:spacing w:val="-1"/>
          <w:sz w:val="21"/>
          <w:szCs w:val="21"/>
        </w:rPr>
        <w:t>36.3</w:t>
      </w:r>
      <w:r>
        <w:rPr>
          <w:rFonts w:ascii="宋体" w:hAnsi="宋体" w:eastAsia="宋体" w:cs="宋体"/>
          <w:color w:val="auto"/>
          <w:spacing w:val="28"/>
          <w:sz w:val="21"/>
          <w:szCs w:val="21"/>
        </w:rPr>
        <w:t xml:space="preserve"> </w:t>
      </w:r>
      <w:r>
        <w:rPr>
          <w:rFonts w:ascii="宋体" w:hAnsi="宋体" w:eastAsia="宋体" w:cs="宋体"/>
          <w:color w:val="auto"/>
          <w:spacing w:val="-1"/>
          <w:sz w:val="21"/>
          <w:szCs w:val="21"/>
        </w:rPr>
        <w:t>中标人拒绝签订政府采购合同（包括但不限于放弃中标、因不可抗力不能履行合同</w:t>
      </w:r>
      <w:r>
        <w:rPr>
          <w:rFonts w:ascii="宋体" w:hAnsi="宋体" w:eastAsia="宋体" w:cs="宋体"/>
          <w:color w:val="auto"/>
          <w:spacing w:val="3"/>
          <w:sz w:val="21"/>
          <w:szCs w:val="21"/>
        </w:rPr>
        <w:t>而放弃签订合同</w:t>
      </w:r>
      <w:r>
        <w:rPr>
          <w:rFonts w:ascii="宋体" w:hAnsi="宋体" w:eastAsia="宋体" w:cs="宋体"/>
          <w:color w:val="auto"/>
          <w:spacing w:val="-1"/>
          <w:sz w:val="21"/>
          <w:szCs w:val="21"/>
        </w:rPr>
        <w:t>），</w:t>
      </w:r>
      <w:r>
        <w:rPr>
          <w:rFonts w:ascii="宋体" w:hAnsi="宋体" w:eastAsia="宋体" w:cs="宋体"/>
          <w:color w:val="auto"/>
          <w:spacing w:val="3"/>
          <w:sz w:val="21"/>
          <w:szCs w:val="21"/>
        </w:rPr>
        <w:t>采购人可以按照评审报告推荐</w:t>
      </w:r>
      <w:r>
        <w:rPr>
          <w:rFonts w:ascii="宋体" w:hAnsi="宋体" w:eastAsia="宋体" w:cs="宋体"/>
          <w:color w:val="auto"/>
          <w:spacing w:val="2"/>
          <w:sz w:val="21"/>
          <w:szCs w:val="21"/>
        </w:rPr>
        <w:t>的中标候选人名单排序，确定下一候选人为中标供应商，也可以重新开展政府采购活动。如采购人无正当理由拒签合同的，给中标供</w:t>
      </w:r>
      <w:r>
        <w:rPr>
          <w:rFonts w:ascii="宋体" w:hAnsi="宋体" w:eastAsia="宋体" w:cs="宋体"/>
          <w:color w:val="auto"/>
          <w:spacing w:val="-1"/>
          <w:sz w:val="21"/>
          <w:szCs w:val="21"/>
        </w:rPr>
        <w:t>应商造成损失的，中标供应商可追究采购人承担相应的法律责任。</w:t>
      </w:r>
    </w:p>
    <w:p w14:paraId="111C0E1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ascii="宋体" w:hAnsi="宋体" w:eastAsia="宋体" w:cs="宋体"/>
          <w:color w:val="auto"/>
          <w:sz w:val="21"/>
          <w:szCs w:val="21"/>
        </w:rPr>
      </w:pPr>
      <w:r>
        <w:rPr>
          <w:rFonts w:ascii="宋体" w:hAnsi="宋体" w:eastAsia="宋体" w:cs="宋体"/>
          <w:color w:val="auto"/>
          <w:sz w:val="21"/>
          <w:szCs w:val="21"/>
        </w:rPr>
        <w:t>36.4 政府采购合同是政府采购项目验收的依据，中标供应商和采</w:t>
      </w:r>
      <w:r>
        <w:rPr>
          <w:rFonts w:ascii="宋体" w:hAnsi="宋体" w:eastAsia="宋体" w:cs="宋体"/>
          <w:color w:val="auto"/>
          <w:spacing w:val="-1"/>
          <w:sz w:val="21"/>
          <w:szCs w:val="21"/>
        </w:rPr>
        <w:t>购人应当按照采购合同约定的各自的权利和义务全面履行合同。任何一方当事人在履行合同过程中均不得擅自变更、</w:t>
      </w:r>
      <w:r>
        <w:rPr>
          <w:rFonts w:ascii="宋体" w:hAnsi="宋体" w:eastAsia="宋体" w:cs="宋体"/>
          <w:color w:val="auto"/>
          <w:spacing w:val="2"/>
          <w:sz w:val="21"/>
          <w:szCs w:val="21"/>
        </w:rPr>
        <w:t>中止或终止合同。政府采购合同继续履行将损害国家利益和社会公共利益的，双方当事人应</w:t>
      </w:r>
      <w:r>
        <w:rPr>
          <w:rFonts w:ascii="宋体" w:hAnsi="宋体" w:eastAsia="宋体" w:cs="宋体"/>
          <w:color w:val="auto"/>
          <w:spacing w:val="3"/>
          <w:sz w:val="21"/>
          <w:szCs w:val="21"/>
        </w:rPr>
        <w:t>当变更、中止或终止合同。有过错的一方应</w:t>
      </w:r>
      <w:r>
        <w:rPr>
          <w:rFonts w:ascii="宋体" w:hAnsi="宋体" w:eastAsia="宋体" w:cs="宋体"/>
          <w:color w:val="auto"/>
          <w:spacing w:val="2"/>
          <w:sz w:val="21"/>
          <w:szCs w:val="21"/>
        </w:rPr>
        <w:t>当承担赔偿责任，双方都有过错的，各自承担相</w:t>
      </w:r>
      <w:r>
        <w:rPr>
          <w:rFonts w:ascii="宋体" w:hAnsi="宋体" w:eastAsia="宋体" w:cs="宋体"/>
          <w:color w:val="auto"/>
          <w:sz w:val="21"/>
          <w:szCs w:val="21"/>
        </w:rPr>
        <w:t xml:space="preserve"> </w:t>
      </w:r>
      <w:r>
        <w:rPr>
          <w:rFonts w:ascii="宋体" w:hAnsi="宋体" w:eastAsia="宋体" w:cs="宋体"/>
          <w:color w:val="auto"/>
          <w:spacing w:val="-5"/>
          <w:sz w:val="21"/>
          <w:szCs w:val="21"/>
        </w:rPr>
        <w:t>应的责任。</w:t>
      </w:r>
    </w:p>
    <w:p w14:paraId="59CE68F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ascii="宋体" w:hAnsi="宋体" w:eastAsia="宋体" w:cs="宋体"/>
          <w:color w:val="auto"/>
          <w:sz w:val="21"/>
          <w:szCs w:val="21"/>
        </w:rPr>
      </w:pPr>
      <w:r>
        <w:rPr>
          <w:rFonts w:ascii="宋体" w:hAnsi="宋体" w:eastAsia="宋体" w:cs="宋体"/>
          <w:color w:val="auto"/>
          <w:sz w:val="21"/>
          <w:szCs w:val="21"/>
        </w:rPr>
        <w:t>36.5 采购人或中标供应商不得单方面向合同另一方提出任何招标文</w:t>
      </w:r>
      <w:r>
        <w:rPr>
          <w:rFonts w:ascii="宋体" w:hAnsi="宋体" w:eastAsia="宋体" w:cs="宋体"/>
          <w:color w:val="auto"/>
          <w:spacing w:val="-1"/>
          <w:sz w:val="21"/>
          <w:szCs w:val="21"/>
        </w:rPr>
        <w:t>件没有约定的条件或</w:t>
      </w:r>
      <w:r>
        <w:rPr>
          <w:rFonts w:ascii="宋体" w:hAnsi="宋体" w:eastAsia="宋体" w:cs="宋体"/>
          <w:color w:val="auto"/>
          <w:spacing w:val="2"/>
          <w:sz w:val="21"/>
          <w:szCs w:val="21"/>
        </w:rPr>
        <w:t>不合理的要求，作为签订合同的条件；也不得协商另行订立背离招标文件和合同实质性内容</w:t>
      </w:r>
      <w:r>
        <w:rPr>
          <w:rFonts w:ascii="宋体" w:hAnsi="宋体" w:eastAsia="宋体" w:cs="宋体"/>
          <w:color w:val="auto"/>
          <w:spacing w:val="13"/>
          <w:sz w:val="21"/>
          <w:szCs w:val="21"/>
        </w:rPr>
        <w:t xml:space="preserve"> </w:t>
      </w:r>
      <w:r>
        <w:rPr>
          <w:rFonts w:ascii="宋体" w:hAnsi="宋体" w:eastAsia="宋体" w:cs="宋体"/>
          <w:color w:val="auto"/>
          <w:spacing w:val="-3"/>
          <w:sz w:val="21"/>
          <w:szCs w:val="21"/>
        </w:rPr>
        <w:t>的协议。</w:t>
      </w:r>
    </w:p>
    <w:p w14:paraId="197FA73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ascii="宋体" w:hAnsi="宋体" w:eastAsia="宋体" w:cs="宋体"/>
          <w:color w:val="auto"/>
          <w:sz w:val="21"/>
          <w:szCs w:val="21"/>
        </w:rPr>
      </w:pPr>
      <w:r>
        <w:rPr>
          <w:rFonts w:ascii="宋体" w:hAnsi="宋体" w:eastAsia="宋体" w:cs="宋体"/>
          <w:color w:val="auto"/>
          <w:sz w:val="21"/>
          <w:szCs w:val="21"/>
        </w:rPr>
        <w:t>36.6 如签订合同并生效后，供应商无故拒绝或延期，除按照合同</w:t>
      </w:r>
      <w:r>
        <w:rPr>
          <w:rFonts w:ascii="宋体" w:hAnsi="宋体" w:eastAsia="宋体" w:cs="宋体"/>
          <w:color w:val="auto"/>
          <w:spacing w:val="-1"/>
          <w:sz w:val="21"/>
          <w:szCs w:val="21"/>
        </w:rPr>
        <w:t>条款处理外，将承担相</w:t>
      </w:r>
      <w:r>
        <w:rPr>
          <w:rFonts w:ascii="宋体" w:hAnsi="宋体" w:eastAsia="宋体" w:cs="宋体"/>
          <w:color w:val="auto"/>
          <w:spacing w:val="-3"/>
          <w:sz w:val="21"/>
          <w:szCs w:val="21"/>
        </w:rPr>
        <w:t>应的法律责任。</w:t>
      </w:r>
    </w:p>
    <w:p w14:paraId="0425D4F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ascii="宋体" w:hAnsi="宋体" w:eastAsia="宋体" w:cs="宋体"/>
          <w:color w:val="auto"/>
          <w:sz w:val="21"/>
          <w:szCs w:val="21"/>
        </w:rPr>
      </w:pPr>
      <w:r>
        <w:rPr>
          <w:rFonts w:ascii="宋体" w:hAnsi="宋体" w:eastAsia="宋体" w:cs="宋体"/>
          <w:color w:val="auto"/>
          <w:sz w:val="21"/>
          <w:szCs w:val="21"/>
        </w:rPr>
        <w:t>36.7 政府采购合同履行中，采购人需追加与合同标的相同的货物</w:t>
      </w:r>
      <w:r>
        <w:rPr>
          <w:rFonts w:ascii="宋体" w:hAnsi="宋体" w:eastAsia="宋体" w:cs="宋体"/>
          <w:color w:val="auto"/>
          <w:spacing w:val="-1"/>
          <w:sz w:val="21"/>
          <w:szCs w:val="21"/>
        </w:rPr>
        <w:t>、工程或者服务的，在</w:t>
      </w:r>
      <w:r>
        <w:rPr>
          <w:rFonts w:ascii="宋体" w:hAnsi="宋体" w:eastAsia="宋体" w:cs="宋体"/>
          <w:color w:val="auto"/>
          <w:spacing w:val="2"/>
          <w:sz w:val="21"/>
          <w:szCs w:val="21"/>
        </w:rPr>
        <w:t>不改变合同其他条款的前提下，可以与供应商协商签订补充合同，但所有补充合同的采购金</w:t>
      </w:r>
      <w:r>
        <w:rPr>
          <w:rFonts w:ascii="宋体" w:hAnsi="宋体" w:eastAsia="宋体" w:cs="宋体"/>
          <w:color w:val="auto"/>
          <w:spacing w:val="-2"/>
          <w:sz w:val="21"/>
          <w:szCs w:val="21"/>
        </w:rPr>
        <w:t>额不得超过原合同采购金额的10%。</w:t>
      </w:r>
    </w:p>
    <w:p w14:paraId="58DC035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37.政府采购合同公告</w:t>
      </w:r>
    </w:p>
    <w:p w14:paraId="3950A1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jc w:val="both"/>
        <w:textAlignment w:val="baseline"/>
        <w:rPr>
          <w:rFonts w:ascii="宋体" w:hAnsi="宋体" w:eastAsia="宋体" w:cs="宋体"/>
          <w:color w:val="auto"/>
          <w:sz w:val="21"/>
          <w:szCs w:val="21"/>
        </w:rPr>
      </w:pPr>
      <w:r>
        <w:rPr>
          <w:rFonts w:ascii="宋体" w:hAnsi="宋体" w:eastAsia="宋体" w:cs="宋体"/>
          <w:color w:val="auto"/>
          <w:sz w:val="21"/>
          <w:szCs w:val="21"/>
        </w:rPr>
        <w:t>采购人或者受托采购代理机构应当自政府采购合同签订之日起2个工作日内，</w:t>
      </w:r>
      <w:r>
        <w:rPr>
          <w:rFonts w:ascii="宋体" w:hAnsi="宋体" w:eastAsia="宋体" w:cs="宋体"/>
          <w:color w:val="auto"/>
          <w:spacing w:val="-1"/>
          <w:sz w:val="21"/>
          <w:szCs w:val="21"/>
        </w:rPr>
        <w:t>将政府采</w:t>
      </w:r>
      <w:r>
        <w:rPr>
          <w:rFonts w:ascii="宋体" w:hAnsi="宋体" w:eastAsia="宋体" w:cs="宋体"/>
          <w:color w:val="auto"/>
          <w:spacing w:val="2"/>
          <w:sz w:val="21"/>
          <w:szCs w:val="21"/>
        </w:rPr>
        <w:t>购合同在省级以上人民政府财政部门指定的媒体上公告，但政</w:t>
      </w:r>
      <w:r>
        <w:rPr>
          <w:rFonts w:ascii="宋体" w:hAnsi="宋体" w:eastAsia="宋体" w:cs="宋体"/>
          <w:color w:val="auto"/>
          <w:spacing w:val="1"/>
          <w:sz w:val="21"/>
          <w:szCs w:val="21"/>
        </w:rPr>
        <w:t>府采购合同中涉及国家秘密、</w:t>
      </w:r>
      <w:r>
        <w:rPr>
          <w:rFonts w:ascii="宋体" w:hAnsi="宋体" w:eastAsia="宋体" w:cs="宋体"/>
          <w:color w:val="auto"/>
          <w:spacing w:val="-1"/>
          <w:sz w:val="21"/>
          <w:szCs w:val="21"/>
        </w:rPr>
        <w:t>商业秘密的内容除外。</w:t>
      </w:r>
    </w:p>
    <w:p w14:paraId="396059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38.</w:t>
      </w:r>
      <w:r>
        <w:rPr>
          <w:rFonts w:ascii="黑体" w:hAnsi="黑体" w:eastAsia="黑体" w:cs="黑体"/>
          <w:color w:val="auto"/>
          <w:spacing w:val="-3"/>
          <w:sz w:val="24"/>
          <w:szCs w:val="24"/>
        </w:rPr>
        <w:t xml:space="preserve"> </w:t>
      </w:r>
      <w:r>
        <w:rPr>
          <w:rFonts w:ascii="黑体" w:hAnsi="黑体" w:eastAsia="黑体" w:cs="黑体"/>
          <w:b/>
          <w:bCs/>
          <w:color w:val="auto"/>
          <w:spacing w:val="-3"/>
          <w:sz w:val="24"/>
          <w:szCs w:val="24"/>
        </w:rPr>
        <w:t>询问、质疑和投诉</w:t>
      </w:r>
    </w:p>
    <w:p w14:paraId="2E3AC83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ascii="宋体" w:hAnsi="宋体" w:eastAsia="宋体" w:cs="宋体"/>
          <w:color w:val="auto"/>
          <w:sz w:val="21"/>
          <w:szCs w:val="21"/>
        </w:rPr>
      </w:pPr>
      <w:r>
        <w:rPr>
          <w:rFonts w:ascii="宋体" w:hAnsi="宋体" w:eastAsia="宋体" w:cs="宋体"/>
          <w:color w:val="auto"/>
          <w:sz w:val="21"/>
          <w:szCs w:val="21"/>
        </w:rPr>
        <w:t>38.1供应商对政府采购活动事项有疑问的，可以向采购人提出询问</w:t>
      </w:r>
      <w:r>
        <w:rPr>
          <w:rFonts w:ascii="宋体" w:hAnsi="宋体" w:eastAsia="宋体" w:cs="宋体"/>
          <w:color w:val="auto"/>
          <w:spacing w:val="-1"/>
          <w:sz w:val="21"/>
          <w:szCs w:val="21"/>
        </w:rPr>
        <w:t>，采购人或者采购代</w:t>
      </w:r>
      <w:r>
        <w:rPr>
          <w:rFonts w:ascii="宋体" w:hAnsi="宋体" w:eastAsia="宋体" w:cs="宋体"/>
          <w:color w:val="auto"/>
          <w:sz w:val="21"/>
          <w:szCs w:val="21"/>
        </w:rPr>
        <w:t>理机构应当在3个工作日内对供应商依法提出的询问作出答复，但答复的</w:t>
      </w:r>
      <w:r>
        <w:rPr>
          <w:rFonts w:ascii="宋体" w:hAnsi="宋体" w:eastAsia="宋体" w:cs="宋体"/>
          <w:color w:val="auto"/>
          <w:spacing w:val="-1"/>
          <w:sz w:val="21"/>
          <w:szCs w:val="21"/>
        </w:rPr>
        <w:t>内容不得涉及商业</w:t>
      </w:r>
      <w:r>
        <w:rPr>
          <w:rFonts w:ascii="宋体" w:hAnsi="宋体" w:eastAsia="宋体" w:cs="宋体"/>
          <w:color w:val="auto"/>
          <w:spacing w:val="-8"/>
          <w:sz w:val="21"/>
          <w:szCs w:val="21"/>
        </w:rPr>
        <w:t>秘密。</w:t>
      </w:r>
    </w:p>
    <w:p w14:paraId="2CE61EC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ascii="宋体" w:hAnsi="宋体" w:eastAsia="宋体" w:cs="宋体"/>
          <w:color w:val="auto"/>
          <w:sz w:val="21"/>
          <w:szCs w:val="21"/>
        </w:rPr>
      </w:pPr>
      <w:r>
        <w:rPr>
          <w:rFonts w:ascii="宋体" w:hAnsi="宋体" w:eastAsia="宋体" w:cs="宋体"/>
          <w:color w:val="auto"/>
          <w:sz w:val="21"/>
          <w:szCs w:val="21"/>
        </w:rPr>
        <w:t>38.2供应商认为招标文件、采购过程或者中标结果使自己的合法权</w:t>
      </w:r>
      <w:r>
        <w:rPr>
          <w:rFonts w:ascii="宋体" w:hAnsi="宋体" w:eastAsia="宋体" w:cs="宋体"/>
          <w:color w:val="auto"/>
          <w:spacing w:val="-1"/>
          <w:sz w:val="21"/>
          <w:szCs w:val="21"/>
        </w:rPr>
        <w:t>益受到损害的，必须</w:t>
      </w:r>
      <w:r>
        <w:rPr>
          <w:rFonts w:ascii="宋体" w:hAnsi="宋体" w:eastAsia="宋体" w:cs="宋体"/>
          <w:color w:val="auto"/>
          <w:sz w:val="21"/>
          <w:szCs w:val="21"/>
        </w:rPr>
        <w:t>在知道或者应知其权益受到损害之日起7个工作日内，以书面形式向采购人、采购</w:t>
      </w:r>
      <w:r>
        <w:rPr>
          <w:rFonts w:ascii="宋体" w:hAnsi="宋体" w:eastAsia="宋体" w:cs="宋体"/>
          <w:color w:val="auto"/>
          <w:spacing w:val="-1"/>
          <w:sz w:val="21"/>
          <w:szCs w:val="21"/>
        </w:rPr>
        <w:t>代理机构</w:t>
      </w:r>
      <w:r>
        <w:rPr>
          <w:rFonts w:ascii="宋体" w:hAnsi="宋体" w:eastAsia="宋体" w:cs="宋体"/>
          <w:color w:val="auto"/>
          <w:spacing w:val="3"/>
          <w:sz w:val="21"/>
          <w:szCs w:val="21"/>
        </w:rPr>
        <w:t>提出质疑。采购人、采购代理机构接收质疑</w:t>
      </w:r>
      <w:r>
        <w:rPr>
          <w:rFonts w:ascii="宋体" w:hAnsi="宋体" w:eastAsia="宋体" w:cs="宋体"/>
          <w:color w:val="auto"/>
          <w:spacing w:val="2"/>
          <w:sz w:val="21"/>
          <w:szCs w:val="21"/>
        </w:rPr>
        <w:t>函的方式、联系部门、联系电话和通讯地址等信</w:t>
      </w:r>
      <w:r>
        <w:rPr>
          <w:rFonts w:ascii="宋体" w:hAnsi="宋体" w:eastAsia="宋体" w:cs="宋体"/>
          <w:color w:val="auto"/>
          <w:spacing w:val="-2"/>
          <w:sz w:val="21"/>
          <w:szCs w:val="21"/>
        </w:rPr>
        <w:t>息详见“投标人须知前附表”。具体质疑起算时间如下：</w:t>
      </w:r>
    </w:p>
    <w:p w14:paraId="12D59415">
      <w:pPr>
        <w:spacing w:line="360" w:lineRule="auto"/>
        <w:ind w:firstLine="420" w:firstLineChars="200"/>
        <w:jc w:val="both"/>
        <w:rPr>
          <w:rFonts w:hint="eastAsia" w:ascii="宋体" w:hAnsi="宋体" w:cs="宋体"/>
          <w:color w:val="auto"/>
          <w:lang w:eastAsia="zh-CN"/>
        </w:rPr>
      </w:pPr>
      <w:r>
        <w:rPr>
          <w:rFonts w:hint="eastAsia" w:ascii="宋体" w:hAnsi="宋体" w:cs="宋体"/>
          <w:color w:val="auto"/>
        </w:rPr>
        <w:t>（1）潜在供应商依法获取采购文件后，认为采购文件使自己的权益受到损害的，应当在</w:t>
      </w:r>
      <w:r>
        <w:rPr>
          <w:rFonts w:hint="eastAsia" w:ascii="宋体" w:hAnsi="宋体" w:eastAsia="宋体" w:cs="宋体"/>
          <w:color w:val="auto"/>
          <w:lang w:eastAsia="zh-CN"/>
        </w:rPr>
        <w:t>招标</w:t>
      </w:r>
      <w:r>
        <w:rPr>
          <w:rFonts w:hint="eastAsia" w:ascii="宋体" w:hAnsi="宋体" w:cs="宋体"/>
          <w:color w:val="auto"/>
        </w:rPr>
        <w:t>文件公告期限届满之日起7个工作日内提出质疑。</w:t>
      </w:r>
      <w:r>
        <w:rPr>
          <w:rFonts w:hint="eastAsia" w:ascii="宋体" w:hAnsi="宋体" w:cs="宋体"/>
          <w:b/>
          <w:bCs/>
          <w:color w:val="auto"/>
          <w:lang w:eastAsia="zh-CN"/>
        </w:rPr>
        <w:t>（</w:t>
      </w:r>
      <w:r>
        <w:rPr>
          <w:rFonts w:hint="eastAsia" w:ascii="宋体" w:hAnsi="宋体" w:cs="宋体"/>
          <w:b/>
          <w:bCs/>
          <w:color w:val="auto"/>
          <w:lang w:val="en-US" w:eastAsia="zh-CN"/>
        </w:rPr>
        <w:t>注：潜在供应商应当具备《中华人民共和国政府采购法》第二十二条规定，符合本项目要求的资格条件。</w:t>
      </w:r>
      <w:r>
        <w:rPr>
          <w:rFonts w:hint="eastAsia" w:ascii="宋体" w:hAnsi="宋体" w:cs="宋体"/>
          <w:b/>
          <w:bCs/>
          <w:color w:val="auto"/>
          <w:lang w:eastAsia="zh-CN"/>
        </w:rPr>
        <w:t>）</w:t>
      </w:r>
    </w:p>
    <w:p w14:paraId="1B256164">
      <w:pPr>
        <w:spacing w:line="360" w:lineRule="auto"/>
        <w:ind w:firstLine="420" w:firstLineChars="200"/>
        <w:jc w:val="both"/>
        <w:rPr>
          <w:rFonts w:hint="eastAsia" w:ascii="宋体" w:hAnsi="宋体" w:cs="宋体"/>
          <w:color w:val="auto"/>
        </w:rPr>
      </w:pPr>
      <w:r>
        <w:rPr>
          <w:rFonts w:hint="eastAsia" w:ascii="宋体" w:hAnsi="宋体" w:cs="宋体"/>
          <w:color w:val="auto"/>
        </w:rPr>
        <w:t>（2）供应商认为采购过程使自己的权益受到损害的，应当在各采购程序环节结束之日起7个工作日内提出质疑。对采购过程中资格审查、符合性审查等具体评审情况的质疑应向采购人或代理机构提出。</w:t>
      </w:r>
    </w:p>
    <w:p w14:paraId="4D5E4774">
      <w:pPr>
        <w:spacing w:line="360" w:lineRule="auto"/>
        <w:ind w:firstLine="420" w:firstLineChars="200"/>
        <w:jc w:val="both"/>
        <w:rPr>
          <w:rFonts w:hint="eastAsia" w:ascii="宋体" w:hAnsi="宋体" w:cs="宋体"/>
          <w:color w:val="auto"/>
        </w:rPr>
      </w:pPr>
      <w:r>
        <w:rPr>
          <w:rFonts w:hint="eastAsia" w:ascii="宋体" w:hAnsi="宋体" w:cs="宋体"/>
          <w:color w:val="auto"/>
        </w:rPr>
        <w:t>（3）供应商认为成交结果使自己的权益受到损害的，应当在成交结果公告期限届满之日起7个工作日内提出质疑。</w:t>
      </w:r>
    </w:p>
    <w:p w14:paraId="48E4FAD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ascii="宋体" w:hAnsi="宋体" w:eastAsia="宋体" w:cs="宋体"/>
          <w:color w:val="auto"/>
          <w:sz w:val="21"/>
          <w:szCs w:val="21"/>
        </w:rPr>
      </w:pPr>
      <w:r>
        <w:rPr>
          <w:rFonts w:ascii="宋体" w:hAnsi="宋体" w:eastAsia="宋体" w:cs="宋体"/>
          <w:color w:val="auto"/>
          <w:sz w:val="21"/>
          <w:szCs w:val="21"/>
        </w:rPr>
        <w:t>38.3 供应商提出质疑应当提交质疑函和必要的证明材料，针对同一</w:t>
      </w:r>
      <w:r>
        <w:rPr>
          <w:rFonts w:ascii="宋体" w:hAnsi="宋体" w:eastAsia="宋体" w:cs="宋体"/>
          <w:color w:val="auto"/>
          <w:spacing w:val="-1"/>
          <w:sz w:val="21"/>
          <w:szCs w:val="21"/>
        </w:rPr>
        <w:t>采购程序环节的质疑</w:t>
      </w:r>
      <w:r>
        <w:rPr>
          <w:rFonts w:ascii="宋体" w:hAnsi="宋体" w:eastAsia="宋体" w:cs="宋体"/>
          <w:color w:val="auto"/>
          <w:sz w:val="21"/>
          <w:szCs w:val="21"/>
        </w:rPr>
        <w:t>必须在法定质疑期内一次性提出。质疑函应当包括下列内容（质</w:t>
      </w:r>
      <w:r>
        <w:rPr>
          <w:rFonts w:ascii="宋体" w:hAnsi="宋体" w:eastAsia="宋体" w:cs="宋体"/>
          <w:color w:val="auto"/>
          <w:spacing w:val="-1"/>
          <w:sz w:val="21"/>
          <w:szCs w:val="21"/>
        </w:rPr>
        <w:t>疑函格式后附</w:t>
      </w:r>
      <w:r>
        <w:rPr>
          <w:rFonts w:ascii="宋体" w:hAnsi="宋体" w:eastAsia="宋体" w:cs="宋体"/>
          <w:color w:val="auto"/>
          <w:sz w:val="21"/>
          <w:szCs w:val="21"/>
        </w:rPr>
        <w:t>）：</w:t>
      </w:r>
    </w:p>
    <w:p w14:paraId="42D225D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jc w:val="both"/>
        <w:textAlignment w:val="baseline"/>
        <w:rPr>
          <w:rFonts w:ascii="宋体" w:hAnsi="宋体" w:eastAsia="宋体" w:cs="宋体"/>
          <w:color w:val="auto"/>
          <w:sz w:val="21"/>
          <w:szCs w:val="21"/>
        </w:rPr>
      </w:pPr>
      <w:r>
        <w:rPr>
          <w:rFonts w:ascii="宋体" w:hAnsi="宋体" w:eastAsia="宋体" w:cs="宋体"/>
          <w:color w:val="auto"/>
          <w:spacing w:val="-1"/>
          <w:sz w:val="21"/>
          <w:szCs w:val="21"/>
        </w:rPr>
        <w:t>（1）供应商的姓名或者名称、地址、邮编、联系人及联系电话；</w:t>
      </w:r>
    </w:p>
    <w:p w14:paraId="01C8120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ascii="宋体" w:hAnsi="宋体" w:eastAsia="宋体" w:cs="宋体"/>
          <w:color w:val="auto"/>
          <w:sz w:val="21"/>
          <w:szCs w:val="21"/>
        </w:rPr>
      </w:pPr>
      <w:r>
        <w:rPr>
          <w:rFonts w:ascii="宋体" w:hAnsi="宋体" w:eastAsia="宋体" w:cs="宋体"/>
          <w:color w:val="auto"/>
          <w:spacing w:val="-3"/>
          <w:sz w:val="21"/>
          <w:szCs w:val="21"/>
        </w:rPr>
        <w:t>（2）质疑项目的名称、编号；</w:t>
      </w:r>
    </w:p>
    <w:p w14:paraId="243749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jc w:val="both"/>
        <w:textAlignment w:val="baseline"/>
        <w:rPr>
          <w:rFonts w:ascii="宋体" w:hAnsi="宋体" w:eastAsia="宋体" w:cs="宋体"/>
          <w:color w:val="auto"/>
          <w:sz w:val="21"/>
          <w:szCs w:val="21"/>
        </w:rPr>
      </w:pPr>
      <w:r>
        <w:rPr>
          <w:rFonts w:ascii="宋体" w:hAnsi="宋体" w:eastAsia="宋体" w:cs="宋体"/>
          <w:color w:val="auto"/>
          <w:spacing w:val="-2"/>
          <w:sz w:val="21"/>
          <w:szCs w:val="21"/>
        </w:rPr>
        <w:t>（3）具体、明确的质疑事项和与质疑事项相关的请求；</w:t>
      </w:r>
    </w:p>
    <w:p w14:paraId="58BF518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0" w:firstLineChars="200"/>
        <w:jc w:val="both"/>
        <w:textAlignment w:val="baseline"/>
        <w:rPr>
          <w:rFonts w:ascii="宋体" w:hAnsi="宋体" w:eastAsia="宋体" w:cs="宋体"/>
          <w:color w:val="auto"/>
          <w:sz w:val="21"/>
          <w:szCs w:val="21"/>
        </w:rPr>
      </w:pPr>
      <w:r>
        <w:rPr>
          <w:rFonts w:ascii="宋体" w:hAnsi="宋体" w:eastAsia="宋体" w:cs="宋体"/>
          <w:color w:val="auto"/>
          <w:spacing w:val="-5"/>
          <w:sz w:val="21"/>
          <w:szCs w:val="21"/>
        </w:rPr>
        <w:t>（4）事实依据；</w:t>
      </w:r>
    </w:p>
    <w:p w14:paraId="215B2C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both"/>
        <w:textAlignment w:val="baseline"/>
        <w:rPr>
          <w:rFonts w:ascii="宋体" w:hAnsi="宋体" w:eastAsia="宋体" w:cs="宋体"/>
          <w:color w:val="auto"/>
          <w:sz w:val="21"/>
          <w:szCs w:val="21"/>
        </w:rPr>
      </w:pPr>
      <w:r>
        <w:rPr>
          <w:rFonts w:ascii="宋体" w:hAnsi="宋体" w:eastAsia="宋体" w:cs="宋体"/>
          <w:color w:val="auto"/>
          <w:spacing w:val="-4"/>
          <w:sz w:val="21"/>
          <w:szCs w:val="21"/>
        </w:rPr>
        <w:t>（5）必要的法律依据；</w:t>
      </w:r>
    </w:p>
    <w:p w14:paraId="5047E4B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8" w:firstLineChars="200"/>
        <w:jc w:val="both"/>
        <w:textAlignment w:val="baseline"/>
        <w:rPr>
          <w:rFonts w:ascii="宋体" w:hAnsi="宋体" w:eastAsia="宋体" w:cs="宋体"/>
          <w:color w:val="auto"/>
          <w:sz w:val="21"/>
          <w:szCs w:val="21"/>
        </w:rPr>
      </w:pPr>
      <w:r>
        <w:rPr>
          <w:rFonts w:ascii="宋体" w:hAnsi="宋体" w:eastAsia="宋体" w:cs="宋体"/>
          <w:color w:val="auto"/>
          <w:spacing w:val="-3"/>
          <w:sz w:val="21"/>
          <w:szCs w:val="21"/>
        </w:rPr>
        <w:t>（6）提出质疑的日期。</w:t>
      </w:r>
    </w:p>
    <w:p w14:paraId="642998F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jc w:val="both"/>
        <w:textAlignment w:val="baseline"/>
        <w:rPr>
          <w:rFonts w:ascii="宋体" w:hAnsi="宋体" w:eastAsia="宋体" w:cs="宋体"/>
          <w:color w:val="auto"/>
          <w:sz w:val="21"/>
          <w:szCs w:val="21"/>
        </w:rPr>
      </w:pPr>
      <w:r>
        <w:rPr>
          <w:rFonts w:ascii="宋体" w:hAnsi="宋体" w:eastAsia="宋体" w:cs="宋体"/>
          <w:color w:val="auto"/>
          <w:spacing w:val="2"/>
          <w:sz w:val="21"/>
          <w:szCs w:val="21"/>
        </w:rPr>
        <w:t>供应商为自然人的，应当由本人签字；供应商为法人或者其他组织的，应当由法定代表</w:t>
      </w:r>
      <w:r>
        <w:rPr>
          <w:rFonts w:ascii="宋体" w:hAnsi="宋体" w:eastAsia="宋体" w:cs="宋体"/>
          <w:color w:val="auto"/>
          <w:sz w:val="21"/>
          <w:szCs w:val="21"/>
        </w:rPr>
        <w:t>人、主要负责人，或者其委托代理人签字或者盖章，</w:t>
      </w:r>
      <w:r>
        <w:rPr>
          <w:rFonts w:ascii="宋体" w:hAnsi="宋体" w:eastAsia="宋体" w:cs="宋体"/>
          <w:color w:val="auto"/>
          <w:spacing w:val="-1"/>
          <w:sz w:val="21"/>
          <w:szCs w:val="21"/>
        </w:rPr>
        <w:t>并加盖公章。</w:t>
      </w:r>
    </w:p>
    <w:p w14:paraId="10CE5D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ascii="宋体" w:hAnsi="宋体" w:eastAsia="宋体" w:cs="宋体"/>
          <w:color w:val="auto"/>
          <w:sz w:val="21"/>
          <w:szCs w:val="21"/>
        </w:rPr>
      </w:pPr>
      <w:r>
        <w:rPr>
          <w:rFonts w:ascii="宋体" w:hAnsi="宋体" w:eastAsia="宋体" w:cs="宋体"/>
          <w:color w:val="auto"/>
          <w:sz w:val="21"/>
          <w:szCs w:val="21"/>
        </w:rPr>
        <w:t>38.4 采购人、采购代理机构认为供应商质疑不成立，或者成立但未</w:t>
      </w:r>
      <w:r>
        <w:rPr>
          <w:rFonts w:ascii="宋体" w:hAnsi="宋体" w:eastAsia="宋体" w:cs="宋体"/>
          <w:color w:val="auto"/>
          <w:spacing w:val="-1"/>
          <w:sz w:val="21"/>
          <w:szCs w:val="21"/>
        </w:rPr>
        <w:t>对中标结果构成影响</w:t>
      </w:r>
      <w:r>
        <w:rPr>
          <w:rFonts w:ascii="宋体" w:hAnsi="宋体" w:eastAsia="宋体" w:cs="宋体"/>
          <w:color w:val="auto"/>
          <w:spacing w:val="2"/>
          <w:sz w:val="21"/>
          <w:szCs w:val="21"/>
        </w:rPr>
        <w:t>的，继续开展采购活动；认为供应商质疑成立且影响或者可能影响中标结果的，按照下列情</w:t>
      </w:r>
      <w:r>
        <w:rPr>
          <w:rFonts w:ascii="宋体" w:hAnsi="宋体" w:eastAsia="宋体" w:cs="宋体"/>
          <w:color w:val="auto"/>
          <w:spacing w:val="-2"/>
          <w:sz w:val="21"/>
          <w:szCs w:val="21"/>
        </w:rPr>
        <w:t>况处理：</w:t>
      </w:r>
    </w:p>
    <w:p w14:paraId="60F3D2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jc w:val="both"/>
        <w:textAlignment w:val="baseline"/>
        <w:rPr>
          <w:rFonts w:ascii="宋体" w:hAnsi="宋体" w:eastAsia="宋体" w:cs="宋体"/>
          <w:color w:val="auto"/>
          <w:sz w:val="21"/>
          <w:szCs w:val="21"/>
        </w:rPr>
      </w:pPr>
      <w:r>
        <w:rPr>
          <w:rFonts w:ascii="宋体" w:hAnsi="宋体" w:eastAsia="宋体" w:cs="宋体"/>
          <w:color w:val="auto"/>
          <w:spacing w:val="2"/>
          <w:sz w:val="21"/>
          <w:szCs w:val="21"/>
        </w:rPr>
        <w:t>（一）对招标文件提出的质疑，依法通过澄清或者修改可以继续开展采购活动的，澄清</w:t>
      </w:r>
      <w:r>
        <w:rPr>
          <w:rFonts w:ascii="宋体" w:hAnsi="宋体" w:eastAsia="宋体" w:cs="宋体"/>
          <w:color w:val="auto"/>
          <w:sz w:val="21"/>
          <w:szCs w:val="21"/>
        </w:rPr>
        <w:t>或者修改招标文件后继续开展采购活动；否</w:t>
      </w:r>
      <w:r>
        <w:rPr>
          <w:rFonts w:ascii="宋体" w:hAnsi="宋体" w:eastAsia="宋体" w:cs="宋体"/>
          <w:color w:val="auto"/>
          <w:spacing w:val="-1"/>
          <w:sz w:val="21"/>
          <w:szCs w:val="21"/>
        </w:rPr>
        <w:t>则应当修改招标文件后重新开展采购活动。</w:t>
      </w:r>
    </w:p>
    <w:p w14:paraId="0208B6C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jc w:val="both"/>
        <w:textAlignment w:val="baseline"/>
        <w:rPr>
          <w:rFonts w:ascii="宋体" w:hAnsi="宋体" w:eastAsia="宋体" w:cs="宋体"/>
          <w:color w:val="auto"/>
          <w:sz w:val="21"/>
          <w:szCs w:val="21"/>
        </w:rPr>
      </w:pPr>
      <w:r>
        <w:rPr>
          <w:rFonts w:ascii="宋体" w:hAnsi="宋体" w:eastAsia="宋体" w:cs="宋体"/>
          <w:color w:val="auto"/>
          <w:spacing w:val="2"/>
          <w:sz w:val="21"/>
          <w:szCs w:val="21"/>
        </w:rPr>
        <w:t>（二）对采购过程、中标结果提出的质疑，合格供应商符合法定数量时，可以从合格的中标候选人中另行确定中标供应商的，应当依法另行确定中标供应商；否则应当重新开展采</w:t>
      </w:r>
      <w:r>
        <w:rPr>
          <w:rFonts w:ascii="宋体" w:hAnsi="宋体" w:eastAsia="宋体" w:cs="宋体"/>
          <w:color w:val="auto"/>
          <w:spacing w:val="-1"/>
          <w:sz w:val="21"/>
          <w:szCs w:val="21"/>
        </w:rPr>
        <w:t>购活动。</w:t>
      </w:r>
    </w:p>
    <w:p w14:paraId="1756074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9"/>
        <w:jc w:val="both"/>
        <w:textAlignment w:val="baseline"/>
        <w:rPr>
          <w:rFonts w:ascii="宋体" w:hAnsi="宋体" w:eastAsia="宋体" w:cs="宋体"/>
          <w:color w:val="auto"/>
          <w:sz w:val="21"/>
          <w:szCs w:val="21"/>
        </w:rPr>
      </w:pPr>
      <w:r>
        <w:rPr>
          <w:rFonts w:ascii="宋体" w:hAnsi="宋体" w:eastAsia="宋体" w:cs="宋体"/>
          <w:color w:val="auto"/>
          <w:spacing w:val="2"/>
          <w:sz w:val="21"/>
          <w:szCs w:val="21"/>
        </w:rPr>
        <w:t>质疑答复导致中标结果改变的，采购人或者采购代理机构应当将有关情况书面报告本级</w:t>
      </w:r>
      <w:r>
        <w:rPr>
          <w:rFonts w:ascii="宋体" w:hAnsi="宋体" w:eastAsia="宋体" w:cs="宋体"/>
          <w:color w:val="auto"/>
          <w:spacing w:val="-2"/>
          <w:sz w:val="21"/>
          <w:szCs w:val="21"/>
        </w:rPr>
        <w:t>财政部门。</w:t>
      </w:r>
    </w:p>
    <w:p w14:paraId="66F645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4"/>
        <w:textAlignment w:val="baseline"/>
        <w:rPr>
          <w:rFonts w:ascii="Arial"/>
          <w:color w:val="auto"/>
          <w:sz w:val="21"/>
        </w:rPr>
      </w:pPr>
      <w:r>
        <w:rPr>
          <w:rFonts w:ascii="宋体" w:hAnsi="宋体" w:eastAsia="宋体" w:cs="宋体"/>
          <w:color w:val="auto"/>
          <w:sz w:val="21"/>
          <w:szCs w:val="21"/>
        </w:rPr>
        <w:t>38.5 质疑供应商对采购人、采购代理机构的答复不满意，或者采</w:t>
      </w:r>
      <w:r>
        <w:rPr>
          <w:rFonts w:ascii="宋体" w:hAnsi="宋体" w:eastAsia="宋体" w:cs="宋体"/>
          <w:color w:val="auto"/>
          <w:spacing w:val="-1"/>
          <w:sz w:val="21"/>
          <w:szCs w:val="21"/>
        </w:rPr>
        <w:t>购人、采购代理机构未在规定时间内作出答复的，可以在答复期满后15个工作日内向《政府采购质疑和投诉</w:t>
      </w:r>
      <w:r>
        <w:rPr>
          <w:rFonts w:ascii="宋体" w:hAnsi="宋体" w:eastAsia="宋体" w:cs="宋体"/>
          <w:color w:val="auto"/>
          <w:spacing w:val="-2"/>
          <w:sz w:val="21"/>
          <w:szCs w:val="21"/>
        </w:rPr>
        <w:t>办法》</w:t>
      </w:r>
      <w:r>
        <w:rPr>
          <w:rFonts w:ascii="宋体" w:hAnsi="宋体" w:eastAsia="宋体" w:cs="宋体"/>
          <w:color w:val="auto"/>
          <w:spacing w:val="-1"/>
          <w:sz w:val="21"/>
          <w:szCs w:val="21"/>
        </w:rPr>
        <w:t>（财政部令第94号）第六条规定的财政部门提起投诉（投</w:t>
      </w:r>
      <w:r>
        <w:rPr>
          <w:rFonts w:ascii="宋体" w:hAnsi="宋体" w:eastAsia="宋体" w:cs="宋体"/>
          <w:color w:val="auto"/>
          <w:spacing w:val="-2"/>
          <w:sz w:val="21"/>
          <w:szCs w:val="21"/>
        </w:rPr>
        <w:t>诉书格式后附）。</w:t>
      </w:r>
    </w:p>
    <w:p w14:paraId="448DB548">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360" w:lineRule="auto"/>
        <w:ind w:left="0"/>
        <w:jc w:val="center"/>
        <w:textAlignment w:val="baseline"/>
        <w:outlineLvl w:val="1"/>
        <w:rPr>
          <w:rFonts w:ascii="宋体" w:hAnsi="宋体" w:eastAsia="宋体" w:cs="宋体"/>
          <w:color w:val="auto"/>
          <w:sz w:val="31"/>
          <w:szCs w:val="31"/>
        </w:rPr>
      </w:pPr>
      <w:r>
        <w:rPr>
          <w:rFonts w:ascii="宋体" w:hAnsi="宋体" w:eastAsia="宋体" w:cs="宋体"/>
          <w:b/>
          <w:bCs/>
          <w:color w:val="auto"/>
          <w:spacing w:val="5"/>
          <w:sz w:val="31"/>
          <w:szCs w:val="31"/>
        </w:rPr>
        <w:t>八、其他事项</w:t>
      </w:r>
    </w:p>
    <w:p w14:paraId="7A1B3495">
      <w:pPr>
        <w:spacing w:line="243" w:lineRule="auto"/>
        <w:rPr>
          <w:rFonts w:ascii="Arial"/>
          <w:color w:val="auto"/>
          <w:sz w:val="21"/>
        </w:rPr>
      </w:pPr>
    </w:p>
    <w:p w14:paraId="435443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3"/>
          <w:sz w:val="24"/>
          <w:szCs w:val="24"/>
        </w:rPr>
        <w:t>39.代理服务费</w:t>
      </w:r>
    </w:p>
    <w:p w14:paraId="21F37F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39.1 代理服务收取标准及缴费账户详见“投标人须知前附表”，</w:t>
      </w:r>
      <w:r>
        <w:rPr>
          <w:rFonts w:ascii="宋体" w:hAnsi="宋体" w:eastAsia="宋体" w:cs="宋体"/>
          <w:color w:val="auto"/>
          <w:spacing w:val="-1"/>
          <w:sz w:val="21"/>
          <w:szCs w:val="21"/>
        </w:rPr>
        <w:t>投标人为联合体的，可</w:t>
      </w:r>
      <w:r>
        <w:rPr>
          <w:rFonts w:ascii="宋体" w:hAnsi="宋体" w:eastAsia="宋体" w:cs="宋体"/>
          <w:color w:val="auto"/>
          <w:spacing w:val="-2"/>
          <w:sz w:val="21"/>
          <w:szCs w:val="21"/>
        </w:rPr>
        <w:t>以由联合体中的一方或者多方共同交纳代理服务费。</w:t>
      </w:r>
    </w:p>
    <w:p w14:paraId="48441E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outlineLvl w:val="3"/>
        <w:rPr>
          <w:color w:val="auto"/>
        </w:rPr>
      </w:pPr>
      <w:r>
        <w:rPr>
          <w:rFonts w:ascii="宋体" w:hAnsi="宋体" w:eastAsia="宋体" w:cs="宋体"/>
          <w:color w:val="auto"/>
          <w:spacing w:val="-2"/>
          <w:sz w:val="21"/>
          <w:szCs w:val="21"/>
        </w:rPr>
        <w:t>39.2</w:t>
      </w:r>
      <w:r>
        <w:rPr>
          <w:rFonts w:ascii="宋体" w:hAnsi="宋体" w:eastAsia="宋体" w:cs="宋体"/>
          <w:color w:val="auto"/>
          <w:spacing w:val="-38"/>
          <w:sz w:val="21"/>
          <w:szCs w:val="21"/>
        </w:rPr>
        <w:t xml:space="preserve"> </w:t>
      </w:r>
      <w:r>
        <w:rPr>
          <w:rFonts w:ascii="宋体" w:hAnsi="宋体" w:eastAsia="宋体" w:cs="宋体"/>
          <w:color w:val="auto"/>
          <w:spacing w:val="-2"/>
          <w:sz w:val="21"/>
          <w:szCs w:val="21"/>
        </w:rPr>
        <w:t>代理服务收费标准：</w:t>
      </w:r>
    </w:p>
    <w:tbl>
      <w:tblPr>
        <w:tblStyle w:val="24"/>
        <w:tblW w:w="8483" w:type="dxa"/>
        <w:tblInd w:w="4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74"/>
        <w:gridCol w:w="1657"/>
        <w:gridCol w:w="1687"/>
        <w:gridCol w:w="1665"/>
      </w:tblGrid>
      <w:tr w14:paraId="0C52B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8" w:hRule="atLeast"/>
        </w:trPr>
        <w:tc>
          <w:tcPr>
            <w:tcW w:w="3474" w:type="dxa"/>
            <w:tcBorders>
              <w:tl2br w:val="single" w:color="000000" w:sz="2" w:space="0"/>
            </w:tcBorders>
            <w:vAlign w:val="top"/>
          </w:tcPr>
          <w:p w14:paraId="5938428B">
            <w:pPr>
              <w:pStyle w:val="25"/>
              <w:spacing w:before="33" w:line="221" w:lineRule="auto"/>
              <w:ind w:left="1702"/>
              <w:rPr>
                <w:color w:val="auto"/>
              </w:rPr>
            </w:pPr>
            <w:r>
              <w:rPr>
                <w:color w:val="auto"/>
                <w:spacing w:val="-5"/>
              </w:rPr>
              <w:t>费率</w:t>
            </w:r>
          </w:p>
          <w:p w14:paraId="68452319">
            <w:pPr>
              <w:pStyle w:val="25"/>
              <w:spacing w:before="159" w:line="221" w:lineRule="auto"/>
              <w:ind w:left="133"/>
              <w:rPr>
                <w:color w:val="auto"/>
              </w:rPr>
            </w:pPr>
            <w:r>
              <w:rPr>
                <w:color w:val="auto"/>
                <w:spacing w:val="-7"/>
              </w:rPr>
              <w:t>中标金额</w:t>
            </w:r>
          </w:p>
        </w:tc>
        <w:tc>
          <w:tcPr>
            <w:tcW w:w="1657" w:type="dxa"/>
            <w:vAlign w:val="top"/>
          </w:tcPr>
          <w:p w14:paraId="5A8ED2D8">
            <w:pPr>
              <w:pStyle w:val="25"/>
              <w:spacing w:before="238" w:line="220" w:lineRule="auto"/>
              <w:ind w:left="471"/>
              <w:rPr>
                <w:color w:val="auto"/>
              </w:rPr>
            </w:pPr>
            <w:r>
              <w:rPr>
                <w:color w:val="auto"/>
                <w:spacing w:val="-3"/>
              </w:rPr>
              <w:t>货物招标</w:t>
            </w:r>
          </w:p>
        </w:tc>
        <w:tc>
          <w:tcPr>
            <w:tcW w:w="1687" w:type="dxa"/>
            <w:vAlign w:val="top"/>
          </w:tcPr>
          <w:p w14:paraId="099426DA">
            <w:pPr>
              <w:pStyle w:val="25"/>
              <w:spacing w:before="237" w:line="221" w:lineRule="auto"/>
              <w:ind w:left="429"/>
              <w:rPr>
                <w:color w:val="auto"/>
              </w:rPr>
            </w:pPr>
            <w:r>
              <w:rPr>
                <w:color w:val="auto"/>
                <w:spacing w:val="-2"/>
              </w:rPr>
              <w:t>服务招标</w:t>
            </w:r>
          </w:p>
        </w:tc>
        <w:tc>
          <w:tcPr>
            <w:tcW w:w="1665" w:type="dxa"/>
            <w:vAlign w:val="top"/>
          </w:tcPr>
          <w:p w14:paraId="456C5030">
            <w:pPr>
              <w:pStyle w:val="25"/>
              <w:spacing w:before="238" w:line="221" w:lineRule="auto"/>
              <w:ind w:left="418"/>
              <w:rPr>
                <w:color w:val="auto"/>
              </w:rPr>
            </w:pPr>
            <w:r>
              <w:rPr>
                <w:color w:val="auto"/>
                <w:spacing w:val="-2"/>
              </w:rPr>
              <w:t>工程招标</w:t>
            </w:r>
          </w:p>
        </w:tc>
      </w:tr>
      <w:tr w14:paraId="29698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3474" w:type="dxa"/>
            <w:vAlign w:val="top"/>
          </w:tcPr>
          <w:p w14:paraId="5941CF62">
            <w:pPr>
              <w:pStyle w:val="25"/>
              <w:spacing w:before="30" w:line="221" w:lineRule="auto"/>
              <w:ind w:left="129"/>
              <w:rPr>
                <w:color w:val="auto"/>
              </w:rPr>
            </w:pPr>
            <w:r>
              <w:rPr>
                <w:color w:val="auto"/>
                <w:spacing w:val="-5"/>
              </w:rPr>
              <w:t>100</w:t>
            </w:r>
            <w:r>
              <w:rPr>
                <w:color w:val="auto"/>
                <w:spacing w:val="-39"/>
              </w:rPr>
              <w:t xml:space="preserve"> </w:t>
            </w:r>
            <w:r>
              <w:rPr>
                <w:color w:val="auto"/>
                <w:spacing w:val="-5"/>
              </w:rPr>
              <w:t>万元以下</w:t>
            </w:r>
          </w:p>
        </w:tc>
        <w:tc>
          <w:tcPr>
            <w:tcW w:w="1657" w:type="dxa"/>
            <w:vAlign w:val="top"/>
          </w:tcPr>
          <w:p w14:paraId="4B2AD413">
            <w:pPr>
              <w:pStyle w:val="25"/>
              <w:spacing w:before="64" w:line="183" w:lineRule="auto"/>
              <w:ind w:left="340"/>
              <w:rPr>
                <w:color w:val="auto"/>
              </w:rPr>
            </w:pPr>
            <w:r>
              <w:rPr>
                <w:color w:val="auto"/>
                <w:spacing w:val="-4"/>
              </w:rPr>
              <w:t>1.5%</w:t>
            </w:r>
          </w:p>
        </w:tc>
        <w:tc>
          <w:tcPr>
            <w:tcW w:w="1687" w:type="dxa"/>
            <w:vAlign w:val="top"/>
          </w:tcPr>
          <w:p w14:paraId="21E75A65">
            <w:pPr>
              <w:pStyle w:val="25"/>
              <w:spacing w:before="64" w:line="183" w:lineRule="auto"/>
              <w:ind w:left="341"/>
              <w:rPr>
                <w:color w:val="auto"/>
              </w:rPr>
            </w:pPr>
            <w:r>
              <w:rPr>
                <w:color w:val="auto"/>
                <w:spacing w:val="-4"/>
              </w:rPr>
              <w:t>1.5%</w:t>
            </w:r>
          </w:p>
        </w:tc>
        <w:tc>
          <w:tcPr>
            <w:tcW w:w="1665" w:type="dxa"/>
            <w:vAlign w:val="top"/>
          </w:tcPr>
          <w:p w14:paraId="68A8A427">
            <w:pPr>
              <w:pStyle w:val="25"/>
              <w:spacing w:before="64" w:line="183" w:lineRule="auto"/>
              <w:ind w:left="342"/>
              <w:rPr>
                <w:color w:val="auto"/>
              </w:rPr>
            </w:pPr>
            <w:r>
              <w:rPr>
                <w:color w:val="auto"/>
                <w:spacing w:val="-5"/>
              </w:rPr>
              <w:t>1.0%</w:t>
            </w:r>
          </w:p>
        </w:tc>
      </w:tr>
      <w:tr w14:paraId="63DED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474" w:type="dxa"/>
            <w:vAlign w:val="top"/>
          </w:tcPr>
          <w:p w14:paraId="38F921BD">
            <w:pPr>
              <w:pStyle w:val="25"/>
              <w:spacing w:before="30" w:line="221" w:lineRule="auto"/>
              <w:ind w:left="129"/>
              <w:rPr>
                <w:color w:val="auto"/>
              </w:rPr>
            </w:pPr>
            <w:r>
              <w:rPr>
                <w:color w:val="auto"/>
                <w:spacing w:val="-4"/>
              </w:rPr>
              <w:t>100～500</w:t>
            </w:r>
            <w:r>
              <w:rPr>
                <w:color w:val="auto"/>
                <w:spacing w:val="-39"/>
              </w:rPr>
              <w:t xml:space="preserve"> </w:t>
            </w:r>
            <w:r>
              <w:rPr>
                <w:color w:val="auto"/>
                <w:spacing w:val="-4"/>
              </w:rPr>
              <w:t>万元</w:t>
            </w:r>
          </w:p>
        </w:tc>
        <w:tc>
          <w:tcPr>
            <w:tcW w:w="1657" w:type="dxa"/>
            <w:vAlign w:val="top"/>
          </w:tcPr>
          <w:p w14:paraId="2270FF30">
            <w:pPr>
              <w:pStyle w:val="25"/>
              <w:spacing w:before="64" w:line="183" w:lineRule="auto"/>
              <w:ind w:left="340"/>
              <w:rPr>
                <w:color w:val="auto"/>
              </w:rPr>
            </w:pPr>
            <w:r>
              <w:rPr>
                <w:color w:val="auto"/>
                <w:spacing w:val="-3"/>
              </w:rPr>
              <w:t>1.1%</w:t>
            </w:r>
          </w:p>
        </w:tc>
        <w:tc>
          <w:tcPr>
            <w:tcW w:w="1687" w:type="dxa"/>
            <w:vAlign w:val="top"/>
          </w:tcPr>
          <w:p w14:paraId="33DD03C4">
            <w:pPr>
              <w:pStyle w:val="25"/>
              <w:spacing w:before="65" w:line="182" w:lineRule="auto"/>
              <w:ind w:left="327"/>
              <w:rPr>
                <w:color w:val="auto"/>
              </w:rPr>
            </w:pPr>
            <w:r>
              <w:rPr>
                <w:color w:val="auto"/>
                <w:spacing w:val="-1"/>
              </w:rPr>
              <w:t>0.8%</w:t>
            </w:r>
          </w:p>
        </w:tc>
        <w:tc>
          <w:tcPr>
            <w:tcW w:w="1665" w:type="dxa"/>
            <w:vAlign w:val="top"/>
          </w:tcPr>
          <w:p w14:paraId="13F90A38">
            <w:pPr>
              <w:pStyle w:val="25"/>
              <w:spacing w:before="65" w:line="182" w:lineRule="auto"/>
              <w:ind w:left="328"/>
              <w:rPr>
                <w:color w:val="auto"/>
              </w:rPr>
            </w:pPr>
            <w:r>
              <w:rPr>
                <w:color w:val="auto"/>
                <w:spacing w:val="-1"/>
              </w:rPr>
              <w:t>0.7%</w:t>
            </w:r>
          </w:p>
        </w:tc>
      </w:tr>
      <w:tr w14:paraId="0F85D6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3474" w:type="dxa"/>
            <w:vAlign w:val="top"/>
          </w:tcPr>
          <w:p w14:paraId="3841D16E">
            <w:pPr>
              <w:pStyle w:val="25"/>
              <w:spacing w:before="30" w:line="221" w:lineRule="auto"/>
              <w:ind w:left="117"/>
              <w:rPr>
                <w:color w:val="auto"/>
              </w:rPr>
            </w:pPr>
            <w:r>
              <w:rPr>
                <w:color w:val="auto"/>
                <w:spacing w:val="-2"/>
              </w:rPr>
              <w:t>500～1000</w:t>
            </w:r>
            <w:r>
              <w:rPr>
                <w:color w:val="auto"/>
                <w:spacing w:val="-38"/>
              </w:rPr>
              <w:t xml:space="preserve"> </w:t>
            </w:r>
            <w:r>
              <w:rPr>
                <w:color w:val="auto"/>
                <w:spacing w:val="-2"/>
              </w:rPr>
              <w:t>万元</w:t>
            </w:r>
          </w:p>
        </w:tc>
        <w:tc>
          <w:tcPr>
            <w:tcW w:w="1657" w:type="dxa"/>
            <w:vAlign w:val="top"/>
          </w:tcPr>
          <w:p w14:paraId="24CD1207">
            <w:pPr>
              <w:pStyle w:val="25"/>
              <w:spacing w:before="65" w:line="182" w:lineRule="auto"/>
              <w:ind w:left="326"/>
              <w:rPr>
                <w:color w:val="auto"/>
              </w:rPr>
            </w:pPr>
            <w:r>
              <w:rPr>
                <w:color w:val="auto"/>
                <w:spacing w:val="-2"/>
              </w:rPr>
              <w:t>0.8%</w:t>
            </w:r>
          </w:p>
        </w:tc>
        <w:tc>
          <w:tcPr>
            <w:tcW w:w="1687" w:type="dxa"/>
            <w:vAlign w:val="top"/>
          </w:tcPr>
          <w:p w14:paraId="3E7C8E57">
            <w:pPr>
              <w:pStyle w:val="25"/>
              <w:spacing w:before="65" w:line="182" w:lineRule="auto"/>
              <w:ind w:left="327"/>
              <w:rPr>
                <w:color w:val="auto"/>
              </w:rPr>
            </w:pPr>
            <w:r>
              <w:rPr>
                <w:color w:val="auto"/>
                <w:spacing w:val="-2"/>
              </w:rPr>
              <w:t>0.45%</w:t>
            </w:r>
          </w:p>
        </w:tc>
        <w:tc>
          <w:tcPr>
            <w:tcW w:w="1665" w:type="dxa"/>
            <w:vAlign w:val="top"/>
          </w:tcPr>
          <w:p w14:paraId="53A1DC23">
            <w:pPr>
              <w:pStyle w:val="25"/>
              <w:spacing w:before="65" w:line="182" w:lineRule="auto"/>
              <w:ind w:left="328"/>
              <w:rPr>
                <w:color w:val="auto"/>
              </w:rPr>
            </w:pPr>
            <w:r>
              <w:rPr>
                <w:color w:val="auto"/>
                <w:spacing w:val="-2"/>
              </w:rPr>
              <w:t>0.55%</w:t>
            </w:r>
          </w:p>
        </w:tc>
      </w:tr>
      <w:tr w14:paraId="2FDBE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3474" w:type="dxa"/>
            <w:vAlign w:val="top"/>
          </w:tcPr>
          <w:p w14:paraId="098CF3BC">
            <w:pPr>
              <w:pStyle w:val="25"/>
              <w:spacing w:before="31" w:line="221" w:lineRule="auto"/>
              <w:ind w:left="129"/>
              <w:rPr>
                <w:color w:val="auto"/>
              </w:rPr>
            </w:pPr>
            <w:r>
              <w:rPr>
                <w:color w:val="auto"/>
                <w:spacing w:val="-3"/>
              </w:rPr>
              <w:t>1000～5000</w:t>
            </w:r>
            <w:r>
              <w:rPr>
                <w:color w:val="auto"/>
                <w:spacing w:val="-36"/>
              </w:rPr>
              <w:t xml:space="preserve"> </w:t>
            </w:r>
            <w:r>
              <w:rPr>
                <w:color w:val="auto"/>
                <w:spacing w:val="-3"/>
              </w:rPr>
              <w:t>万元</w:t>
            </w:r>
          </w:p>
        </w:tc>
        <w:tc>
          <w:tcPr>
            <w:tcW w:w="1657" w:type="dxa"/>
            <w:vAlign w:val="top"/>
          </w:tcPr>
          <w:p w14:paraId="5A07C80D">
            <w:pPr>
              <w:pStyle w:val="25"/>
              <w:spacing w:before="66" w:line="182" w:lineRule="auto"/>
              <w:ind w:left="326"/>
              <w:rPr>
                <w:color w:val="auto"/>
              </w:rPr>
            </w:pPr>
            <w:r>
              <w:rPr>
                <w:color w:val="auto"/>
                <w:spacing w:val="-1"/>
              </w:rPr>
              <w:t>0.5%</w:t>
            </w:r>
          </w:p>
        </w:tc>
        <w:tc>
          <w:tcPr>
            <w:tcW w:w="1687" w:type="dxa"/>
            <w:vAlign w:val="top"/>
          </w:tcPr>
          <w:p w14:paraId="4DE809D8">
            <w:pPr>
              <w:pStyle w:val="25"/>
              <w:spacing w:before="66" w:line="182" w:lineRule="auto"/>
              <w:ind w:left="327"/>
              <w:rPr>
                <w:color w:val="auto"/>
              </w:rPr>
            </w:pPr>
            <w:r>
              <w:rPr>
                <w:color w:val="auto"/>
                <w:spacing w:val="-1"/>
              </w:rPr>
              <w:t>0.25%</w:t>
            </w:r>
          </w:p>
        </w:tc>
        <w:tc>
          <w:tcPr>
            <w:tcW w:w="1665" w:type="dxa"/>
            <w:vAlign w:val="top"/>
          </w:tcPr>
          <w:p w14:paraId="04A879FB">
            <w:pPr>
              <w:pStyle w:val="25"/>
              <w:spacing w:before="66" w:line="182" w:lineRule="auto"/>
              <w:ind w:left="328"/>
              <w:rPr>
                <w:color w:val="auto"/>
              </w:rPr>
            </w:pPr>
            <w:r>
              <w:rPr>
                <w:color w:val="auto"/>
                <w:spacing w:val="-1"/>
              </w:rPr>
              <w:t>0.35%</w:t>
            </w:r>
          </w:p>
        </w:tc>
      </w:tr>
      <w:tr w14:paraId="01A78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474" w:type="dxa"/>
            <w:vAlign w:val="top"/>
          </w:tcPr>
          <w:p w14:paraId="5014A678">
            <w:pPr>
              <w:pStyle w:val="25"/>
              <w:spacing w:before="32" w:line="221" w:lineRule="auto"/>
              <w:ind w:left="117"/>
              <w:rPr>
                <w:color w:val="auto"/>
              </w:rPr>
            </w:pPr>
            <w:r>
              <w:rPr>
                <w:color w:val="auto"/>
                <w:spacing w:val="-3"/>
              </w:rPr>
              <w:t>5000</w:t>
            </w:r>
            <w:r>
              <w:rPr>
                <w:color w:val="auto"/>
                <w:spacing w:val="-38"/>
              </w:rPr>
              <w:t xml:space="preserve"> </w:t>
            </w:r>
            <w:r>
              <w:rPr>
                <w:color w:val="auto"/>
                <w:spacing w:val="-3"/>
              </w:rPr>
              <w:t>万元～1</w:t>
            </w:r>
            <w:r>
              <w:rPr>
                <w:color w:val="auto"/>
                <w:spacing w:val="-43"/>
              </w:rPr>
              <w:t xml:space="preserve"> </w:t>
            </w:r>
            <w:r>
              <w:rPr>
                <w:color w:val="auto"/>
                <w:spacing w:val="-3"/>
              </w:rPr>
              <w:t>亿元</w:t>
            </w:r>
          </w:p>
        </w:tc>
        <w:tc>
          <w:tcPr>
            <w:tcW w:w="1657" w:type="dxa"/>
            <w:vAlign w:val="top"/>
          </w:tcPr>
          <w:p w14:paraId="609CD5D2">
            <w:pPr>
              <w:pStyle w:val="25"/>
              <w:spacing w:before="67" w:line="182" w:lineRule="auto"/>
              <w:ind w:left="326"/>
              <w:rPr>
                <w:color w:val="auto"/>
              </w:rPr>
            </w:pPr>
            <w:r>
              <w:rPr>
                <w:color w:val="auto"/>
                <w:spacing w:val="-1"/>
              </w:rPr>
              <w:t>0.25%</w:t>
            </w:r>
          </w:p>
        </w:tc>
        <w:tc>
          <w:tcPr>
            <w:tcW w:w="1687" w:type="dxa"/>
            <w:vAlign w:val="top"/>
          </w:tcPr>
          <w:p w14:paraId="7AA81E0F">
            <w:pPr>
              <w:pStyle w:val="25"/>
              <w:spacing w:before="66" w:line="183" w:lineRule="auto"/>
              <w:ind w:left="327"/>
              <w:rPr>
                <w:color w:val="auto"/>
              </w:rPr>
            </w:pPr>
            <w:r>
              <w:rPr>
                <w:color w:val="auto"/>
              </w:rPr>
              <w:t>0.1%</w:t>
            </w:r>
          </w:p>
        </w:tc>
        <w:tc>
          <w:tcPr>
            <w:tcW w:w="1665" w:type="dxa"/>
            <w:vAlign w:val="top"/>
          </w:tcPr>
          <w:p w14:paraId="4CEED272">
            <w:pPr>
              <w:pStyle w:val="25"/>
              <w:spacing w:before="67" w:line="182" w:lineRule="auto"/>
              <w:ind w:left="328"/>
              <w:rPr>
                <w:color w:val="auto"/>
              </w:rPr>
            </w:pPr>
            <w:r>
              <w:rPr>
                <w:color w:val="auto"/>
                <w:spacing w:val="-1"/>
              </w:rPr>
              <w:t>0.2%</w:t>
            </w:r>
          </w:p>
        </w:tc>
      </w:tr>
      <w:tr w14:paraId="330DE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3474" w:type="dxa"/>
            <w:vAlign w:val="top"/>
          </w:tcPr>
          <w:p w14:paraId="572D1768">
            <w:pPr>
              <w:pStyle w:val="25"/>
              <w:spacing w:before="32" w:line="221" w:lineRule="auto"/>
              <w:ind w:left="129"/>
              <w:rPr>
                <w:color w:val="auto"/>
              </w:rPr>
            </w:pPr>
            <w:r>
              <w:rPr>
                <w:color w:val="auto"/>
                <w:spacing w:val="-5"/>
              </w:rPr>
              <w:t>1～5</w:t>
            </w:r>
            <w:r>
              <w:rPr>
                <w:color w:val="auto"/>
                <w:spacing w:val="-46"/>
              </w:rPr>
              <w:t xml:space="preserve"> </w:t>
            </w:r>
            <w:r>
              <w:rPr>
                <w:color w:val="auto"/>
                <w:spacing w:val="-5"/>
              </w:rPr>
              <w:t>亿元</w:t>
            </w:r>
          </w:p>
        </w:tc>
        <w:tc>
          <w:tcPr>
            <w:tcW w:w="1657" w:type="dxa"/>
            <w:vAlign w:val="top"/>
          </w:tcPr>
          <w:p w14:paraId="2F5AA3A5">
            <w:pPr>
              <w:pStyle w:val="25"/>
              <w:spacing w:before="67" w:line="182" w:lineRule="auto"/>
              <w:ind w:left="326"/>
              <w:rPr>
                <w:color w:val="auto"/>
              </w:rPr>
            </w:pPr>
            <w:r>
              <w:rPr>
                <w:color w:val="auto"/>
                <w:spacing w:val="-1"/>
              </w:rPr>
              <w:t>0.05%</w:t>
            </w:r>
          </w:p>
        </w:tc>
        <w:tc>
          <w:tcPr>
            <w:tcW w:w="1687" w:type="dxa"/>
            <w:vAlign w:val="top"/>
          </w:tcPr>
          <w:p w14:paraId="26DDCC9E">
            <w:pPr>
              <w:pStyle w:val="25"/>
              <w:spacing w:before="67" w:line="182" w:lineRule="auto"/>
              <w:ind w:left="327"/>
              <w:rPr>
                <w:color w:val="auto"/>
              </w:rPr>
            </w:pPr>
            <w:r>
              <w:rPr>
                <w:color w:val="auto"/>
                <w:spacing w:val="-2"/>
              </w:rPr>
              <w:t>0.05%</w:t>
            </w:r>
          </w:p>
        </w:tc>
        <w:tc>
          <w:tcPr>
            <w:tcW w:w="1665" w:type="dxa"/>
            <w:vAlign w:val="top"/>
          </w:tcPr>
          <w:p w14:paraId="3A724194">
            <w:pPr>
              <w:pStyle w:val="25"/>
              <w:spacing w:before="67" w:line="182" w:lineRule="auto"/>
              <w:ind w:left="328"/>
              <w:rPr>
                <w:color w:val="auto"/>
              </w:rPr>
            </w:pPr>
            <w:r>
              <w:rPr>
                <w:color w:val="auto"/>
                <w:spacing w:val="-2"/>
              </w:rPr>
              <w:t>0.05%</w:t>
            </w:r>
          </w:p>
        </w:tc>
      </w:tr>
      <w:tr w14:paraId="499E7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3474" w:type="dxa"/>
            <w:vAlign w:val="top"/>
          </w:tcPr>
          <w:p w14:paraId="79CBBF1A">
            <w:pPr>
              <w:pStyle w:val="25"/>
              <w:spacing w:before="32" w:line="221" w:lineRule="auto"/>
              <w:ind w:left="117"/>
              <w:rPr>
                <w:color w:val="auto"/>
              </w:rPr>
            </w:pPr>
            <w:r>
              <w:rPr>
                <w:color w:val="auto"/>
                <w:spacing w:val="-3"/>
              </w:rPr>
              <w:t>5～10</w:t>
            </w:r>
            <w:r>
              <w:rPr>
                <w:color w:val="auto"/>
                <w:spacing w:val="-45"/>
              </w:rPr>
              <w:t xml:space="preserve"> </w:t>
            </w:r>
            <w:r>
              <w:rPr>
                <w:color w:val="auto"/>
                <w:spacing w:val="-3"/>
              </w:rPr>
              <w:t>亿元</w:t>
            </w:r>
          </w:p>
        </w:tc>
        <w:tc>
          <w:tcPr>
            <w:tcW w:w="1657" w:type="dxa"/>
            <w:vAlign w:val="top"/>
          </w:tcPr>
          <w:p w14:paraId="181A34CD">
            <w:pPr>
              <w:pStyle w:val="25"/>
              <w:spacing w:before="67" w:line="182" w:lineRule="auto"/>
              <w:ind w:left="220"/>
              <w:rPr>
                <w:color w:val="auto"/>
              </w:rPr>
            </w:pPr>
            <w:r>
              <w:rPr>
                <w:color w:val="auto"/>
                <w:spacing w:val="-1"/>
              </w:rPr>
              <w:t>0.035%</w:t>
            </w:r>
          </w:p>
        </w:tc>
        <w:tc>
          <w:tcPr>
            <w:tcW w:w="1687" w:type="dxa"/>
            <w:vAlign w:val="top"/>
          </w:tcPr>
          <w:p w14:paraId="077328AB">
            <w:pPr>
              <w:pStyle w:val="25"/>
              <w:spacing w:before="67" w:line="182" w:lineRule="auto"/>
              <w:ind w:left="327"/>
              <w:rPr>
                <w:color w:val="auto"/>
              </w:rPr>
            </w:pPr>
            <w:r>
              <w:rPr>
                <w:color w:val="auto"/>
                <w:spacing w:val="-2"/>
              </w:rPr>
              <w:t>0.035%</w:t>
            </w:r>
          </w:p>
        </w:tc>
        <w:tc>
          <w:tcPr>
            <w:tcW w:w="1665" w:type="dxa"/>
            <w:vAlign w:val="top"/>
          </w:tcPr>
          <w:p w14:paraId="22204021">
            <w:pPr>
              <w:pStyle w:val="25"/>
              <w:spacing w:before="67" w:line="182" w:lineRule="auto"/>
              <w:ind w:left="222"/>
              <w:rPr>
                <w:color w:val="auto"/>
              </w:rPr>
            </w:pPr>
            <w:r>
              <w:rPr>
                <w:color w:val="auto"/>
                <w:spacing w:val="-1"/>
              </w:rPr>
              <w:t>0.035%</w:t>
            </w:r>
          </w:p>
        </w:tc>
      </w:tr>
      <w:tr w14:paraId="350EB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474" w:type="dxa"/>
            <w:vAlign w:val="top"/>
          </w:tcPr>
          <w:p w14:paraId="739F9511">
            <w:pPr>
              <w:pStyle w:val="25"/>
              <w:spacing w:before="35" w:line="221" w:lineRule="auto"/>
              <w:ind w:left="129"/>
              <w:rPr>
                <w:color w:val="auto"/>
              </w:rPr>
            </w:pPr>
            <w:r>
              <w:rPr>
                <w:color w:val="auto"/>
                <w:spacing w:val="-4"/>
              </w:rPr>
              <w:t>10～50</w:t>
            </w:r>
            <w:r>
              <w:rPr>
                <w:color w:val="auto"/>
                <w:spacing w:val="-44"/>
              </w:rPr>
              <w:t xml:space="preserve"> </w:t>
            </w:r>
            <w:r>
              <w:rPr>
                <w:color w:val="auto"/>
                <w:spacing w:val="-4"/>
              </w:rPr>
              <w:t>亿元</w:t>
            </w:r>
          </w:p>
        </w:tc>
        <w:tc>
          <w:tcPr>
            <w:tcW w:w="1657" w:type="dxa"/>
            <w:vAlign w:val="top"/>
          </w:tcPr>
          <w:p w14:paraId="3F6D4D8C">
            <w:pPr>
              <w:pStyle w:val="25"/>
              <w:spacing w:before="70" w:line="182" w:lineRule="auto"/>
              <w:ind w:left="220"/>
              <w:rPr>
                <w:color w:val="auto"/>
              </w:rPr>
            </w:pPr>
            <w:r>
              <w:rPr>
                <w:color w:val="auto"/>
                <w:spacing w:val="-1"/>
              </w:rPr>
              <w:t>0.008%</w:t>
            </w:r>
          </w:p>
        </w:tc>
        <w:tc>
          <w:tcPr>
            <w:tcW w:w="1687" w:type="dxa"/>
            <w:vAlign w:val="top"/>
          </w:tcPr>
          <w:p w14:paraId="0A8F12D3">
            <w:pPr>
              <w:pStyle w:val="25"/>
              <w:spacing w:before="70" w:line="182" w:lineRule="auto"/>
              <w:ind w:left="327"/>
              <w:rPr>
                <w:color w:val="auto"/>
              </w:rPr>
            </w:pPr>
            <w:r>
              <w:rPr>
                <w:color w:val="auto"/>
                <w:spacing w:val="-1"/>
              </w:rPr>
              <w:t>0.008%</w:t>
            </w:r>
          </w:p>
        </w:tc>
        <w:tc>
          <w:tcPr>
            <w:tcW w:w="1665" w:type="dxa"/>
            <w:vAlign w:val="top"/>
          </w:tcPr>
          <w:p w14:paraId="2DF6CA97">
            <w:pPr>
              <w:pStyle w:val="25"/>
              <w:spacing w:before="70" w:line="182" w:lineRule="auto"/>
              <w:ind w:left="222"/>
              <w:rPr>
                <w:color w:val="auto"/>
              </w:rPr>
            </w:pPr>
            <w:r>
              <w:rPr>
                <w:color w:val="auto"/>
                <w:spacing w:val="-2"/>
              </w:rPr>
              <w:t>0.008%</w:t>
            </w:r>
          </w:p>
        </w:tc>
      </w:tr>
      <w:tr w14:paraId="3FC06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3474" w:type="dxa"/>
            <w:vAlign w:val="top"/>
          </w:tcPr>
          <w:p w14:paraId="1F147916">
            <w:pPr>
              <w:pStyle w:val="25"/>
              <w:spacing w:before="33" w:line="221" w:lineRule="auto"/>
              <w:ind w:left="117"/>
              <w:rPr>
                <w:color w:val="auto"/>
              </w:rPr>
            </w:pPr>
            <w:r>
              <w:rPr>
                <w:color w:val="auto"/>
                <w:spacing w:val="-2"/>
              </w:rPr>
              <w:t>50～100</w:t>
            </w:r>
            <w:r>
              <w:rPr>
                <w:color w:val="auto"/>
                <w:spacing w:val="-44"/>
              </w:rPr>
              <w:t xml:space="preserve"> </w:t>
            </w:r>
            <w:r>
              <w:rPr>
                <w:color w:val="auto"/>
                <w:spacing w:val="-2"/>
              </w:rPr>
              <w:t>亿元</w:t>
            </w:r>
          </w:p>
        </w:tc>
        <w:tc>
          <w:tcPr>
            <w:tcW w:w="1657" w:type="dxa"/>
            <w:vAlign w:val="top"/>
          </w:tcPr>
          <w:p w14:paraId="4991B01F">
            <w:pPr>
              <w:pStyle w:val="25"/>
              <w:spacing w:before="68" w:line="182" w:lineRule="auto"/>
              <w:ind w:left="220"/>
              <w:rPr>
                <w:color w:val="auto"/>
              </w:rPr>
            </w:pPr>
            <w:r>
              <w:rPr>
                <w:color w:val="auto"/>
                <w:spacing w:val="-2"/>
              </w:rPr>
              <w:t>0.006%</w:t>
            </w:r>
          </w:p>
        </w:tc>
        <w:tc>
          <w:tcPr>
            <w:tcW w:w="1687" w:type="dxa"/>
            <w:vAlign w:val="top"/>
          </w:tcPr>
          <w:p w14:paraId="54CF5980">
            <w:pPr>
              <w:pStyle w:val="25"/>
              <w:spacing w:before="68" w:line="182" w:lineRule="auto"/>
              <w:ind w:left="327"/>
              <w:rPr>
                <w:color w:val="auto"/>
              </w:rPr>
            </w:pPr>
            <w:r>
              <w:rPr>
                <w:color w:val="auto"/>
                <w:spacing w:val="-1"/>
              </w:rPr>
              <w:t>0.006%</w:t>
            </w:r>
          </w:p>
        </w:tc>
        <w:tc>
          <w:tcPr>
            <w:tcW w:w="1665" w:type="dxa"/>
            <w:vAlign w:val="top"/>
          </w:tcPr>
          <w:p w14:paraId="76D48196">
            <w:pPr>
              <w:pStyle w:val="25"/>
              <w:spacing w:before="68" w:line="182" w:lineRule="auto"/>
              <w:ind w:left="222"/>
              <w:rPr>
                <w:color w:val="auto"/>
              </w:rPr>
            </w:pPr>
            <w:r>
              <w:rPr>
                <w:color w:val="auto"/>
                <w:spacing w:val="-1"/>
              </w:rPr>
              <w:t>0.006%</w:t>
            </w:r>
          </w:p>
        </w:tc>
      </w:tr>
      <w:tr w14:paraId="57313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3474" w:type="dxa"/>
            <w:vAlign w:val="top"/>
          </w:tcPr>
          <w:p w14:paraId="69632BB2">
            <w:pPr>
              <w:pStyle w:val="25"/>
              <w:spacing w:before="33" w:line="222" w:lineRule="auto"/>
              <w:ind w:left="129"/>
              <w:rPr>
                <w:color w:val="auto"/>
              </w:rPr>
            </w:pPr>
            <w:r>
              <w:rPr>
                <w:color w:val="auto"/>
                <w:spacing w:val="-5"/>
              </w:rPr>
              <w:t>100</w:t>
            </w:r>
            <w:r>
              <w:rPr>
                <w:color w:val="auto"/>
                <w:spacing w:val="-44"/>
              </w:rPr>
              <w:t xml:space="preserve"> </w:t>
            </w:r>
            <w:r>
              <w:rPr>
                <w:color w:val="auto"/>
                <w:spacing w:val="-5"/>
              </w:rPr>
              <w:t>亿以上</w:t>
            </w:r>
          </w:p>
        </w:tc>
        <w:tc>
          <w:tcPr>
            <w:tcW w:w="1657" w:type="dxa"/>
            <w:vAlign w:val="top"/>
          </w:tcPr>
          <w:p w14:paraId="3EE7EF88">
            <w:pPr>
              <w:pStyle w:val="25"/>
              <w:spacing w:before="69" w:line="182" w:lineRule="auto"/>
              <w:ind w:left="220"/>
              <w:rPr>
                <w:color w:val="auto"/>
              </w:rPr>
            </w:pPr>
            <w:r>
              <w:rPr>
                <w:color w:val="auto"/>
                <w:spacing w:val="-2"/>
              </w:rPr>
              <w:t>0.004%</w:t>
            </w:r>
          </w:p>
        </w:tc>
        <w:tc>
          <w:tcPr>
            <w:tcW w:w="1687" w:type="dxa"/>
            <w:vAlign w:val="top"/>
          </w:tcPr>
          <w:p w14:paraId="46788788">
            <w:pPr>
              <w:pStyle w:val="25"/>
              <w:spacing w:before="69" w:line="182" w:lineRule="auto"/>
              <w:ind w:left="327"/>
              <w:rPr>
                <w:color w:val="auto"/>
              </w:rPr>
            </w:pPr>
            <w:r>
              <w:rPr>
                <w:color w:val="auto"/>
                <w:spacing w:val="-1"/>
              </w:rPr>
              <w:t>0.004%</w:t>
            </w:r>
          </w:p>
        </w:tc>
        <w:tc>
          <w:tcPr>
            <w:tcW w:w="1665" w:type="dxa"/>
            <w:vAlign w:val="top"/>
          </w:tcPr>
          <w:p w14:paraId="189A49A0">
            <w:pPr>
              <w:pStyle w:val="25"/>
              <w:spacing w:before="69" w:line="182" w:lineRule="auto"/>
              <w:ind w:left="222"/>
              <w:rPr>
                <w:color w:val="auto"/>
              </w:rPr>
            </w:pPr>
            <w:r>
              <w:rPr>
                <w:color w:val="auto"/>
                <w:spacing w:val="-1"/>
              </w:rPr>
              <w:t>0.004%</w:t>
            </w:r>
          </w:p>
        </w:tc>
      </w:tr>
    </w:tbl>
    <w:p w14:paraId="3BA6A44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ascii="宋体" w:hAnsi="宋体" w:eastAsia="宋体" w:cs="宋体"/>
          <w:color w:val="auto"/>
          <w:sz w:val="21"/>
          <w:szCs w:val="21"/>
        </w:rPr>
      </w:pPr>
      <w:r>
        <w:rPr>
          <w:rFonts w:ascii="宋体" w:hAnsi="宋体" w:eastAsia="宋体" w:cs="宋体"/>
          <w:color w:val="auto"/>
          <w:spacing w:val="16"/>
          <w:sz w:val="21"/>
          <w:szCs w:val="21"/>
        </w:rPr>
        <w:t>注:</w:t>
      </w:r>
    </w:p>
    <w:p w14:paraId="0F1EAB9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（1）按本表费率计算的收费为采购代理的收费基准价格；</w:t>
      </w:r>
    </w:p>
    <w:p w14:paraId="7AB31F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（2）采购代理收费按差额定率累进法计算。</w:t>
      </w:r>
    </w:p>
    <w:p w14:paraId="67B7802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rPr>
          <w:rFonts w:ascii="宋体" w:hAnsi="宋体" w:eastAsia="宋体" w:cs="宋体"/>
          <w:color w:val="auto"/>
          <w:sz w:val="21"/>
          <w:szCs w:val="21"/>
        </w:rPr>
      </w:pPr>
      <w:r>
        <w:rPr>
          <w:rFonts w:ascii="宋体" w:hAnsi="宋体" w:eastAsia="宋体" w:cs="宋体"/>
          <w:color w:val="auto"/>
          <w:spacing w:val="-2"/>
          <w:sz w:val="21"/>
          <w:szCs w:val="21"/>
        </w:rPr>
        <w:t>例如：某服务采购代理业务中标金额或者暂定价为</w:t>
      </w:r>
      <w:r>
        <w:rPr>
          <w:rFonts w:hint="eastAsia" w:ascii="宋体" w:hAnsi="宋体" w:eastAsia="宋体" w:cs="宋体"/>
          <w:color w:val="auto"/>
          <w:spacing w:val="-2"/>
          <w:sz w:val="21"/>
          <w:szCs w:val="21"/>
          <w:lang w:val="en-US" w:eastAsia="zh-CN"/>
        </w:rPr>
        <w:t>500</w:t>
      </w:r>
      <w:r>
        <w:rPr>
          <w:rFonts w:ascii="宋体" w:hAnsi="宋体" w:eastAsia="宋体" w:cs="宋体"/>
          <w:color w:val="auto"/>
          <w:spacing w:val="-2"/>
          <w:sz w:val="21"/>
          <w:szCs w:val="21"/>
        </w:rPr>
        <w:t>万元，计算采购代理收费额如下：</w:t>
      </w:r>
      <w:r>
        <w:rPr>
          <w:rFonts w:hint="eastAsia" w:ascii="宋体" w:hAnsi="宋体" w:eastAsia="宋体" w:cs="宋体"/>
          <w:color w:val="auto"/>
          <w:spacing w:val="-3"/>
          <w:sz w:val="21"/>
          <w:szCs w:val="21"/>
        </w:rPr>
        <w:t>100</w:t>
      </w:r>
      <w:r>
        <w:rPr>
          <w:rFonts w:hint="eastAsia" w:ascii="宋体" w:hAnsi="宋体" w:eastAsia="宋体" w:cs="宋体"/>
          <w:color w:val="auto"/>
          <w:spacing w:val="-3"/>
          <w:sz w:val="21"/>
          <w:szCs w:val="21"/>
          <w:lang w:eastAsia="zh-CN"/>
        </w:rPr>
        <w:t>万元</w:t>
      </w:r>
      <w:r>
        <w:rPr>
          <w:rFonts w:hint="eastAsia" w:ascii="宋体" w:hAnsi="宋体" w:eastAsia="宋体" w:cs="宋体"/>
          <w:color w:val="auto"/>
          <w:spacing w:val="-3"/>
          <w:sz w:val="21"/>
          <w:szCs w:val="21"/>
        </w:rPr>
        <w:t>×1.500％=1</w:t>
      </w:r>
      <w:r>
        <w:rPr>
          <w:rFonts w:hint="eastAsia" w:ascii="宋体" w:hAnsi="宋体" w:eastAsia="宋体" w:cs="宋体"/>
          <w:color w:val="auto"/>
          <w:spacing w:val="-3"/>
          <w:sz w:val="21"/>
          <w:szCs w:val="21"/>
          <w:lang w:val="en-US" w:eastAsia="zh-CN"/>
        </w:rPr>
        <w:t>.</w:t>
      </w:r>
      <w:r>
        <w:rPr>
          <w:rFonts w:hint="eastAsia" w:ascii="宋体" w:hAnsi="宋体" w:eastAsia="宋体" w:cs="宋体"/>
          <w:color w:val="auto"/>
          <w:spacing w:val="-3"/>
          <w:sz w:val="21"/>
          <w:szCs w:val="21"/>
        </w:rPr>
        <w:t>5</w:t>
      </w:r>
      <w:r>
        <w:rPr>
          <w:rFonts w:hint="eastAsia" w:ascii="宋体" w:hAnsi="宋体" w:eastAsia="宋体" w:cs="宋体"/>
          <w:color w:val="auto"/>
          <w:spacing w:val="-3"/>
          <w:sz w:val="21"/>
          <w:szCs w:val="21"/>
          <w:lang w:eastAsia="zh-CN"/>
        </w:rPr>
        <w:t>万</w:t>
      </w:r>
      <w:r>
        <w:rPr>
          <w:rFonts w:hint="eastAsia" w:ascii="宋体" w:hAnsi="宋体" w:eastAsia="宋体" w:cs="宋体"/>
          <w:color w:val="auto"/>
          <w:spacing w:val="-3"/>
          <w:sz w:val="21"/>
          <w:szCs w:val="21"/>
        </w:rPr>
        <w:t>元</w:t>
      </w:r>
    </w:p>
    <w:p w14:paraId="4F0D7D7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textAlignment w:val="baseline"/>
        <w:rPr>
          <w:rFonts w:hint="eastAsia" w:ascii="宋体" w:hAnsi="宋体" w:eastAsia="宋体" w:cs="宋体"/>
          <w:color w:val="auto"/>
          <w:spacing w:val="-4"/>
          <w:sz w:val="21"/>
          <w:szCs w:val="21"/>
        </w:rPr>
      </w:pPr>
      <w:r>
        <w:rPr>
          <w:rFonts w:hint="eastAsia" w:ascii="宋体" w:hAnsi="宋体" w:eastAsia="宋体" w:cs="宋体"/>
          <w:color w:val="auto"/>
          <w:spacing w:val="-4"/>
          <w:sz w:val="21"/>
          <w:szCs w:val="21"/>
        </w:rPr>
        <w:t>500</w:t>
      </w:r>
      <w:r>
        <w:rPr>
          <w:rFonts w:hint="eastAsia" w:ascii="宋体" w:hAnsi="宋体" w:eastAsia="宋体" w:cs="宋体"/>
          <w:color w:val="auto"/>
          <w:spacing w:val="-4"/>
          <w:sz w:val="21"/>
          <w:szCs w:val="21"/>
          <w:lang w:eastAsia="zh-CN"/>
        </w:rPr>
        <w:t>万元</w:t>
      </w:r>
      <w:r>
        <w:rPr>
          <w:rFonts w:hint="eastAsia" w:ascii="宋体" w:hAnsi="宋体" w:eastAsia="宋体" w:cs="宋体"/>
          <w:color w:val="auto"/>
          <w:spacing w:val="-4"/>
          <w:sz w:val="21"/>
          <w:szCs w:val="21"/>
          <w:lang w:val="en-US" w:eastAsia="zh-CN"/>
        </w:rPr>
        <w:t>-100万元</w:t>
      </w:r>
      <w:r>
        <w:rPr>
          <w:rFonts w:hint="eastAsia" w:ascii="宋体" w:hAnsi="宋体" w:eastAsia="宋体" w:cs="宋体"/>
          <w:color w:val="auto"/>
          <w:spacing w:val="-4"/>
          <w:sz w:val="21"/>
          <w:szCs w:val="21"/>
        </w:rPr>
        <w:t>：400×0.800％=3</w:t>
      </w:r>
      <w:r>
        <w:rPr>
          <w:rFonts w:hint="eastAsia" w:ascii="宋体" w:hAnsi="宋体" w:eastAsia="宋体" w:cs="宋体"/>
          <w:color w:val="auto"/>
          <w:spacing w:val="-4"/>
          <w:sz w:val="21"/>
          <w:szCs w:val="21"/>
          <w:lang w:val="en-US" w:eastAsia="zh-CN"/>
        </w:rPr>
        <w:t>.</w:t>
      </w:r>
      <w:r>
        <w:rPr>
          <w:rFonts w:hint="eastAsia" w:ascii="宋体" w:hAnsi="宋体" w:eastAsia="宋体" w:cs="宋体"/>
          <w:color w:val="auto"/>
          <w:spacing w:val="-4"/>
          <w:sz w:val="21"/>
          <w:szCs w:val="21"/>
        </w:rPr>
        <w:t>2</w:t>
      </w:r>
      <w:r>
        <w:rPr>
          <w:rFonts w:hint="eastAsia" w:ascii="宋体" w:hAnsi="宋体" w:eastAsia="宋体" w:cs="宋体"/>
          <w:color w:val="auto"/>
          <w:spacing w:val="-4"/>
          <w:sz w:val="21"/>
          <w:szCs w:val="21"/>
          <w:lang w:eastAsia="zh-CN"/>
        </w:rPr>
        <w:t>万</w:t>
      </w:r>
      <w:r>
        <w:rPr>
          <w:rFonts w:hint="eastAsia" w:ascii="宋体" w:hAnsi="宋体" w:eastAsia="宋体" w:cs="宋体"/>
          <w:color w:val="auto"/>
          <w:spacing w:val="-4"/>
          <w:sz w:val="21"/>
          <w:szCs w:val="21"/>
        </w:rPr>
        <w:t>元</w:t>
      </w:r>
    </w:p>
    <w:p w14:paraId="2CE5B1C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200" w:right="0" w:rightChars="0"/>
        <w:textAlignment w:val="baseline"/>
        <w:rPr>
          <w:rFonts w:ascii="宋体" w:hAnsi="宋体" w:eastAsia="宋体" w:cs="宋体"/>
          <w:color w:val="auto"/>
          <w:sz w:val="21"/>
          <w:szCs w:val="21"/>
        </w:rPr>
      </w:pPr>
      <w:r>
        <w:rPr>
          <w:rFonts w:ascii="宋体" w:hAnsi="宋体" w:eastAsia="宋体" w:cs="宋体"/>
          <w:color w:val="auto"/>
          <w:spacing w:val="-4"/>
          <w:sz w:val="21"/>
          <w:szCs w:val="21"/>
        </w:rPr>
        <w:t>合计收费＝</w:t>
      </w:r>
      <w:r>
        <w:rPr>
          <w:rFonts w:hint="eastAsia" w:ascii="宋体" w:hAnsi="宋体" w:eastAsia="宋体" w:cs="宋体"/>
          <w:color w:val="auto"/>
          <w:spacing w:val="-3"/>
          <w:sz w:val="21"/>
          <w:szCs w:val="21"/>
        </w:rPr>
        <w:t>1</w:t>
      </w:r>
      <w:r>
        <w:rPr>
          <w:rFonts w:hint="eastAsia" w:ascii="宋体" w:hAnsi="宋体" w:eastAsia="宋体" w:cs="宋体"/>
          <w:color w:val="auto"/>
          <w:spacing w:val="-3"/>
          <w:sz w:val="21"/>
          <w:szCs w:val="21"/>
          <w:lang w:val="en-US" w:eastAsia="zh-CN"/>
        </w:rPr>
        <w:t>.</w:t>
      </w:r>
      <w:r>
        <w:rPr>
          <w:rFonts w:hint="eastAsia" w:ascii="宋体" w:hAnsi="宋体" w:eastAsia="宋体" w:cs="宋体"/>
          <w:color w:val="auto"/>
          <w:spacing w:val="-3"/>
          <w:sz w:val="21"/>
          <w:szCs w:val="21"/>
        </w:rPr>
        <w:t>5</w:t>
      </w:r>
      <w:r>
        <w:rPr>
          <w:rFonts w:ascii="宋体" w:hAnsi="宋体" w:eastAsia="宋体" w:cs="宋体"/>
          <w:color w:val="auto"/>
          <w:spacing w:val="-4"/>
          <w:sz w:val="21"/>
          <w:szCs w:val="21"/>
        </w:rPr>
        <w:t>+</w:t>
      </w:r>
      <w:r>
        <w:rPr>
          <w:rFonts w:hint="eastAsia" w:ascii="宋体" w:hAnsi="宋体" w:eastAsia="宋体" w:cs="宋体"/>
          <w:color w:val="auto"/>
          <w:spacing w:val="-4"/>
          <w:sz w:val="21"/>
          <w:szCs w:val="21"/>
        </w:rPr>
        <w:t>3</w:t>
      </w:r>
      <w:r>
        <w:rPr>
          <w:rFonts w:hint="eastAsia" w:ascii="宋体" w:hAnsi="宋体" w:eastAsia="宋体" w:cs="宋体"/>
          <w:color w:val="auto"/>
          <w:spacing w:val="-4"/>
          <w:sz w:val="21"/>
          <w:szCs w:val="21"/>
          <w:lang w:val="en-US" w:eastAsia="zh-CN"/>
        </w:rPr>
        <w:t>.</w:t>
      </w:r>
      <w:r>
        <w:rPr>
          <w:rFonts w:hint="eastAsia" w:ascii="宋体" w:hAnsi="宋体" w:eastAsia="宋体" w:cs="宋体"/>
          <w:color w:val="auto"/>
          <w:spacing w:val="-4"/>
          <w:sz w:val="21"/>
          <w:szCs w:val="21"/>
        </w:rPr>
        <w:t>2</w:t>
      </w:r>
      <w:r>
        <w:rPr>
          <w:rFonts w:ascii="宋体" w:hAnsi="宋体" w:eastAsia="宋体" w:cs="宋体"/>
          <w:color w:val="auto"/>
          <w:spacing w:val="-4"/>
          <w:sz w:val="21"/>
          <w:szCs w:val="21"/>
        </w:rPr>
        <w:t>＝</w:t>
      </w:r>
      <w:r>
        <w:rPr>
          <w:rFonts w:hint="eastAsia" w:ascii="宋体" w:hAnsi="宋体" w:eastAsia="宋体" w:cs="宋体"/>
          <w:color w:val="auto"/>
          <w:spacing w:val="-4"/>
          <w:sz w:val="21"/>
          <w:szCs w:val="21"/>
        </w:rPr>
        <w:t>4</w:t>
      </w:r>
      <w:r>
        <w:rPr>
          <w:rFonts w:hint="eastAsia" w:ascii="宋体" w:hAnsi="宋体" w:eastAsia="宋体" w:cs="宋体"/>
          <w:color w:val="auto"/>
          <w:spacing w:val="-4"/>
          <w:sz w:val="21"/>
          <w:szCs w:val="21"/>
          <w:lang w:val="en-US" w:eastAsia="zh-CN"/>
        </w:rPr>
        <w:t>.</w:t>
      </w:r>
      <w:r>
        <w:rPr>
          <w:rFonts w:hint="eastAsia" w:ascii="宋体" w:hAnsi="宋体" w:eastAsia="宋体" w:cs="宋体"/>
          <w:color w:val="auto"/>
          <w:spacing w:val="-4"/>
          <w:sz w:val="21"/>
          <w:szCs w:val="21"/>
        </w:rPr>
        <w:t>7</w:t>
      </w:r>
      <w:r>
        <w:rPr>
          <w:rFonts w:hint="eastAsia" w:ascii="宋体" w:hAnsi="宋体" w:eastAsia="宋体" w:cs="宋体"/>
          <w:color w:val="auto"/>
          <w:spacing w:val="-4"/>
          <w:sz w:val="21"/>
          <w:szCs w:val="21"/>
          <w:lang w:eastAsia="zh-CN"/>
        </w:rPr>
        <w:t>万</w:t>
      </w:r>
      <w:r>
        <w:rPr>
          <w:rFonts w:ascii="宋体" w:hAnsi="宋体" w:eastAsia="宋体" w:cs="宋体"/>
          <w:color w:val="auto"/>
          <w:spacing w:val="-4"/>
          <w:sz w:val="21"/>
          <w:szCs w:val="21"/>
        </w:rPr>
        <w:t>元</w:t>
      </w:r>
    </w:p>
    <w:p w14:paraId="3327211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黑体" w:hAnsi="黑体" w:eastAsia="黑体" w:cs="黑体"/>
          <w:color w:val="auto"/>
          <w:sz w:val="24"/>
          <w:szCs w:val="24"/>
        </w:rPr>
      </w:pPr>
      <w:r>
        <w:rPr>
          <w:rFonts w:ascii="黑体" w:hAnsi="黑体" w:eastAsia="黑体" w:cs="黑体"/>
          <w:b/>
          <w:bCs/>
          <w:color w:val="auto"/>
          <w:spacing w:val="-2"/>
          <w:sz w:val="24"/>
          <w:szCs w:val="24"/>
        </w:rPr>
        <w:t>40.</w:t>
      </w:r>
      <w:r>
        <w:rPr>
          <w:rFonts w:ascii="黑体" w:hAnsi="黑体" w:eastAsia="黑体" w:cs="黑体"/>
          <w:color w:val="auto"/>
          <w:spacing w:val="-2"/>
          <w:sz w:val="24"/>
          <w:szCs w:val="24"/>
        </w:rPr>
        <w:t xml:space="preserve"> </w:t>
      </w:r>
      <w:r>
        <w:rPr>
          <w:rFonts w:ascii="黑体" w:hAnsi="黑体" w:eastAsia="黑体" w:cs="黑体"/>
          <w:b/>
          <w:bCs/>
          <w:color w:val="auto"/>
          <w:spacing w:val="-2"/>
          <w:sz w:val="24"/>
          <w:szCs w:val="24"/>
        </w:rPr>
        <w:t>需要补充的其他内容</w:t>
      </w:r>
    </w:p>
    <w:p w14:paraId="2766F7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40.1</w:t>
      </w:r>
      <w:r>
        <w:rPr>
          <w:rFonts w:ascii="宋体" w:hAnsi="宋体" w:eastAsia="宋体" w:cs="宋体"/>
          <w:color w:val="auto"/>
          <w:spacing w:val="-45"/>
          <w:sz w:val="21"/>
          <w:szCs w:val="21"/>
        </w:rPr>
        <w:t xml:space="preserve"> </w:t>
      </w:r>
      <w:r>
        <w:rPr>
          <w:rFonts w:ascii="宋体" w:hAnsi="宋体" w:eastAsia="宋体" w:cs="宋体"/>
          <w:color w:val="auto"/>
          <w:spacing w:val="-1"/>
          <w:sz w:val="21"/>
          <w:szCs w:val="21"/>
        </w:rPr>
        <w:t>本招标文件解释规则详见“投标人须知前附表</w:t>
      </w:r>
      <w:r>
        <w:rPr>
          <w:rFonts w:ascii="宋体" w:hAnsi="宋体" w:eastAsia="宋体" w:cs="宋体"/>
          <w:color w:val="auto"/>
          <w:spacing w:val="-2"/>
          <w:sz w:val="21"/>
          <w:szCs w:val="21"/>
        </w:rPr>
        <w:t>”。</w:t>
      </w:r>
    </w:p>
    <w:p w14:paraId="6344E27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40.2 其他事项详见“投标人须知前附表”。</w:t>
      </w:r>
    </w:p>
    <w:p w14:paraId="54FF724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40.3 本招标文件所称中小企业，是指在中华人民共和国境内依法设立，依据国</w:t>
      </w:r>
      <w:r>
        <w:rPr>
          <w:rFonts w:ascii="宋体" w:hAnsi="宋体" w:eastAsia="宋体" w:cs="宋体"/>
          <w:color w:val="auto"/>
          <w:spacing w:val="-1"/>
          <w:sz w:val="21"/>
          <w:szCs w:val="21"/>
        </w:rPr>
        <w:t>务院批准的中小企业划分标准确定的中型企业、小型企业和微型企</w:t>
      </w:r>
      <w:r>
        <w:rPr>
          <w:rFonts w:ascii="宋体" w:hAnsi="宋体" w:eastAsia="宋体" w:cs="宋体"/>
          <w:color w:val="auto"/>
          <w:spacing w:val="-2"/>
          <w:sz w:val="21"/>
          <w:szCs w:val="21"/>
        </w:rPr>
        <w:t>业，但与大企业的负责人为同一人，</w:t>
      </w:r>
      <w:r>
        <w:rPr>
          <w:rFonts w:ascii="宋体" w:hAnsi="宋体" w:eastAsia="宋体" w:cs="宋体"/>
          <w:color w:val="auto"/>
          <w:spacing w:val="2"/>
          <w:sz w:val="21"/>
          <w:szCs w:val="21"/>
        </w:rPr>
        <w:t>或者与大企业存在直接控股、管理关系的除外。符合中小企业划分标准的个体工商户，在</w:t>
      </w:r>
      <w:r>
        <w:rPr>
          <w:rFonts w:hint="eastAsia" w:ascii="宋体" w:hAnsi="宋体" w:eastAsia="宋体" w:cs="宋体"/>
          <w:color w:val="auto"/>
          <w:spacing w:val="2"/>
          <w:sz w:val="21"/>
          <w:szCs w:val="21"/>
          <w:lang w:val="en-US" w:eastAsia="zh-CN"/>
        </w:rPr>
        <w:t>政</w:t>
      </w:r>
      <w:r>
        <w:rPr>
          <w:rFonts w:ascii="宋体" w:hAnsi="宋体" w:eastAsia="宋体" w:cs="宋体"/>
          <w:color w:val="auto"/>
          <w:spacing w:val="2"/>
          <w:sz w:val="21"/>
          <w:szCs w:val="21"/>
        </w:rPr>
        <w:t>府采购活动中视同中小企业。在政府采购活动中，供应商提供的货物、工程或者服务符合下</w:t>
      </w:r>
      <w:r>
        <w:rPr>
          <w:rFonts w:ascii="宋体" w:hAnsi="宋体" w:eastAsia="宋体" w:cs="宋体"/>
          <w:color w:val="auto"/>
          <w:spacing w:val="-2"/>
          <w:sz w:val="21"/>
          <w:szCs w:val="21"/>
        </w:rPr>
        <w:t>列情形的，享受本招标文件规定的中小企业扶持政策：</w:t>
      </w:r>
    </w:p>
    <w:p w14:paraId="51FC10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（1）在货物采购项目中，货物由中小企业制造，即货物由中小</w:t>
      </w:r>
      <w:r>
        <w:rPr>
          <w:rFonts w:ascii="宋体" w:hAnsi="宋体" w:eastAsia="宋体" w:cs="宋体"/>
          <w:color w:val="auto"/>
          <w:spacing w:val="-1"/>
          <w:sz w:val="21"/>
          <w:szCs w:val="21"/>
        </w:rPr>
        <w:t>企业生产且使用该中小企</w:t>
      </w:r>
      <w:r>
        <w:rPr>
          <w:rFonts w:ascii="宋体" w:hAnsi="宋体" w:eastAsia="宋体" w:cs="宋体"/>
          <w:color w:val="auto"/>
          <w:sz w:val="21"/>
          <w:szCs w:val="21"/>
        </w:rPr>
        <w:t>业商号或者注册商标，不对其中涉及的工程承建商和服务的承接商作出要求；</w:t>
      </w:r>
    </w:p>
    <w:p w14:paraId="6124FEC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（2）在工程采购项目中，工程由中小企业承建，即工程</w:t>
      </w:r>
      <w:r>
        <w:rPr>
          <w:rFonts w:ascii="宋体" w:hAnsi="宋体" w:eastAsia="宋体" w:cs="宋体"/>
          <w:color w:val="auto"/>
          <w:spacing w:val="-1"/>
          <w:sz w:val="21"/>
          <w:szCs w:val="21"/>
        </w:rPr>
        <w:t>施工单位为中小企业，不对其中涉及的货物的制造商和服务的承接商作出要求；</w:t>
      </w:r>
    </w:p>
    <w:p w14:paraId="435D7F7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pacing w:val="2"/>
          <w:sz w:val="21"/>
          <w:szCs w:val="21"/>
        </w:rPr>
      </w:pPr>
      <w:r>
        <w:rPr>
          <w:rFonts w:ascii="宋体" w:hAnsi="宋体" w:eastAsia="宋体" w:cs="宋体"/>
          <w:color w:val="auto"/>
          <w:sz w:val="21"/>
          <w:szCs w:val="21"/>
        </w:rPr>
        <w:t>（3）在服务采购项目中，服务由中小企业</w:t>
      </w:r>
      <w:r>
        <w:rPr>
          <w:rFonts w:ascii="宋体" w:hAnsi="宋体" w:eastAsia="宋体" w:cs="宋体"/>
          <w:color w:val="auto"/>
          <w:spacing w:val="-1"/>
          <w:sz w:val="21"/>
          <w:szCs w:val="21"/>
        </w:rPr>
        <w:t>承接，即提供服务的人员为中小企业依照《中</w:t>
      </w:r>
      <w:r>
        <w:rPr>
          <w:rFonts w:ascii="宋体" w:hAnsi="宋体" w:eastAsia="宋体" w:cs="宋体"/>
          <w:color w:val="auto"/>
          <w:spacing w:val="2"/>
          <w:sz w:val="21"/>
          <w:szCs w:val="21"/>
        </w:rPr>
        <w:t>华人民共和国劳动合同法》订立劳动合同的从业人员，不对其中涉及的货物的制造商和工程</w:t>
      </w:r>
      <w:r>
        <w:rPr>
          <w:rFonts w:ascii="宋体" w:hAnsi="宋体" w:eastAsia="宋体" w:cs="宋体"/>
          <w:color w:val="auto"/>
          <w:spacing w:val="-1"/>
          <w:sz w:val="21"/>
          <w:szCs w:val="21"/>
        </w:rPr>
        <w:t>承建商作出要求。</w:t>
      </w:r>
    </w:p>
    <w:p w14:paraId="43FB396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jc w:val="both"/>
        <w:textAlignment w:val="baseline"/>
        <w:rPr>
          <w:rFonts w:ascii="宋体" w:hAnsi="宋体" w:eastAsia="宋体" w:cs="宋体"/>
          <w:color w:val="auto"/>
          <w:sz w:val="21"/>
          <w:szCs w:val="21"/>
        </w:rPr>
      </w:pPr>
      <w:r>
        <w:rPr>
          <w:rFonts w:ascii="宋体" w:hAnsi="宋体" w:eastAsia="宋体" w:cs="宋体"/>
          <w:color w:val="auto"/>
          <w:spacing w:val="2"/>
          <w:sz w:val="21"/>
          <w:szCs w:val="21"/>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w:t>
      </w:r>
      <w:r>
        <w:rPr>
          <w:rFonts w:ascii="宋体" w:hAnsi="宋体" w:eastAsia="宋体" w:cs="宋体"/>
          <w:color w:val="auto"/>
          <w:spacing w:val="-2"/>
          <w:sz w:val="21"/>
          <w:szCs w:val="21"/>
        </w:rPr>
        <w:t>同小微企业。</w:t>
      </w:r>
    </w:p>
    <w:p w14:paraId="4CE2572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textAlignment w:val="baseline"/>
        <w:rPr>
          <w:rFonts w:hint="eastAsia" w:eastAsia="宋体"/>
          <w:color w:val="auto"/>
          <w:lang w:val="en-US" w:eastAsia="zh-CN"/>
        </w:rPr>
      </w:pPr>
      <w:r>
        <w:rPr>
          <w:rFonts w:ascii="宋体" w:hAnsi="宋体" w:eastAsia="宋体" w:cs="宋体"/>
          <w:color w:val="auto"/>
          <w:spacing w:val="2"/>
          <w:sz w:val="21"/>
          <w:szCs w:val="21"/>
        </w:rPr>
        <w:t>依据本招标文件规定享受扶持政策获得政府采购合同的，小微企业不得将合同分包给大</w:t>
      </w:r>
      <w:r>
        <w:rPr>
          <w:rFonts w:ascii="宋体" w:hAnsi="宋体" w:eastAsia="宋体" w:cs="宋体"/>
          <w:color w:val="auto"/>
          <w:spacing w:val="-2"/>
          <w:sz w:val="21"/>
          <w:szCs w:val="21"/>
        </w:rPr>
        <w:t>中型企业，中型企业不得将合同分包给大型企业。</w:t>
      </w:r>
    </w:p>
    <w:p w14:paraId="0A0FEFEF">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注：1.</w:t>
      </w:r>
      <w:r>
        <w:rPr>
          <w:rFonts w:hint="eastAsia" w:ascii="宋体" w:hAnsi="宋体" w:eastAsia="宋体" w:cs="宋体"/>
          <w:color w:val="auto"/>
          <w:sz w:val="21"/>
          <w:szCs w:val="21"/>
        </w:rPr>
        <w:t>投标人判断是否为中小企业可以使用工业和信息化部中小企业局开发的“中小企业规模类型自测小程序”。</w:t>
      </w:r>
    </w:p>
    <w:p w14:paraId="24C265E6">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0" w:firstLine="420" w:firstLineChars="200"/>
        <w:jc w:val="left"/>
        <w:textAlignment w:val="baseline"/>
        <w:rPr>
          <w:rFonts w:hint="default" w:eastAsia="宋体"/>
          <w:color w:val="auto"/>
          <w:lang w:val="en-US" w:eastAsia="zh-CN"/>
        </w:rPr>
        <w:sectPr>
          <w:footerReference r:id="rId13" w:type="default"/>
          <w:pgSz w:w="11905" w:h="16838"/>
          <w:pgMar w:top="1417" w:right="1417" w:bottom="1417" w:left="1417" w:header="0" w:footer="1196" w:gutter="0"/>
          <w:pgNumType w:fmt="decimal"/>
          <w:cols w:space="0" w:num="1"/>
          <w:rtlGutter w:val="0"/>
          <w:docGrid w:linePitch="0" w:charSpace="0"/>
        </w:sectPr>
      </w:pPr>
      <w:r>
        <w:rPr>
          <w:rFonts w:hint="eastAsia" w:ascii="宋体" w:hAnsi="宋体" w:eastAsia="宋体" w:cs="宋体"/>
          <w:color w:val="auto"/>
          <w:sz w:val="21"/>
          <w:szCs w:val="21"/>
          <w:lang w:val="en-US" w:eastAsia="zh-CN"/>
        </w:rPr>
        <w:t>2.投标人确定自身属于上述定义的中小企业时，应提供相应的《中小企业声明函》，否则评标时不予认定。</w:t>
      </w:r>
    </w:p>
    <w:p w14:paraId="52DD65F5">
      <w:pPr>
        <w:spacing w:before="140" w:line="223" w:lineRule="auto"/>
        <w:ind w:left="1313"/>
        <w:outlineLvl w:val="0"/>
        <w:rPr>
          <w:rFonts w:ascii="宋体" w:hAnsi="宋体" w:eastAsia="宋体" w:cs="宋体"/>
          <w:b/>
          <w:bCs/>
          <w:color w:val="auto"/>
          <w:spacing w:val="3"/>
          <w:sz w:val="31"/>
          <w:szCs w:val="31"/>
        </w:rPr>
      </w:pPr>
      <w:bookmarkStart w:id="75" w:name="bookmark8"/>
      <w:bookmarkEnd w:id="75"/>
      <w:r>
        <w:rPr>
          <w:rFonts w:ascii="宋体" w:hAnsi="宋体" w:eastAsia="宋体" w:cs="宋体"/>
          <w:b/>
          <w:bCs/>
          <w:color w:val="auto"/>
          <w:spacing w:val="5"/>
          <w:sz w:val="43"/>
          <w:szCs w:val="43"/>
        </w:rPr>
        <w:t>第四章</w:t>
      </w:r>
      <w:r>
        <w:rPr>
          <w:rFonts w:ascii="宋体" w:hAnsi="宋体" w:eastAsia="宋体" w:cs="宋体"/>
          <w:color w:val="auto"/>
          <w:spacing w:val="5"/>
          <w:sz w:val="43"/>
          <w:szCs w:val="43"/>
        </w:rPr>
        <w:t xml:space="preserve">  </w:t>
      </w:r>
      <w:r>
        <w:rPr>
          <w:rFonts w:ascii="宋体" w:hAnsi="宋体" w:eastAsia="宋体" w:cs="宋体"/>
          <w:b/>
          <w:bCs/>
          <w:color w:val="auto"/>
          <w:spacing w:val="5"/>
          <w:sz w:val="43"/>
          <w:szCs w:val="43"/>
        </w:rPr>
        <w:t>评标方法及评标标准</w:t>
      </w:r>
    </w:p>
    <w:p w14:paraId="33279225">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360" w:lineRule="auto"/>
        <w:ind w:left="0"/>
        <w:jc w:val="center"/>
        <w:textAlignment w:val="baseline"/>
        <w:outlineLvl w:val="1"/>
        <w:rPr>
          <w:rFonts w:ascii="Arial"/>
          <w:color w:val="auto"/>
          <w:sz w:val="21"/>
        </w:rPr>
      </w:pPr>
      <w:r>
        <w:rPr>
          <w:rFonts w:ascii="宋体" w:hAnsi="宋体" w:eastAsia="宋体" w:cs="宋体"/>
          <w:b/>
          <w:bCs/>
          <w:color w:val="auto"/>
          <w:spacing w:val="3"/>
          <w:sz w:val="31"/>
          <w:szCs w:val="31"/>
        </w:rPr>
        <w:t>一、评标方法</w:t>
      </w:r>
    </w:p>
    <w:p w14:paraId="358B629C">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8" w:firstLineChars="200"/>
        <w:textAlignment w:val="baseline"/>
        <w:rPr>
          <w:rFonts w:ascii="宋体" w:hAnsi="宋体" w:eastAsia="宋体" w:cs="宋体"/>
          <w:color w:val="auto"/>
          <w:sz w:val="21"/>
          <w:szCs w:val="21"/>
        </w:rPr>
      </w:pPr>
      <w:r>
        <w:rPr>
          <w:rFonts w:ascii="宋体" w:hAnsi="宋体" w:eastAsia="宋体" w:cs="宋体"/>
          <w:color w:val="auto"/>
          <w:spacing w:val="2"/>
          <w:sz w:val="21"/>
          <w:szCs w:val="21"/>
        </w:rPr>
        <w:t>综合评分法，是指投标文件满足招标文件全部实质性要求，且按照评审因素的量化指标</w:t>
      </w:r>
      <w:r>
        <w:rPr>
          <w:rFonts w:ascii="宋体" w:hAnsi="宋体" w:eastAsia="宋体" w:cs="宋体"/>
          <w:color w:val="auto"/>
          <w:spacing w:val="-1"/>
          <w:sz w:val="21"/>
          <w:szCs w:val="21"/>
        </w:rPr>
        <w:t>评审得分最高的投标人为中标候选人的评标方法。</w:t>
      </w:r>
    </w:p>
    <w:p w14:paraId="27423AE5">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360" w:lineRule="auto"/>
        <w:ind w:left="0"/>
        <w:jc w:val="center"/>
        <w:textAlignment w:val="baseline"/>
        <w:outlineLvl w:val="1"/>
        <w:rPr>
          <w:rFonts w:ascii="Arial"/>
          <w:color w:val="auto"/>
          <w:sz w:val="21"/>
        </w:rPr>
      </w:pPr>
      <w:r>
        <w:rPr>
          <w:rFonts w:ascii="宋体" w:hAnsi="宋体" w:eastAsia="宋体" w:cs="宋体"/>
          <w:b/>
          <w:bCs/>
          <w:color w:val="auto"/>
          <w:spacing w:val="5"/>
          <w:sz w:val="31"/>
          <w:szCs w:val="31"/>
        </w:rPr>
        <w:t>二、评标程序</w:t>
      </w:r>
    </w:p>
    <w:p w14:paraId="599A1CD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outlineLvl w:val="2"/>
        <w:rPr>
          <w:rFonts w:ascii="宋体" w:hAnsi="宋体" w:eastAsia="宋体" w:cs="宋体"/>
          <w:color w:val="auto"/>
          <w:sz w:val="21"/>
          <w:szCs w:val="21"/>
        </w:rPr>
      </w:pPr>
      <w:r>
        <w:rPr>
          <w:rFonts w:ascii="宋体" w:hAnsi="宋体" w:eastAsia="宋体" w:cs="宋体"/>
          <w:b/>
          <w:bCs/>
          <w:color w:val="auto"/>
          <w:spacing w:val="-5"/>
          <w:sz w:val="21"/>
          <w:szCs w:val="21"/>
        </w:rPr>
        <w:t>1.符合性审查</w:t>
      </w:r>
    </w:p>
    <w:p w14:paraId="517B7C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2" w:firstLineChars="200"/>
        <w:textAlignment w:val="baseline"/>
        <w:rPr>
          <w:rFonts w:ascii="宋体" w:hAnsi="宋体" w:eastAsia="宋体" w:cs="宋体"/>
          <w:color w:val="auto"/>
          <w:sz w:val="21"/>
          <w:szCs w:val="21"/>
        </w:rPr>
      </w:pPr>
      <w:r>
        <w:rPr>
          <w:rFonts w:ascii="宋体" w:hAnsi="宋体" w:eastAsia="宋体" w:cs="宋体"/>
          <w:b/>
          <w:bCs/>
          <w:color w:val="auto"/>
          <w:sz w:val="21"/>
          <w:szCs w:val="21"/>
        </w:rPr>
        <w:t>评标委员会应当对符合资格的投标人的投标文件进行投标报价、商务、技术等实质性内</w:t>
      </w:r>
      <w:r>
        <w:rPr>
          <w:rFonts w:ascii="宋体" w:hAnsi="宋体" w:eastAsia="宋体" w:cs="宋体"/>
          <w:b/>
          <w:bCs/>
          <w:color w:val="auto"/>
          <w:spacing w:val="-3"/>
          <w:sz w:val="21"/>
          <w:szCs w:val="21"/>
        </w:rPr>
        <w:t>容符合性审查，以确定其是否满足招标文件的实质性要求。</w:t>
      </w:r>
    </w:p>
    <w:p w14:paraId="5FD73AD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outlineLvl w:val="2"/>
        <w:rPr>
          <w:rFonts w:ascii="宋体" w:hAnsi="宋体" w:eastAsia="宋体" w:cs="宋体"/>
          <w:color w:val="auto"/>
          <w:sz w:val="21"/>
          <w:szCs w:val="21"/>
        </w:rPr>
      </w:pPr>
      <w:r>
        <w:rPr>
          <w:rFonts w:ascii="宋体" w:hAnsi="宋体" w:eastAsia="宋体" w:cs="宋体"/>
          <w:b/>
          <w:bCs/>
          <w:color w:val="auto"/>
          <w:spacing w:val="-2"/>
          <w:sz w:val="21"/>
          <w:szCs w:val="21"/>
        </w:rPr>
        <w:t>2.符合性审查不通过而导致投标无效的情形</w:t>
      </w:r>
    </w:p>
    <w:p w14:paraId="3BA94F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2" w:firstLineChars="200"/>
        <w:textAlignment w:val="baseline"/>
        <w:rPr>
          <w:rFonts w:ascii="宋体" w:hAnsi="宋体" w:eastAsia="宋体" w:cs="宋体"/>
          <w:color w:val="auto"/>
          <w:sz w:val="21"/>
          <w:szCs w:val="21"/>
        </w:rPr>
      </w:pPr>
      <w:r>
        <w:rPr>
          <w:rFonts w:ascii="宋体" w:hAnsi="宋体" w:eastAsia="宋体" w:cs="宋体"/>
          <w:b/>
          <w:bCs/>
          <w:color w:val="auto"/>
          <w:sz w:val="21"/>
          <w:szCs w:val="21"/>
        </w:rPr>
        <w:t>投标人的投标文件中存在对招标文件的任何实质性要求和条件的负偏离，将被视为投标</w:t>
      </w:r>
      <w:r>
        <w:rPr>
          <w:rFonts w:ascii="宋体" w:hAnsi="宋体" w:eastAsia="宋体" w:cs="宋体"/>
          <w:b/>
          <w:bCs/>
          <w:color w:val="auto"/>
          <w:spacing w:val="-11"/>
          <w:sz w:val="21"/>
          <w:szCs w:val="21"/>
        </w:rPr>
        <w:t>无效。</w:t>
      </w:r>
    </w:p>
    <w:p w14:paraId="034325A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ascii="宋体" w:hAnsi="宋体" w:eastAsia="宋体" w:cs="宋体"/>
          <w:color w:val="auto"/>
          <w:sz w:val="21"/>
          <w:szCs w:val="21"/>
        </w:rPr>
      </w:pPr>
      <w:r>
        <w:rPr>
          <w:rFonts w:ascii="宋体" w:hAnsi="宋体" w:eastAsia="宋体" w:cs="宋体"/>
          <w:b/>
          <w:bCs/>
          <w:color w:val="auto"/>
          <w:spacing w:val="-4"/>
          <w:sz w:val="21"/>
          <w:szCs w:val="21"/>
        </w:rPr>
        <w:t>2.1</w:t>
      </w:r>
      <w:r>
        <w:rPr>
          <w:rFonts w:ascii="宋体" w:hAnsi="宋体" w:eastAsia="宋体" w:cs="宋体"/>
          <w:color w:val="auto"/>
          <w:spacing w:val="-26"/>
          <w:sz w:val="21"/>
          <w:szCs w:val="21"/>
        </w:rPr>
        <w:t xml:space="preserve"> </w:t>
      </w:r>
      <w:r>
        <w:rPr>
          <w:rFonts w:ascii="宋体" w:hAnsi="宋体" w:eastAsia="宋体" w:cs="宋体"/>
          <w:b/>
          <w:bCs/>
          <w:color w:val="auto"/>
          <w:spacing w:val="-4"/>
          <w:sz w:val="21"/>
          <w:szCs w:val="21"/>
        </w:rPr>
        <w:t>在报价评审时，如发现下列情形之一的，将被视为投标无效：</w:t>
      </w:r>
    </w:p>
    <w:p w14:paraId="21BDC026">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ascii="宋体" w:hAnsi="宋体" w:eastAsia="宋体" w:cs="宋体"/>
          <w:color w:val="auto"/>
          <w:sz w:val="21"/>
          <w:szCs w:val="21"/>
        </w:rPr>
      </w:pPr>
      <w:r>
        <w:rPr>
          <w:rFonts w:ascii="宋体" w:hAnsi="宋体" w:eastAsia="宋体" w:cs="宋体"/>
          <w:b/>
          <w:bCs/>
          <w:color w:val="auto"/>
          <w:spacing w:val="-13"/>
          <w:sz w:val="21"/>
          <w:szCs w:val="21"/>
        </w:rPr>
        <w:t>（1）报价文件未提供“投标人须知前附表”第13.1条规定中“必须提供”的文件资料的；</w:t>
      </w:r>
    </w:p>
    <w:p w14:paraId="22D6E948">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outlineLvl w:val="3"/>
        <w:rPr>
          <w:rFonts w:ascii="宋体" w:hAnsi="宋体" w:eastAsia="宋体" w:cs="宋体"/>
          <w:color w:val="auto"/>
          <w:sz w:val="21"/>
          <w:szCs w:val="21"/>
        </w:rPr>
      </w:pPr>
      <w:r>
        <w:rPr>
          <w:rFonts w:ascii="宋体" w:hAnsi="宋体" w:eastAsia="宋体" w:cs="宋体"/>
          <w:b/>
          <w:bCs/>
          <w:color w:val="auto"/>
          <w:spacing w:val="-3"/>
          <w:sz w:val="21"/>
          <w:szCs w:val="21"/>
        </w:rPr>
        <w:t>（2）未采用人民币报价或者未按照招标文件标明的币</w:t>
      </w:r>
      <w:r>
        <w:rPr>
          <w:rFonts w:ascii="宋体" w:hAnsi="宋体" w:eastAsia="宋体" w:cs="宋体"/>
          <w:b/>
          <w:bCs/>
          <w:color w:val="auto"/>
          <w:spacing w:val="-4"/>
          <w:sz w:val="21"/>
          <w:szCs w:val="21"/>
        </w:rPr>
        <w:t>种报价的；</w:t>
      </w:r>
    </w:p>
    <w:p w14:paraId="19CCB5F1">
      <w:pPr>
        <w:keepNext w:val="0"/>
        <w:keepLines w:val="0"/>
        <w:pageBreakBefore w:val="0"/>
        <w:widowControl/>
        <w:kinsoku w:val="0"/>
        <w:wordWrap/>
        <w:overflowPunct/>
        <w:topLinePunct w:val="0"/>
        <w:autoSpaceDE w:val="0"/>
        <w:autoSpaceDN w:val="0"/>
        <w:bidi w:val="0"/>
        <w:adjustRightInd w:val="0"/>
        <w:snapToGrid w:val="0"/>
        <w:spacing w:line="360" w:lineRule="auto"/>
        <w:ind w:right="0"/>
        <w:jc w:val="both"/>
        <w:textAlignment w:val="baseline"/>
        <w:rPr>
          <w:rFonts w:ascii="宋体" w:hAnsi="宋体" w:eastAsia="宋体" w:cs="宋体"/>
          <w:color w:val="auto"/>
          <w:sz w:val="21"/>
          <w:szCs w:val="21"/>
        </w:rPr>
      </w:pPr>
      <w:r>
        <w:rPr>
          <w:rFonts w:ascii="宋体" w:hAnsi="宋体" w:eastAsia="宋体" w:cs="宋体"/>
          <w:b/>
          <w:bCs/>
          <w:color w:val="auto"/>
          <w:spacing w:val="-14"/>
          <w:sz w:val="21"/>
          <w:szCs w:val="21"/>
        </w:rPr>
        <w:t>（3）各分标报价超出招标文件相应分标规定最高限价，或者超出相应分标采购预算金额的；</w:t>
      </w:r>
    </w:p>
    <w:p w14:paraId="709F351F">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（4）投标人未就所投分标进行报价或者存在漏项报价；投标人未就所投分标的单项内容</w:t>
      </w:r>
      <w:r>
        <w:rPr>
          <w:rFonts w:ascii="宋体" w:hAnsi="宋体" w:eastAsia="宋体" w:cs="宋体"/>
          <w:b/>
          <w:bCs/>
          <w:color w:val="auto"/>
          <w:sz w:val="21"/>
          <w:szCs w:val="21"/>
        </w:rPr>
        <w:t>作唯一报价；投标人未就所投分标的全部内容作完整唯一总价报价；存在有选择、有条件报</w:t>
      </w:r>
      <w:r>
        <w:rPr>
          <w:rFonts w:ascii="宋体" w:hAnsi="宋体" w:eastAsia="宋体" w:cs="宋体"/>
          <w:b/>
          <w:bCs/>
          <w:color w:val="auto"/>
          <w:spacing w:val="-3"/>
          <w:sz w:val="21"/>
          <w:szCs w:val="21"/>
        </w:rPr>
        <w:t>价的（招标文件允许有备选方案或者其他约定的除外</w:t>
      </w:r>
      <w:r>
        <w:rPr>
          <w:rFonts w:ascii="宋体" w:hAnsi="宋体" w:eastAsia="宋体" w:cs="宋体"/>
          <w:b/>
          <w:bCs/>
          <w:color w:val="auto"/>
          <w:spacing w:val="-5"/>
          <w:sz w:val="21"/>
          <w:szCs w:val="21"/>
        </w:rPr>
        <w:t>）；</w:t>
      </w:r>
    </w:p>
    <w:p w14:paraId="59BDAF3C">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ascii="宋体" w:hAnsi="宋体" w:eastAsia="宋体" w:cs="宋体"/>
          <w:color w:val="auto"/>
          <w:sz w:val="21"/>
          <w:szCs w:val="21"/>
        </w:rPr>
      </w:pPr>
      <w:r>
        <w:rPr>
          <w:rFonts w:ascii="宋体" w:hAnsi="宋体" w:eastAsia="宋体" w:cs="宋体"/>
          <w:b/>
          <w:bCs/>
          <w:color w:val="auto"/>
          <w:spacing w:val="-5"/>
          <w:sz w:val="21"/>
          <w:szCs w:val="21"/>
        </w:rPr>
        <w:t>（5）修正后的报价，投标人不确认的；</w:t>
      </w:r>
    </w:p>
    <w:p w14:paraId="00F4EBCA">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ascii="宋体" w:hAnsi="宋体" w:eastAsia="宋体" w:cs="宋体"/>
          <w:color w:val="auto"/>
          <w:sz w:val="21"/>
          <w:szCs w:val="21"/>
        </w:rPr>
      </w:pPr>
      <w:r>
        <w:rPr>
          <w:rFonts w:ascii="宋体" w:hAnsi="宋体" w:eastAsia="宋体" w:cs="宋体"/>
          <w:b/>
          <w:bCs/>
          <w:color w:val="auto"/>
          <w:spacing w:val="-4"/>
          <w:sz w:val="21"/>
          <w:szCs w:val="21"/>
        </w:rPr>
        <w:t>（6）投标人属于本章第5.1条（2）。</w:t>
      </w:r>
    </w:p>
    <w:p w14:paraId="2CCCE3EB">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ascii="宋体" w:hAnsi="宋体" w:eastAsia="宋体" w:cs="宋体"/>
          <w:b/>
          <w:bCs/>
          <w:color w:val="auto"/>
          <w:spacing w:val="-4"/>
          <w:sz w:val="21"/>
          <w:szCs w:val="21"/>
        </w:rPr>
      </w:pPr>
      <w:r>
        <w:rPr>
          <w:rFonts w:ascii="宋体" w:hAnsi="宋体" w:eastAsia="宋体" w:cs="宋体"/>
          <w:b/>
          <w:bCs/>
          <w:color w:val="auto"/>
          <w:spacing w:val="-4"/>
          <w:sz w:val="21"/>
          <w:szCs w:val="21"/>
        </w:rPr>
        <w:t>（7）报价文件响应的标的数量及单位与招标文件要求实质性不一致的。</w:t>
      </w:r>
    </w:p>
    <w:p w14:paraId="104D0E47">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b/>
          <w:bCs/>
          <w:color w:val="auto"/>
          <w:spacing w:val="-4"/>
          <w:sz w:val="21"/>
          <w:szCs w:val="21"/>
          <w:lang w:val="en-US" w:eastAsia="zh-CN"/>
        </w:rPr>
      </w:pPr>
      <w:r>
        <w:rPr>
          <w:rFonts w:hint="eastAsia" w:ascii="宋体" w:hAnsi="宋体" w:eastAsia="宋体" w:cs="宋体"/>
          <w:b/>
          <w:bCs/>
          <w:color w:val="auto"/>
          <w:spacing w:val="-4"/>
          <w:sz w:val="21"/>
          <w:szCs w:val="21"/>
          <w:lang w:val="en-US" w:eastAsia="zh-CN"/>
        </w:rPr>
        <w:t>（8）投标人的报价存在异常低价问题的情形，评标委员会应当要求其在评标现场合理的时间内提供报价合理性相关的书面说明及必要的证明材料。投标单位不能证明其报价合理性的，评标委员会应当将其作为无效响应处理。</w:t>
      </w:r>
    </w:p>
    <w:p w14:paraId="614D0E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ascii="宋体" w:hAnsi="宋体" w:eastAsia="宋体" w:cs="宋体"/>
          <w:color w:val="auto"/>
          <w:sz w:val="21"/>
          <w:szCs w:val="21"/>
        </w:rPr>
      </w:pPr>
      <w:r>
        <w:rPr>
          <w:rFonts w:ascii="宋体" w:hAnsi="宋体" w:eastAsia="宋体" w:cs="宋体"/>
          <w:b/>
          <w:bCs/>
          <w:color w:val="auto"/>
          <w:spacing w:val="-4"/>
          <w:sz w:val="21"/>
          <w:szCs w:val="21"/>
        </w:rPr>
        <w:t>2.2</w:t>
      </w:r>
      <w:r>
        <w:rPr>
          <w:rFonts w:ascii="宋体" w:hAnsi="宋体" w:eastAsia="宋体" w:cs="宋体"/>
          <w:color w:val="auto"/>
          <w:spacing w:val="-26"/>
          <w:sz w:val="21"/>
          <w:szCs w:val="21"/>
        </w:rPr>
        <w:t xml:space="preserve"> </w:t>
      </w:r>
      <w:r>
        <w:rPr>
          <w:rFonts w:ascii="宋体" w:hAnsi="宋体" w:eastAsia="宋体" w:cs="宋体"/>
          <w:b/>
          <w:bCs/>
          <w:color w:val="auto"/>
          <w:spacing w:val="-4"/>
          <w:sz w:val="21"/>
          <w:szCs w:val="21"/>
        </w:rPr>
        <w:t>在商务评审时，如发现下列情形之一的，将被视为投标无效：</w:t>
      </w:r>
    </w:p>
    <w:p w14:paraId="73E9454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outlineLvl w:val="3"/>
        <w:rPr>
          <w:rFonts w:ascii="宋体" w:hAnsi="宋体" w:eastAsia="宋体" w:cs="宋体"/>
          <w:color w:val="auto"/>
          <w:sz w:val="21"/>
          <w:szCs w:val="21"/>
        </w:rPr>
      </w:pPr>
      <w:r>
        <w:rPr>
          <w:rFonts w:ascii="宋体" w:hAnsi="宋体" w:eastAsia="宋体" w:cs="宋体"/>
          <w:b/>
          <w:bCs/>
          <w:color w:val="auto"/>
          <w:spacing w:val="-4"/>
          <w:sz w:val="21"/>
          <w:szCs w:val="21"/>
        </w:rPr>
        <w:t>（1）投标文件未按招标文件要求签署、盖章的；</w:t>
      </w:r>
    </w:p>
    <w:p w14:paraId="1805F9B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both"/>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（2）委托代理人未能出具有效身份证或者出具的身份证与授权委托书中的信息不符的；</w:t>
      </w:r>
    </w:p>
    <w:p w14:paraId="453E5D2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（3）为无效投标保证金的或者未按照招标文件的规定提交投标保证金的；</w:t>
      </w:r>
    </w:p>
    <w:p w14:paraId="68E23E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ascii="宋体" w:hAnsi="宋体" w:eastAsia="宋体" w:cs="宋体"/>
          <w:color w:val="auto"/>
          <w:sz w:val="21"/>
          <w:szCs w:val="21"/>
        </w:rPr>
      </w:pPr>
      <w:r>
        <w:rPr>
          <w:rFonts w:ascii="宋体" w:hAnsi="宋体" w:eastAsia="宋体" w:cs="宋体"/>
          <w:b/>
          <w:bCs/>
          <w:color w:val="auto"/>
          <w:spacing w:val="-2"/>
          <w:sz w:val="21"/>
          <w:szCs w:val="21"/>
        </w:rPr>
        <w:t>（4）投标文件未提供“投标人须知前附表”第</w:t>
      </w:r>
      <w:r>
        <w:rPr>
          <w:rFonts w:ascii="宋体" w:hAnsi="宋体" w:eastAsia="宋体" w:cs="宋体"/>
          <w:b/>
          <w:bCs/>
          <w:color w:val="auto"/>
          <w:spacing w:val="-3"/>
          <w:sz w:val="21"/>
          <w:szCs w:val="21"/>
        </w:rPr>
        <w:t>13.1条规定中“必须提供”或者“委托</w:t>
      </w:r>
      <w:r>
        <w:rPr>
          <w:rFonts w:ascii="宋体" w:hAnsi="宋体" w:eastAsia="宋体" w:cs="宋体"/>
          <w:b/>
          <w:bCs/>
          <w:color w:val="auto"/>
          <w:spacing w:val="-5"/>
          <w:sz w:val="21"/>
          <w:szCs w:val="21"/>
        </w:rPr>
        <w:t>时必须提供”的文件资料的；</w:t>
      </w:r>
    </w:p>
    <w:p w14:paraId="1718A26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ascii="宋体" w:hAnsi="宋体" w:eastAsia="宋体" w:cs="宋体"/>
          <w:color w:val="auto"/>
          <w:sz w:val="21"/>
          <w:szCs w:val="21"/>
        </w:rPr>
      </w:pPr>
      <w:r>
        <w:rPr>
          <w:rFonts w:ascii="宋体" w:hAnsi="宋体" w:eastAsia="宋体" w:cs="宋体"/>
          <w:b/>
          <w:bCs/>
          <w:color w:val="auto"/>
          <w:spacing w:val="-2"/>
          <w:sz w:val="21"/>
          <w:szCs w:val="21"/>
        </w:rPr>
        <w:t>（5）商务要求评审允许负偏离的条款数超</w:t>
      </w:r>
      <w:r>
        <w:rPr>
          <w:rFonts w:ascii="宋体" w:hAnsi="宋体" w:eastAsia="宋体" w:cs="宋体"/>
          <w:b/>
          <w:bCs/>
          <w:color w:val="auto"/>
          <w:spacing w:val="-3"/>
          <w:sz w:val="21"/>
          <w:szCs w:val="21"/>
        </w:rPr>
        <w:t>过“投标人须知前附表”规定项数的；</w:t>
      </w:r>
    </w:p>
    <w:p w14:paraId="79F055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ascii="宋体" w:hAnsi="宋体" w:eastAsia="宋体" w:cs="宋体"/>
          <w:color w:val="auto"/>
          <w:sz w:val="21"/>
          <w:szCs w:val="21"/>
        </w:rPr>
      </w:pPr>
      <w:r>
        <w:rPr>
          <w:rFonts w:ascii="宋体" w:hAnsi="宋体" w:eastAsia="宋体" w:cs="宋体"/>
          <w:b/>
          <w:bCs/>
          <w:color w:val="auto"/>
          <w:spacing w:val="-2"/>
          <w:sz w:val="21"/>
          <w:szCs w:val="21"/>
        </w:rPr>
        <w:t>（6）投标文件的实质性内容未使用中文表述</w:t>
      </w:r>
      <w:r>
        <w:rPr>
          <w:rFonts w:ascii="宋体" w:hAnsi="宋体" w:eastAsia="宋体" w:cs="宋体"/>
          <w:b/>
          <w:bCs/>
          <w:color w:val="auto"/>
          <w:spacing w:val="-3"/>
          <w:sz w:val="21"/>
          <w:szCs w:val="21"/>
        </w:rPr>
        <w:t>、使用计量单位不符合招标文件要求的；</w:t>
      </w:r>
    </w:p>
    <w:p w14:paraId="7C11AE6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both"/>
        <w:textAlignment w:val="baseline"/>
        <w:outlineLvl w:val="3"/>
        <w:rPr>
          <w:rFonts w:ascii="Arial"/>
          <w:color w:val="auto"/>
          <w:sz w:val="21"/>
        </w:rPr>
      </w:pPr>
      <w:r>
        <w:rPr>
          <w:rFonts w:ascii="宋体" w:hAnsi="宋体" w:eastAsia="宋体" w:cs="宋体"/>
          <w:b/>
          <w:bCs/>
          <w:color w:val="auto"/>
          <w:spacing w:val="3"/>
          <w:sz w:val="21"/>
          <w:szCs w:val="21"/>
        </w:rPr>
        <w:t>（7）投标文件中的文件资料因填写不齐全或者内容虚假或者出现其他情</w:t>
      </w:r>
      <w:r>
        <w:rPr>
          <w:rFonts w:ascii="宋体" w:hAnsi="宋体" w:eastAsia="宋体" w:cs="宋体"/>
          <w:b/>
          <w:bCs/>
          <w:color w:val="auto"/>
          <w:spacing w:val="2"/>
          <w:sz w:val="21"/>
          <w:szCs w:val="21"/>
        </w:rPr>
        <w:t>形而导致被评</w:t>
      </w:r>
    </w:p>
    <w:p w14:paraId="0494BB1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标委员会认定无效的；</w:t>
      </w:r>
    </w:p>
    <w:p w14:paraId="4FF5AB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ascii="宋体" w:hAnsi="宋体" w:eastAsia="宋体" w:cs="宋体"/>
          <w:color w:val="auto"/>
          <w:sz w:val="21"/>
          <w:szCs w:val="21"/>
        </w:rPr>
      </w:pPr>
      <w:r>
        <w:rPr>
          <w:rFonts w:ascii="宋体" w:hAnsi="宋体" w:eastAsia="宋体" w:cs="宋体"/>
          <w:b/>
          <w:bCs/>
          <w:color w:val="auto"/>
          <w:spacing w:val="-4"/>
          <w:sz w:val="21"/>
          <w:szCs w:val="21"/>
        </w:rPr>
        <w:t>（8）投标文件含有采购人不能接受的附加条件的；</w:t>
      </w:r>
    </w:p>
    <w:p w14:paraId="1129E44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ascii="宋体" w:hAnsi="宋体" w:eastAsia="宋体" w:cs="宋体"/>
          <w:color w:val="auto"/>
          <w:sz w:val="21"/>
          <w:szCs w:val="21"/>
        </w:rPr>
      </w:pPr>
      <w:r>
        <w:rPr>
          <w:rFonts w:ascii="宋体" w:hAnsi="宋体" w:eastAsia="宋体" w:cs="宋体"/>
          <w:b/>
          <w:bCs/>
          <w:color w:val="auto"/>
          <w:spacing w:val="-5"/>
          <w:sz w:val="21"/>
          <w:szCs w:val="21"/>
        </w:rPr>
        <w:t>（9）属于投标人须知正文第9.2条情形的；</w:t>
      </w:r>
    </w:p>
    <w:p w14:paraId="010DF7C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ascii="宋体" w:hAnsi="宋体" w:eastAsia="宋体" w:cs="宋体"/>
          <w:color w:val="auto"/>
          <w:sz w:val="21"/>
          <w:szCs w:val="21"/>
        </w:rPr>
      </w:pPr>
      <w:r>
        <w:rPr>
          <w:rFonts w:ascii="宋体" w:hAnsi="宋体" w:eastAsia="宋体" w:cs="宋体"/>
          <w:b/>
          <w:bCs/>
          <w:color w:val="auto"/>
          <w:sz w:val="21"/>
          <w:szCs w:val="21"/>
        </w:rPr>
        <w:t>（10）投标文件标注的项目名称或者项目编号与招标文件标注的项目名称或者项目编号</w:t>
      </w:r>
      <w:r>
        <w:rPr>
          <w:rFonts w:ascii="宋体" w:hAnsi="宋体" w:eastAsia="宋体" w:cs="宋体"/>
          <w:b/>
          <w:bCs/>
          <w:color w:val="auto"/>
          <w:spacing w:val="-9"/>
          <w:sz w:val="21"/>
          <w:szCs w:val="21"/>
        </w:rPr>
        <w:t>不一致的；</w:t>
      </w:r>
    </w:p>
    <w:p w14:paraId="66B835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（11）招标文件明确不允许分包，投标文件拟分包的；</w:t>
      </w:r>
    </w:p>
    <w:p w14:paraId="1F8FF36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ascii="宋体" w:hAnsi="宋体" w:eastAsia="宋体" w:cs="宋体"/>
          <w:color w:val="auto"/>
          <w:sz w:val="21"/>
          <w:szCs w:val="21"/>
        </w:rPr>
      </w:pPr>
      <w:r>
        <w:rPr>
          <w:rFonts w:ascii="宋体" w:hAnsi="宋体" w:eastAsia="宋体" w:cs="宋体"/>
          <w:b/>
          <w:bCs/>
          <w:color w:val="auto"/>
          <w:spacing w:val="-5"/>
          <w:sz w:val="21"/>
          <w:szCs w:val="21"/>
        </w:rPr>
        <w:t>（12）未响应招标文件实质性要求的；</w:t>
      </w:r>
    </w:p>
    <w:p w14:paraId="674532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（13）法律、法规和招标文件规定的其他无效情</w:t>
      </w:r>
      <w:r>
        <w:rPr>
          <w:rFonts w:ascii="宋体" w:hAnsi="宋体" w:eastAsia="宋体" w:cs="宋体"/>
          <w:b/>
          <w:bCs/>
          <w:color w:val="auto"/>
          <w:spacing w:val="-4"/>
          <w:sz w:val="21"/>
          <w:szCs w:val="21"/>
        </w:rPr>
        <w:t>形。</w:t>
      </w:r>
    </w:p>
    <w:p w14:paraId="57E3ABA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ascii="宋体" w:hAnsi="宋体" w:eastAsia="宋体" w:cs="宋体"/>
          <w:color w:val="auto"/>
          <w:sz w:val="21"/>
          <w:szCs w:val="21"/>
        </w:rPr>
      </w:pPr>
      <w:r>
        <w:rPr>
          <w:rFonts w:ascii="宋体" w:hAnsi="宋体" w:eastAsia="宋体" w:cs="宋体"/>
          <w:b/>
          <w:bCs/>
          <w:color w:val="auto"/>
          <w:spacing w:val="-4"/>
          <w:sz w:val="21"/>
          <w:szCs w:val="21"/>
        </w:rPr>
        <w:t>2.3</w:t>
      </w:r>
      <w:r>
        <w:rPr>
          <w:rFonts w:ascii="宋体" w:hAnsi="宋体" w:eastAsia="宋体" w:cs="宋体"/>
          <w:color w:val="auto"/>
          <w:spacing w:val="-26"/>
          <w:sz w:val="21"/>
          <w:szCs w:val="21"/>
        </w:rPr>
        <w:t xml:space="preserve"> </w:t>
      </w:r>
      <w:r>
        <w:rPr>
          <w:rFonts w:ascii="宋体" w:hAnsi="宋体" w:eastAsia="宋体" w:cs="宋体"/>
          <w:b/>
          <w:bCs/>
          <w:color w:val="auto"/>
          <w:spacing w:val="-4"/>
          <w:sz w:val="21"/>
          <w:szCs w:val="21"/>
        </w:rPr>
        <w:t>在技术评审时，如发现下列情形之一的，将被视为投标无效：</w:t>
      </w:r>
    </w:p>
    <w:p w14:paraId="7AB88C6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（1）技术要求评审允许负偏离的条款数超过“投标人须知前附表”规定项数的；</w:t>
      </w:r>
    </w:p>
    <w:p w14:paraId="1E5842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ascii="宋体" w:hAnsi="宋体" w:eastAsia="宋体" w:cs="宋体"/>
          <w:color w:val="auto"/>
          <w:sz w:val="21"/>
          <w:szCs w:val="21"/>
        </w:rPr>
      </w:pPr>
      <w:r>
        <w:rPr>
          <w:rFonts w:ascii="宋体" w:hAnsi="宋体" w:eastAsia="宋体" w:cs="宋体"/>
          <w:b/>
          <w:bCs/>
          <w:color w:val="auto"/>
          <w:spacing w:val="-2"/>
          <w:sz w:val="21"/>
          <w:szCs w:val="21"/>
        </w:rPr>
        <w:t>（2）投标文件未提供“投标人须知前附表”第13.1条规定中</w:t>
      </w:r>
      <w:r>
        <w:rPr>
          <w:rFonts w:ascii="宋体" w:hAnsi="宋体" w:eastAsia="宋体" w:cs="宋体"/>
          <w:b/>
          <w:bCs/>
          <w:color w:val="auto"/>
          <w:spacing w:val="-3"/>
          <w:sz w:val="21"/>
          <w:szCs w:val="21"/>
        </w:rPr>
        <w:t>“必须提供”的文件资料</w:t>
      </w:r>
      <w:r>
        <w:rPr>
          <w:rFonts w:ascii="宋体" w:hAnsi="宋体" w:eastAsia="宋体" w:cs="宋体"/>
          <w:b/>
          <w:bCs/>
          <w:color w:val="auto"/>
          <w:spacing w:val="-21"/>
          <w:sz w:val="21"/>
          <w:szCs w:val="21"/>
        </w:rPr>
        <w:t>的；</w:t>
      </w:r>
    </w:p>
    <w:p w14:paraId="6F30A9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（3）虚假投标，或者出现其他情形而导致被评标委</w:t>
      </w:r>
      <w:r>
        <w:rPr>
          <w:rFonts w:ascii="宋体" w:hAnsi="宋体" w:eastAsia="宋体" w:cs="宋体"/>
          <w:b/>
          <w:bCs/>
          <w:color w:val="auto"/>
          <w:spacing w:val="-4"/>
          <w:sz w:val="21"/>
          <w:szCs w:val="21"/>
        </w:rPr>
        <w:t>员会认定无效的；</w:t>
      </w:r>
    </w:p>
    <w:p w14:paraId="238D31F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ascii="宋体" w:hAnsi="宋体" w:eastAsia="宋体" w:cs="宋体"/>
          <w:color w:val="auto"/>
          <w:sz w:val="21"/>
          <w:szCs w:val="21"/>
        </w:rPr>
      </w:pPr>
      <w:r>
        <w:rPr>
          <w:rFonts w:ascii="宋体" w:hAnsi="宋体" w:eastAsia="宋体" w:cs="宋体"/>
          <w:b/>
          <w:bCs/>
          <w:color w:val="auto"/>
          <w:spacing w:val="-2"/>
          <w:sz w:val="21"/>
          <w:szCs w:val="21"/>
        </w:rPr>
        <w:t>（4）招标文件未载明允许提供备选（替代）投标方案</w:t>
      </w:r>
      <w:r>
        <w:rPr>
          <w:rFonts w:ascii="宋体" w:hAnsi="宋体" w:eastAsia="宋体" w:cs="宋体"/>
          <w:b/>
          <w:bCs/>
          <w:color w:val="auto"/>
          <w:spacing w:val="-3"/>
          <w:sz w:val="21"/>
          <w:szCs w:val="21"/>
        </w:rPr>
        <w:t>或明确不允许提供备选（替代）投标方案时，投标人提供了备选（替代）投标方案的；</w:t>
      </w:r>
    </w:p>
    <w:p w14:paraId="792B52F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outlineLvl w:val="3"/>
        <w:rPr>
          <w:rFonts w:ascii="宋体" w:hAnsi="宋体" w:eastAsia="宋体" w:cs="宋体"/>
          <w:color w:val="auto"/>
          <w:spacing w:val="15"/>
          <w:sz w:val="21"/>
          <w:szCs w:val="21"/>
        </w:rPr>
      </w:pPr>
      <w:r>
        <w:rPr>
          <w:rFonts w:ascii="宋体" w:hAnsi="宋体" w:eastAsia="宋体" w:cs="宋体"/>
          <w:b/>
          <w:bCs/>
          <w:color w:val="auto"/>
          <w:spacing w:val="-5"/>
          <w:sz w:val="21"/>
          <w:szCs w:val="21"/>
        </w:rPr>
        <w:t>（5）未响应招标文件实质性要求的。</w:t>
      </w:r>
      <w:r>
        <w:rPr>
          <w:rFonts w:ascii="宋体" w:hAnsi="宋体" w:eastAsia="宋体" w:cs="宋体"/>
          <w:color w:val="auto"/>
          <w:spacing w:val="15"/>
          <w:sz w:val="21"/>
          <w:szCs w:val="21"/>
        </w:rPr>
        <w:t xml:space="preserve"> </w:t>
      </w:r>
    </w:p>
    <w:p w14:paraId="432EBB1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outlineLvl w:val="3"/>
        <w:rPr>
          <w:rFonts w:ascii="宋体" w:hAnsi="宋体" w:eastAsia="宋体" w:cs="宋体"/>
          <w:color w:val="auto"/>
          <w:sz w:val="21"/>
          <w:szCs w:val="21"/>
        </w:rPr>
      </w:pPr>
      <w:r>
        <w:rPr>
          <w:rFonts w:ascii="宋体" w:hAnsi="宋体" w:eastAsia="宋体" w:cs="宋体"/>
          <w:b/>
          <w:bCs/>
          <w:color w:val="auto"/>
          <w:spacing w:val="-4"/>
          <w:sz w:val="21"/>
          <w:szCs w:val="21"/>
        </w:rPr>
        <w:t>3.澄清补正</w:t>
      </w:r>
    </w:p>
    <w:p w14:paraId="43F6611F">
      <w:pPr>
        <w:keepNext w:val="0"/>
        <w:keepLines w:val="0"/>
        <w:pageBreakBefore w:val="0"/>
        <w:widowControl/>
        <w:kinsoku/>
        <w:wordWrap w:val="0"/>
        <w:overflowPunct w:val="0"/>
        <w:topLinePunct w:val="0"/>
        <w:autoSpaceDE/>
        <w:autoSpaceDN/>
        <w:bidi w:val="0"/>
        <w:adjustRightInd w:val="0"/>
        <w:snapToGrid w:val="0"/>
        <w:spacing w:line="360" w:lineRule="auto"/>
        <w:ind w:right="0" w:firstLine="428" w:firstLineChars="200"/>
        <w:jc w:val="both"/>
        <w:textAlignment w:val="baseline"/>
        <w:rPr>
          <w:rFonts w:ascii="宋体" w:hAnsi="宋体" w:eastAsia="宋体" w:cs="宋体"/>
          <w:color w:val="auto"/>
          <w:sz w:val="21"/>
          <w:szCs w:val="21"/>
        </w:rPr>
      </w:pPr>
      <w:r>
        <w:rPr>
          <w:rFonts w:hint="eastAsia" w:ascii="宋体" w:hAnsi="宋体" w:eastAsia="宋体" w:cs="宋体"/>
          <w:color w:val="auto"/>
          <w:spacing w:val="2"/>
          <w:sz w:val="21"/>
          <w:szCs w:val="21"/>
          <w:lang w:eastAsia="zh-CN"/>
        </w:rPr>
        <w:t>（</w:t>
      </w:r>
      <w:r>
        <w:rPr>
          <w:rFonts w:hint="eastAsia" w:ascii="宋体" w:hAnsi="宋体" w:eastAsia="宋体" w:cs="宋体"/>
          <w:color w:val="auto"/>
          <w:spacing w:val="2"/>
          <w:sz w:val="21"/>
          <w:szCs w:val="21"/>
          <w:lang w:val="en-US" w:eastAsia="zh-CN"/>
        </w:rPr>
        <w:t>1</w:t>
      </w:r>
      <w:r>
        <w:rPr>
          <w:rFonts w:hint="eastAsia" w:ascii="宋体" w:hAnsi="宋体" w:eastAsia="宋体" w:cs="宋体"/>
          <w:color w:val="auto"/>
          <w:spacing w:val="2"/>
          <w:sz w:val="21"/>
          <w:szCs w:val="21"/>
          <w:lang w:eastAsia="zh-CN"/>
        </w:rPr>
        <w:t>）</w:t>
      </w:r>
      <w:r>
        <w:rPr>
          <w:rFonts w:ascii="宋体" w:hAnsi="宋体" w:eastAsia="宋体" w:cs="宋体"/>
          <w:color w:val="auto"/>
          <w:spacing w:val="2"/>
          <w:sz w:val="21"/>
          <w:szCs w:val="21"/>
        </w:rPr>
        <w:t>评标委员会对投标文件中含义不明确、同类问题表述不一致或者有明显文字和计算错误的内容，评标委员会应在“</w:t>
      </w:r>
      <w:r>
        <w:rPr>
          <w:rFonts w:hint="eastAsia" w:ascii="宋体" w:hAnsi="宋体" w:eastAsia="宋体" w:cs="宋体"/>
          <w:color w:val="auto"/>
          <w:spacing w:val="2"/>
          <w:sz w:val="21"/>
          <w:szCs w:val="21"/>
        </w:rPr>
        <w:t>广西政府采购云平台</w:t>
      </w:r>
      <w:r>
        <w:rPr>
          <w:rFonts w:ascii="宋体" w:hAnsi="宋体" w:eastAsia="宋体" w:cs="宋体"/>
          <w:color w:val="auto"/>
          <w:spacing w:val="2"/>
          <w:sz w:val="21"/>
          <w:szCs w:val="21"/>
        </w:rPr>
        <w:t>”发</w:t>
      </w:r>
      <w:r>
        <w:rPr>
          <w:rFonts w:hint="eastAsia" w:ascii="宋体" w:hAnsi="宋体" w:eastAsia="宋体" w:cs="宋体"/>
          <w:color w:val="auto"/>
          <w:spacing w:val="2"/>
          <w:sz w:val="21"/>
          <w:szCs w:val="21"/>
          <w:lang w:val="en-US" w:eastAsia="zh-CN"/>
        </w:rPr>
        <w:t>送</w:t>
      </w:r>
      <w:r>
        <w:rPr>
          <w:rFonts w:ascii="宋体" w:hAnsi="宋体" w:eastAsia="宋体" w:cs="宋体"/>
          <w:color w:val="auto"/>
          <w:spacing w:val="2"/>
          <w:sz w:val="21"/>
          <w:szCs w:val="21"/>
        </w:rPr>
        <w:t>电子澄清函</w:t>
      </w:r>
      <w:r>
        <w:rPr>
          <w:rFonts w:ascii="宋体" w:hAnsi="宋体" w:eastAsia="宋体" w:cs="宋体"/>
          <w:color w:val="auto"/>
          <w:spacing w:val="1"/>
          <w:sz w:val="21"/>
          <w:szCs w:val="21"/>
        </w:rPr>
        <w:t>，要求投标人在规定时间内作出必要的澄清、</w:t>
      </w:r>
      <w:r>
        <w:rPr>
          <w:rFonts w:ascii="宋体" w:hAnsi="宋体" w:eastAsia="宋体" w:cs="宋体"/>
          <w:color w:val="auto"/>
          <w:sz w:val="21"/>
          <w:szCs w:val="21"/>
        </w:rPr>
        <w:t>说明或者补正。投标人在“</w:t>
      </w:r>
      <w:r>
        <w:rPr>
          <w:rFonts w:hint="eastAsia" w:ascii="宋体" w:hAnsi="宋体" w:eastAsia="宋体" w:cs="宋体"/>
          <w:color w:val="auto"/>
          <w:sz w:val="21"/>
          <w:szCs w:val="21"/>
        </w:rPr>
        <w:t>广西政府采购云平台</w:t>
      </w:r>
      <w:r>
        <w:rPr>
          <w:rFonts w:ascii="宋体" w:hAnsi="宋体" w:eastAsia="宋体" w:cs="宋体"/>
          <w:color w:val="auto"/>
          <w:sz w:val="21"/>
          <w:szCs w:val="21"/>
        </w:rPr>
        <w:t>”接收到电子澄清函后</w:t>
      </w:r>
      <w:r>
        <w:rPr>
          <w:rFonts w:hint="eastAsia" w:ascii="宋体" w:hAnsi="宋体" w:eastAsia="宋体" w:cs="宋体"/>
          <w:color w:val="auto"/>
          <w:sz w:val="21"/>
          <w:szCs w:val="21"/>
          <w:lang w:eastAsia="zh-CN"/>
        </w:rPr>
        <w:t>，</w:t>
      </w:r>
      <w:r>
        <w:rPr>
          <w:rFonts w:ascii="宋体" w:hAnsi="宋体" w:eastAsia="宋体" w:cs="宋体"/>
          <w:color w:val="auto"/>
          <w:sz w:val="21"/>
          <w:szCs w:val="21"/>
        </w:rPr>
        <w:t>根据澄清函内容上传P</w:t>
      </w:r>
      <w:r>
        <w:rPr>
          <w:rFonts w:ascii="宋体" w:hAnsi="宋体" w:eastAsia="宋体" w:cs="宋体"/>
          <w:color w:val="auto"/>
          <w:spacing w:val="-1"/>
          <w:sz w:val="21"/>
          <w:szCs w:val="21"/>
        </w:rPr>
        <w:t>DF格式</w:t>
      </w:r>
      <w:r>
        <w:rPr>
          <w:rFonts w:ascii="宋体" w:hAnsi="宋体" w:eastAsia="宋体" w:cs="宋体"/>
          <w:color w:val="auto"/>
          <w:sz w:val="21"/>
          <w:szCs w:val="21"/>
        </w:rPr>
        <w:t>回函，电子澄清答复函使用CA证书加盖投标</w:t>
      </w:r>
      <w:r>
        <w:rPr>
          <w:rFonts w:ascii="宋体" w:hAnsi="宋体" w:eastAsia="宋体" w:cs="宋体"/>
          <w:color w:val="auto"/>
          <w:spacing w:val="-1"/>
          <w:sz w:val="21"/>
          <w:szCs w:val="21"/>
        </w:rPr>
        <w:t>人电子签章后在线</w:t>
      </w:r>
      <w:r>
        <w:rPr>
          <w:rFonts w:hint="eastAsia" w:ascii="宋体" w:hAnsi="宋体" w:eastAsia="宋体" w:cs="宋体"/>
          <w:color w:val="auto"/>
          <w:spacing w:val="-1"/>
          <w:sz w:val="21"/>
          <w:szCs w:val="21"/>
          <w:lang w:eastAsia="zh-CN"/>
        </w:rPr>
        <w:t>提交</w:t>
      </w:r>
      <w:r>
        <w:rPr>
          <w:rFonts w:ascii="宋体" w:hAnsi="宋体" w:eastAsia="宋体" w:cs="宋体"/>
          <w:color w:val="auto"/>
          <w:spacing w:val="-1"/>
          <w:sz w:val="21"/>
          <w:szCs w:val="21"/>
        </w:rPr>
        <w:t>至评标委员会。投标人的澄清、说明或者补正不得超出投标文件的范围或者改变投标文件的实质性内容。</w:t>
      </w:r>
    </w:p>
    <w:p w14:paraId="09F94FF5">
      <w:pPr>
        <w:keepNext w:val="0"/>
        <w:keepLines w:val="0"/>
        <w:pageBreakBefore w:val="0"/>
        <w:widowControl/>
        <w:kinsoku/>
        <w:wordWrap w:val="0"/>
        <w:overflowPunct w:val="0"/>
        <w:topLinePunct w:val="0"/>
        <w:autoSpaceDE/>
        <w:autoSpaceDN/>
        <w:bidi w:val="0"/>
        <w:adjustRightInd w:val="0"/>
        <w:snapToGrid w:val="0"/>
        <w:spacing w:line="360" w:lineRule="auto"/>
        <w:ind w:right="0" w:firstLine="428" w:firstLineChars="200"/>
        <w:jc w:val="both"/>
        <w:textAlignment w:val="baseline"/>
        <w:rPr>
          <w:rFonts w:ascii="宋体" w:hAnsi="宋体" w:eastAsia="宋体" w:cs="宋体"/>
          <w:color w:val="auto"/>
          <w:sz w:val="21"/>
          <w:szCs w:val="21"/>
        </w:rPr>
      </w:pPr>
      <w:r>
        <w:rPr>
          <w:rFonts w:hint="eastAsia" w:ascii="宋体" w:hAnsi="宋体" w:eastAsia="宋体" w:cs="宋体"/>
          <w:color w:val="auto"/>
          <w:spacing w:val="2"/>
          <w:sz w:val="21"/>
          <w:szCs w:val="21"/>
          <w:lang w:eastAsia="zh-CN"/>
        </w:rPr>
        <w:t>（</w:t>
      </w:r>
      <w:r>
        <w:rPr>
          <w:rFonts w:hint="eastAsia" w:ascii="宋体" w:hAnsi="宋体" w:eastAsia="宋体" w:cs="宋体"/>
          <w:color w:val="auto"/>
          <w:spacing w:val="2"/>
          <w:sz w:val="21"/>
          <w:szCs w:val="21"/>
          <w:lang w:val="en-US" w:eastAsia="zh-CN"/>
        </w:rPr>
        <w:t>2</w:t>
      </w:r>
      <w:r>
        <w:rPr>
          <w:rFonts w:hint="eastAsia" w:ascii="宋体" w:hAnsi="宋体" w:eastAsia="宋体" w:cs="宋体"/>
          <w:color w:val="auto"/>
          <w:spacing w:val="2"/>
          <w:sz w:val="21"/>
          <w:szCs w:val="21"/>
          <w:lang w:eastAsia="zh-CN"/>
        </w:rPr>
        <w:t>）</w:t>
      </w:r>
      <w:r>
        <w:rPr>
          <w:rFonts w:ascii="宋体" w:hAnsi="宋体" w:eastAsia="宋体" w:cs="宋体"/>
          <w:color w:val="auto"/>
          <w:spacing w:val="2"/>
          <w:sz w:val="21"/>
          <w:szCs w:val="21"/>
        </w:rPr>
        <w:t>异常情况处理：如遇无法正常使用线上发送澄清函的情况，将启动书面形式办理。启动书面形式办理的情况下，评标委员会以书面形式要求投标人在规定</w:t>
      </w:r>
      <w:r>
        <w:rPr>
          <w:rFonts w:ascii="宋体" w:hAnsi="宋体" w:eastAsia="宋体" w:cs="宋体"/>
          <w:color w:val="auto"/>
          <w:spacing w:val="1"/>
          <w:sz w:val="21"/>
          <w:szCs w:val="21"/>
        </w:rPr>
        <w:t>时间内作出必要的澄清、</w:t>
      </w:r>
      <w:r>
        <w:rPr>
          <w:rFonts w:ascii="宋体" w:hAnsi="宋体" w:eastAsia="宋体" w:cs="宋体"/>
          <w:color w:val="auto"/>
          <w:spacing w:val="3"/>
          <w:sz w:val="21"/>
          <w:szCs w:val="21"/>
        </w:rPr>
        <w:t>说明或者补正。投标人的澄清、说明或者补正必</w:t>
      </w:r>
      <w:r>
        <w:rPr>
          <w:rFonts w:ascii="宋体" w:hAnsi="宋体" w:eastAsia="宋体" w:cs="宋体"/>
          <w:color w:val="auto"/>
          <w:spacing w:val="2"/>
          <w:sz w:val="21"/>
          <w:szCs w:val="21"/>
        </w:rPr>
        <w:t>须采用书面形式，并加盖公章，或者由法定</w:t>
      </w:r>
      <w:r>
        <w:rPr>
          <w:rFonts w:ascii="宋体" w:hAnsi="宋体" w:eastAsia="宋体" w:cs="宋体"/>
          <w:color w:val="auto"/>
          <w:spacing w:val="-2"/>
          <w:sz w:val="21"/>
          <w:szCs w:val="21"/>
        </w:rPr>
        <w:t>代表人</w:t>
      </w:r>
      <w:r>
        <w:rPr>
          <w:rFonts w:hint="eastAsia" w:ascii="宋体" w:hAnsi="宋体" w:eastAsia="宋体" w:cs="宋体"/>
          <w:color w:val="auto"/>
          <w:spacing w:val="-2"/>
          <w:sz w:val="21"/>
          <w:szCs w:val="21"/>
          <w:lang w:eastAsia="zh-CN"/>
        </w:rPr>
        <w:t>（负责人）</w:t>
      </w:r>
      <w:r>
        <w:rPr>
          <w:rFonts w:ascii="宋体" w:hAnsi="宋体" w:eastAsia="宋体" w:cs="宋体"/>
          <w:color w:val="auto"/>
          <w:spacing w:val="-2"/>
          <w:sz w:val="21"/>
          <w:szCs w:val="21"/>
        </w:rPr>
        <w:t>或者其授权的代表签字。</w:t>
      </w:r>
    </w:p>
    <w:p w14:paraId="741422F7">
      <w:pPr>
        <w:keepNext w:val="0"/>
        <w:keepLines w:val="0"/>
        <w:pageBreakBefore w:val="0"/>
        <w:widowControl/>
        <w:kinsoku/>
        <w:wordWrap w:val="0"/>
        <w:overflowPunct w:val="0"/>
        <w:topLinePunct w:val="0"/>
        <w:autoSpaceDE/>
        <w:autoSpaceDN/>
        <w:bidi w:val="0"/>
        <w:adjustRightInd w:val="0"/>
        <w:snapToGrid w:val="0"/>
        <w:spacing w:line="360" w:lineRule="auto"/>
        <w:ind w:left="0" w:right="0" w:firstLine="428" w:firstLineChars="200"/>
        <w:jc w:val="both"/>
        <w:textAlignment w:val="baseline"/>
        <w:rPr>
          <w:rFonts w:ascii="宋体" w:hAnsi="宋体" w:eastAsia="宋体" w:cs="宋体"/>
          <w:color w:val="auto"/>
          <w:sz w:val="21"/>
          <w:szCs w:val="21"/>
        </w:rPr>
      </w:pPr>
      <w:r>
        <w:rPr>
          <w:rFonts w:ascii="宋体" w:hAnsi="宋体" w:eastAsia="宋体" w:cs="宋体"/>
          <w:color w:val="auto"/>
          <w:spacing w:val="2"/>
          <w:sz w:val="21"/>
          <w:szCs w:val="21"/>
        </w:rPr>
        <w:t>未按评标委员会的要求作出明确澄清、说明或者更正的投标人的投标文件将按照有利于</w:t>
      </w:r>
      <w:r>
        <w:rPr>
          <w:rFonts w:ascii="宋体" w:hAnsi="宋体" w:eastAsia="宋体" w:cs="宋体"/>
          <w:color w:val="auto"/>
          <w:spacing w:val="-1"/>
          <w:sz w:val="21"/>
          <w:szCs w:val="21"/>
        </w:rPr>
        <w:t>采购人的原则由评标委员会进行判定。</w:t>
      </w:r>
    </w:p>
    <w:p w14:paraId="390905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宋体" w:hAnsi="宋体" w:eastAsia="宋体" w:cs="宋体"/>
          <w:color w:val="auto"/>
          <w:sz w:val="21"/>
          <w:szCs w:val="21"/>
        </w:rPr>
      </w:pPr>
      <w:r>
        <w:rPr>
          <w:rFonts w:ascii="宋体" w:hAnsi="宋体" w:eastAsia="宋体" w:cs="宋体"/>
          <w:b/>
          <w:bCs/>
          <w:color w:val="auto"/>
          <w:spacing w:val="-3"/>
          <w:sz w:val="21"/>
          <w:szCs w:val="21"/>
        </w:rPr>
        <w:t>4.投标文件修正</w:t>
      </w:r>
    </w:p>
    <w:p w14:paraId="7C37015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outlineLvl w:val="3"/>
        <w:rPr>
          <w:rFonts w:ascii="宋体" w:hAnsi="宋体" w:eastAsia="宋体" w:cs="宋体"/>
          <w:color w:val="auto"/>
          <w:sz w:val="21"/>
          <w:szCs w:val="21"/>
        </w:rPr>
      </w:pPr>
      <w:r>
        <w:rPr>
          <w:rFonts w:ascii="宋体" w:hAnsi="宋体" w:eastAsia="宋体" w:cs="宋体"/>
          <w:color w:val="auto"/>
          <w:spacing w:val="-1"/>
          <w:sz w:val="21"/>
          <w:szCs w:val="21"/>
        </w:rPr>
        <w:t>4.1</w:t>
      </w:r>
      <w:r>
        <w:rPr>
          <w:rFonts w:ascii="宋体" w:hAnsi="宋体" w:eastAsia="宋体" w:cs="宋体"/>
          <w:color w:val="auto"/>
          <w:spacing w:val="-28"/>
          <w:sz w:val="21"/>
          <w:szCs w:val="21"/>
        </w:rPr>
        <w:t xml:space="preserve"> </w:t>
      </w:r>
      <w:r>
        <w:rPr>
          <w:rFonts w:ascii="宋体" w:hAnsi="宋体" w:eastAsia="宋体" w:cs="宋体"/>
          <w:color w:val="auto"/>
          <w:spacing w:val="-1"/>
          <w:sz w:val="21"/>
          <w:szCs w:val="21"/>
        </w:rPr>
        <w:t>投标文件报价出现前后不一致的，按照下列规定修正：</w:t>
      </w:r>
    </w:p>
    <w:p w14:paraId="567A645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（1）投标文件中开标一览表（报价表）内容与投标文件</w:t>
      </w:r>
      <w:r>
        <w:rPr>
          <w:rFonts w:ascii="宋体" w:hAnsi="宋体" w:eastAsia="宋体" w:cs="宋体"/>
          <w:color w:val="auto"/>
          <w:spacing w:val="-1"/>
          <w:sz w:val="21"/>
          <w:szCs w:val="21"/>
        </w:rPr>
        <w:t>中相应内容不一致的，以开标一览表（报价表）为准；</w:t>
      </w:r>
    </w:p>
    <w:p w14:paraId="7A7F2B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outlineLvl w:val="4"/>
        <w:rPr>
          <w:rFonts w:hint="eastAsia" w:ascii="Arial" w:eastAsia="宋体"/>
          <w:color w:val="auto"/>
          <w:sz w:val="21"/>
          <w:lang w:eastAsia="zh-CN"/>
        </w:rPr>
      </w:pPr>
      <w:r>
        <w:rPr>
          <w:rFonts w:ascii="宋体" w:hAnsi="宋体" w:eastAsia="宋体" w:cs="宋体"/>
          <w:color w:val="auto"/>
          <w:spacing w:val="-2"/>
          <w:sz w:val="21"/>
          <w:szCs w:val="21"/>
        </w:rPr>
        <w:t>（2）大写金额和小写金额不一致的，以大写金额为准</w:t>
      </w:r>
      <w:r>
        <w:rPr>
          <w:rFonts w:hint="eastAsia" w:ascii="宋体" w:hAnsi="宋体" w:eastAsia="宋体" w:cs="宋体"/>
          <w:color w:val="auto"/>
          <w:spacing w:val="-2"/>
          <w:sz w:val="21"/>
          <w:szCs w:val="21"/>
          <w:lang w:eastAsia="zh-CN"/>
        </w:rPr>
        <w:t>；</w:t>
      </w:r>
    </w:p>
    <w:p w14:paraId="10F1BEA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04" w:firstLineChars="200"/>
        <w:jc w:val="left"/>
        <w:textAlignment w:val="baseline"/>
        <w:rPr>
          <w:rFonts w:ascii="宋体" w:hAnsi="宋体" w:eastAsia="宋体" w:cs="宋体"/>
          <w:color w:val="auto"/>
          <w:sz w:val="21"/>
          <w:szCs w:val="21"/>
        </w:rPr>
      </w:pPr>
      <w:r>
        <w:rPr>
          <w:rFonts w:ascii="宋体" w:hAnsi="宋体" w:eastAsia="宋体" w:cs="宋体"/>
          <w:color w:val="auto"/>
          <w:spacing w:val="-4"/>
          <w:sz w:val="21"/>
          <w:szCs w:val="21"/>
        </w:rPr>
        <w:t>（3）单价金额小数点或者百分比有明显错位的</w:t>
      </w:r>
      <w:r>
        <w:rPr>
          <w:rFonts w:hint="eastAsia" w:ascii="宋体" w:hAnsi="宋体" w:eastAsia="宋体" w:cs="宋体"/>
          <w:color w:val="auto"/>
          <w:spacing w:val="-4"/>
          <w:sz w:val="21"/>
          <w:szCs w:val="21"/>
          <w:lang w:eastAsia="zh-CN"/>
        </w:rPr>
        <w:t>，</w:t>
      </w:r>
      <w:r>
        <w:rPr>
          <w:rFonts w:ascii="宋体" w:hAnsi="宋体" w:eastAsia="宋体" w:cs="宋体"/>
          <w:color w:val="auto"/>
          <w:spacing w:val="-4"/>
          <w:sz w:val="21"/>
          <w:szCs w:val="21"/>
        </w:rPr>
        <w:t>以开标一览表的总价为准，</w:t>
      </w:r>
      <w:r>
        <w:rPr>
          <w:rFonts w:ascii="宋体" w:hAnsi="宋体" w:eastAsia="宋体" w:cs="宋体"/>
          <w:color w:val="auto"/>
          <w:spacing w:val="-5"/>
          <w:sz w:val="21"/>
          <w:szCs w:val="21"/>
        </w:rPr>
        <w:t>并修改单</w:t>
      </w:r>
      <w:r>
        <w:rPr>
          <w:rFonts w:hint="eastAsia" w:ascii="宋体" w:hAnsi="宋体" w:eastAsia="宋体" w:cs="宋体"/>
          <w:color w:val="auto"/>
          <w:spacing w:val="-5"/>
          <w:sz w:val="21"/>
          <w:szCs w:val="21"/>
          <w:lang w:val="en-US" w:eastAsia="zh-CN"/>
        </w:rPr>
        <w:t>价</w:t>
      </w:r>
      <w:r>
        <w:rPr>
          <w:rFonts w:ascii="宋体" w:hAnsi="宋体" w:eastAsia="宋体" w:cs="宋体"/>
          <w:color w:val="auto"/>
          <w:spacing w:val="-5"/>
          <w:sz w:val="21"/>
          <w:szCs w:val="21"/>
        </w:rPr>
        <w:t>；</w:t>
      </w:r>
    </w:p>
    <w:p w14:paraId="66BD4D8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（4）总价金额与按单价汇总金额不一致的，以单价金额计算结果为准。</w:t>
      </w:r>
    </w:p>
    <w:p w14:paraId="06BF5B7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同时出现两种以上不一致的，按照以上（1）-（4）规定的顺序修正。修正后的报价经投标人确认后产生约束力，投标人不确认的，</w:t>
      </w:r>
      <w:r>
        <w:rPr>
          <w:rFonts w:ascii="宋体" w:hAnsi="宋体" w:eastAsia="宋体" w:cs="宋体"/>
          <w:b/>
          <w:bCs/>
          <w:color w:val="auto"/>
          <w:spacing w:val="-1"/>
          <w:sz w:val="21"/>
          <w:szCs w:val="21"/>
        </w:rPr>
        <w:t>其投标无效</w:t>
      </w:r>
      <w:r>
        <w:rPr>
          <w:rFonts w:ascii="宋体" w:hAnsi="宋体" w:eastAsia="宋体" w:cs="宋体"/>
          <w:color w:val="auto"/>
          <w:spacing w:val="-1"/>
          <w:sz w:val="21"/>
          <w:szCs w:val="21"/>
        </w:rPr>
        <w:t>。</w:t>
      </w:r>
    </w:p>
    <w:p w14:paraId="4F95C54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rPr>
          <w:rFonts w:ascii="宋体" w:hAnsi="宋体" w:eastAsia="宋体" w:cs="宋体"/>
          <w:color w:val="auto"/>
          <w:sz w:val="21"/>
          <w:szCs w:val="21"/>
        </w:rPr>
      </w:pPr>
      <w:r>
        <w:rPr>
          <w:rFonts w:ascii="宋体" w:hAnsi="宋体" w:eastAsia="宋体" w:cs="宋体"/>
          <w:color w:val="auto"/>
          <w:spacing w:val="-2"/>
          <w:sz w:val="21"/>
          <w:szCs w:val="21"/>
        </w:rPr>
        <w:t>4.2</w:t>
      </w:r>
      <w:r>
        <w:rPr>
          <w:rFonts w:ascii="宋体" w:hAnsi="宋体" w:eastAsia="宋体" w:cs="宋体"/>
          <w:color w:val="auto"/>
          <w:spacing w:val="-42"/>
          <w:sz w:val="21"/>
          <w:szCs w:val="21"/>
        </w:rPr>
        <w:t xml:space="preserve"> </w:t>
      </w:r>
      <w:r>
        <w:rPr>
          <w:rFonts w:ascii="宋体" w:hAnsi="宋体" w:eastAsia="宋体" w:cs="宋体"/>
          <w:color w:val="auto"/>
          <w:spacing w:val="-2"/>
          <w:sz w:val="21"/>
          <w:szCs w:val="21"/>
        </w:rPr>
        <w:t>经投标人确认修正后的报价若超过采购预算金额或者最高限价，</w:t>
      </w:r>
      <w:r>
        <w:rPr>
          <w:rFonts w:ascii="宋体" w:hAnsi="宋体" w:eastAsia="宋体" w:cs="宋体"/>
          <w:b/>
          <w:bCs/>
          <w:color w:val="auto"/>
          <w:spacing w:val="-3"/>
          <w:sz w:val="21"/>
          <w:szCs w:val="21"/>
        </w:rPr>
        <w:t>投标人的投标文件作无效投标处理</w:t>
      </w:r>
      <w:r>
        <w:rPr>
          <w:rFonts w:ascii="宋体" w:hAnsi="宋体" w:eastAsia="宋体" w:cs="宋体"/>
          <w:color w:val="auto"/>
          <w:spacing w:val="-3"/>
          <w:sz w:val="21"/>
          <w:szCs w:val="21"/>
        </w:rPr>
        <w:t>。</w:t>
      </w:r>
    </w:p>
    <w:p w14:paraId="29508D6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pacing w:val="-1"/>
          <w:sz w:val="21"/>
          <w:szCs w:val="21"/>
        </w:rPr>
      </w:pPr>
      <w:r>
        <w:rPr>
          <w:rFonts w:ascii="宋体" w:hAnsi="宋体" w:eastAsia="宋体" w:cs="宋体"/>
          <w:color w:val="auto"/>
          <w:spacing w:val="-1"/>
          <w:sz w:val="21"/>
          <w:szCs w:val="21"/>
        </w:rPr>
        <w:t>4.3</w:t>
      </w:r>
      <w:r>
        <w:rPr>
          <w:rFonts w:ascii="宋体" w:hAnsi="宋体" w:eastAsia="宋体" w:cs="宋体"/>
          <w:color w:val="auto"/>
          <w:spacing w:val="-34"/>
          <w:sz w:val="21"/>
          <w:szCs w:val="21"/>
        </w:rPr>
        <w:t xml:space="preserve"> </w:t>
      </w:r>
      <w:r>
        <w:rPr>
          <w:rFonts w:ascii="宋体" w:hAnsi="宋体" w:eastAsia="宋体" w:cs="宋体"/>
          <w:color w:val="auto"/>
          <w:spacing w:val="-1"/>
          <w:sz w:val="21"/>
          <w:szCs w:val="21"/>
        </w:rPr>
        <w:t>经投标人确认修正后的报价作为签订合同的依据，并以此报价计算价格分。</w:t>
      </w:r>
    </w:p>
    <w:p w14:paraId="1D0510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hint="eastAsia" w:ascii="宋体" w:hAnsi="宋体" w:eastAsia="宋体" w:cs="宋体"/>
          <w:b/>
          <w:bCs/>
          <w:color w:val="auto"/>
          <w:spacing w:val="-3"/>
          <w:sz w:val="21"/>
          <w:szCs w:val="21"/>
          <w:lang w:val="en-US" w:eastAsia="zh-CN"/>
        </w:rPr>
      </w:pPr>
      <w:r>
        <w:rPr>
          <w:rFonts w:hint="eastAsia" w:ascii="宋体" w:hAnsi="宋体" w:eastAsia="宋体" w:cs="宋体"/>
          <w:b/>
          <w:bCs/>
          <w:color w:val="auto"/>
          <w:spacing w:val="-3"/>
          <w:sz w:val="21"/>
          <w:szCs w:val="21"/>
          <w:lang w:val="en-US" w:eastAsia="zh-CN"/>
        </w:rPr>
        <w:t xml:space="preserve">5.异常低价审查 </w:t>
      </w:r>
    </w:p>
    <w:p w14:paraId="245D6F0B">
      <w:pPr>
        <w:keepNext w:val="0"/>
        <w:keepLines w:val="0"/>
        <w:pageBreakBefore w:val="0"/>
        <w:widowControl/>
        <w:tabs>
          <w:tab w:val="left" w:pos="420"/>
        </w:tabs>
        <w:kinsoku w:val="0"/>
        <w:wordWrap/>
        <w:overflowPunct/>
        <w:topLinePunct w:val="0"/>
        <w:autoSpaceDE w:val="0"/>
        <w:autoSpaceDN w:val="0"/>
        <w:bidi w:val="0"/>
        <w:adjustRightInd w:val="0"/>
        <w:snapToGrid w:val="0"/>
        <w:spacing w:line="360" w:lineRule="auto"/>
        <w:ind w:right="0"/>
        <w:textAlignment w:val="baseline"/>
        <w:rPr>
          <w:rFonts w:hint="eastAsia" w:ascii="宋体" w:hAnsi="宋体" w:eastAsia="宋体" w:cs="宋体"/>
          <w:b/>
          <w:bCs/>
          <w:color w:val="auto"/>
          <w:spacing w:val="-4"/>
          <w:sz w:val="21"/>
          <w:szCs w:val="21"/>
          <w:lang w:val="en-US" w:eastAsia="zh-CN"/>
        </w:rPr>
      </w:pPr>
      <w:r>
        <w:rPr>
          <w:rFonts w:hint="eastAsia" w:ascii="宋体" w:hAnsi="宋体" w:eastAsia="宋体" w:cs="宋体"/>
          <w:b/>
          <w:bCs/>
          <w:color w:val="auto"/>
          <w:spacing w:val="-4"/>
          <w:sz w:val="21"/>
          <w:szCs w:val="21"/>
          <w:lang w:val="en-US" w:eastAsia="zh-CN"/>
        </w:rPr>
        <w:tab/>
      </w:r>
      <w:r>
        <w:rPr>
          <w:rFonts w:hint="eastAsia" w:ascii="宋体" w:hAnsi="宋体" w:eastAsia="宋体" w:cs="宋体"/>
          <w:b/>
          <w:bCs/>
          <w:color w:val="auto"/>
          <w:spacing w:val="-4"/>
          <w:sz w:val="21"/>
          <w:szCs w:val="21"/>
          <w:lang w:val="en-US" w:eastAsia="zh-CN"/>
        </w:rPr>
        <w:t>本项目异常低价审查情形见“投标人须知前附表”规定。</w:t>
      </w:r>
    </w:p>
    <w:p w14:paraId="33D8268C">
      <w:pPr>
        <w:keepNext w:val="0"/>
        <w:keepLines w:val="0"/>
        <w:pageBreakBefore w:val="0"/>
        <w:widowControl/>
        <w:tabs>
          <w:tab w:val="left" w:pos="420"/>
        </w:tabs>
        <w:kinsoku w:val="0"/>
        <w:wordWrap/>
        <w:overflowPunct/>
        <w:topLinePunct w:val="0"/>
        <w:autoSpaceDE w:val="0"/>
        <w:autoSpaceDN w:val="0"/>
        <w:bidi w:val="0"/>
        <w:adjustRightInd w:val="0"/>
        <w:snapToGrid w:val="0"/>
        <w:spacing w:line="360" w:lineRule="auto"/>
        <w:ind w:right="0"/>
        <w:textAlignment w:val="baseline"/>
        <w:rPr>
          <w:rFonts w:hint="default" w:ascii="宋体" w:hAnsi="宋体" w:eastAsia="宋体" w:cs="宋体"/>
          <w:b/>
          <w:bCs/>
          <w:color w:val="auto"/>
          <w:spacing w:val="-4"/>
          <w:sz w:val="21"/>
          <w:szCs w:val="21"/>
          <w:lang w:val="en-US" w:eastAsia="zh-CN"/>
        </w:rPr>
      </w:pPr>
      <w:r>
        <w:rPr>
          <w:rFonts w:hint="eastAsia" w:ascii="宋体" w:hAnsi="宋体" w:eastAsia="宋体" w:cs="宋体"/>
          <w:b/>
          <w:bCs/>
          <w:color w:val="auto"/>
          <w:spacing w:val="-4"/>
          <w:sz w:val="21"/>
          <w:szCs w:val="21"/>
          <w:lang w:val="en-US" w:eastAsia="zh-CN"/>
        </w:rPr>
        <w:tab/>
      </w:r>
      <w:r>
        <w:rPr>
          <w:rFonts w:hint="default" w:ascii="宋体" w:hAnsi="宋体" w:eastAsia="宋体" w:cs="宋体"/>
          <w:b/>
          <w:bCs/>
          <w:color w:val="auto"/>
          <w:spacing w:val="-4"/>
          <w:sz w:val="21"/>
          <w:szCs w:val="21"/>
          <w:lang w:val="en-US" w:eastAsia="zh-CN"/>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w:t>
      </w:r>
      <w:r>
        <w:rPr>
          <w:rFonts w:hint="eastAsia" w:ascii="宋体" w:hAnsi="宋体" w:eastAsia="宋体" w:cs="宋体"/>
          <w:b/>
          <w:bCs/>
          <w:color w:val="auto"/>
          <w:spacing w:val="-4"/>
          <w:sz w:val="21"/>
          <w:szCs w:val="21"/>
          <w:lang w:val="en-US" w:eastAsia="zh-CN"/>
        </w:rPr>
        <w:t>投标单位</w:t>
      </w:r>
      <w:r>
        <w:rPr>
          <w:rFonts w:hint="default" w:ascii="宋体" w:hAnsi="宋体" w:eastAsia="宋体" w:cs="宋体"/>
          <w:b/>
          <w:bCs/>
          <w:color w:val="auto"/>
          <w:spacing w:val="-4"/>
          <w:sz w:val="21"/>
          <w:szCs w:val="21"/>
          <w:lang w:val="en-US" w:eastAsia="zh-CN"/>
        </w:rPr>
        <w:t xml:space="preserve">已随投标（响应）文件一并提交相关书面说明及必要的证明材料的，在评审现场可不再重复提交。 </w:t>
      </w:r>
    </w:p>
    <w:p w14:paraId="5A56663E">
      <w:pPr>
        <w:keepNext w:val="0"/>
        <w:keepLines w:val="0"/>
        <w:pageBreakBefore w:val="0"/>
        <w:widowControl/>
        <w:tabs>
          <w:tab w:val="left" w:pos="420"/>
        </w:tabs>
        <w:kinsoku w:val="0"/>
        <w:wordWrap/>
        <w:overflowPunct/>
        <w:topLinePunct w:val="0"/>
        <w:autoSpaceDE w:val="0"/>
        <w:autoSpaceDN w:val="0"/>
        <w:bidi w:val="0"/>
        <w:adjustRightInd w:val="0"/>
        <w:snapToGrid w:val="0"/>
        <w:spacing w:line="360" w:lineRule="auto"/>
        <w:ind w:right="0"/>
        <w:textAlignment w:val="baseline"/>
        <w:rPr>
          <w:rFonts w:hint="default" w:ascii="宋体" w:hAnsi="宋体" w:eastAsia="宋体" w:cs="宋体"/>
          <w:b/>
          <w:bCs/>
          <w:color w:val="auto"/>
          <w:spacing w:val="-4"/>
          <w:sz w:val="21"/>
          <w:szCs w:val="21"/>
          <w:lang w:val="en-US" w:eastAsia="zh-CN"/>
        </w:rPr>
      </w:pPr>
      <w:r>
        <w:rPr>
          <w:rFonts w:hint="eastAsia" w:ascii="宋体" w:hAnsi="宋体" w:eastAsia="宋体" w:cs="宋体"/>
          <w:b/>
          <w:bCs/>
          <w:color w:val="auto"/>
          <w:spacing w:val="-4"/>
          <w:sz w:val="21"/>
          <w:szCs w:val="21"/>
          <w:lang w:val="en-US" w:eastAsia="zh-CN"/>
        </w:rPr>
        <w:tab/>
      </w:r>
      <w:r>
        <w:rPr>
          <w:rFonts w:hint="default" w:ascii="宋体" w:hAnsi="宋体" w:eastAsia="宋体" w:cs="宋体"/>
          <w:b/>
          <w:bCs/>
          <w:color w:val="auto"/>
          <w:spacing w:val="-4"/>
          <w:sz w:val="21"/>
          <w:szCs w:val="21"/>
          <w:lang w:val="en-US" w:eastAsia="zh-CN"/>
        </w:rPr>
        <w:t xml:space="preserve">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0EBD33A0">
      <w:pPr>
        <w:keepNext w:val="0"/>
        <w:keepLines w:val="0"/>
        <w:pageBreakBefore w:val="0"/>
        <w:widowControl/>
        <w:tabs>
          <w:tab w:val="left" w:pos="420"/>
        </w:tabs>
        <w:kinsoku w:val="0"/>
        <w:wordWrap/>
        <w:overflowPunct/>
        <w:topLinePunct w:val="0"/>
        <w:autoSpaceDE w:val="0"/>
        <w:autoSpaceDN w:val="0"/>
        <w:bidi w:val="0"/>
        <w:adjustRightInd w:val="0"/>
        <w:snapToGrid w:val="0"/>
        <w:spacing w:line="360" w:lineRule="auto"/>
        <w:ind w:right="0"/>
        <w:textAlignment w:val="baseline"/>
        <w:rPr>
          <w:rFonts w:hint="default" w:ascii="宋体" w:hAnsi="宋体" w:eastAsia="宋体" w:cs="宋体"/>
          <w:b/>
          <w:bCs/>
          <w:color w:val="auto"/>
          <w:spacing w:val="-4"/>
          <w:sz w:val="21"/>
          <w:szCs w:val="21"/>
          <w:lang w:val="en-US" w:eastAsia="zh-CN"/>
        </w:rPr>
      </w:pPr>
      <w:r>
        <w:rPr>
          <w:rFonts w:hint="eastAsia" w:ascii="宋体" w:hAnsi="宋体" w:eastAsia="宋体" w:cs="宋体"/>
          <w:b/>
          <w:bCs/>
          <w:color w:val="auto"/>
          <w:spacing w:val="-4"/>
          <w:sz w:val="21"/>
          <w:szCs w:val="21"/>
          <w:lang w:val="en-US" w:eastAsia="zh-CN"/>
        </w:rPr>
        <w:tab/>
      </w:r>
      <w:r>
        <w:rPr>
          <w:rFonts w:hint="default" w:ascii="宋体" w:hAnsi="宋体" w:eastAsia="宋体" w:cs="宋体"/>
          <w:b/>
          <w:bCs/>
          <w:color w:val="auto"/>
          <w:spacing w:val="-4"/>
          <w:sz w:val="21"/>
          <w:szCs w:val="21"/>
          <w:lang w:val="en-US" w:eastAsia="zh-CN"/>
        </w:rPr>
        <w:t xml:space="preserve">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6CB8C65A">
      <w:pPr>
        <w:keepNext w:val="0"/>
        <w:keepLines w:val="0"/>
        <w:pageBreakBefore w:val="0"/>
        <w:widowControl/>
        <w:tabs>
          <w:tab w:val="left" w:pos="420"/>
        </w:tabs>
        <w:kinsoku w:val="0"/>
        <w:wordWrap/>
        <w:overflowPunct/>
        <w:topLinePunct w:val="0"/>
        <w:autoSpaceDE w:val="0"/>
        <w:autoSpaceDN w:val="0"/>
        <w:bidi w:val="0"/>
        <w:adjustRightInd w:val="0"/>
        <w:snapToGrid w:val="0"/>
        <w:spacing w:line="360" w:lineRule="auto"/>
        <w:ind w:right="0"/>
        <w:textAlignment w:val="baseline"/>
        <w:rPr>
          <w:rFonts w:hint="default" w:ascii="宋体" w:hAnsi="宋体" w:eastAsia="宋体" w:cs="宋体"/>
          <w:b/>
          <w:bCs/>
          <w:color w:val="auto"/>
          <w:spacing w:val="-4"/>
          <w:sz w:val="21"/>
          <w:szCs w:val="21"/>
          <w:lang w:val="en-US" w:eastAsia="zh-CN"/>
        </w:rPr>
      </w:pPr>
      <w:r>
        <w:rPr>
          <w:rFonts w:hint="eastAsia" w:ascii="宋体" w:hAnsi="宋体" w:eastAsia="宋体" w:cs="宋体"/>
          <w:b/>
          <w:bCs/>
          <w:color w:val="auto"/>
          <w:spacing w:val="-4"/>
          <w:sz w:val="21"/>
          <w:szCs w:val="21"/>
          <w:lang w:val="en-US" w:eastAsia="zh-CN"/>
        </w:rPr>
        <w:tab/>
      </w:r>
      <w:r>
        <w:rPr>
          <w:rFonts w:hint="default" w:ascii="宋体" w:hAnsi="宋体" w:eastAsia="宋体" w:cs="宋体"/>
          <w:b/>
          <w:bCs/>
          <w:color w:val="auto"/>
          <w:spacing w:val="-4"/>
          <w:sz w:val="21"/>
          <w:szCs w:val="21"/>
          <w:lang w:val="en-US" w:eastAsia="zh-CN"/>
        </w:rPr>
        <w:t xml:space="preserve">异常低价投标审查的启动原因、审查意见和审查结果应当在评审报告中记录，并随供应商提供的相关书面说明及证明材料，以及评审委员会有关互联网浏览、查询历史一并归档。 </w:t>
      </w:r>
    </w:p>
    <w:p w14:paraId="4E00C37B">
      <w:pPr>
        <w:keepNext w:val="0"/>
        <w:keepLines w:val="0"/>
        <w:pageBreakBefore w:val="0"/>
        <w:widowControl/>
        <w:tabs>
          <w:tab w:val="left" w:pos="420"/>
        </w:tabs>
        <w:kinsoku w:val="0"/>
        <w:wordWrap/>
        <w:overflowPunct/>
        <w:topLinePunct w:val="0"/>
        <w:autoSpaceDE w:val="0"/>
        <w:autoSpaceDN w:val="0"/>
        <w:bidi w:val="0"/>
        <w:adjustRightInd w:val="0"/>
        <w:snapToGrid w:val="0"/>
        <w:spacing w:line="360" w:lineRule="auto"/>
        <w:ind w:right="0"/>
        <w:textAlignment w:val="baseline"/>
      </w:pPr>
      <w:r>
        <w:rPr>
          <w:rFonts w:hint="default" w:ascii="宋体" w:hAnsi="宋体" w:eastAsia="宋体" w:cs="宋体"/>
          <w:b/>
          <w:bCs/>
          <w:color w:val="auto"/>
          <w:spacing w:val="-4"/>
          <w:sz w:val="21"/>
          <w:szCs w:val="21"/>
          <w:lang w:val="en-US" w:eastAsia="zh-CN"/>
        </w:rPr>
        <w:t>书面证明应当按照“3.澄清补正”的规定提交。</w:t>
      </w:r>
    </w:p>
    <w:p w14:paraId="15A63E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宋体" w:hAnsi="宋体" w:eastAsia="宋体" w:cs="宋体"/>
          <w:color w:val="auto"/>
          <w:sz w:val="21"/>
          <w:szCs w:val="21"/>
        </w:rPr>
      </w:pPr>
      <w:r>
        <w:rPr>
          <w:rFonts w:hint="eastAsia" w:ascii="宋体" w:hAnsi="宋体" w:eastAsia="宋体" w:cs="宋体"/>
          <w:b/>
          <w:bCs/>
          <w:color w:val="auto"/>
          <w:spacing w:val="-3"/>
          <w:sz w:val="21"/>
          <w:szCs w:val="21"/>
          <w:lang w:val="en-US" w:eastAsia="zh-CN"/>
        </w:rPr>
        <w:t>6</w:t>
      </w:r>
      <w:r>
        <w:rPr>
          <w:rFonts w:ascii="宋体" w:hAnsi="宋体" w:eastAsia="宋体" w:cs="宋体"/>
          <w:b/>
          <w:bCs/>
          <w:color w:val="auto"/>
          <w:spacing w:val="-3"/>
          <w:sz w:val="21"/>
          <w:szCs w:val="21"/>
        </w:rPr>
        <w:t>.比较与评价</w:t>
      </w:r>
    </w:p>
    <w:p w14:paraId="6D6300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2" w:firstLineChars="200"/>
        <w:textAlignment w:val="baseline"/>
        <w:outlineLvl w:val="3"/>
        <w:rPr>
          <w:rFonts w:ascii="宋体" w:hAnsi="宋体" w:eastAsia="宋体" w:cs="宋体"/>
          <w:color w:val="auto"/>
          <w:sz w:val="21"/>
          <w:szCs w:val="21"/>
        </w:rPr>
      </w:pPr>
      <w:r>
        <w:rPr>
          <w:rFonts w:hint="eastAsia" w:ascii="宋体" w:hAnsi="宋体" w:eastAsia="宋体" w:cs="宋体"/>
          <w:color w:val="auto"/>
          <w:spacing w:val="-2"/>
          <w:sz w:val="21"/>
          <w:szCs w:val="21"/>
          <w:lang w:val="en-US" w:eastAsia="zh-CN"/>
        </w:rPr>
        <w:t>6</w:t>
      </w:r>
      <w:r>
        <w:rPr>
          <w:rFonts w:ascii="宋体" w:hAnsi="宋体" w:eastAsia="宋体" w:cs="宋体"/>
          <w:color w:val="auto"/>
          <w:spacing w:val="-2"/>
          <w:sz w:val="21"/>
          <w:szCs w:val="21"/>
        </w:rPr>
        <w:t>.1</w:t>
      </w:r>
      <w:r>
        <w:rPr>
          <w:rFonts w:ascii="宋体" w:hAnsi="宋体" w:eastAsia="宋体" w:cs="宋体"/>
          <w:color w:val="auto"/>
          <w:spacing w:val="-41"/>
          <w:sz w:val="21"/>
          <w:szCs w:val="21"/>
        </w:rPr>
        <w:t xml:space="preserve"> </w:t>
      </w:r>
      <w:r>
        <w:rPr>
          <w:rFonts w:ascii="宋体" w:hAnsi="宋体" w:eastAsia="宋体" w:cs="宋体"/>
          <w:color w:val="auto"/>
          <w:spacing w:val="-2"/>
          <w:sz w:val="21"/>
          <w:szCs w:val="21"/>
        </w:rPr>
        <w:t>采用综合评分法的</w:t>
      </w:r>
    </w:p>
    <w:p w14:paraId="536CB4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（1）评标委员会按照招标文件中规定的评标方法及评标标准，</w:t>
      </w:r>
      <w:r>
        <w:rPr>
          <w:rFonts w:ascii="宋体" w:hAnsi="宋体" w:eastAsia="宋体" w:cs="宋体"/>
          <w:color w:val="auto"/>
          <w:spacing w:val="-1"/>
          <w:sz w:val="21"/>
          <w:szCs w:val="21"/>
        </w:rPr>
        <w:t>对符合性审查合格的投标</w:t>
      </w:r>
      <w:r>
        <w:rPr>
          <w:rFonts w:ascii="宋体" w:hAnsi="宋体" w:eastAsia="宋体" w:cs="宋体"/>
          <w:color w:val="auto"/>
          <w:spacing w:val="-2"/>
          <w:sz w:val="21"/>
          <w:szCs w:val="21"/>
        </w:rPr>
        <w:t>文件进行商务和技术评估，综合比较与评价。</w:t>
      </w:r>
    </w:p>
    <w:p w14:paraId="3AB6365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（2）评标委员会独立对每个投标人的投标文件进行评价，并汇总</w:t>
      </w:r>
      <w:r>
        <w:rPr>
          <w:rFonts w:ascii="宋体" w:hAnsi="宋体" w:eastAsia="宋体" w:cs="宋体"/>
          <w:color w:val="auto"/>
          <w:spacing w:val="-1"/>
          <w:sz w:val="21"/>
          <w:szCs w:val="21"/>
        </w:rPr>
        <w:t>每个投标人的得分。</w:t>
      </w:r>
    </w:p>
    <w:p w14:paraId="41837C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8" w:firstLineChars="200"/>
        <w:jc w:val="both"/>
        <w:textAlignment w:val="baseline"/>
        <w:rPr>
          <w:rFonts w:ascii="宋体" w:hAnsi="宋体" w:eastAsia="宋体" w:cs="宋体"/>
          <w:color w:val="auto"/>
          <w:sz w:val="21"/>
          <w:szCs w:val="21"/>
        </w:rPr>
      </w:pPr>
      <w:r>
        <w:rPr>
          <w:rFonts w:ascii="宋体" w:hAnsi="宋体" w:eastAsia="宋体" w:cs="宋体"/>
          <w:color w:val="auto"/>
          <w:spacing w:val="2"/>
          <w:sz w:val="21"/>
          <w:szCs w:val="21"/>
        </w:rPr>
        <w:t>评标委员会认为投标人的报价明显低于其他通过符合性审查投标人的报价，有可能影响产品质量或者不能诚信履约的，应当要求其在评标现场合理的时间内提供书面说明，必要时</w:t>
      </w:r>
      <w:r>
        <w:rPr>
          <w:rFonts w:ascii="宋体" w:hAnsi="宋体" w:eastAsia="宋体" w:cs="宋体"/>
          <w:color w:val="auto"/>
          <w:spacing w:val="-2"/>
          <w:sz w:val="21"/>
          <w:szCs w:val="21"/>
        </w:rPr>
        <w:t>提交相关证明材料；</w:t>
      </w:r>
      <w:r>
        <w:rPr>
          <w:rFonts w:ascii="宋体" w:hAnsi="宋体" w:eastAsia="宋体" w:cs="宋体"/>
          <w:b/>
          <w:bCs/>
          <w:color w:val="auto"/>
          <w:spacing w:val="-2"/>
          <w:sz w:val="21"/>
          <w:szCs w:val="21"/>
        </w:rPr>
        <w:t>投标人不能证明其报价合理性的，评标委员会将其作为无效投标处理。</w:t>
      </w:r>
    </w:p>
    <w:p w14:paraId="2F13D20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z w:val="21"/>
          <w:szCs w:val="21"/>
        </w:rPr>
      </w:pPr>
      <w:r>
        <w:rPr>
          <w:rFonts w:ascii="宋体" w:hAnsi="宋体" w:eastAsia="宋体" w:cs="宋体"/>
          <w:color w:val="auto"/>
          <w:sz w:val="21"/>
          <w:szCs w:val="21"/>
        </w:rPr>
        <w:t>（3）评标委员会按照招标文件中规定的评标方法和标准计算各</w:t>
      </w:r>
      <w:r>
        <w:rPr>
          <w:rFonts w:ascii="宋体" w:hAnsi="宋体" w:eastAsia="宋体" w:cs="宋体"/>
          <w:color w:val="auto"/>
          <w:spacing w:val="-1"/>
          <w:sz w:val="21"/>
          <w:szCs w:val="21"/>
        </w:rPr>
        <w:t>投标人的报价得分。在计</w:t>
      </w:r>
      <w:r>
        <w:rPr>
          <w:rFonts w:ascii="宋体" w:hAnsi="宋体" w:eastAsia="宋体" w:cs="宋体"/>
          <w:color w:val="auto"/>
          <w:spacing w:val="-2"/>
          <w:sz w:val="21"/>
          <w:szCs w:val="21"/>
        </w:rPr>
        <w:t>算过程中，不得去掉最高报价或者最低报价。</w:t>
      </w:r>
    </w:p>
    <w:p w14:paraId="33ADD0F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（4）各投标人的得分为所有评委的有效评分的算术平均数。</w:t>
      </w:r>
    </w:p>
    <w:p w14:paraId="056811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（5）评标委员会按照招标文件中的规定推荐</w:t>
      </w:r>
      <w:r>
        <w:rPr>
          <w:rFonts w:ascii="宋体" w:hAnsi="宋体" w:eastAsia="宋体" w:cs="宋体"/>
          <w:color w:val="auto"/>
          <w:spacing w:val="-2"/>
          <w:sz w:val="21"/>
          <w:szCs w:val="21"/>
        </w:rPr>
        <w:t>中标候选人。</w:t>
      </w:r>
    </w:p>
    <w:p w14:paraId="362B12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ascii="宋体" w:hAnsi="宋体" w:eastAsia="宋体" w:cs="宋体"/>
          <w:color w:val="auto"/>
          <w:spacing w:val="-2"/>
          <w:sz w:val="21"/>
          <w:szCs w:val="21"/>
        </w:rPr>
      </w:pPr>
      <w:r>
        <w:rPr>
          <w:rFonts w:ascii="宋体" w:hAnsi="宋体" w:eastAsia="宋体" w:cs="宋体"/>
          <w:color w:val="auto"/>
          <w:sz w:val="21"/>
          <w:szCs w:val="21"/>
        </w:rPr>
        <w:t>（6）起草并签署评标报告。评标委员会根据评标委员</w:t>
      </w:r>
      <w:r>
        <w:rPr>
          <w:rFonts w:ascii="宋体" w:hAnsi="宋体" w:eastAsia="宋体" w:cs="宋体"/>
          <w:color w:val="auto"/>
          <w:spacing w:val="-1"/>
          <w:sz w:val="21"/>
          <w:szCs w:val="21"/>
        </w:rPr>
        <w:t>会成员签字的原始评标记录和评标</w:t>
      </w:r>
      <w:r>
        <w:rPr>
          <w:rFonts w:ascii="宋体" w:hAnsi="宋体" w:eastAsia="宋体" w:cs="宋体"/>
          <w:color w:val="auto"/>
          <w:spacing w:val="2"/>
          <w:sz w:val="21"/>
          <w:szCs w:val="21"/>
        </w:rPr>
        <w:t>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w:t>
      </w:r>
      <w:r>
        <w:rPr>
          <w:rFonts w:ascii="宋体" w:hAnsi="宋体" w:eastAsia="宋体" w:cs="宋体"/>
          <w:color w:val="auto"/>
          <w:spacing w:val="-2"/>
          <w:sz w:val="21"/>
          <w:szCs w:val="21"/>
        </w:rPr>
        <w:t>标报告。</w:t>
      </w:r>
    </w:p>
    <w:p w14:paraId="732B763F">
      <w:pPr>
        <w:rPr>
          <w:rFonts w:ascii="宋体" w:hAnsi="宋体" w:eastAsia="宋体" w:cs="宋体"/>
          <w:color w:val="auto"/>
          <w:spacing w:val="-2"/>
          <w:sz w:val="21"/>
          <w:szCs w:val="21"/>
        </w:rPr>
      </w:pPr>
      <w:r>
        <w:rPr>
          <w:rFonts w:ascii="宋体" w:hAnsi="宋体" w:eastAsia="宋体" w:cs="宋体"/>
          <w:color w:val="auto"/>
          <w:spacing w:val="-2"/>
          <w:sz w:val="21"/>
          <w:szCs w:val="21"/>
        </w:rPr>
        <w:br w:type="page"/>
      </w:r>
    </w:p>
    <w:p w14:paraId="4A76FC93">
      <w:pPr>
        <w:keepNext w:val="0"/>
        <w:keepLines w:val="0"/>
        <w:pageBreakBefore w:val="0"/>
        <w:widowControl/>
        <w:numPr>
          <w:ilvl w:val="0"/>
          <w:numId w:val="4"/>
        </w:numPr>
        <w:kinsoku w:val="0"/>
        <w:wordWrap/>
        <w:overflowPunct/>
        <w:topLinePunct w:val="0"/>
        <w:autoSpaceDE w:val="0"/>
        <w:autoSpaceDN w:val="0"/>
        <w:bidi w:val="0"/>
        <w:adjustRightInd w:val="0"/>
        <w:snapToGrid w:val="0"/>
        <w:spacing w:before="0" w:beforeLines="100" w:after="0" w:afterLines="100" w:line="360" w:lineRule="auto"/>
        <w:ind w:right="0" w:firstLine="420"/>
        <w:jc w:val="center"/>
        <w:textAlignment w:val="baseline"/>
        <w:outlineLvl w:val="1"/>
        <w:rPr>
          <w:rFonts w:hint="eastAsia" w:ascii="宋体" w:hAnsi="宋体" w:eastAsia="宋体" w:cs="宋体"/>
          <w:b/>
          <w:bCs/>
          <w:color w:val="auto"/>
          <w:spacing w:val="5"/>
          <w:sz w:val="32"/>
          <w:szCs w:val="32"/>
          <w:lang w:eastAsia="zh-CN"/>
        </w:rPr>
      </w:pPr>
      <w:r>
        <w:rPr>
          <w:rFonts w:hint="eastAsia" w:ascii="宋体" w:hAnsi="宋体" w:eastAsia="宋体" w:cs="宋体"/>
          <w:b/>
          <w:bCs/>
          <w:color w:val="auto"/>
          <w:spacing w:val="5"/>
          <w:sz w:val="32"/>
          <w:szCs w:val="32"/>
          <w:lang w:eastAsia="zh-CN"/>
        </w:rPr>
        <w:t>评标标准</w:t>
      </w:r>
    </w:p>
    <w:p w14:paraId="54F52653">
      <w:pPr>
        <w:pStyle w:val="6"/>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ascii="宋体" w:hAnsi="宋体" w:eastAsia="宋体" w:cs="宋体"/>
          <w:color w:val="auto"/>
          <w:sz w:val="21"/>
          <w:szCs w:val="21"/>
        </w:rPr>
      </w:pPr>
      <w:r>
        <w:rPr>
          <w:rFonts w:hint="eastAsia" w:ascii="宋体" w:hAnsi="宋体" w:eastAsia="宋体" w:cs="宋体"/>
          <w:b/>
          <w:bCs/>
          <w:color w:val="auto"/>
          <w:spacing w:val="5"/>
          <w:sz w:val="30"/>
          <w:szCs w:val="30"/>
          <w:lang w:eastAsia="zh-CN"/>
        </w:rPr>
        <w:t>综合评分法</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02"/>
        <w:gridCol w:w="1617"/>
        <w:gridCol w:w="5600"/>
      </w:tblGrid>
      <w:tr w14:paraId="21D02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atLeast"/>
          <w:jc w:val="center"/>
        </w:trPr>
        <w:tc>
          <w:tcPr>
            <w:tcW w:w="1502" w:type="dxa"/>
            <w:vAlign w:val="center"/>
          </w:tcPr>
          <w:p w14:paraId="4CC83FB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评标项目</w:t>
            </w:r>
          </w:p>
        </w:tc>
        <w:tc>
          <w:tcPr>
            <w:tcW w:w="1617" w:type="dxa"/>
            <w:vAlign w:val="center"/>
          </w:tcPr>
          <w:p w14:paraId="4E17E3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评标分值</w:t>
            </w:r>
          </w:p>
        </w:tc>
        <w:tc>
          <w:tcPr>
            <w:tcW w:w="5600" w:type="dxa"/>
            <w:vAlign w:val="center"/>
          </w:tcPr>
          <w:p w14:paraId="38AAACC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评标方法描述</w:t>
            </w:r>
          </w:p>
        </w:tc>
      </w:tr>
      <w:tr w14:paraId="48A6D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02" w:type="dxa"/>
            <w:vAlign w:val="center"/>
          </w:tcPr>
          <w:p w14:paraId="74E167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价格分（10分）</w:t>
            </w:r>
          </w:p>
        </w:tc>
        <w:tc>
          <w:tcPr>
            <w:tcW w:w="1617" w:type="dxa"/>
            <w:vAlign w:val="center"/>
          </w:tcPr>
          <w:p w14:paraId="4B8E870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1"/>
                <w:szCs w:val="21"/>
                <w:highlight w:val="cyan"/>
              </w:rPr>
            </w:pPr>
            <w:r>
              <w:rPr>
                <w:rFonts w:hint="eastAsia" w:asciiTheme="minorEastAsia" w:hAnsiTheme="minorEastAsia" w:eastAsiaTheme="minorEastAsia" w:cstheme="minorEastAsia"/>
                <w:sz w:val="21"/>
                <w:szCs w:val="21"/>
                <w:highlight w:val="none"/>
              </w:rPr>
              <w:t>投标报价（10分）</w:t>
            </w:r>
          </w:p>
        </w:tc>
        <w:tc>
          <w:tcPr>
            <w:tcW w:w="5600" w:type="dxa"/>
            <w:vAlign w:val="center"/>
          </w:tcPr>
          <w:p w14:paraId="2CABFB19">
            <w:pPr>
              <w:keepNext w:val="0"/>
              <w:keepLines w:val="0"/>
              <w:pageBreakBefore w:val="0"/>
              <w:widowControl w:val="0"/>
              <w:kinsoku/>
              <w:wordWrap w:val="0"/>
              <w:overflowPunct w:val="0"/>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（1）满足</w:t>
            </w:r>
            <w:r>
              <w:rPr>
                <w:rFonts w:hint="eastAsia" w:asciiTheme="minorEastAsia" w:hAnsiTheme="minorEastAsia" w:eastAsiaTheme="minorEastAsia" w:cstheme="minorEastAsia"/>
                <w:sz w:val="21"/>
                <w:szCs w:val="21"/>
                <w:highlight w:val="none"/>
                <w:lang w:eastAsia="zh-CN"/>
              </w:rPr>
              <w:t>招标文件</w:t>
            </w:r>
            <w:r>
              <w:rPr>
                <w:rFonts w:hint="eastAsia" w:asciiTheme="minorEastAsia" w:hAnsiTheme="minorEastAsia" w:eastAsiaTheme="minorEastAsia" w:cstheme="minorEastAsia"/>
                <w:sz w:val="21"/>
                <w:szCs w:val="21"/>
                <w:highlight w:val="none"/>
              </w:rPr>
              <w:t>要求且评标价最低的评标价为评标基准价，其价格分为满分。</w:t>
            </w:r>
          </w:p>
          <w:p w14:paraId="0BB5DDDA">
            <w:pPr>
              <w:keepNext w:val="0"/>
              <w:keepLines w:val="0"/>
              <w:pageBreakBefore w:val="0"/>
              <w:widowControl w:val="0"/>
              <w:kinsoku/>
              <w:wordWrap w:val="0"/>
              <w:overflowPunct w:val="0"/>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（2）政策性扣除计算方法。</w:t>
            </w:r>
          </w:p>
          <w:p w14:paraId="2A8FEA77">
            <w:pPr>
              <w:keepNext w:val="0"/>
              <w:keepLines w:val="0"/>
              <w:pageBreakBefore w:val="0"/>
              <w:widowControl w:val="0"/>
              <w:kinsoku/>
              <w:wordWrap w:val="0"/>
              <w:overflowPunct w:val="0"/>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按照《政府采购促进中小企业发展管理办法》（财库〔2020〕46号）及《广西壮族自治区财政厅关于持续优化政府采购营商环境推动高质量发展的通知》桂财采〔2024〕55号的规定，</w:t>
            </w:r>
            <w:r>
              <w:rPr>
                <w:rFonts w:hint="eastAsia" w:asciiTheme="minorEastAsia" w:hAnsiTheme="minorEastAsia" w:eastAsiaTheme="minorEastAsia" w:cstheme="minorEastAsia"/>
                <w:sz w:val="21"/>
                <w:szCs w:val="21"/>
                <w:highlight w:val="none"/>
                <w:lang w:eastAsia="zh-CN"/>
              </w:rPr>
              <w:t>投标单位</w:t>
            </w:r>
            <w:r>
              <w:rPr>
                <w:rFonts w:hint="eastAsia" w:asciiTheme="minorEastAsia" w:hAnsiTheme="minorEastAsia" w:eastAsiaTheme="minorEastAsia" w:cstheme="minorEastAsia"/>
                <w:sz w:val="21"/>
                <w:szCs w:val="21"/>
                <w:highlight w:val="none"/>
              </w:rPr>
              <w:t>在其响应文件中提供《中小企业声明函》，且其服务为小型和微型企业承接的，对供应商的投标报价给予10%的扣除，扣除后的价格为评标价，即评标价=</w:t>
            </w:r>
            <w:r>
              <w:rPr>
                <w:rFonts w:hint="eastAsia" w:asciiTheme="minorEastAsia" w:hAnsiTheme="minorEastAsia" w:eastAsiaTheme="minorEastAsia" w:cstheme="minorEastAsia"/>
                <w:sz w:val="21"/>
                <w:szCs w:val="21"/>
                <w:highlight w:val="none"/>
                <w:lang w:eastAsia="zh-CN"/>
              </w:rPr>
              <w:t>投标</w:t>
            </w:r>
            <w:r>
              <w:rPr>
                <w:rFonts w:hint="eastAsia" w:asciiTheme="minorEastAsia" w:hAnsiTheme="minorEastAsia" w:eastAsiaTheme="minorEastAsia" w:cstheme="minorEastAsia"/>
                <w:sz w:val="21"/>
                <w:szCs w:val="21"/>
                <w:highlight w:val="none"/>
              </w:rPr>
              <w:t>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的扣除，用扣除后的价格参加评审，扣除后的价格为评标价，即评标价=</w:t>
            </w:r>
            <w:r>
              <w:rPr>
                <w:rFonts w:hint="eastAsia" w:asciiTheme="minorEastAsia" w:hAnsiTheme="minorEastAsia" w:eastAsiaTheme="minorEastAsia" w:cstheme="minorEastAsia"/>
                <w:sz w:val="21"/>
                <w:szCs w:val="21"/>
                <w:highlight w:val="none"/>
                <w:lang w:eastAsia="zh-CN"/>
              </w:rPr>
              <w:t>投标</w:t>
            </w:r>
            <w:r>
              <w:rPr>
                <w:rFonts w:hint="eastAsia" w:asciiTheme="minorEastAsia" w:hAnsiTheme="minorEastAsia" w:eastAsiaTheme="minorEastAsia" w:cstheme="minorEastAsia"/>
                <w:sz w:val="21"/>
                <w:szCs w:val="21"/>
                <w:highlight w:val="none"/>
              </w:rPr>
              <w:t>报价×（1-4%）。</w:t>
            </w:r>
          </w:p>
          <w:p w14:paraId="7F1CAFD7">
            <w:pPr>
              <w:keepNext w:val="0"/>
              <w:keepLines w:val="0"/>
              <w:pageBreakBefore w:val="0"/>
              <w:widowControl w:val="0"/>
              <w:kinsoku/>
              <w:wordWrap w:val="0"/>
              <w:overflowPunct w:val="0"/>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4DDDCD80">
            <w:pPr>
              <w:keepNext w:val="0"/>
              <w:keepLines w:val="0"/>
              <w:pageBreakBefore w:val="0"/>
              <w:widowControl w:val="0"/>
              <w:kinsoku/>
              <w:wordWrap w:val="0"/>
              <w:overflowPunct w:val="0"/>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7D8F914F">
            <w:pPr>
              <w:keepNext w:val="0"/>
              <w:keepLines w:val="0"/>
              <w:pageBreakBefore w:val="0"/>
              <w:widowControl w:val="0"/>
              <w:kinsoku/>
              <w:wordWrap w:val="0"/>
              <w:overflowPunct w:val="0"/>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除上述情况外，评标价＝</w:t>
            </w:r>
            <w:r>
              <w:rPr>
                <w:rFonts w:hint="eastAsia" w:asciiTheme="minorEastAsia" w:hAnsiTheme="minorEastAsia" w:eastAsiaTheme="minorEastAsia" w:cstheme="minorEastAsia"/>
                <w:sz w:val="21"/>
                <w:szCs w:val="21"/>
                <w:highlight w:val="none"/>
                <w:lang w:eastAsia="zh-CN"/>
              </w:rPr>
              <w:t>投标</w:t>
            </w:r>
            <w:r>
              <w:rPr>
                <w:rFonts w:hint="eastAsia" w:asciiTheme="minorEastAsia" w:hAnsiTheme="minorEastAsia" w:eastAsiaTheme="minorEastAsia" w:cstheme="minorEastAsia"/>
                <w:sz w:val="21"/>
                <w:szCs w:val="21"/>
                <w:highlight w:val="none"/>
              </w:rPr>
              <w:t>报价。</w:t>
            </w:r>
          </w:p>
          <w:p w14:paraId="26B65B34">
            <w:pPr>
              <w:keepNext w:val="0"/>
              <w:keepLines w:val="0"/>
              <w:pageBreakBefore w:val="0"/>
              <w:widowControl w:val="0"/>
              <w:kinsoku/>
              <w:wordWrap w:val="0"/>
              <w:overflowPunct w:val="0"/>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（3）以进入比较与评价环节的最低的评标价为基准价，基准价得分为10分。</w:t>
            </w:r>
          </w:p>
          <w:p w14:paraId="352DE396">
            <w:pPr>
              <w:keepNext w:val="0"/>
              <w:keepLines w:val="0"/>
              <w:pageBreakBefore w:val="0"/>
              <w:widowControl w:val="0"/>
              <w:kinsoku/>
              <w:wordWrap w:val="0"/>
              <w:overflowPunct w:val="0"/>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（4）价格分计算公式：</w:t>
            </w:r>
          </w:p>
          <w:p w14:paraId="37197799">
            <w:pPr>
              <w:keepNext w:val="0"/>
              <w:keepLines w:val="0"/>
              <w:pageBreakBefore w:val="0"/>
              <w:widowControl w:val="0"/>
              <w:kinsoku/>
              <w:wordWrap w:val="0"/>
              <w:overflowPunct w:val="0"/>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1"/>
                <w:szCs w:val="21"/>
                <w:highlight w:val="cyan"/>
              </w:rPr>
            </w:pPr>
            <w:r>
              <w:rPr>
                <w:rFonts w:hint="eastAsia" w:asciiTheme="minorEastAsia" w:hAnsiTheme="minorEastAsia" w:eastAsiaTheme="minorEastAsia" w:cstheme="minorEastAsia"/>
                <w:sz w:val="21"/>
                <w:szCs w:val="21"/>
                <w:highlight w:val="none"/>
              </w:rPr>
              <w:t>报价得分=（基准价/</w:t>
            </w:r>
            <w:r>
              <w:rPr>
                <w:rFonts w:hint="eastAsia" w:asciiTheme="minorEastAsia" w:hAnsiTheme="minorEastAsia" w:eastAsiaTheme="minorEastAsia" w:cstheme="minorEastAsia"/>
                <w:sz w:val="21"/>
                <w:szCs w:val="21"/>
                <w:highlight w:val="none"/>
                <w:lang w:eastAsia="zh-CN"/>
              </w:rPr>
              <w:t>投标</w:t>
            </w:r>
            <w:r>
              <w:rPr>
                <w:rFonts w:hint="eastAsia" w:asciiTheme="minorEastAsia" w:hAnsiTheme="minorEastAsia" w:eastAsiaTheme="minorEastAsia" w:cstheme="minorEastAsia"/>
                <w:sz w:val="21"/>
                <w:szCs w:val="21"/>
                <w:highlight w:val="none"/>
              </w:rPr>
              <w:t>报价）×10分</w:t>
            </w:r>
          </w:p>
        </w:tc>
      </w:tr>
      <w:tr w14:paraId="0DD07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02" w:type="dxa"/>
            <w:vMerge w:val="restart"/>
            <w:tcBorders>
              <w:left w:val="single" w:color="auto" w:sz="4" w:space="0"/>
            </w:tcBorders>
            <w:vAlign w:val="center"/>
          </w:tcPr>
          <w:p w14:paraId="587ABD2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技术分（</w:t>
            </w:r>
            <w:r>
              <w:rPr>
                <w:rFonts w:hint="eastAsia" w:asciiTheme="minorEastAsia" w:hAnsiTheme="minorEastAsia" w:eastAsiaTheme="minorEastAsia" w:cstheme="minorEastAsia"/>
                <w:b/>
                <w:bCs/>
                <w:color w:val="000000" w:themeColor="text1"/>
                <w:sz w:val="21"/>
                <w:szCs w:val="21"/>
                <w:lang w:val="en-US" w:eastAsia="zh-CN"/>
                <w14:textFill>
                  <w14:solidFill>
                    <w14:schemeClr w14:val="tx1"/>
                  </w14:solidFill>
                </w14:textFill>
              </w:rPr>
              <w:t>85</w:t>
            </w:r>
            <w:r>
              <w:rPr>
                <w:rFonts w:hint="eastAsia" w:asciiTheme="minorEastAsia" w:hAnsiTheme="minorEastAsia" w:eastAsiaTheme="minorEastAsia" w:cstheme="minorEastAsia"/>
                <w:b/>
                <w:bCs/>
                <w:color w:val="000000" w:themeColor="text1"/>
                <w:sz w:val="21"/>
                <w:szCs w:val="21"/>
                <w14:textFill>
                  <w14:solidFill>
                    <w14:schemeClr w14:val="tx1"/>
                  </w14:solidFill>
                </w14:textFill>
              </w:rPr>
              <w:t>分）</w:t>
            </w:r>
          </w:p>
        </w:tc>
        <w:tc>
          <w:tcPr>
            <w:tcW w:w="1617" w:type="dxa"/>
            <w:vAlign w:val="center"/>
          </w:tcPr>
          <w:p w14:paraId="4BEB293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宋体" w:hAnsi="宋体" w:cs="宋体"/>
                <w:szCs w:val="21"/>
              </w:rPr>
              <w:t>实施方案（满分</w:t>
            </w:r>
            <w:r>
              <w:rPr>
                <w:rFonts w:hint="eastAsia" w:ascii="宋体" w:hAnsi="宋体" w:eastAsia="宋体" w:cs="宋体"/>
                <w:szCs w:val="21"/>
                <w:lang w:val="en-US" w:eastAsia="zh-CN"/>
              </w:rPr>
              <w:t>41</w:t>
            </w:r>
            <w:r>
              <w:rPr>
                <w:rFonts w:hint="eastAsia" w:ascii="宋体" w:hAnsi="宋体" w:cs="宋体"/>
                <w:szCs w:val="21"/>
              </w:rPr>
              <w:t>分</w:t>
            </w:r>
          </w:p>
        </w:tc>
        <w:tc>
          <w:tcPr>
            <w:tcW w:w="5600" w:type="dxa"/>
            <w:vAlign w:val="center"/>
          </w:tcPr>
          <w:p w14:paraId="2B33DF51">
            <w:pPr>
              <w:keepNext w:val="0"/>
              <w:keepLines w:val="0"/>
              <w:pageBreakBefore w:val="0"/>
              <w:widowControl w:val="0"/>
              <w:kinsoku/>
              <w:wordWrap w:val="0"/>
              <w:overflowPunct w:val="0"/>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一档(</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1"/>
                <w:szCs w:val="21"/>
                <w14:textFill>
                  <w14:solidFill>
                    <w14:schemeClr w14:val="tx1"/>
                  </w14:solidFill>
                </w14:textFill>
              </w:rPr>
              <w:t>分）：项目实施方案较为详细，包含方案思路、工作内容目标及实施步骤等，满足本次项目需求；</w:t>
            </w:r>
          </w:p>
          <w:p w14:paraId="4C5DF9C7">
            <w:pPr>
              <w:keepNext w:val="0"/>
              <w:keepLines w:val="0"/>
              <w:pageBreakBefore w:val="0"/>
              <w:widowControl w:val="0"/>
              <w:kinsoku/>
              <w:wordWrap w:val="0"/>
              <w:overflowPunct w:val="0"/>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二档(</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20</w:t>
            </w:r>
            <w:r>
              <w:rPr>
                <w:rFonts w:hint="eastAsia" w:asciiTheme="minorEastAsia" w:hAnsiTheme="minorEastAsia" w:eastAsiaTheme="minorEastAsia" w:cstheme="minorEastAsia"/>
                <w:color w:val="000000" w:themeColor="text1"/>
                <w:sz w:val="21"/>
                <w:szCs w:val="21"/>
                <w14:textFill>
                  <w14:solidFill>
                    <w14:schemeClr w14:val="tx1"/>
                  </w14:solidFill>
                </w14:textFill>
              </w:rPr>
              <w:t>分）：</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项目实施方案符合采购要求，有</w:t>
            </w:r>
            <w:r>
              <w:rPr>
                <w:rFonts w:hint="eastAsia" w:asciiTheme="minorEastAsia" w:hAnsiTheme="minorEastAsia" w:eastAsiaTheme="minorEastAsia" w:cstheme="minorEastAsia"/>
                <w:color w:val="000000" w:themeColor="text1"/>
                <w:sz w:val="21"/>
                <w:szCs w:val="21"/>
                <w14:textFill>
                  <w14:solidFill>
                    <w14:schemeClr w14:val="tx1"/>
                  </w14:solidFill>
                </w14:textFill>
              </w:rPr>
              <w:t>方案思路、工作内容目标</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14:textFill>
                  <w14:solidFill>
                    <w14:schemeClr w14:val="tx1"/>
                  </w14:solidFill>
                </w14:textFill>
              </w:rPr>
              <w:t>推进项目进度、项目进度、质量和信息安全等、人员配置</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、项目重点难点分析、</w:t>
            </w:r>
            <w:r>
              <w:rPr>
                <w:rFonts w:hint="eastAsia" w:asciiTheme="minorEastAsia" w:hAnsiTheme="minorEastAsia" w:eastAsiaTheme="minorEastAsia" w:cstheme="minorEastAsia"/>
                <w:color w:val="000000" w:themeColor="text1"/>
                <w:sz w:val="21"/>
                <w:szCs w:val="21"/>
                <w14:textFill>
                  <w14:solidFill>
                    <w14:schemeClr w14:val="tx1"/>
                  </w14:solidFill>
                </w14:textFill>
              </w:rPr>
              <w:t>实施步骤及</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项目检测和验收、项目移交以及项目应急预案等；</w:t>
            </w:r>
          </w:p>
          <w:p w14:paraId="63DD1B00">
            <w:pPr>
              <w:keepNext w:val="0"/>
              <w:keepLines w:val="0"/>
              <w:pageBreakBefore w:val="0"/>
              <w:widowControl w:val="0"/>
              <w:kinsoku/>
              <w:wordWrap w:val="0"/>
              <w:overflowPunct w:val="0"/>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三档(</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30</w:t>
            </w:r>
            <w:r>
              <w:rPr>
                <w:rFonts w:hint="eastAsia" w:asciiTheme="minorEastAsia" w:hAnsiTheme="minorEastAsia" w:eastAsiaTheme="minorEastAsia" w:cstheme="minorEastAsia"/>
                <w:color w:val="000000" w:themeColor="text1"/>
                <w:sz w:val="21"/>
                <w:szCs w:val="21"/>
                <w14:textFill>
                  <w14:solidFill>
                    <w14:schemeClr w14:val="tx1"/>
                  </w14:solidFill>
                </w14:textFill>
              </w:rPr>
              <w:t>分）：项目实施方案详细，包含方案思路、工作内容目标</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14:textFill>
                  <w14:solidFill>
                    <w14:schemeClr w14:val="tx1"/>
                  </w14:solidFill>
                </w14:textFill>
              </w:rPr>
              <w:t>推进项目进度、项目进度、质量和信息安全等、人员配置等，</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有</w:t>
            </w:r>
            <w:r>
              <w:rPr>
                <w:rFonts w:hint="eastAsia" w:asciiTheme="minorEastAsia" w:hAnsiTheme="minorEastAsia" w:eastAsiaTheme="minorEastAsia" w:cstheme="minorEastAsia"/>
                <w:color w:val="000000" w:themeColor="text1"/>
                <w:sz w:val="21"/>
                <w:szCs w:val="21"/>
                <w14:textFill>
                  <w14:solidFill>
                    <w14:schemeClr w14:val="tx1"/>
                  </w14:solidFill>
                </w14:textFill>
              </w:rPr>
              <w:t>方案思路和</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工作</w:t>
            </w:r>
            <w:r>
              <w:rPr>
                <w:rFonts w:hint="eastAsia" w:asciiTheme="minorEastAsia" w:hAnsiTheme="minorEastAsia" w:eastAsiaTheme="minorEastAsia" w:cstheme="minorEastAsia"/>
                <w:color w:val="000000" w:themeColor="text1"/>
                <w:sz w:val="21"/>
                <w:szCs w:val="21"/>
                <w14:textFill>
                  <w14:solidFill>
                    <w14:schemeClr w14:val="tx1"/>
                  </w14:solidFill>
                </w14:textFill>
              </w:rPr>
              <w:t>目标</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、项目重点难点分析</w:t>
            </w:r>
            <w:r>
              <w:rPr>
                <w:rFonts w:hint="eastAsia" w:asciiTheme="minorEastAsia" w:hAnsiTheme="minorEastAsia" w:eastAsiaTheme="minorEastAsia" w:cstheme="minorEastAsia"/>
                <w:color w:val="000000" w:themeColor="text1"/>
                <w:sz w:val="21"/>
                <w:szCs w:val="21"/>
                <w14:textFill>
                  <w14:solidFill>
                    <w14:schemeClr w14:val="tx1"/>
                  </w14:solidFill>
                </w14:textFill>
              </w:rPr>
              <w:t>、实施步骤及</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项目检测和验收、项目移交等内容</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有相关的</w:t>
            </w:r>
            <w:r>
              <w:rPr>
                <w:rFonts w:hint="eastAsia" w:asciiTheme="minorEastAsia" w:hAnsiTheme="minorEastAsia" w:eastAsiaTheme="minorEastAsia" w:cstheme="minorEastAsia"/>
                <w:color w:val="000000" w:themeColor="text1"/>
                <w:sz w:val="21"/>
                <w:szCs w:val="21"/>
                <w14:textFill>
                  <w14:solidFill>
                    <w14:schemeClr w14:val="tx1"/>
                  </w14:solidFill>
                </w14:textFill>
              </w:rPr>
              <w:t>应急预案，符合项目特点；</w:t>
            </w:r>
          </w:p>
          <w:p w14:paraId="338E17BA">
            <w:pPr>
              <w:keepNext w:val="0"/>
              <w:keepLines w:val="0"/>
              <w:pageBreakBefore w:val="0"/>
              <w:widowControl w:val="0"/>
              <w:kinsoku/>
              <w:wordWrap w:val="0"/>
              <w:overflowPunct w:val="0"/>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四档(</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41</w:t>
            </w:r>
            <w:r>
              <w:rPr>
                <w:rFonts w:hint="eastAsia" w:asciiTheme="minorEastAsia" w:hAnsiTheme="minorEastAsia" w:eastAsiaTheme="minorEastAsia" w:cstheme="minorEastAsia"/>
                <w:color w:val="000000" w:themeColor="text1"/>
                <w:sz w:val="21"/>
                <w:szCs w:val="21"/>
                <w14:textFill>
                  <w14:solidFill>
                    <w14:schemeClr w14:val="tx1"/>
                  </w14:solidFill>
                </w14:textFill>
              </w:rPr>
              <w:t>分）：目实施方案详尽具体，</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方案思路</w:t>
            </w:r>
            <w:r>
              <w:rPr>
                <w:rFonts w:hint="eastAsia" w:asciiTheme="minorEastAsia" w:hAnsiTheme="minorEastAsia" w:eastAsiaTheme="minorEastAsia" w:cstheme="minorEastAsia"/>
                <w:color w:val="000000" w:themeColor="text1"/>
                <w:sz w:val="21"/>
                <w:szCs w:val="21"/>
                <w14:textFill>
                  <w14:solidFill>
                    <w14:schemeClr w14:val="tx1"/>
                  </w14:solidFill>
                </w14:textFill>
              </w:rPr>
              <w:t>表达清晰，</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工作内容目标明确，</w:t>
            </w:r>
            <w:r>
              <w:rPr>
                <w:rFonts w:hint="eastAsia" w:asciiTheme="minorEastAsia" w:hAnsiTheme="minorEastAsia" w:eastAsiaTheme="minorEastAsia" w:cstheme="minorEastAsia"/>
                <w:color w:val="000000" w:themeColor="text1"/>
                <w:sz w:val="21"/>
                <w:szCs w:val="21"/>
                <w14:textFill>
                  <w14:solidFill>
                    <w14:schemeClr w14:val="tx1"/>
                  </w14:solidFill>
                </w14:textFill>
              </w:rPr>
              <w:t>推进项目进度、保证项目进度、质量和信息安全等方面有详细的实施措施，实施措施基本覆盖项目实施全过程且具有可行性；人员配备安排、分工、进度控制、检测及验收、项目移交等方案内容具体且科学合理；对项目重难点进行了全面分析，分析客观具体；对项目不同情况</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有对应的应急预案</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r>
      <w:tr w14:paraId="70B59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77" w:hRule="atLeast"/>
          <w:jc w:val="center"/>
        </w:trPr>
        <w:tc>
          <w:tcPr>
            <w:tcW w:w="1502" w:type="dxa"/>
            <w:vMerge w:val="continue"/>
            <w:tcBorders>
              <w:left w:val="single" w:color="auto" w:sz="4" w:space="0"/>
            </w:tcBorders>
            <w:vAlign w:val="center"/>
          </w:tcPr>
          <w:p w14:paraId="6522CF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p>
        </w:tc>
        <w:tc>
          <w:tcPr>
            <w:tcW w:w="1617" w:type="dxa"/>
            <w:tcBorders>
              <w:top w:val="single" w:color="auto" w:sz="4" w:space="0"/>
              <w:bottom w:val="single" w:color="auto" w:sz="4" w:space="0"/>
            </w:tcBorders>
            <w:vAlign w:val="center"/>
          </w:tcPr>
          <w:p w14:paraId="7B025F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napToGrid/>
                <w:color w:val="auto"/>
                <w:sz w:val="21"/>
                <w:szCs w:val="21"/>
                <w:highlight w:val="none"/>
                <w:lang w:val="en-US" w:eastAsia="zh-CN"/>
              </w:rPr>
            </w:pPr>
            <w:r>
              <w:rPr>
                <w:rFonts w:hint="eastAsia" w:ascii="宋体" w:hAnsi="宋体" w:eastAsia="宋体" w:cs="宋体"/>
                <w:snapToGrid/>
                <w:color w:val="auto"/>
                <w:sz w:val="21"/>
                <w:szCs w:val="21"/>
                <w:highlight w:val="none"/>
                <w:lang w:val="en-US" w:eastAsia="zh-CN"/>
              </w:rPr>
              <w:t>拟投入人员分（</w:t>
            </w:r>
            <w:r>
              <w:rPr>
                <w:rFonts w:hint="eastAsia" w:ascii="宋体" w:hAnsi="宋体" w:eastAsia="宋体" w:cs="宋体"/>
                <w:snapToGrid/>
                <w:color w:val="auto"/>
                <w:sz w:val="21"/>
                <w:szCs w:val="21"/>
                <w:highlight w:val="none"/>
                <w:lang w:eastAsia="zh-CN"/>
              </w:rPr>
              <w:t>满分</w:t>
            </w:r>
            <w:r>
              <w:rPr>
                <w:rFonts w:hint="eastAsia" w:ascii="宋体" w:hAnsi="宋体" w:eastAsia="宋体" w:cs="宋体"/>
                <w:snapToGrid/>
                <w:color w:val="auto"/>
                <w:sz w:val="21"/>
                <w:szCs w:val="21"/>
                <w:highlight w:val="none"/>
                <w:lang w:val="en-US" w:eastAsia="zh-CN"/>
              </w:rPr>
              <w:t>4</w:t>
            </w:r>
            <w:r>
              <w:rPr>
                <w:rFonts w:hint="eastAsia" w:ascii="宋体" w:hAnsi="宋体" w:eastAsia="宋体" w:cs="宋体"/>
                <w:snapToGrid/>
                <w:color w:val="auto"/>
                <w:sz w:val="21"/>
                <w:szCs w:val="21"/>
                <w:highlight w:val="none"/>
                <w:lang w:eastAsia="zh-CN"/>
              </w:rPr>
              <w:t>分）</w:t>
            </w:r>
          </w:p>
        </w:tc>
        <w:tc>
          <w:tcPr>
            <w:tcW w:w="5600" w:type="dxa"/>
            <w:tcBorders>
              <w:top w:val="single" w:color="auto" w:sz="4" w:space="0"/>
              <w:bottom w:val="single" w:color="auto" w:sz="4" w:space="0"/>
            </w:tcBorders>
            <w:vAlign w:val="center"/>
          </w:tcPr>
          <w:p w14:paraId="35E8FAF2">
            <w:pPr>
              <w:keepNext w:val="0"/>
              <w:keepLines w:val="0"/>
              <w:pageBreakBefore w:val="0"/>
              <w:widowControl/>
              <w:kinsoku/>
              <w:wordWrap w:val="0"/>
              <w:overflowPunct w:val="0"/>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1、拟投入项目负责人具有中级及以上职称证书（</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计算机、电子科学与技术、通信工程、自动化、电气工程、信息与通信工程</w:t>
            </w:r>
            <w:r>
              <w:rPr>
                <w:rFonts w:hint="eastAsia" w:asciiTheme="minorEastAsia" w:hAnsiTheme="minorEastAsia" w:eastAsiaTheme="minorEastAsia" w:cstheme="minorEastAsia"/>
                <w:color w:val="000000" w:themeColor="text1"/>
                <w:sz w:val="21"/>
                <w:szCs w:val="21"/>
                <w14:textFill>
                  <w14:solidFill>
                    <w14:schemeClr w14:val="tx1"/>
                  </w14:solidFill>
                </w14:textFill>
              </w:rPr>
              <w:t>等相关专业）的，得</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0.5</w:t>
            </w:r>
            <w:r>
              <w:rPr>
                <w:rFonts w:hint="eastAsia" w:asciiTheme="minorEastAsia" w:hAnsiTheme="minorEastAsia" w:eastAsiaTheme="minorEastAsia" w:cstheme="minorEastAsia"/>
                <w:color w:val="000000" w:themeColor="text1"/>
                <w:sz w:val="21"/>
                <w:szCs w:val="21"/>
                <w14:textFill>
                  <w14:solidFill>
                    <w14:schemeClr w14:val="tx1"/>
                  </w14:solidFill>
                </w14:textFill>
              </w:rPr>
              <w:t>分，满分</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0.5</w:t>
            </w:r>
            <w:r>
              <w:rPr>
                <w:rFonts w:hint="eastAsia" w:asciiTheme="minorEastAsia" w:hAnsiTheme="minorEastAsia" w:eastAsiaTheme="minorEastAsia" w:cstheme="minorEastAsia"/>
                <w:color w:val="000000" w:themeColor="text1"/>
                <w:sz w:val="21"/>
                <w:szCs w:val="21"/>
                <w14:textFill>
                  <w14:solidFill>
                    <w14:schemeClr w14:val="tx1"/>
                  </w14:solidFill>
                </w14:textFill>
              </w:rPr>
              <w:t>分。</w:t>
            </w:r>
          </w:p>
          <w:p w14:paraId="48B4F1EB">
            <w:pPr>
              <w:keepNext w:val="0"/>
              <w:keepLines w:val="0"/>
              <w:pageBreakBefore w:val="0"/>
              <w:widowControl/>
              <w:kinsoku/>
              <w:wordWrap w:val="0"/>
              <w:overflowPunct w:val="0"/>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2、拟投入技术负责人具有中级及以上职称证书（</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计算机、电子科学与技术、通信工程、自动化、电气工程、信息与通信工程</w:t>
            </w:r>
            <w:r>
              <w:rPr>
                <w:rFonts w:hint="eastAsia" w:asciiTheme="minorEastAsia" w:hAnsiTheme="minorEastAsia" w:eastAsiaTheme="minorEastAsia" w:cstheme="minorEastAsia"/>
                <w:color w:val="000000" w:themeColor="text1"/>
                <w:sz w:val="21"/>
                <w:szCs w:val="21"/>
                <w14:textFill>
                  <w14:solidFill>
                    <w14:schemeClr w14:val="tx1"/>
                  </w14:solidFill>
                </w14:textFill>
              </w:rPr>
              <w:t>等相关专业）的，得</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0.5</w:t>
            </w:r>
            <w:r>
              <w:rPr>
                <w:rFonts w:hint="eastAsia" w:asciiTheme="minorEastAsia" w:hAnsiTheme="minorEastAsia" w:eastAsiaTheme="minorEastAsia" w:cstheme="minorEastAsia"/>
                <w:color w:val="000000" w:themeColor="text1"/>
                <w:sz w:val="21"/>
                <w:szCs w:val="21"/>
                <w14:textFill>
                  <w14:solidFill>
                    <w14:schemeClr w14:val="tx1"/>
                  </w14:solidFill>
                </w14:textFill>
              </w:rPr>
              <w:t>分，满分</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0.5</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分</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p w14:paraId="24272B52">
            <w:pPr>
              <w:keepNext w:val="0"/>
              <w:keepLines w:val="0"/>
              <w:pageBreakBefore w:val="0"/>
              <w:widowControl/>
              <w:kinsoku/>
              <w:wordWrap w:val="0"/>
              <w:overflowPunct w:val="0"/>
              <w:topLinePunct w:val="0"/>
              <w:autoSpaceDE/>
              <w:autoSpaceDN/>
              <w:bidi w:val="0"/>
              <w:adjustRightInd/>
              <w:snapToGrid/>
              <w:spacing w:line="520" w:lineRule="exact"/>
              <w:jc w:val="both"/>
              <w:textAlignment w:val="auto"/>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3.拟投入项目服务团队</w:t>
            </w:r>
          </w:p>
          <w:p w14:paraId="5E4E6E01">
            <w:pPr>
              <w:keepNext w:val="0"/>
              <w:keepLines w:val="0"/>
              <w:pageBreakBefore w:val="0"/>
              <w:widowControl/>
              <w:kinsoku/>
              <w:wordWrap w:val="0"/>
              <w:overflowPunct w:val="0"/>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一档（</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1分</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拟投入项目小组成员中有4人及以上的，得1分；其中人员包含有</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高处作业人员</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低压电工作业人员</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、售后人员、运维人员；</w:t>
            </w:r>
          </w:p>
          <w:p w14:paraId="7E7C4830">
            <w:pPr>
              <w:keepNext w:val="0"/>
              <w:keepLines w:val="0"/>
              <w:pageBreakBefore w:val="0"/>
              <w:widowControl/>
              <w:kinsoku/>
              <w:wordWrap w:val="0"/>
              <w:overflowPunct w:val="0"/>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二档</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拟投入项目小组成员中有6人及以上的，得2分；其中人员包含有</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高处作业人员</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低压电工作业人员</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、售后人员、运维人员；</w:t>
            </w:r>
          </w:p>
          <w:p w14:paraId="1BE1912A">
            <w:pPr>
              <w:keepNext w:val="0"/>
              <w:keepLines w:val="0"/>
              <w:pageBreakBefore w:val="0"/>
              <w:widowControl/>
              <w:kinsoku/>
              <w:wordWrap w:val="0"/>
              <w:overflowPunct w:val="0"/>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三档（3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拟投入项目小组成员中有9人及以上的，得</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分；其中人员包含有</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高处作业人员</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低压电工作业人员</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、售后人员、运维人员。</w:t>
            </w:r>
          </w:p>
          <w:p w14:paraId="185A266E">
            <w:pPr>
              <w:keepNext w:val="0"/>
              <w:keepLines w:val="0"/>
              <w:pageBreakBefore w:val="0"/>
              <w:widowControl/>
              <w:kinsoku/>
              <w:wordWrap w:val="0"/>
              <w:overflowPunct w:val="0"/>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注：</w:t>
            </w:r>
          </w:p>
          <w:p w14:paraId="45F03E5B">
            <w:pPr>
              <w:keepNext w:val="0"/>
              <w:keepLines w:val="0"/>
              <w:pageBreakBefore w:val="0"/>
              <w:widowControl/>
              <w:kinsoku/>
              <w:wordWrap w:val="0"/>
              <w:overflowPunct w:val="0"/>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1.项目负责人与技术负责人不得同为一人。</w:t>
            </w:r>
          </w:p>
          <w:p w14:paraId="7CF30CFF">
            <w:pPr>
              <w:keepNext w:val="0"/>
              <w:keepLines w:val="0"/>
              <w:pageBreakBefore w:val="0"/>
              <w:widowControl/>
              <w:kinsoku/>
              <w:wordWrap w:val="0"/>
              <w:overflowPunct w:val="0"/>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注:提供以上人员相关证书扫描件，以及投标单位为以上人员缴纳的截标前三个月内任意一个月（含截标当月）社保缴纳证明材料扫描件，否则不予计分。允许返聘人员参与计分：返聘人员无法提供社保缴纳证明的，须提供以下材料替代：（1）本人相关证书扫描件；（2）与投标单位签订的返聘协议或劳务合同扫描件；（3）退休证或退休证明扫描件。上述材料提供齐全的，视同满足社保缴纳证明要求，予以计分；未提供或提供不全的，不予计分。如为联合体投标的，以上人员可为联合体各方的人员，但必须是联合体成员本单位人员（含该成员单位返聘人员），否则不予计分；返聘人员须受聘于相应联合体成员单位，并由该成员单位提供上述返聘替代材料。）</w:t>
            </w:r>
          </w:p>
        </w:tc>
      </w:tr>
      <w:tr w14:paraId="6541C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17" w:hRule="atLeast"/>
          <w:jc w:val="center"/>
        </w:trPr>
        <w:tc>
          <w:tcPr>
            <w:tcW w:w="1502" w:type="dxa"/>
            <w:vMerge w:val="continue"/>
            <w:tcBorders>
              <w:left w:val="single" w:color="auto" w:sz="4" w:space="0"/>
            </w:tcBorders>
            <w:vAlign w:val="center"/>
          </w:tcPr>
          <w:p w14:paraId="6124AC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color w:val="000000" w:themeColor="text1"/>
                <w:sz w:val="21"/>
                <w:szCs w:val="21"/>
                <w14:textFill>
                  <w14:solidFill>
                    <w14:schemeClr w14:val="tx1"/>
                  </w14:solidFill>
                </w14:textFill>
              </w:rPr>
            </w:pPr>
          </w:p>
        </w:tc>
        <w:tc>
          <w:tcPr>
            <w:tcW w:w="1617" w:type="dxa"/>
            <w:tcBorders>
              <w:bottom w:val="single" w:color="auto" w:sz="4" w:space="0"/>
            </w:tcBorders>
            <w:vAlign w:val="center"/>
          </w:tcPr>
          <w:p w14:paraId="4183EE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平台及系统运行维护服务方案分（满分</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20</w:t>
            </w:r>
            <w:r>
              <w:rPr>
                <w:rFonts w:hint="eastAsia" w:asciiTheme="minorEastAsia" w:hAnsiTheme="minorEastAsia" w:eastAsiaTheme="minorEastAsia" w:cstheme="minorEastAsia"/>
                <w:color w:val="000000" w:themeColor="text1"/>
                <w:sz w:val="21"/>
                <w:szCs w:val="21"/>
                <w14:textFill>
                  <w14:solidFill>
                    <w14:schemeClr w14:val="tx1"/>
                  </w14:solidFill>
                </w14:textFill>
              </w:rPr>
              <w:t>分，未提供方案或不满足一档的得0分）</w:t>
            </w:r>
          </w:p>
        </w:tc>
        <w:tc>
          <w:tcPr>
            <w:tcW w:w="5600" w:type="dxa"/>
            <w:tcBorders>
              <w:bottom w:val="single" w:color="auto" w:sz="4" w:space="0"/>
            </w:tcBorders>
            <w:vAlign w:val="center"/>
          </w:tcPr>
          <w:p w14:paraId="15E8DC46">
            <w:pPr>
              <w:keepNext w:val="0"/>
              <w:keepLines w:val="0"/>
              <w:pageBreakBefore w:val="0"/>
              <w:widowControl/>
              <w:kinsoku/>
              <w:wordWrap w:val="0"/>
              <w:overflowPunct w:val="0"/>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一</w:t>
            </w:r>
            <w:r>
              <w:rPr>
                <w:rFonts w:hint="eastAsia" w:asciiTheme="minorEastAsia" w:hAnsiTheme="minorEastAsia" w:eastAsiaTheme="minorEastAsia" w:cstheme="minorEastAsia"/>
                <w:color w:val="000000" w:themeColor="text1"/>
                <w:sz w:val="21"/>
                <w:szCs w:val="21"/>
                <w14:textFill>
                  <w14:solidFill>
                    <w14:schemeClr w14:val="tx1"/>
                  </w14:solidFill>
                </w14:textFill>
              </w:rPr>
              <w:t>档（</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14:textFill>
                  <w14:solidFill>
                    <w14:schemeClr w14:val="tx1"/>
                  </w14:solidFill>
                </w14:textFill>
              </w:rPr>
              <w:t>分）：</w:t>
            </w:r>
            <w:r>
              <w:rPr>
                <w:rFonts w:hint="eastAsia" w:ascii="宋体" w:hAnsi="宋体"/>
                <w:szCs w:val="21"/>
                <w:lang w:val="en-US" w:eastAsia="zh-CN"/>
              </w:rPr>
              <w:t>运维服务方案描述了运维重点、难点和服务要点；提出了响应的的平台日常监管机制、信息内容审核发布机制、检查调整措施、售后运维维护、保密承诺、廉洁承诺、保障措施等，能按照采购需求中的服务内容提出相关运维服务方案，提供运维服务人员配置安排、人员名单，并提供运维服务合理化建议，总体方案基本可行。</w:t>
            </w:r>
          </w:p>
          <w:p w14:paraId="603113F6">
            <w:pPr>
              <w:keepNext w:val="0"/>
              <w:keepLines w:val="0"/>
              <w:pageBreakBefore w:val="0"/>
              <w:widowControl/>
              <w:kinsoku/>
              <w:wordWrap w:val="0"/>
              <w:overflowPunct w:val="0"/>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二</w:t>
            </w:r>
            <w:r>
              <w:rPr>
                <w:rFonts w:hint="eastAsia" w:asciiTheme="minorEastAsia" w:hAnsiTheme="minorEastAsia" w:eastAsiaTheme="minorEastAsia" w:cstheme="minorEastAsia"/>
                <w:color w:val="000000" w:themeColor="text1"/>
                <w:sz w:val="21"/>
                <w:szCs w:val="21"/>
                <w14:textFill>
                  <w14:solidFill>
                    <w14:schemeClr w14:val="tx1"/>
                  </w14:solidFill>
                </w14:textFill>
              </w:rPr>
              <w:t>档（</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sz w:val="21"/>
                <w:szCs w:val="21"/>
                <w14:textFill>
                  <w14:solidFill>
                    <w14:schemeClr w14:val="tx1"/>
                  </w14:solidFill>
                </w14:textFill>
              </w:rPr>
              <w:t>分）：</w:t>
            </w:r>
            <w:r>
              <w:rPr>
                <w:rFonts w:hint="eastAsia" w:ascii="宋体" w:hAnsi="宋体"/>
                <w:szCs w:val="21"/>
                <w:lang w:val="en-US" w:eastAsia="zh-CN"/>
              </w:rPr>
              <w:t>运维服务方案能把握运维重点、难点和服务要点；提出了较为完善的平台日常监管机制、信息内容审核发布机制、检查调整措施、售后运维维护、保密承诺、廉洁承诺、保障措施等，能按照采购需求中的服务内容提出合理的运维服务方案，提供运维服务人员配置安排、人员名单，并提供运维服务合理化建议，总体方案满足文件要求。</w:t>
            </w:r>
          </w:p>
          <w:p w14:paraId="07F8ADF3">
            <w:pPr>
              <w:keepNext w:val="0"/>
              <w:keepLines w:val="0"/>
              <w:pageBreakBefore w:val="0"/>
              <w:widowControl/>
              <w:kinsoku/>
              <w:wordWrap w:val="0"/>
              <w:overflowPunct w:val="0"/>
              <w:topLinePunct w:val="0"/>
              <w:autoSpaceDE/>
              <w:autoSpaceDN/>
              <w:bidi w:val="0"/>
              <w:adjustRightInd/>
              <w:snapToGrid/>
              <w:spacing w:line="520" w:lineRule="exact"/>
              <w:jc w:val="both"/>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三档（</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20</w:t>
            </w:r>
            <w:r>
              <w:rPr>
                <w:rFonts w:hint="eastAsia" w:asciiTheme="minorEastAsia" w:hAnsiTheme="minorEastAsia" w:eastAsiaTheme="minorEastAsia" w:cstheme="minorEastAsia"/>
                <w:color w:val="000000" w:themeColor="text1"/>
                <w:sz w:val="21"/>
                <w:szCs w:val="21"/>
                <w14:textFill>
                  <w14:solidFill>
                    <w14:schemeClr w14:val="tx1"/>
                  </w14:solidFill>
                </w14:textFill>
              </w:rPr>
              <w:t>分）：</w:t>
            </w:r>
            <w:r>
              <w:rPr>
                <w:rFonts w:hint="eastAsia" w:ascii="宋体" w:hAnsi="宋体"/>
                <w:szCs w:val="21"/>
                <w:lang w:val="en-US" w:eastAsia="zh-CN"/>
              </w:rPr>
              <w:t>运维服务方案完全把握本项目的技术重点、难点和服务要点；提出了较为完整的平台日常监管机制、信息内容审核发布机制、检查调整措施、售后运维维护、保密承诺、廉洁承诺、保障措施等，能按照采购需求中的服务内容提出合理的运维服务方案，提供运维服务人员配置安排、人员名单，并提供运维服务合理化建议，能按照采购需求中的服务内容和要求提出科学、合理、详尽、全面的运维服务方案，总体方案完全满足文件要求。</w:t>
            </w:r>
          </w:p>
        </w:tc>
      </w:tr>
      <w:tr w14:paraId="3F67F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jc w:val="center"/>
        </w:trPr>
        <w:tc>
          <w:tcPr>
            <w:tcW w:w="1502" w:type="dxa"/>
            <w:vMerge w:val="continue"/>
            <w:tcBorders>
              <w:left w:val="single" w:color="auto" w:sz="4" w:space="0"/>
            </w:tcBorders>
            <w:vAlign w:val="center"/>
          </w:tcPr>
          <w:p w14:paraId="0CEE0A8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color w:val="000000" w:themeColor="text1"/>
                <w:sz w:val="21"/>
                <w:szCs w:val="21"/>
                <w14:textFill>
                  <w14:solidFill>
                    <w14:schemeClr w14:val="tx1"/>
                  </w14:solidFill>
                </w14:textFill>
              </w:rPr>
            </w:pPr>
          </w:p>
        </w:tc>
        <w:tc>
          <w:tcPr>
            <w:tcW w:w="1617" w:type="dxa"/>
            <w:tcBorders>
              <w:top w:val="single" w:color="auto" w:sz="4" w:space="0"/>
              <w:bottom w:val="single" w:color="auto" w:sz="4" w:space="0"/>
            </w:tcBorders>
            <w:vAlign w:val="center"/>
          </w:tcPr>
          <w:p w14:paraId="586C599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宋体" w:hAnsi="宋体" w:eastAsia="宋体" w:cs="宋体"/>
                <w:snapToGrid/>
                <w:color w:val="auto"/>
                <w:sz w:val="21"/>
                <w:szCs w:val="21"/>
                <w:highlight w:val="none"/>
                <w:lang w:eastAsia="zh-CN"/>
              </w:rPr>
              <w:t>售后服务方案（满分</w:t>
            </w:r>
            <w:r>
              <w:rPr>
                <w:rFonts w:hint="eastAsia" w:ascii="宋体" w:hAnsi="宋体" w:cs="宋体"/>
                <w:snapToGrid/>
                <w:color w:val="auto"/>
                <w:sz w:val="21"/>
                <w:szCs w:val="21"/>
                <w:highlight w:val="none"/>
                <w:lang w:val="en-US" w:eastAsia="zh-CN"/>
              </w:rPr>
              <w:t>20</w:t>
            </w:r>
            <w:r>
              <w:rPr>
                <w:rFonts w:hint="eastAsia" w:ascii="宋体" w:hAnsi="宋体" w:eastAsia="宋体" w:cs="宋体"/>
                <w:snapToGrid/>
                <w:color w:val="auto"/>
                <w:sz w:val="21"/>
                <w:szCs w:val="21"/>
                <w:highlight w:val="none"/>
                <w:lang w:eastAsia="zh-CN"/>
              </w:rPr>
              <w:t>分）</w:t>
            </w:r>
          </w:p>
        </w:tc>
        <w:tc>
          <w:tcPr>
            <w:tcW w:w="5600" w:type="dxa"/>
            <w:tcBorders>
              <w:top w:val="single" w:color="auto" w:sz="4" w:space="0"/>
              <w:bottom w:val="single" w:color="auto" w:sz="4" w:space="0"/>
            </w:tcBorders>
            <w:vAlign w:val="center"/>
          </w:tcPr>
          <w:p w14:paraId="7B278B91">
            <w:pPr>
              <w:keepNext w:val="0"/>
              <w:keepLines w:val="0"/>
              <w:pageBreakBefore w:val="0"/>
              <w:widowControl/>
              <w:kinsoku/>
              <w:wordWrap w:val="0"/>
              <w:overflowPunct w:val="0"/>
              <w:topLinePunct w:val="0"/>
              <w:autoSpaceDE/>
              <w:autoSpaceDN/>
              <w:bidi w:val="0"/>
              <w:spacing w:line="520" w:lineRule="atLeast"/>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宋体" w:hAnsi="宋体"/>
                <w:szCs w:val="21"/>
              </w:rPr>
              <w:t>一档（4分）：</w:t>
            </w:r>
            <w:r>
              <w:rPr>
                <w:rFonts w:hint="eastAsia" w:asciiTheme="minorEastAsia" w:hAnsiTheme="minorEastAsia" w:eastAsiaTheme="minorEastAsia" w:cstheme="minorEastAsia"/>
                <w:color w:val="000000" w:themeColor="text1"/>
                <w:sz w:val="21"/>
                <w:szCs w:val="21"/>
                <w14:textFill>
                  <w14:solidFill>
                    <w14:schemeClr w14:val="tx1"/>
                  </w14:solidFill>
                </w14:textFill>
              </w:rPr>
              <w:t>售后服务方案内容简单，有提供故障处理流程、维护保障流程，具备专业化日常维护应急技术团队，提供有售后服务人员；</w:t>
            </w:r>
            <w:r>
              <w:rPr>
                <w:rFonts w:hint="eastAsia" w:ascii="宋体" w:hAnsi="宋体" w:eastAsia="宋体"/>
                <w:szCs w:val="21"/>
                <w:lang w:val="en-US" w:eastAsia="zh-CN"/>
              </w:rPr>
              <w:t>有定期回访，有售后服务监督及保障机制，</w:t>
            </w:r>
            <w:r>
              <w:rPr>
                <w:rFonts w:hint="eastAsia" w:ascii="宋体" w:hAnsi="宋体"/>
                <w:szCs w:val="21"/>
              </w:rPr>
              <w:t>有售后服务体系及组织架构、有</w:t>
            </w:r>
            <w:r>
              <w:rPr>
                <w:rFonts w:hint="eastAsia" w:ascii="宋体" w:hAnsi="宋体" w:eastAsia="宋体"/>
                <w:szCs w:val="21"/>
                <w:lang w:val="en-US" w:eastAsia="zh-CN"/>
              </w:rPr>
              <w:t>免费</w:t>
            </w:r>
            <w:r>
              <w:rPr>
                <w:rFonts w:hint="eastAsia" w:ascii="宋体" w:hAnsi="宋体"/>
                <w:szCs w:val="21"/>
              </w:rPr>
              <w:t>培训计划、售后服务流程及响应时间，</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基本满足采购需求</w:t>
            </w:r>
          </w:p>
          <w:p w14:paraId="7EC02C0A">
            <w:pPr>
              <w:keepNext w:val="0"/>
              <w:keepLines w:val="0"/>
              <w:pageBreakBefore w:val="0"/>
              <w:widowControl/>
              <w:kinsoku/>
              <w:wordWrap w:val="0"/>
              <w:overflowPunct w:val="0"/>
              <w:topLinePunct w:val="0"/>
              <w:autoSpaceDE/>
              <w:autoSpaceDN/>
              <w:bidi w:val="0"/>
              <w:spacing w:line="520" w:lineRule="atLeast"/>
              <w:jc w:val="both"/>
              <w:rPr>
                <w:rFonts w:hint="eastAsia" w:ascii="宋体" w:hAnsi="宋体" w:eastAsia="宋体"/>
                <w:szCs w:val="21"/>
                <w:highlight w:val="cyan"/>
                <w:lang w:eastAsia="zh-CN"/>
              </w:rPr>
            </w:pPr>
            <w:r>
              <w:rPr>
                <w:rFonts w:hint="eastAsia" w:ascii="宋体" w:hAnsi="宋体"/>
                <w:szCs w:val="21"/>
              </w:rPr>
              <w:t>二档（8分）：</w:t>
            </w:r>
            <w:r>
              <w:rPr>
                <w:rFonts w:hint="eastAsia" w:ascii="宋体" w:hAnsi="宋体"/>
                <w:szCs w:val="21"/>
                <w:lang w:val="en-US" w:eastAsia="zh-CN"/>
              </w:rPr>
              <w:t>满足一档要求的基础上，售后服务方案内容包含故障响应时间、到达现场维护时间、修复时间优于招标文件要求；有售后实施计划，</w:t>
            </w:r>
            <w:r>
              <w:rPr>
                <w:rFonts w:hint="eastAsia" w:ascii="宋体" w:hAnsi="宋体"/>
                <w:szCs w:val="21"/>
              </w:rPr>
              <w:t>售后服务方案</w:t>
            </w:r>
            <w:r>
              <w:rPr>
                <w:rFonts w:hint="eastAsia" w:ascii="宋体" w:hAnsi="宋体" w:eastAsia="宋体"/>
                <w:szCs w:val="21"/>
                <w:lang w:val="en-US" w:eastAsia="zh-CN"/>
              </w:rPr>
              <w:t>能</w:t>
            </w:r>
            <w:r>
              <w:rPr>
                <w:rFonts w:hint="eastAsia" w:ascii="宋体" w:hAnsi="宋体"/>
                <w:szCs w:val="21"/>
              </w:rPr>
              <w:t>提供故障处理流程、维护保障流程，</w:t>
            </w:r>
            <w:r>
              <w:rPr>
                <w:rFonts w:hint="eastAsia" w:ascii="宋体" w:hAnsi="宋体" w:eastAsia="宋体"/>
                <w:szCs w:val="21"/>
                <w:lang w:val="en-US" w:eastAsia="zh-CN"/>
              </w:rPr>
              <w:t>有定期回访，有售后服务监督及保障机制，</w:t>
            </w:r>
            <w:r>
              <w:rPr>
                <w:rFonts w:hint="eastAsia" w:ascii="宋体" w:hAnsi="宋体"/>
                <w:szCs w:val="21"/>
              </w:rPr>
              <w:t>有售后服务体系及组织架构、有</w:t>
            </w:r>
            <w:r>
              <w:rPr>
                <w:rFonts w:hint="eastAsia" w:ascii="宋体" w:hAnsi="宋体" w:eastAsia="宋体"/>
                <w:szCs w:val="21"/>
                <w:lang w:val="en-US" w:eastAsia="zh-CN"/>
              </w:rPr>
              <w:t>免费</w:t>
            </w:r>
            <w:r>
              <w:rPr>
                <w:rFonts w:hint="eastAsia" w:ascii="宋体" w:hAnsi="宋体"/>
                <w:szCs w:val="21"/>
              </w:rPr>
              <w:t>培训计划、售后服务流程及响应时间，具备专业化日常维护技术团队</w:t>
            </w:r>
            <w:r>
              <w:rPr>
                <w:rFonts w:hint="eastAsia" w:ascii="宋体" w:hAnsi="宋体" w:eastAsia="宋体"/>
                <w:szCs w:val="21"/>
                <w:lang w:eastAsia="zh-CN"/>
              </w:rPr>
              <w:t>。</w:t>
            </w:r>
          </w:p>
          <w:p w14:paraId="315C94A4">
            <w:pPr>
              <w:keepNext w:val="0"/>
              <w:keepLines w:val="0"/>
              <w:pageBreakBefore w:val="0"/>
              <w:widowControl/>
              <w:kinsoku/>
              <w:wordWrap w:val="0"/>
              <w:overflowPunct w:val="0"/>
              <w:topLinePunct w:val="0"/>
              <w:autoSpaceDE/>
              <w:autoSpaceDN/>
              <w:bidi w:val="0"/>
              <w:spacing w:line="520" w:lineRule="atLeast"/>
              <w:jc w:val="both"/>
              <w:rPr>
                <w:rFonts w:ascii="宋体" w:hAnsi="宋体"/>
                <w:color w:val="FF0000"/>
                <w:szCs w:val="21"/>
              </w:rPr>
            </w:pPr>
            <w:r>
              <w:rPr>
                <w:rFonts w:hint="eastAsia" w:ascii="宋体" w:hAnsi="宋体"/>
                <w:szCs w:val="21"/>
              </w:rPr>
              <w:t>三档（14分）：</w:t>
            </w:r>
            <w:r>
              <w:rPr>
                <w:rFonts w:hint="eastAsia" w:ascii="宋体" w:hAnsi="宋体"/>
                <w:szCs w:val="21"/>
                <w:lang w:val="en-US" w:eastAsia="zh-CN"/>
              </w:rPr>
              <w:t>售后服务方案完善可行，方案内容包含故障响应时间、到达现场维护时间、修复时间优于招标文件要求；有较为详细售后实施计划，</w:t>
            </w:r>
            <w:r>
              <w:rPr>
                <w:rFonts w:hint="eastAsia" w:ascii="宋体" w:hAnsi="宋体"/>
                <w:szCs w:val="21"/>
              </w:rPr>
              <w:t>售后服务方案内容</w:t>
            </w:r>
            <w:r>
              <w:rPr>
                <w:rFonts w:hint="eastAsia" w:ascii="宋体" w:hAnsi="宋体" w:eastAsia="宋体"/>
                <w:szCs w:val="21"/>
                <w:lang w:val="en-US" w:eastAsia="zh-CN"/>
              </w:rPr>
              <w:t>较为</w:t>
            </w:r>
            <w:r>
              <w:rPr>
                <w:rFonts w:hint="eastAsia" w:ascii="宋体" w:hAnsi="宋体"/>
                <w:szCs w:val="21"/>
              </w:rPr>
              <w:t>合理，有提供</w:t>
            </w:r>
            <w:r>
              <w:rPr>
                <w:rFonts w:hint="eastAsia" w:ascii="宋体" w:hAnsi="宋体" w:eastAsia="宋体"/>
                <w:szCs w:val="21"/>
                <w:lang w:val="en-US" w:eastAsia="zh-CN"/>
              </w:rPr>
              <w:t>详细的</w:t>
            </w:r>
            <w:r>
              <w:rPr>
                <w:rFonts w:hint="eastAsia" w:ascii="宋体" w:hAnsi="宋体"/>
                <w:szCs w:val="21"/>
              </w:rPr>
              <w:t>故障处理流程、维护保障流程，</w:t>
            </w:r>
            <w:r>
              <w:rPr>
                <w:rFonts w:hint="eastAsia" w:ascii="宋体" w:hAnsi="宋体" w:eastAsia="宋体"/>
                <w:szCs w:val="21"/>
                <w:lang w:val="en-US" w:eastAsia="zh-CN"/>
              </w:rPr>
              <w:t>有定期回访，有售后服务监督及保障机制，</w:t>
            </w:r>
            <w:r>
              <w:rPr>
                <w:rFonts w:hint="eastAsia" w:ascii="宋体" w:hAnsi="宋体"/>
                <w:szCs w:val="21"/>
              </w:rPr>
              <w:t>有售后服务体系及组织架构、有培训计划、售后服务流程及响应时间，具备专业化日常维护技术团队</w:t>
            </w:r>
            <w:r>
              <w:rPr>
                <w:rFonts w:hint="eastAsia" w:ascii="宋体" w:hAnsi="宋体" w:eastAsia="宋体"/>
                <w:szCs w:val="21"/>
                <w:lang w:eastAsia="zh-CN"/>
              </w:rPr>
              <w:t>。</w:t>
            </w:r>
            <w:r>
              <w:rPr>
                <w:rFonts w:hint="eastAsia" w:ascii="宋体" w:hAnsi="宋体" w:eastAsia="宋体"/>
                <w:szCs w:val="21"/>
                <w:lang w:val="en-US" w:eastAsia="zh-CN"/>
              </w:rPr>
              <w:t>售后服务</w:t>
            </w:r>
            <w:r>
              <w:rPr>
                <w:rFonts w:hint="eastAsia" w:ascii="宋体" w:hAnsi="宋体"/>
                <w:szCs w:val="21"/>
              </w:rPr>
              <w:t>维护方案科学合理、可行性高</w:t>
            </w:r>
            <w:r>
              <w:rPr>
                <w:rFonts w:hint="eastAsia" w:ascii="宋体" w:hAnsi="宋体" w:eastAsia="宋体"/>
                <w:szCs w:val="21"/>
                <w:lang w:eastAsia="zh-CN"/>
              </w:rPr>
              <w:t>。</w:t>
            </w:r>
          </w:p>
          <w:p w14:paraId="437ED678">
            <w:pPr>
              <w:keepNext w:val="0"/>
              <w:keepLines w:val="0"/>
              <w:pageBreakBefore w:val="0"/>
              <w:widowControl/>
              <w:kinsoku/>
              <w:wordWrap w:val="0"/>
              <w:overflowPunct w:val="0"/>
              <w:topLinePunct w:val="0"/>
              <w:autoSpaceDE/>
              <w:autoSpaceDN/>
              <w:bidi w:val="0"/>
              <w:spacing w:line="520" w:lineRule="atLeast"/>
              <w:jc w:val="both"/>
              <w:rPr>
                <w:rFonts w:hint="eastAsia" w:ascii="宋体" w:hAnsi="宋体"/>
                <w:szCs w:val="21"/>
              </w:rPr>
            </w:pPr>
            <w:r>
              <w:rPr>
                <w:rFonts w:hint="eastAsia" w:ascii="宋体" w:hAnsi="宋体"/>
                <w:szCs w:val="21"/>
              </w:rPr>
              <w:t>四档（20分）：</w:t>
            </w:r>
            <w:r>
              <w:rPr>
                <w:rFonts w:hint="eastAsia" w:ascii="宋体" w:hAnsi="宋体"/>
                <w:szCs w:val="21"/>
                <w:lang w:val="en-US" w:eastAsia="zh-CN"/>
              </w:rPr>
              <w:t>售后服务方案详细，方案内容包含故障响应时间、到达现场维护时间、修复时间优于招标文件要求；有具体的售后实施计划，</w:t>
            </w:r>
            <w:r>
              <w:rPr>
                <w:rFonts w:hint="eastAsia" w:ascii="宋体" w:hAnsi="宋体"/>
                <w:szCs w:val="21"/>
              </w:rPr>
              <w:t>售后服务方案内容</w:t>
            </w:r>
            <w:r>
              <w:rPr>
                <w:rFonts w:hint="eastAsia" w:ascii="宋体" w:hAnsi="宋体"/>
                <w:szCs w:val="21"/>
                <w:lang w:val="en-US" w:eastAsia="zh-CN"/>
              </w:rPr>
              <w:t>合理、操作性强</w:t>
            </w:r>
            <w:r>
              <w:rPr>
                <w:rFonts w:hint="eastAsia" w:ascii="宋体" w:hAnsi="宋体"/>
                <w:szCs w:val="21"/>
              </w:rPr>
              <w:t>，有提供</w:t>
            </w:r>
            <w:r>
              <w:rPr>
                <w:rFonts w:hint="eastAsia" w:ascii="宋体" w:hAnsi="宋体"/>
                <w:szCs w:val="21"/>
                <w:lang w:val="en-US" w:eastAsia="zh-CN"/>
              </w:rPr>
              <w:t>详细的</w:t>
            </w:r>
            <w:r>
              <w:rPr>
                <w:rFonts w:hint="eastAsia" w:ascii="宋体" w:hAnsi="宋体"/>
                <w:szCs w:val="21"/>
              </w:rPr>
              <w:t>故障处理流程、维护保障流程，</w:t>
            </w:r>
            <w:r>
              <w:rPr>
                <w:rFonts w:hint="eastAsia" w:ascii="宋体" w:hAnsi="宋体"/>
                <w:szCs w:val="21"/>
                <w:lang w:val="en-US" w:eastAsia="zh-CN"/>
              </w:rPr>
              <w:t>有定期回访，有售后服务监督及保障机制，</w:t>
            </w:r>
            <w:r>
              <w:rPr>
                <w:rFonts w:hint="eastAsia" w:ascii="宋体" w:hAnsi="宋体"/>
                <w:szCs w:val="21"/>
              </w:rPr>
              <w:t>售后服务体系及组织架构</w:t>
            </w:r>
            <w:r>
              <w:rPr>
                <w:rFonts w:hint="eastAsia" w:ascii="宋体" w:hAnsi="宋体"/>
                <w:szCs w:val="21"/>
                <w:lang w:val="en-US" w:eastAsia="zh-CN"/>
              </w:rPr>
              <w:t>明确</w:t>
            </w:r>
            <w:r>
              <w:rPr>
                <w:rFonts w:hint="eastAsia" w:ascii="宋体" w:hAnsi="宋体"/>
                <w:szCs w:val="21"/>
              </w:rPr>
              <w:t>、培训计划、售后服务流程及响应时间</w:t>
            </w:r>
            <w:r>
              <w:rPr>
                <w:rFonts w:hint="eastAsia" w:ascii="宋体" w:hAnsi="宋体"/>
                <w:szCs w:val="21"/>
                <w:lang w:val="en-US" w:eastAsia="zh-CN"/>
              </w:rPr>
              <w:t>优于采购需求</w:t>
            </w:r>
            <w:r>
              <w:rPr>
                <w:rFonts w:hint="eastAsia" w:ascii="宋体" w:hAnsi="宋体"/>
                <w:szCs w:val="21"/>
              </w:rPr>
              <w:t>，具备专业化日常维护技术团队</w:t>
            </w:r>
            <w:r>
              <w:rPr>
                <w:rFonts w:hint="eastAsia" w:ascii="宋体" w:hAnsi="宋体"/>
                <w:szCs w:val="21"/>
                <w:lang w:eastAsia="zh-CN"/>
              </w:rPr>
              <w:t>。</w:t>
            </w:r>
            <w:r>
              <w:rPr>
                <w:rFonts w:hint="eastAsia" w:ascii="宋体" w:hAnsi="宋体"/>
                <w:szCs w:val="21"/>
                <w:lang w:val="en-US" w:eastAsia="zh-CN"/>
              </w:rPr>
              <w:t>售后服务</w:t>
            </w:r>
            <w:r>
              <w:rPr>
                <w:rFonts w:hint="eastAsia" w:ascii="宋体" w:hAnsi="宋体"/>
                <w:szCs w:val="21"/>
              </w:rPr>
              <w:t>维护方案科学合理、可行性高</w:t>
            </w:r>
            <w:r>
              <w:rPr>
                <w:rFonts w:hint="eastAsia" w:ascii="宋体" w:hAnsi="宋体"/>
                <w:szCs w:val="21"/>
                <w:lang w:eastAsia="zh-CN"/>
              </w:rPr>
              <w:t>。</w:t>
            </w:r>
          </w:p>
          <w:p w14:paraId="645721DE">
            <w:pPr>
              <w:keepNext w:val="0"/>
              <w:keepLines w:val="0"/>
              <w:pageBreakBefore w:val="0"/>
              <w:widowControl/>
              <w:kinsoku/>
              <w:wordWrap w:val="0"/>
              <w:overflowPunct w:val="0"/>
              <w:topLinePunct w:val="0"/>
              <w:autoSpaceDE/>
              <w:autoSpaceDN/>
              <w:bidi w:val="0"/>
              <w:adjustRightInd/>
              <w:snapToGrid/>
              <w:spacing w:line="520" w:lineRule="atLeast"/>
              <w:jc w:val="both"/>
              <w:textAlignment w:val="auto"/>
              <w:rPr>
                <w:rFonts w:hint="eastAsia" w:ascii="宋体" w:hAnsi="宋体" w:cs="宋体"/>
                <w:b/>
                <w:bCs/>
                <w:szCs w:val="21"/>
              </w:rPr>
            </w:pPr>
            <w:r>
              <w:rPr>
                <w:rFonts w:hint="eastAsia" w:ascii="宋体" w:hAnsi="宋体" w:cs="宋体"/>
                <w:b/>
                <w:bCs/>
                <w:szCs w:val="21"/>
              </w:rPr>
              <w:t>注：</w:t>
            </w:r>
            <w:r>
              <w:rPr>
                <w:rFonts w:hint="eastAsia" w:ascii="宋体" w:hAnsi="宋体" w:cs="宋体"/>
                <w:szCs w:val="21"/>
              </w:rPr>
              <w:t>未提供或提供的方案达不到最低评分标准的，得</w:t>
            </w:r>
            <w:r>
              <w:rPr>
                <w:rFonts w:hint="eastAsia" w:ascii="宋体" w:hAnsi="宋体" w:eastAsia="宋体" w:cs="宋体"/>
                <w:szCs w:val="21"/>
                <w:lang w:val="en-US" w:eastAsia="zh-CN"/>
              </w:rPr>
              <w:t>0</w:t>
            </w:r>
            <w:r>
              <w:rPr>
                <w:rFonts w:hint="eastAsia" w:ascii="宋体" w:hAnsi="宋体" w:cs="宋体"/>
                <w:szCs w:val="21"/>
              </w:rPr>
              <w:t>分。</w:t>
            </w:r>
          </w:p>
        </w:tc>
      </w:tr>
      <w:tr w14:paraId="182F4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0" w:hRule="atLeast"/>
          <w:jc w:val="center"/>
        </w:trPr>
        <w:tc>
          <w:tcPr>
            <w:tcW w:w="1502" w:type="dxa"/>
            <w:tcBorders>
              <w:top w:val="single" w:color="auto" w:sz="4" w:space="0"/>
            </w:tcBorders>
            <w:vAlign w:val="center"/>
          </w:tcPr>
          <w:p w14:paraId="5F864F4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商务分（</w:t>
            </w:r>
            <w:r>
              <w:rPr>
                <w:rFonts w:hint="eastAsia" w:asciiTheme="minorEastAsia" w:hAnsiTheme="minorEastAsia" w:eastAsiaTheme="minorEastAsia" w:cstheme="minorEastAsia"/>
                <w:b/>
                <w:bCs/>
                <w:color w:val="000000" w:themeColor="text1"/>
                <w:sz w:val="21"/>
                <w:szCs w:val="21"/>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 w:val="21"/>
                <w:szCs w:val="21"/>
                <w14:textFill>
                  <w14:solidFill>
                    <w14:schemeClr w14:val="tx1"/>
                  </w14:solidFill>
                </w14:textFill>
              </w:rPr>
              <w:t>分）</w:t>
            </w:r>
          </w:p>
        </w:tc>
        <w:tc>
          <w:tcPr>
            <w:tcW w:w="1617" w:type="dxa"/>
            <w:tcBorders>
              <w:top w:val="single" w:color="auto" w:sz="4" w:space="0"/>
              <w:bottom w:val="single" w:color="auto" w:sz="4" w:space="0"/>
            </w:tcBorders>
            <w:vAlign w:val="center"/>
          </w:tcPr>
          <w:p w14:paraId="70AE08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业绩（</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分）</w:t>
            </w:r>
          </w:p>
        </w:tc>
        <w:tc>
          <w:tcPr>
            <w:tcW w:w="5600" w:type="dxa"/>
            <w:tcBorders>
              <w:top w:val="single" w:color="auto" w:sz="4" w:space="0"/>
              <w:bottom w:val="single" w:color="auto" w:sz="4" w:space="0"/>
            </w:tcBorders>
            <w:vAlign w:val="center"/>
          </w:tcPr>
          <w:p w14:paraId="367EF1C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自2023年1月1日以来（以签订合同日期为准）具有类似项目业绩的，每提供一个业绩得1分，此项满分5分。</w:t>
            </w:r>
          </w:p>
          <w:p w14:paraId="54A0462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注：本项需提供合同书或中标通知书扫描件</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合同需提供合同首页、服务内容页、签字盖章页等关键页，业绩合同不能反映项目内容的不得分，（扫描件应加盖单位公章）如为联合体投标的，由联合体任一方提供均可。</w:t>
            </w:r>
          </w:p>
        </w:tc>
      </w:tr>
      <w:tr w14:paraId="1B886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9" w:type="dxa"/>
            <w:gridSpan w:val="3"/>
            <w:vAlign w:val="center"/>
          </w:tcPr>
          <w:p w14:paraId="1208C25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b/>
                <w:bCs/>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kern w:val="0"/>
                <w:sz w:val="21"/>
                <w:szCs w:val="21"/>
                <w:lang w:eastAsia="zh-TW"/>
                <w14:textFill>
                  <w14:solidFill>
                    <w14:schemeClr w14:val="tx1"/>
                  </w14:solidFill>
                </w14:textFill>
              </w:rPr>
              <w:t>总得分=</w:t>
            </w:r>
            <w:r>
              <w:rPr>
                <w:rFonts w:hint="eastAsia" w:asciiTheme="minorEastAsia" w:hAnsiTheme="minorEastAsia" w:eastAsiaTheme="minorEastAsia" w:cstheme="minorEastAsia"/>
                <w:b/>
                <w:bCs/>
                <w:color w:val="000000" w:themeColor="text1"/>
                <w:kern w:val="0"/>
                <w:sz w:val="21"/>
                <w:szCs w:val="21"/>
                <w14:textFill>
                  <w14:solidFill>
                    <w14:schemeClr w14:val="tx1"/>
                  </w14:solidFill>
                </w14:textFill>
              </w:rPr>
              <w:t>价格分+技术分+商务分</w:t>
            </w:r>
          </w:p>
        </w:tc>
      </w:tr>
    </w:tbl>
    <w:p w14:paraId="45386D6E">
      <w:pPr>
        <w:rPr>
          <w:rFonts w:ascii="宋体" w:hAnsi="宋体" w:eastAsia="宋体" w:cs="宋体"/>
          <w:b/>
          <w:bCs/>
          <w:color w:val="auto"/>
          <w:spacing w:val="-6"/>
          <w:sz w:val="30"/>
          <w:szCs w:val="30"/>
        </w:rPr>
      </w:pPr>
      <w:r>
        <w:rPr>
          <w:rFonts w:ascii="宋体" w:hAnsi="宋体" w:eastAsia="宋体" w:cs="宋体"/>
          <w:b/>
          <w:bCs/>
          <w:color w:val="auto"/>
          <w:spacing w:val="-6"/>
          <w:sz w:val="30"/>
          <w:szCs w:val="30"/>
        </w:rPr>
        <w:br w:type="page"/>
      </w:r>
    </w:p>
    <w:p w14:paraId="41AB3B92">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360" w:lineRule="auto"/>
        <w:ind w:left="0"/>
        <w:jc w:val="center"/>
        <w:textAlignment w:val="baseline"/>
        <w:outlineLvl w:val="1"/>
        <w:rPr>
          <w:rFonts w:ascii="Arial"/>
          <w:color w:val="auto"/>
          <w:sz w:val="21"/>
        </w:rPr>
      </w:pPr>
      <w:r>
        <w:rPr>
          <w:rFonts w:ascii="宋体" w:hAnsi="宋体" w:eastAsia="宋体" w:cs="宋体"/>
          <w:b/>
          <w:bCs/>
          <w:color w:val="auto"/>
          <w:spacing w:val="-6"/>
          <w:sz w:val="30"/>
          <w:szCs w:val="30"/>
        </w:rPr>
        <w:t>四、中标候选人推荐原则</w:t>
      </w:r>
    </w:p>
    <w:p w14:paraId="34DB369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outlineLvl w:val="2"/>
        <w:rPr>
          <w:rFonts w:ascii="宋体" w:hAnsi="宋体" w:eastAsia="宋体" w:cs="宋体"/>
          <w:color w:val="auto"/>
          <w:sz w:val="24"/>
          <w:szCs w:val="24"/>
        </w:rPr>
      </w:pPr>
      <w:r>
        <w:rPr>
          <w:rFonts w:ascii="宋体" w:hAnsi="宋体" w:eastAsia="宋体" w:cs="宋体"/>
          <w:b/>
          <w:bCs/>
          <w:color w:val="auto"/>
          <w:spacing w:val="-5"/>
          <w:sz w:val="24"/>
          <w:szCs w:val="24"/>
        </w:rPr>
        <w:t>（一）综合评分法</w:t>
      </w:r>
    </w:p>
    <w:p w14:paraId="5B1499E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3"/>
        <w:jc w:val="both"/>
        <w:textAlignment w:val="baseline"/>
        <w:rPr>
          <w:rFonts w:ascii="宋体" w:hAnsi="宋体" w:eastAsia="宋体" w:cs="宋体"/>
          <w:color w:val="auto"/>
          <w:sz w:val="21"/>
          <w:szCs w:val="21"/>
        </w:rPr>
      </w:pPr>
      <w:r>
        <w:rPr>
          <w:rFonts w:ascii="宋体" w:hAnsi="宋体" w:eastAsia="宋体" w:cs="宋体"/>
          <w:color w:val="auto"/>
          <w:spacing w:val="2"/>
          <w:sz w:val="21"/>
          <w:szCs w:val="21"/>
        </w:rPr>
        <w:t>1.评标委员会根据原始评标记录和评标结果编写评标报告，并通过电子</w:t>
      </w:r>
      <w:r>
        <w:rPr>
          <w:rFonts w:ascii="宋体" w:hAnsi="宋体" w:eastAsia="宋体" w:cs="宋体"/>
          <w:color w:val="auto"/>
          <w:spacing w:val="1"/>
          <w:sz w:val="21"/>
          <w:szCs w:val="21"/>
        </w:rPr>
        <w:t>交易平台向采购</w:t>
      </w:r>
      <w:r>
        <w:rPr>
          <w:rFonts w:ascii="宋体" w:hAnsi="宋体" w:eastAsia="宋体" w:cs="宋体"/>
          <w:color w:val="auto"/>
          <w:spacing w:val="-2"/>
          <w:sz w:val="21"/>
          <w:szCs w:val="21"/>
        </w:rPr>
        <w:t>人、采购代理机构提交。</w:t>
      </w:r>
    </w:p>
    <w:p w14:paraId="2D1B7B3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4"/>
        <w:jc w:val="both"/>
        <w:textAlignment w:val="baseline"/>
        <w:rPr>
          <w:rFonts w:ascii="宋体" w:hAnsi="宋体" w:eastAsia="宋体" w:cs="宋体"/>
          <w:color w:val="auto"/>
          <w:sz w:val="21"/>
          <w:szCs w:val="21"/>
        </w:rPr>
      </w:pPr>
      <w:r>
        <w:rPr>
          <w:rFonts w:ascii="宋体" w:hAnsi="宋体" w:eastAsia="宋体" w:cs="宋体"/>
          <w:color w:val="auto"/>
          <w:spacing w:val="2"/>
          <w:sz w:val="21"/>
          <w:szCs w:val="21"/>
        </w:rPr>
        <w:t>2.评标委员会将根据总得分由高到低排列次序并推荐中标候选人。得分相同的，以投标报价由低到高顺序排列。得分相同且投标报价相同的并列，投标文件满足招标文件全部实质</w:t>
      </w:r>
      <w:r>
        <w:rPr>
          <w:rFonts w:ascii="宋体" w:hAnsi="宋体" w:eastAsia="宋体" w:cs="宋体"/>
          <w:color w:val="auto"/>
          <w:sz w:val="21"/>
          <w:szCs w:val="21"/>
        </w:rPr>
        <w:t>性要求，且按照评审因素的量化指标评审得分最高的</w:t>
      </w:r>
      <w:r>
        <w:rPr>
          <w:rFonts w:ascii="宋体" w:hAnsi="宋体" w:eastAsia="宋体" w:cs="宋体"/>
          <w:color w:val="auto"/>
          <w:spacing w:val="-1"/>
          <w:sz w:val="21"/>
          <w:szCs w:val="21"/>
        </w:rPr>
        <w:t>投标人为排名第一的中标候选人。</w:t>
      </w:r>
    </w:p>
    <w:p w14:paraId="6EDA66C6">
      <w:pPr>
        <w:spacing w:line="351" w:lineRule="auto"/>
        <w:rPr>
          <w:rFonts w:ascii="宋体" w:hAnsi="宋体" w:eastAsia="宋体" w:cs="宋体"/>
          <w:color w:val="auto"/>
          <w:sz w:val="21"/>
          <w:szCs w:val="21"/>
        </w:rPr>
        <w:sectPr>
          <w:footerReference r:id="rId14" w:type="default"/>
          <w:pgSz w:w="11905" w:h="16838"/>
          <w:pgMar w:top="1417" w:right="1417" w:bottom="1417" w:left="1417" w:header="0" w:footer="1196" w:gutter="0"/>
          <w:pgNumType w:fmt="decimal"/>
          <w:cols w:space="0" w:num="1"/>
          <w:rtlGutter w:val="0"/>
          <w:docGrid w:linePitch="0" w:charSpace="0"/>
        </w:sectPr>
      </w:pPr>
    </w:p>
    <w:p w14:paraId="38ED7DE2">
      <w:pPr>
        <w:tabs>
          <w:tab w:val="right" w:pos="7538"/>
        </w:tabs>
        <w:spacing w:before="140" w:line="223" w:lineRule="auto"/>
        <w:ind w:left="1533"/>
        <w:outlineLvl w:val="0"/>
        <w:rPr>
          <w:rFonts w:hint="eastAsia" w:ascii="宋体" w:hAnsi="宋体" w:eastAsia="宋体" w:cs="宋体"/>
          <w:color w:val="auto"/>
          <w:sz w:val="43"/>
          <w:szCs w:val="43"/>
          <w:lang w:eastAsia="zh-CN"/>
        </w:rPr>
        <w:sectPr>
          <w:footerReference r:id="rId15" w:type="default"/>
          <w:pgSz w:w="11905" w:h="16838"/>
          <w:pgMar w:top="1417" w:right="1417" w:bottom="1417" w:left="1417" w:header="0" w:footer="1196" w:gutter="0"/>
          <w:pgNumType w:fmt="decimal"/>
          <w:cols w:space="0" w:num="1"/>
          <w:rtlGutter w:val="0"/>
          <w:docGrid w:linePitch="0" w:charSpace="0"/>
        </w:sectPr>
      </w:pPr>
      <w:bookmarkStart w:id="76" w:name="bookmark10"/>
      <w:bookmarkEnd w:id="76"/>
      <w:r>
        <w:rPr>
          <w:rFonts w:ascii="宋体" w:hAnsi="宋体" w:eastAsia="宋体" w:cs="宋体"/>
          <w:b/>
          <w:bCs/>
          <w:color w:val="auto"/>
          <w:spacing w:val="5"/>
          <w:sz w:val="43"/>
          <w:szCs w:val="43"/>
        </w:rPr>
        <w:t>第五章</w:t>
      </w:r>
      <w:r>
        <w:rPr>
          <w:rFonts w:ascii="宋体" w:hAnsi="宋体" w:eastAsia="宋体" w:cs="宋体"/>
          <w:color w:val="auto"/>
          <w:spacing w:val="5"/>
          <w:sz w:val="43"/>
          <w:szCs w:val="43"/>
        </w:rPr>
        <w:t xml:space="preserve">  </w:t>
      </w:r>
      <w:r>
        <w:rPr>
          <w:rFonts w:ascii="宋体" w:hAnsi="宋体" w:eastAsia="宋体" w:cs="宋体"/>
          <w:b/>
          <w:bCs/>
          <w:color w:val="auto"/>
          <w:spacing w:val="5"/>
          <w:sz w:val="43"/>
          <w:szCs w:val="43"/>
        </w:rPr>
        <w:t>拟签订的合同文本</w:t>
      </w:r>
    </w:p>
    <w:p w14:paraId="65BC0E13">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360" w:lineRule="auto"/>
        <w:jc w:val="center"/>
        <w:textAlignment w:val="baseline"/>
        <w:rPr>
          <w:rFonts w:hint="eastAsia" w:ascii="宋体" w:hAnsi="宋体" w:cs="Courier New"/>
          <w:b/>
          <w:color w:val="auto"/>
          <w:sz w:val="32"/>
          <w:szCs w:val="32"/>
        </w:rPr>
      </w:pPr>
      <w:r>
        <w:rPr>
          <w:rFonts w:hint="eastAsia"/>
          <w:b/>
          <w:bCs/>
          <w:color w:val="auto"/>
          <w:kern w:val="44"/>
          <w:sz w:val="44"/>
          <w:szCs w:val="44"/>
        </w:rPr>
        <w:t>合同文本</w:t>
      </w:r>
    </w:p>
    <w:p w14:paraId="4D77E85A">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ascii="宋体" w:hAnsi="宋体" w:cs="宋体"/>
          <w:bCs/>
          <w:color w:val="auto"/>
          <w:szCs w:val="21"/>
          <w:u w:val="single"/>
        </w:rPr>
      </w:pPr>
      <w:r>
        <w:rPr>
          <w:rFonts w:hint="eastAsia" w:ascii="宋体" w:hAnsi="宋体" w:cs="宋体"/>
          <w:color w:val="auto"/>
          <w:szCs w:val="21"/>
        </w:rPr>
        <w:t>采购计划号：</w:t>
      </w:r>
      <w:r>
        <w:rPr>
          <w:rFonts w:hint="eastAsia" w:ascii="宋体" w:hAnsi="宋体" w:cs="宋体"/>
          <w:color w:val="auto"/>
          <w:szCs w:val="21"/>
          <w:u w:val="single"/>
        </w:rPr>
        <w:t xml:space="preserve"> </w:t>
      </w:r>
      <w:r>
        <w:rPr>
          <w:rFonts w:ascii="宋体" w:hAnsi="宋体" w:cs="宋体"/>
          <w:color w:val="auto"/>
          <w:szCs w:val="21"/>
          <w:u w:val="single"/>
        </w:rPr>
        <w:t xml:space="preserve">                        </w:t>
      </w:r>
      <w:r>
        <w:rPr>
          <w:rFonts w:ascii="宋体" w:hAnsi="宋体" w:cs="宋体"/>
          <w:color w:val="auto"/>
          <w:szCs w:val="21"/>
        </w:rPr>
        <w:t xml:space="preserve">   </w:t>
      </w:r>
      <w:r>
        <w:rPr>
          <w:rFonts w:hint="eastAsia" w:ascii="宋体" w:hAnsi="宋体" w:cs="宋体"/>
          <w:bCs/>
          <w:color w:val="auto"/>
          <w:szCs w:val="21"/>
        </w:rPr>
        <w:t>合同编号：</w:t>
      </w:r>
      <w:r>
        <w:rPr>
          <w:rFonts w:ascii="宋体" w:hAnsi="宋体" w:cs="宋体"/>
          <w:color w:val="auto"/>
          <w:szCs w:val="21"/>
          <w:u w:val="single"/>
        </w:rPr>
        <w:t xml:space="preserve">                </w:t>
      </w:r>
      <w:r>
        <w:rPr>
          <w:rFonts w:hint="eastAsia" w:ascii="宋体" w:hAnsi="宋体" w:cs="宋体"/>
          <w:color w:val="auto"/>
          <w:szCs w:val="21"/>
          <w:u w:val="single"/>
        </w:rPr>
        <w:t xml:space="preserve">  </w:t>
      </w:r>
    </w:p>
    <w:p w14:paraId="3D32CDF2">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ascii="宋体" w:hAnsi="宋体" w:cs="宋体"/>
          <w:color w:val="auto"/>
          <w:szCs w:val="21"/>
          <w:u w:val="single"/>
        </w:rPr>
      </w:pPr>
      <w:r>
        <w:rPr>
          <w:rFonts w:hint="eastAsia" w:ascii="宋体" w:hAnsi="宋体" w:cs="宋体"/>
          <w:color w:val="auto"/>
          <w:szCs w:val="21"/>
        </w:rPr>
        <w:t>采购人（甲方）：</w:t>
      </w:r>
      <w:r>
        <w:rPr>
          <w:rFonts w:hint="eastAsia" w:ascii="宋体" w:hAnsi="宋体" w:cs="宋体"/>
          <w:color w:val="auto"/>
          <w:szCs w:val="21"/>
          <w:u w:val="single"/>
        </w:rPr>
        <w:t xml:space="preserve"> </w:t>
      </w:r>
      <w:r>
        <w:rPr>
          <w:rFonts w:ascii="宋体" w:hAnsi="宋体" w:cs="宋体"/>
          <w:color w:val="auto"/>
          <w:szCs w:val="21"/>
          <w:u w:val="single"/>
        </w:rPr>
        <w:t xml:space="preserve">                 </w:t>
      </w:r>
      <w:r>
        <w:rPr>
          <w:rFonts w:hint="eastAsia" w:ascii="宋体" w:hAnsi="宋体" w:cs="宋体"/>
          <w:color w:val="auto"/>
          <w:szCs w:val="21"/>
          <w:u w:val="single"/>
        </w:rPr>
        <w:t xml:space="preserve">   </w:t>
      </w:r>
      <w:r>
        <w:rPr>
          <w:rFonts w:hint="eastAsia" w:ascii="宋体" w:hAnsi="宋体" w:cs="宋体"/>
          <w:color w:val="auto"/>
          <w:szCs w:val="21"/>
        </w:rPr>
        <w:t xml:space="preserve">   供应商（乙方）：</w:t>
      </w:r>
      <w:r>
        <w:rPr>
          <w:rFonts w:ascii="宋体" w:hAnsi="宋体" w:cs="宋体"/>
          <w:color w:val="auto"/>
          <w:szCs w:val="21"/>
          <w:u w:val="single"/>
        </w:rPr>
        <w:t xml:space="preserve">                    </w:t>
      </w:r>
      <w:r>
        <w:rPr>
          <w:rFonts w:hint="eastAsia" w:ascii="宋体" w:hAnsi="宋体" w:cs="宋体"/>
          <w:color w:val="auto"/>
          <w:szCs w:val="21"/>
        </w:rPr>
        <w:t xml:space="preserve">    </w:t>
      </w:r>
    </w:p>
    <w:p w14:paraId="19756B64">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cs="宋体"/>
          <w:color w:val="auto"/>
          <w:szCs w:val="21"/>
          <w:u w:val="single"/>
        </w:rPr>
      </w:pPr>
      <w:r>
        <w:rPr>
          <w:rFonts w:hint="eastAsia" w:ascii="宋体" w:hAnsi="宋体" w:cs="宋体"/>
          <w:color w:val="auto"/>
          <w:szCs w:val="21"/>
        </w:rPr>
        <w:t>项目名称：</w:t>
      </w:r>
      <w:r>
        <w:rPr>
          <w:rFonts w:ascii="宋体" w:hAnsi="宋体" w:cs="宋体"/>
          <w:color w:val="auto"/>
          <w:szCs w:val="21"/>
          <w:u w:val="single"/>
        </w:rPr>
        <w:t xml:space="preserve">                       </w:t>
      </w:r>
      <w:r>
        <w:rPr>
          <w:rFonts w:hint="eastAsia" w:ascii="宋体" w:hAnsi="宋体" w:cs="宋体"/>
          <w:color w:val="auto"/>
          <w:szCs w:val="21"/>
          <w:u w:val="single"/>
        </w:rPr>
        <w:t xml:space="preserve">  </w:t>
      </w:r>
      <w:r>
        <w:rPr>
          <w:rFonts w:ascii="宋体" w:hAnsi="宋体" w:cs="宋体"/>
          <w:color w:val="auto"/>
          <w:szCs w:val="21"/>
          <w:u w:val="single"/>
        </w:rPr>
        <w:t xml:space="preserve">  </w:t>
      </w:r>
      <w:r>
        <w:rPr>
          <w:rFonts w:ascii="宋体" w:hAnsi="宋体" w:cs="宋体"/>
          <w:color w:val="auto"/>
          <w:szCs w:val="21"/>
        </w:rPr>
        <w:t xml:space="preserve">   </w:t>
      </w:r>
      <w:r>
        <w:rPr>
          <w:rFonts w:hint="eastAsia" w:ascii="宋体" w:hAnsi="宋体" w:cs="宋体"/>
          <w:color w:val="auto"/>
          <w:szCs w:val="21"/>
        </w:rPr>
        <w:t>项目编号：</w:t>
      </w:r>
      <w:r>
        <w:rPr>
          <w:rFonts w:ascii="宋体" w:hAnsi="宋体" w:cs="宋体"/>
          <w:color w:val="auto"/>
          <w:szCs w:val="21"/>
          <w:u w:val="single"/>
        </w:rPr>
        <w:t xml:space="preserve">                          </w:t>
      </w:r>
    </w:p>
    <w:p w14:paraId="59C61299">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cs="宋体"/>
          <w:color w:val="auto"/>
          <w:szCs w:val="21"/>
          <w:u w:val="single"/>
        </w:rPr>
      </w:pPr>
      <w:r>
        <w:rPr>
          <w:rFonts w:hint="eastAsia" w:ascii="宋体" w:hAnsi="宋体" w:cs="宋体"/>
          <w:color w:val="auto"/>
          <w:szCs w:val="21"/>
        </w:rPr>
        <w:t>签订地点：</w:t>
      </w:r>
      <w:r>
        <w:rPr>
          <w:rFonts w:hint="eastAsia" w:ascii="宋体" w:hAnsi="宋体" w:cs="宋体"/>
          <w:color w:val="auto"/>
          <w:szCs w:val="21"/>
          <w:u w:val="single"/>
        </w:rPr>
        <w:t xml:space="preserve"> </w:t>
      </w:r>
      <w:r>
        <w:rPr>
          <w:rFonts w:ascii="宋体" w:hAnsi="宋体" w:cs="宋体"/>
          <w:color w:val="auto"/>
          <w:szCs w:val="21"/>
          <w:u w:val="single"/>
        </w:rPr>
        <w:t xml:space="preserve">                    </w:t>
      </w:r>
      <w:r>
        <w:rPr>
          <w:rFonts w:hint="eastAsia" w:ascii="宋体" w:hAnsi="宋体" w:cs="宋体"/>
          <w:color w:val="auto"/>
          <w:szCs w:val="21"/>
          <w:u w:val="single"/>
        </w:rPr>
        <w:t xml:space="preserve">  </w:t>
      </w:r>
      <w:r>
        <w:rPr>
          <w:rFonts w:ascii="宋体" w:hAnsi="宋体" w:cs="宋体"/>
          <w:color w:val="auto"/>
          <w:szCs w:val="21"/>
          <w:u w:val="single"/>
        </w:rPr>
        <w:t xml:space="preserve">   </w:t>
      </w:r>
      <w:r>
        <w:rPr>
          <w:rFonts w:hint="eastAsia" w:ascii="宋体" w:hAnsi="宋体" w:cs="宋体"/>
          <w:color w:val="auto"/>
          <w:szCs w:val="21"/>
          <w:u w:val="single"/>
        </w:rPr>
        <w:t xml:space="preserve"> </w:t>
      </w:r>
      <w:r>
        <w:rPr>
          <w:rFonts w:hint="eastAsia" w:ascii="宋体" w:hAnsi="宋体" w:cs="宋体"/>
          <w:color w:val="auto"/>
          <w:szCs w:val="21"/>
        </w:rPr>
        <w:t xml:space="preserve">   签订时间：</w:t>
      </w:r>
      <w:r>
        <w:rPr>
          <w:rFonts w:hint="eastAsia" w:ascii="宋体" w:hAnsi="宋体" w:cs="宋体"/>
          <w:color w:val="auto"/>
          <w:szCs w:val="21"/>
          <w:u w:val="single"/>
        </w:rPr>
        <w:t xml:space="preserve">        </w:t>
      </w:r>
      <w:r>
        <w:rPr>
          <w:rFonts w:ascii="宋体" w:hAnsi="宋体" w:cs="宋体"/>
          <w:color w:val="auto"/>
          <w:szCs w:val="21"/>
          <w:u w:val="single"/>
        </w:rPr>
        <w:t xml:space="preserve">           </w:t>
      </w:r>
      <w:r>
        <w:rPr>
          <w:rFonts w:hint="eastAsia" w:ascii="宋体" w:hAnsi="宋体" w:cs="宋体"/>
          <w:color w:val="auto"/>
          <w:szCs w:val="21"/>
          <w:u w:val="single"/>
        </w:rPr>
        <w:t xml:space="preserve">     </w:t>
      </w:r>
    </w:p>
    <w:p w14:paraId="47D0A565">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宋体" w:hAnsi="宋体" w:cs="宋体"/>
          <w:color w:val="auto"/>
          <w:szCs w:val="21"/>
        </w:rPr>
      </w:pPr>
      <w:r>
        <w:rPr>
          <w:rFonts w:hint="eastAsia" w:ascii="宋体" w:hAnsi="宋体" w:cs="宋体"/>
          <w:color w:val="auto"/>
          <w:szCs w:val="21"/>
        </w:rPr>
        <w:t>本合同为中小企业预留合同：</w:t>
      </w:r>
      <w:r>
        <w:rPr>
          <w:rFonts w:hint="eastAsia" w:ascii="宋体" w:hAnsi="宋体" w:cs="宋体"/>
          <w:color w:val="auto"/>
          <w:szCs w:val="21"/>
          <w:u w:val="single"/>
        </w:rPr>
        <w:t>（是/否）</w:t>
      </w:r>
      <w:r>
        <w:rPr>
          <w:rFonts w:hint="eastAsia" w:ascii="宋体" w:hAnsi="宋体" w:cs="宋体"/>
          <w:color w:val="auto"/>
          <w:szCs w:val="21"/>
        </w:rPr>
        <w:t>。</w:t>
      </w:r>
    </w:p>
    <w:p w14:paraId="5847EFE3">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outlineLvl w:val="1"/>
        <w:rPr>
          <w:rFonts w:hint="eastAsia" w:ascii="宋体" w:hAnsi="宋体"/>
          <w:color w:val="auto"/>
          <w:szCs w:val="21"/>
        </w:rPr>
      </w:pPr>
      <w:r>
        <w:rPr>
          <w:rFonts w:hint="eastAsia" w:ascii="宋体" w:hAnsi="宋体" w:cs="宋体"/>
          <w:color w:val="auto"/>
          <w:szCs w:val="21"/>
        </w:rPr>
        <w:t>根据《中华人民共和国政府采购法》、《中华人民共和国民法典》等法律、法规规定，按照</w:t>
      </w:r>
      <w:r>
        <w:rPr>
          <w:rFonts w:hint="eastAsia" w:ascii="宋体" w:hAnsi="宋体"/>
          <w:color w:val="auto"/>
          <w:szCs w:val="21"/>
        </w:rPr>
        <w:t>招标文件规定条款和乙方投标文件及其承诺，甲乙双方签订本合同。</w:t>
      </w:r>
    </w:p>
    <w:p w14:paraId="413DD61F">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200"/>
        <w:jc w:val="left"/>
        <w:textAlignment w:val="baseline"/>
        <w:outlineLvl w:val="2"/>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第一条　合同标的</w:t>
      </w:r>
    </w:p>
    <w:p w14:paraId="31ECD882">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20" w:firstLineChars="200"/>
        <w:jc w:val="left"/>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1、项目一览表</w:t>
      </w:r>
    </w:p>
    <w:tbl>
      <w:tblPr>
        <w:tblStyle w:val="17"/>
        <w:tblW w:w="87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410"/>
        <w:gridCol w:w="1785"/>
        <w:gridCol w:w="945"/>
        <w:gridCol w:w="960"/>
        <w:gridCol w:w="1362"/>
        <w:gridCol w:w="1336"/>
      </w:tblGrid>
      <w:tr w14:paraId="7C98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20" w:hRule="atLeast"/>
          <w:jc w:val="center"/>
        </w:trPr>
        <w:tc>
          <w:tcPr>
            <w:tcW w:w="945" w:type="dxa"/>
            <w:tcBorders>
              <w:top w:val="single" w:color="auto" w:sz="4" w:space="0"/>
              <w:left w:val="single" w:color="auto" w:sz="4" w:space="0"/>
              <w:bottom w:val="single" w:color="auto" w:sz="4" w:space="0"/>
              <w:right w:val="single" w:color="auto" w:sz="4" w:space="0"/>
            </w:tcBorders>
            <w:vAlign w:val="center"/>
          </w:tcPr>
          <w:p w14:paraId="77EE89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序号</w:t>
            </w:r>
          </w:p>
        </w:tc>
        <w:tc>
          <w:tcPr>
            <w:tcW w:w="1410" w:type="dxa"/>
            <w:tcBorders>
              <w:top w:val="single" w:color="auto" w:sz="4" w:space="0"/>
              <w:left w:val="single" w:color="auto" w:sz="4" w:space="0"/>
              <w:bottom w:val="single" w:color="auto" w:sz="4" w:space="0"/>
              <w:right w:val="single" w:color="auto" w:sz="4" w:space="0"/>
            </w:tcBorders>
            <w:vAlign w:val="center"/>
          </w:tcPr>
          <w:p w14:paraId="5A1D56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名称</w:t>
            </w:r>
          </w:p>
        </w:tc>
        <w:tc>
          <w:tcPr>
            <w:tcW w:w="1785" w:type="dxa"/>
            <w:tcBorders>
              <w:top w:val="single" w:color="auto" w:sz="4" w:space="0"/>
              <w:left w:val="single" w:color="auto" w:sz="4" w:space="0"/>
              <w:bottom w:val="single" w:color="auto" w:sz="4" w:space="0"/>
              <w:right w:val="single" w:color="auto" w:sz="4" w:space="0"/>
            </w:tcBorders>
            <w:vAlign w:val="center"/>
          </w:tcPr>
          <w:p w14:paraId="59F7EA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服务内容</w:t>
            </w:r>
          </w:p>
        </w:tc>
        <w:tc>
          <w:tcPr>
            <w:tcW w:w="945" w:type="dxa"/>
            <w:tcBorders>
              <w:top w:val="single" w:color="auto" w:sz="4" w:space="0"/>
              <w:left w:val="single" w:color="auto" w:sz="4" w:space="0"/>
              <w:bottom w:val="single" w:color="auto" w:sz="4" w:space="0"/>
              <w:right w:val="single" w:color="auto" w:sz="4" w:space="0"/>
            </w:tcBorders>
            <w:vAlign w:val="center"/>
          </w:tcPr>
          <w:p w14:paraId="3725EF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数量</w:t>
            </w:r>
          </w:p>
        </w:tc>
        <w:tc>
          <w:tcPr>
            <w:tcW w:w="960" w:type="dxa"/>
            <w:tcBorders>
              <w:top w:val="single" w:color="auto" w:sz="4" w:space="0"/>
              <w:left w:val="single" w:color="auto" w:sz="4" w:space="0"/>
              <w:bottom w:val="single" w:color="auto" w:sz="4" w:space="0"/>
              <w:right w:val="single" w:color="auto" w:sz="4" w:space="0"/>
            </w:tcBorders>
            <w:vAlign w:val="center"/>
          </w:tcPr>
          <w:p w14:paraId="3CB9EE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单位</w:t>
            </w:r>
          </w:p>
        </w:tc>
        <w:tc>
          <w:tcPr>
            <w:tcW w:w="1362" w:type="dxa"/>
            <w:tcBorders>
              <w:top w:val="single" w:color="auto" w:sz="4" w:space="0"/>
              <w:left w:val="single" w:color="auto" w:sz="4" w:space="0"/>
              <w:bottom w:val="single" w:color="auto" w:sz="4" w:space="0"/>
              <w:right w:val="single" w:color="auto" w:sz="4" w:space="0"/>
            </w:tcBorders>
            <w:vAlign w:val="center"/>
          </w:tcPr>
          <w:p w14:paraId="055657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单价（元）</w:t>
            </w:r>
          </w:p>
        </w:tc>
        <w:tc>
          <w:tcPr>
            <w:tcW w:w="1336" w:type="dxa"/>
            <w:tcBorders>
              <w:top w:val="single" w:color="auto" w:sz="4" w:space="0"/>
              <w:left w:val="single" w:color="auto" w:sz="4" w:space="0"/>
              <w:bottom w:val="single" w:color="auto" w:sz="4" w:space="0"/>
              <w:right w:val="single" w:color="auto" w:sz="4" w:space="0"/>
            </w:tcBorders>
            <w:vAlign w:val="center"/>
          </w:tcPr>
          <w:p w14:paraId="7F0AE1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总价（元）</w:t>
            </w:r>
          </w:p>
        </w:tc>
      </w:tr>
      <w:tr w14:paraId="6A87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945" w:type="dxa"/>
            <w:tcBorders>
              <w:top w:val="single" w:color="auto" w:sz="4" w:space="0"/>
              <w:left w:val="single" w:color="auto" w:sz="4" w:space="0"/>
              <w:bottom w:val="single" w:color="auto" w:sz="4" w:space="0"/>
              <w:right w:val="single" w:color="auto" w:sz="4" w:space="0"/>
            </w:tcBorders>
            <w:vAlign w:val="center"/>
          </w:tcPr>
          <w:p w14:paraId="14AEFBCF">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w:t>
            </w:r>
          </w:p>
        </w:tc>
        <w:tc>
          <w:tcPr>
            <w:tcW w:w="1410" w:type="dxa"/>
            <w:tcBorders>
              <w:top w:val="single" w:color="auto" w:sz="4" w:space="0"/>
              <w:left w:val="single" w:color="auto" w:sz="4" w:space="0"/>
              <w:bottom w:val="single" w:color="auto" w:sz="4" w:space="0"/>
              <w:right w:val="single" w:color="auto" w:sz="4" w:space="0"/>
            </w:tcBorders>
            <w:vAlign w:val="center"/>
          </w:tcPr>
          <w:p w14:paraId="3144220D">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auto"/>
                <w:sz w:val="21"/>
                <w:szCs w:val="21"/>
              </w:rPr>
            </w:pPr>
          </w:p>
        </w:tc>
        <w:tc>
          <w:tcPr>
            <w:tcW w:w="1785" w:type="dxa"/>
            <w:tcBorders>
              <w:top w:val="single" w:color="auto" w:sz="4" w:space="0"/>
              <w:left w:val="single" w:color="auto" w:sz="4" w:space="0"/>
              <w:bottom w:val="single" w:color="auto" w:sz="4" w:space="0"/>
              <w:right w:val="single" w:color="auto" w:sz="4" w:space="0"/>
            </w:tcBorders>
            <w:vAlign w:val="center"/>
          </w:tcPr>
          <w:p w14:paraId="34A81828">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auto"/>
                <w:sz w:val="21"/>
                <w:szCs w:val="21"/>
              </w:rPr>
            </w:pPr>
          </w:p>
        </w:tc>
        <w:tc>
          <w:tcPr>
            <w:tcW w:w="945" w:type="dxa"/>
            <w:tcBorders>
              <w:top w:val="single" w:color="auto" w:sz="4" w:space="0"/>
              <w:left w:val="single" w:color="auto" w:sz="4" w:space="0"/>
              <w:bottom w:val="single" w:color="auto" w:sz="4" w:space="0"/>
              <w:right w:val="single" w:color="auto" w:sz="4" w:space="0"/>
            </w:tcBorders>
            <w:vAlign w:val="center"/>
          </w:tcPr>
          <w:p w14:paraId="0E824B6F">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auto"/>
                <w:sz w:val="21"/>
                <w:szCs w:val="21"/>
              </w:rPr>
            </w:pPr>
          </w:p>
        </w:tc>
        <w:tc>
          <w:tcPr>
            <w:tcW w:w="960" w:type="dxa"/>
            <w:tcBorders>
              <w:top w:val="single" w:color="auto" w:sz="4" w:space="0"/>
              <w:left w:val="single" w:color="auto" w:sz="4" w:space="0"/>
              <w:bottom w:val="single" w:color="auto" w:sz="4" w:space="0"/>
              <w:right w:val="single" w:color="auto" w:sz="4" w:space="0"/>
            </w:tcBorders>
            <w:vAlign w:val="center"/>
          </w:tcPr>
          <w:p w14:paraId="6E229766">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auto"/>
                <w:sz w:val="21"/>
                <w:szCs w:val="21"/>
              </w:rPr>
            </w:pPr>
          </w:p>
        </w:tc>
        <w:tc>
          <w:tcPr>
            <w:tcW w:w="1362" w:type="dxa"/>
            <w:tcBorders>
              <w:top w:val="single" w:color="auto" w:sz="4" w:space="0"/>
              <w:left w:val="single" w:color="auto" w:sz="4" w:space="0"/>
              <w:bottom w:val="single" w:color="auto" w:sz="4" w:space="0"/>
              <w:right w:val="single" w:color="auto" w:sz="4" w:space="0"/>
            </w:tcBorders>
            <w:vAlign w:val="center"/>
          </w:tcPr>
          <w:p w14:paraId="488D562C">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auto"/>
                <w:sz w:val="21"/>
                <w:szCs w:val="21"/>
              </w:rPr>
            </w:pPr>
          </w:p>
        </w:tc>
        <w:tc>
          <w:tcPr>
            <w:tcW w:w="1336" w:type="dxa"/>
            <w:tcBorders>
              <w:top w:val="single" w:color="auto" w:sz="4" w:space="0"/>
              <w:left w:val="single" w:color="auto" w:sz="4" w:space="0"/>
              <w:bottom w:val="single" w:color="auto" w:sz="4" w:space="0"/>
              <w:right w:val="single" w:color="auto" w:sz="4" w:space="0"/>
            </w:tcBorders>
            <w:vAlign w:val="center"/>
          </w:tcPr>
          <w:p w14:paraId="68881A95">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auto"/>
                <w:sz w:val="21"/>
                <w:szCs w:val="21"/>
              </w:rPr>
            </w:pPr>
          </w:p>
        </w:tc>
      </w:tr>
      <w:tr w14:paraId="7BD99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8743" w:type="dxa"/>
            <w:gridSpan w:val="7"/>
            <w:tcBorders>
              <w:top w:val="single" w:color="auto" w:sz="4" w:space="0"/>
              <w:left w:val="single" w:color="auto" w:sz="4" w:space="0"/>
              <w:bottom w:val="single" w:color="auto" w:sz="4" w:space="0"/>
              <w:right w:val="single" w:color="auto" w:sz="4" w:space="0"/>
            </w:tcBorders>
            <w:vAlign w:val="center"/>
          </w:tcPr>
          <w:p w14:paraId="6E950298">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详见开标一览表</w:t>
            </w:r>
          </w:p>
        </w:tc>
      </w:tr>
      <w:tr w14:paraId="07DC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8743" w:type="dxa"/>
            <w:gridSpan w:val="7"/>
            <w:tcBorders>
              <w:top w:val="single" w:color="auto" w:sz="4" w:space="0"/>
              <w:left w:val="single" w:color="auto" w:sz="4" w:space="0"/>
              <w:bottom w:val="single" w:color="auto" w:sz="4" w:space="0"/>
              <w:right w:val="single" w:color="auto" w:sz="4" w:space="0"/>
            </w:tcBorders>
            <w:vAlign w:val="center"/>
          </w:tcPr>
          <w:p w14:paraId="4583D3DA">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人民币合计金额（大写）：               元整（           ）              </w:t>
            </w:r>
          </w:p>
        </w:tc>
      </w:tr>
    </w:tbl>
    <w:p w14:paraId="308AD6D9">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合同合计金额包括但不限于满足本次投标全部采购需求所应提供的服务，以及伴随的货物和工程（如有）的价格；包含投标服务、货物、工程的成本、运输（含保险）、安装（如有）、调试、检验、技术服务、培训、税费等所有费用。如招标文件对其另有规定的，从其规定。</w:t>
      </w:r>
    </w:p>
    <w:p w14:paraId="22EF6703">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outlineLvl w:val="2"/>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第二条　质量保证</w:t>
      </w:r>
    </w:p>
    <w:p w14:paraId="63D9D13C">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乙方所提供的服务及服务内容必须与投标文件承诺相一致，有国家强制性标准的，还必须符合国家强制性标准的规定，没有国家强制性标准但有其他强制性标准的，必须符合其他强制性标准的规定。</w:t>
      </w:r>
    </w:p>
    <w:p w14:paraId="0536BF90">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outlineLvl w:val="2"/>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第三条　权利保证</w:t>
      </w:r>
    </w:p>
    <w:p w14:paraId="068D2FB4">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1、乙方应保证所提供服务在使用时不会侵犯任何第三方的专利权、商标权、工业设计权等知识产权及其他合法权利，且所有权、处分权等没有受到任何限制。</w:t>
      </w:r>
    </w:p>
    <w:p w14:paraId="76DDDE58">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r>
        <w:rPr>
          <w:rFonts w:hint="eastAsia" w:asciiTheme="minorEastAsia" w:hAnsiTheme="minorEastAsia" w:eastAsiaTheme="minorEastAsia" w:cstheme="minorEastAsia"/>
          <w:color w:val="auto"/>
          <w:sz w:val="21"/>
          <w:szCs w:val="21"/>
          <w:lang w:eastAsia="zh-CN"/>
        </w:rPr>
        <w:t>乙方违反本合同保密义务的，应向甲方支付违约金五万元，并赔偿因此给甲方造成的全部损失。</w:t>
      </w:r>
    </w:p>
    <w:p w14:paraId="777A8BE7">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outlineLvl w:val="2"/>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第四条　交付和验收</w:t>
      </w:r>
    </w:p>
    <w:p w14:paraId="77688AC0">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1、服务期限：</w:t>
      </w:r>
      <w:r>
        <w:rPr>
          <w:rFonts w:hint="eastAsia" w:asciiTheme="minorEastAsia" w:hAnsiTheme="minorEastAsia" w:eastAsiaTheme="minorEastAsia" w:cstheme="minorEastAsia"/>
          <w:color w:val="auto"/>
          <w:sz w:val="21"/>
          <w:szCs w:val="21"/>
          <w:highlight w:val="none"/>
          <w:u w:val="single"/>
        </w:rPr>
        <w:t>自签订合同之日起60天内交货安装调试完毕并交付正常使用</w:t>
      </w:r>
      <w:r>
        <w:rPr>
          <w:rFonts w:hint="eastAsia" w:asciiTheme="minorEastAsia" w:hAnsiTheme="minorEastAsia" w:eastAsiaTheme="minorEastAsia" w:cstheme="minorEastAsia"/>
          <w:color w:val="auto"/>
          <w:sz w:val="21"/>
          <w:szCs w:val="21"/>
          <w:highlight w:val="none"/>
          <w:u w:val="single"/>
          <w:lang w:eastAsia="zh-CN"/>
        </w:rPr>
        <w:t>；</w:t>
      </w:r>
      <w:r>
        <w:rPr>
          <w:rFonts w:hint="eastAsia" w:asciiTheme="minorEastAsia" w:hAnsiTheme="minorEastAsia" w:eastAsiaTheme="minorEastAsia" w:cstheme="minorEastAsia"/>
          <w:color w:val="auto"/>
          <w:sz w:val="21"/>
          <w:szCs w:val="21"/>
          <w:highlight w:val="none"/>
          <w:u w:val="single"/>
        </w:rPr>
        <w:t>自项目竣工验收通过之日起，提供现场运维服务期为3年</w:t>
      </w:r>
      <w:r>
        <w:rPr>
          <w:rFonts w:hint="eastAsia" w:asciiTheme="minorEastAsia" w:hAnsiTheme="minorEastAsia" w:eastAsiaTheme="minorEastAsia" w:cstheme="minorEastAsia"/>
          <w:color w:val="auto"/>
          <w:sz w:val="21"/>
          <w:szCs w:val="21"/>
          <w:highlight w:val="none"/>
        </w:rPr>
        <w:t>，服务地点：</w:t>
      </w:r>
      <w:r>
        <w:rPr>
          <w:rFonts w:hint="eastAsia" w:asciiTheme="minorEastAsia" w:hAnsiTheme="minorEastAsia" w:eastAsiaTheme="minorEastAsia" w:cstheme="minorEastAsia"/>
          <w:color w:val="auto"/>
          <w:sz w:val="21"/>
          <w:szCs w:val="21"/>
          <w:highlight w:val="none"/>
          <w:u w:val="single"/>
        </w:rPr>
        <w:t>百色市林业局指定地点</w:t>
      </w:r>
      <w:r>
        <w:rPr>
          <w:rFonts w:hint="eastAsia" w:asciiTheme="minorEastAsia" w:hAnsiTheme="minorEastAsia" w:eastAsiaTheme="minorEastAsia" w:cstheme="minorEastAsia"/>
          <w:color w:val="auto"/>
          <w:sz w:val="21"/>
          <w:szCs w:val="21"/>
          <w:highlight w:val="none"/>
        </w:rPr>
        <w:t>。</w:t>
      </w:r>
    </w:p>
    <w:p w14:paraId="40FE1D0A">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2、乙方应按投标文件的承诺向甲方提供相应的服务，并提供所服务内容的相关技术资料。</w:t>
      </w:r>
      <w:commentRangeStart w:id="0"/>
      <w:r>
        <w:rPr>
          <w:rFonts w:hint="eastAsia" w:asciiTheme="minorEastAsia" w:hAnsiTheme="minorEastAsia" w:eastAsiaTheme="minorEastAsia" w:cstheme="minorEastAsia"/>
          <w:color w:val="auto"/>
          <w:sz w:val="21"/>
          <w:szCs w:val="21"/>
          <w:lang w:eastAsia="zh-CN"/>
        </w:rPr>
        <w:t>乙方交付所有前端感知设备时，需同步向甲方提供每台设备的唯一序列号、出厂合格证、原厂质保承诺文件，所有设备均为全新未使用的合格产品，不存在以旧充新、以次充好、翻新替换的情形。</w:t>
      </w:r>
      <w:bookmarkStart w:id="77" w:name="auto_fouce_15"/>
      <w:r>
        <w:rPr>
          <w:rFonts w:hint="eastAsia" w:asciiTheme="minorEastAsia" w:hAnsiTheme="minorEastAsia" w:eastAsiaTheme="minorEastAsia" w:cstheme="minorEastAsia"/>
          <w:color w:val="auto"/>
          <w:sz w:val="21"/>
          <w:szCs w:val="21"/>
          <w:lang w:eastAsia="zh-CN"/>
        </w:rPr>
        <w:t>乙方完成项目交付时，需同步向甲方提交完整的项目技术资料，包括但不限于所有设备的使用说明书、检测报告、系统操作手册、维护手册、培训资料、设备安装点位分布图、数据接口文档、平台部署架构文档。</w:t>
      </w:r>
      <w:commentRangeEnd w:id="0"/>
      <w:r>
        <w:rPr>
          <w:rFonts w:hint="eastAsia" w:asciiTheme="minorEastAsia" w:hAnsiTheme="minorEastAsia" w:eastAsiaTheme="minorEastAsia" w:cstheme="minorEastAsia"/>
          <w:color w:val="auto"/>
          <w:sz w:val="21"/>
          <w:szCs w:val="21"/>
        </w:rPr>
        <w:commentReference w:id="0"/>
      </w:r>
      <w:bookmarkEnd w:id="77"/>
    </w:p>
    <w:p w14:paraId="08F7579B">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3、乙方提供不符合投标文件和本合同规定的服务成果，甲方有权拒绝接受。</w:t>
      </w:r>
    </w:p>
    <w:p w14:paraId="488D3C59">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乙方完成服务后应及时书面通知甲方进行验收，甲方应在收到通知后七个工作日内进行验收，逾期不开始验收的，乙方可视同验收合格。验收合格后由甲乙双方签署验收单并加盖采购人公章，甲乙双方各执一份。</w:t>
      </w:r>
    </w:p>
    <w:p w14:paraId="0A311902">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5、甲乙双方应按照《广西壮族自治区政府采购项目履约验收管理办法》、双方合同、投标文件验收。</w:t>
      </w:r>
    </w:p>
    <w:p w14:paraId="06DD429B">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6、甲方在初步验收或者最终验收过程中如发现乙方提供的服务成果不满足投标文件及本合同规定的，可暂缓向乙方付款，直到乙方及时完善并提交相应的服务成果且经甲方验收合格后，方可办理付款。</w:t>
      </w:r>
    </w:p>
    <w:p w14:paraId="3F7BC45E">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7、甲方验收时以书面形式提出异议的，乙方应自收到甲方书面异议后五个工作日内及时予以解决，否则甲方有权不出具服务验收合格单。</w:t>
      </w:r>
    </w:p>
    <w:p w14:paraId="4D1B2FC4">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第五条  售后服务及培训</w:t>
      </w:r>
    </w:p>
    <w:p w14:paraId="0DEE79BA">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1、乙方应按照国家有关法律法规和本合同所附的《售后服务承诺》要求为甲方提供相应的售后服务</w:t>
      </w:r>
      <w:r>
        <w:rPr>
          <w:rFonts w:hint="eastAsia" w:asciiTheme="minorEastAsia" w:hAnsiTheme="minorEastAsia" w:eastAsiaTheme="minorEastAsia" w:cstheme="minorEastAsia"/>
          <w:color w:val="auto"/>
          <w:sz w:val="21"/>
          <w:szCs w:val="21"/>
          <w:lang w:eastAsia="zh-CN"/>
        </w:rPr>
        <w:t>，所有承诺内容均对乙方产生完全约束力</w:t>
      </w:r>
      <w:r>
        <w:rPr>
          <w:rFonts w:hint="eastAsia" w:asciiTheme="minorEastAsia" w:hAnsiTheme="minorEastAsia" w:eastAsiaTheme="minorEastAsia" w:cstheme="minorEastAsia"/>
          <w:color w:val="auto"/>
          <w:sz w:val="21"/>
          <w:szCs w:val="21"/>
        </w:rPr>
        <w:t>。</w:t>
      </w:r>
    </w:p>
    <w:p w14:paraId="059605E9">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2、乙方负责甲方有关人员的培训。培训时间、地</w:t>
      </w:r>
      <w:r>
        <w:rPr>
          <w:rFonts w:hint="eastAsia" w:asciiTheme="minorEastAsia" w:hAnsiTheme="minorEastAsia" w:eastAsiaTheme="minorEastAsia" w:cstheme="minorEastAsia"/>
          <w:color w:val="auto"/>
          <w:sz w:val="21"/>
          <w:szCs w:val="21"/>
          <w:highlight w:val="none"/>
        </w:rPr>
        <w:t>点：</w:t>
      </w:r>
      <w:r>
        <w:rPr>
          <w:rFonts w:hint="eastAsia" w:asciiTheme="minorEastAsia" w:hAnsiTheme="minorEastAsia" w:eastAsiaTheme="minorEastAsia" w:cstheme="minorEastAsia"/>
          <w:color w:val="auto"/>
          <w:sz w:val="21"/>
          <w:szCs w:val="21"/>
          <w:highlight w:val="none"/>
          <w:u w:val="single"/>
        </w:rPr>
        <w:t xml:space="preserve"> 百色市林业局指定地点</w:t>
      </w:r>
      <w:r>
        <w:rPr>
          <w:rFonts w:hint="eastAsia" w:asciiTheme="minorEastAsia" w:hAnsiTheme="minorEastAsia" w:eastAsiaTheme="minorEastAsia" w:cstheme="minorEastAsia"/>
          <w:color w:val="auto"/>
          <w:sz w:val="21"/>
          <w:szCs w:val="21"/>
          <w:highlight w:val="none"/>
        </w:rPr>
        <w:t xml:space="preserve"> 。</w:t>
      </w:r>
    </w:p>
    <w:p w14:paraId="10EE61B9">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outlineLvl w:val="2"/>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第六条　付款方式</w:t>
      </w:r>
    </w:p>
    <w:p w14:paraId="0663881C">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甲乙双方同意本合同金额的支付按以下第</w:t>
      </w:r>
      <w:r>
        <w:rPr>
          <w:rFonts w:hint="eastAsia" w:asciiTheme="minorEastAsia" w:hAnsiTheme="minorEastAsia" w:eastAsiaTheme="minorEastAsia" w:cstheme="minorEastAsia"/>
          <w:color w:val="auto"/>
          <w:sz w:val="21"/>
          <w:szCs w:val="21"/>
          <w:lang w:val="en-US" w:eastAsia="zh-CN"/>
        </w:rPr>
        <w:t>1</w:t>
      </w:r>
      <w:r>
        <w:rPr>
          <w:rFonts w:hint="eastAsia" w:asciiTheme="minorEastAsia" w:hAnsiTheme="minorEastAsia" w:eastAsiaTheme="minorEastAsia" w:cstheme="minorEastAsia"/>
          <w:color w:val="auto"/>
          <w:sz w:val="21"/>
          <w:szCs w:val="21"/>
        </w:rPr>
        <w:t>项约定执行：</w:t>
      </w:r>
    </w:p>
    <w:p w14:paraId="2FD37852">
      <w:pPr>
        <w:keepNext w:val="0"/>
        <w:keepLines w:val="0"/>
        <w:pageBreakBefore w:val="0"/>
        <w:widowControl/>
        <w:numPr>
          <w:ilvl w:val="0"/>
          <w:numId w:val="5"/>
        </w:numPr>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一次性支付</w:t>
      </w:r>
    </w:p>
    <w:p w14:paraId="1DDC93D9">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val="en-US" w:eastAsia="zh-CN"/>
        </w:rPr>
        <w:t>乙方（</w:t>
      </w:r>
      <w:r>
        <w:rPr>
          <w:rFonts w:hint="eastAsia" w:asciiTheme="minorEastAsia" w:hAnsiTheme="minorEastAsia" w:eastAsiaTheme="minorEastAsia" w:cstheme="minorEastAsia"/>
          <w:color w:val="auto"/>
          <w:sz w:val="21"/>
          <w:szCs w:val="21"/>
        </w:rPr>
        <w:t>供应商</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rPr>
        <w:t>按交付期在规定时间内完成交付整体服务内容，项目通过</w:t>
      </w:r>
      <w:r>
        <w:rPr>
          <w:rFonts w:hint="eastAsia" w:asciiTheme="minorEastAsia" w:hAnsiTheme="minorEastAsia" w:eastAsiaTheme="minorEastAsia" w:cstheme="minorEastAsia"/>
          <w:color w:val="auto"/>
          <w:sz w:val="21"/>
          <w:szCs w:val="21"/>
          <w:lang w:val="en-US" w:eastAsia="zh-CN"/>
        </w:rPr>
        <w:t>甲方（</w:t>
      </w:r>
      <w:r>
        <w:rPr>
          <w:rFonts w:hint="eastAsia" w:asciiTheme="minorEastAsia" w:hAnsiTheme="minorEastAsia" w:eastAsiaTheme="minorEastAsia" w:cstheme="minorEastAsia"/>
          <w:color w:val="auto"/>
          <w:sz w:val="21"/>
          <w:szCs w:val="21"/>
        </w:rPr>
        <w:t>采购人</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rPr>
        <w:t>竣工验收合格后，</w:t>
      </w:r>
      <w:r>
        <w:rPr>
          <w:rFonts w:hint="eastAsia" w:asciiTheme="minorEastAsia" w:hAnsiTheme="minorEastAsia" w:eastAsiaTheme="minorEastAsia" w:cstheme="minorEastAsia"/>
          <w:color w:val="auto"/>
          <w:sz w:val="21"/>
          <w:szCs w:val="21"/>
          <w:lang w:val="en-US" w:eastAsia="zh-CN"/>
        </w:rPr>
        <w:t>乙方（</w:t>
      </w:r>
      <w:r>
        <w:rPr>
          <w:rFonts w:hint="eastAsia" w:asciiTheme="minorEastAsia" w:hAnsiTheme="minorEastAsia" w:eastAsiaTheme="minorEastAsia" w:cstheme="minorEastAsia"/>
          <w:color w:val="auto"/>
          <w:sz w:val="21"/>
          <w:szCs w:val="21"/>
        </w:rPr>
        <w:t>供应商</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rPr>
        <w:t>提供完税发票、清单，</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rPr>
        <w:t>采购人</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rPr>
        <w:t>办理完成相关财政手续后一次性支付。</w:t>
      </w:r>
    </w:p>
    <w:p w14:paraId="16848139">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2、分期支付</w:t>
      </w:r>
    </w:p>
    <w:p w14:paraId="32B8D942">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outlineLvl w:val="2"/>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第七条　履约保证金</w:t>
      </w:r>
    </w:p>
    <w:p w14:paraId="34189EE4">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履约保证金金额</w:t>
      </w:r>
      <w:r>
        <w:rPr>
          <w:rFonts w:hint="eastAsia" w:asciiTheme="minorEastAsia" w:hAnsiTheme="minorEastAsia" w:eastAsiaTheme="minorEastAsia" w:cstheme="minorEastAsia"/>
          <w:color w:val="auto"/>
          <w:sz w:val="21"/>
          <w:szCs w:val="21"/>
          <w:highlight w:val="none"/>
        </w:rPr>
        <w:t>：每分标按中标金额的</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%（注：政府采</w:t>
      </w:r>
      <w:r>
        <w:rPr>
          <w:rFonts w:hint="eastAsia" w:asciiTheme="minorEastAsia" w:hAnsiTheme="minorEastAsia" w:eastAsiaTheme="minorEastAsia" w:cstheme="minorEastAsia"/>
          <w:color w:val="auto"/>
          <w:sz w:val="21"/>
          <w:szCs w:val="21"/>
        </w:rPr>
        <w:t>购加大对中小企业发展的扶持力度，对中小企业收取的履约保证金数额按中标金额的2%）。</w:t>
      </w:r>
    </w:p>
    <w:p w14:paraId="2A456F3B">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履约保证金递交方式：支票、汇票、本票或者金融、担保机构出具的保函等非现金方式。</w:t>
      </w:r>
    </w:p>
    <w:p w14:paraId="5ECF01FB">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履约保证金退付方式、时间及条件：由中标人向履约保证金收取单位提供《广西壮族自治区政府采购项目合同验收书》（详见桂财采〔2015〕22号），保证金收取单位在收到合格材料后5个工作日内办理退还手续（不计利息）</w:t>
      </w:r>
      <w:r>
        <w:rPr>
          <w:rFonts w:hint="eastAsia" w:asciiTheme="minorEastAsia" w:hAnsiTheme="minorEastAsia" w:eastAsiaTheme="minorEastAsia" w:cstheme="minorEastAsia"/>
          <w:color w:val="auto"/>
          <w:sz w:val="21"/>
          <w:szCs w:val="21"/>
          <w:lang w:eastAsia="zh-CN"/>
        </w:rPr>
        <w:t>。</w:t>
      </w:r>
    </w:p>
    <w:p w14:paraId="6B8C87B1">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签订合同后，如中标人不按双方签订的合同规定履约，则没收其全部履约保证金，履约保证金不足以赔偿损失的，按实际损失赔偿。</w:t>
      </w:r>
    </w:p>
    <w:p w14:paraId="5095002B">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outlineLvl w:val="2"/>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第八条  税费</w:t>
      </w:r>
    </w:p>
    <w:p w14:paraId="45D74277">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本合同执行中相关的一切税费均由乙方负担，合同另有约定的除外。</w:t>
      </w:r>
    </w:p>
    <w:p w14:paraId="3532B0D8">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outlineLvl w:val="2"/>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第九条　违约责任</w:t>
      </w:r>
    </w:p>
    <w:p w14:paraId="3AF897F0">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1、除不可抗力原因外，乙方</w:t>
      </w:r>
      <w:r>
        <w:rPr>
          <w:rFonts w:hint="eastAsia" w:asciiTheme="minorEastAsia" w:hAnsiTheme="minorEastAsia" w:eastAsiaTheme="minorEastAsia" w:cstheme="minorEastAsia"/>
          <w:color w:val="auto"/>
          <w:sz w:val="21"/>
          <w:szCs w:val="21"/>
          <w:lang w:eastAsia="zh-CN"/>
        </w:rPr>
        <w:t>未</w:t>
      </w:r>
      <w:r>
        <w:rPr>
          <w:rFonts w:hint="eastAsia" w:asciiTheme="minorEastAsia" w:hAnsiTheme="minorEastAsia" w:eastAsiaTheme="minorEastAsia" w:cstheme="minorEastAsia"/>
          <w:color w:val="auto"/>
          <w:sz w:val="21"/>
          <w:szCs w:val="21"/>
        </w:rPr>
        <w:t>按照合同</w:t>
      </w:r>
      <w:r>
        <w:rPr>
          <w:rFonts w:hint="eastAsia" w:asciiTheme="minorEastAsia" w:hAnsiTheme="minorEastAsia" w:eastAsiaTheme="minorEastAsia" w:cstheme="minorEastAsia"/>
          <w:color w:val="auto"/>
          <w:sz w:val="21"/>
          <w:szCs w:val="21"/>
          <w:lang w:eastAsia="zh-CN"/>
        </w:rPr>
        <w:t>约</w:t>
      </w:r>
      <w:r>
        <w:rPr>
          <w:rFonts w:hint="eastAsia" w:asciiTheme="minorEastAsia" w:hAnsiTheme="minorEastAsia" w:eastAsiaTheme="minorEastAsia" w:cstheme="minorEastAsia"/>
          <w:color w:val="auto"/>
          <w:sz w:val="21"/>
          <w:szCs w:val="21"/>
        </w:rPr>
        <w:t>定的</w:t>
      </w:r>
      <w:r>
        <w:rPr>
          <w:rFonts w:hint="eastAsia" w:asciiTheme="minorEastAsia" w:hAnsiTheme="minorEastAsia" w:eastAsiaTheme="minorEastAsia" w:cstheme="minorEastAsia"/>
          <w:color w:val="auto"/>
          <w:sz w:val="21"/>
          <w:szCs w:val="21"/>
          <w:lang w:eastAsia="zh-CN"/>
        </w:rPr>
        <w:t>期限完成交货、安装、调试并交付正常使用</w:t>
      </w:r>
      <w:r>
        <w:rPr>
          <w:rFonts w:hint="eastAsia" w:asciiTheme="minorEastAsia" w:hAnsiTheme="minorEastAsia" w:eastAsiaTheme="minorEastAsia" w:cstheme="minorEastAsia"/>
          <w:color w:val="auto"/>
          <w:sz w:val="21"/>
          <w:szCs w:val="21"/>
        </w:rPr>
        <w:t>的，甲方可要求乙方支付违约金。每推迟一天按合同金额的3‰支付违约金，该违约金累计不超过合同金额的10%。</w:t>
      </w:r>
    </w:p>
    <w:p w14:paraId="2948612D">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2、乙方提供的服务如侵犯了第三方合法权益而引发的任何纠纷或者诉讼，均由乙方负责交涉并承担全部责任。</w:t>
      </w:r>
    </w:p>
    <w:p w14:paraId="3397D394">
      <w:pPr>
        <w:keepNext w:val="0"/>
        <w:keepLines w:val="0"/>
        <w:pageBreakBefore w:val="0"/>
        <w:widowControl/>
        <w:kinsoku/>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3、甲方延期付款的，每天向乙方偿付延期款额3‰滞纳金，但滞纳金累计不得超过延期款额5%。</w:t>
      </w:r>
    </w:p>
    <w:p w14:paraId="5C50F520">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4、</w:t>
      </w:r>
      <w:r>
        <w:rPr>
          <w:rFonts w:hint="eastAsia" w:asciiTheme="minorEastAsia" w:hAnsiTheme="minorEastAsia" w:eastAsiaTheme="minorEastAsia" w:cstheme="minorEastAsia"/>
          <w:color w:val="auto"/>
          <w:sz w:val="21"/>
          <w:szCs w:val="21"/>
          <w:lang w:eastAsia="zh-CN"/>
        </w:rPr>
        <w:t>乙方擅自转包或允许第三方以乙方名义履行本合同的，甲方有权立即解除合同，乙方应向甲方支付合同总金额百分之十的违约金，并赔偿由此造成的全部损失。已完工程经甲方确认合格的，甲方仅按合格部分对应合同价款并扣除违约金后支付。</w:t>
      </w:r>
    </w:p>
    <w:p w14:paraId="769D2FEE">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outlineLvl w:val="2"/>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第十条  不可抗力事件处理</w:t>
      </w:r>
    </w:p>
    <w:p w14:paraId="2345E19A">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1、在合同有效期内，任何一方因不可抗力事件导致不能履行合同，则合同履行期可延长，其延长期与不可抗力影响期相同。</w:t>
      </w:r>
    </w:p>
    <w:p w14:paraId="4A09D258">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2、不可抗力事件发生后，应立即通知对方，并寄送有关权威机构出具的证明。</w:t>
      </w:r>
    </w:p>
    <w:p w14:paraId="6A27AF7E">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3、不可抗力事件延续一百二十天以上，双方应通过友好协商，确定是否继续履行合同。</w:t>
      </w:r>
    </w:p>
    <w:p w14:paraId="5A644D9E">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outlineLvl w:val="2"/>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第十一条  合同争议解决</w:t>
      </w:r>
    </w:p>
    <w:p w14:paraId="187BACAD">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1、因服务质量问题发生争议的，应邀请国家认可的质量检测机构进行鉴定。服务符合标准的，鉴定费由甲方承担；服务不符合标准的，鉴定费由乙方承担。</w:t>
      </w:r>
    </w:p>
    <w:p w14:paraId="286A4DD7">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2、因履行本合同引起的或者与本合同有关的争议，甲乙双方应首先通过友好协商解决，如果协商不能解决，可向甲方所在地有管辖权人民法院提起诉讼。</w:t>
      </w:r>
    </w:p>
    <w:p w14:paraId="169C3568">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3、诉讼期间，本合同继续履行。</w:t>
      </w:r>
    </w:p>
    <w:p w14:paraId="29048530">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outlineLvl w:val="2"/>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第十二条  合同生效及其它</w:t>
      </w:r>
    </w:p>
    <w:p w14:paraId="1FEB9A4D">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1、合同经双方法定代表人</w:t>
      </w:r>
      <w:r>
        <w:rPr>
          <w:rFonts w:hint="eastAsia" w:asciiTheme="minorEastAsia" w:hAnsiTheme="minorEastAsia" w:eastAsiaTheme="minorEastAsia" w:cstheme="minorEastAsia"/>
          <w:color w:val="auto"/>
          <w:sz w:val="21"/>
          <w:szCs w:val="21"/>
          <w:lang w:eastAsia="zh-CN"/>
        </w:rPr>
        <w:t>（负责人）</w:t>
      </w:r>
      <w:r>
        <w:rPr>
          <w:rFonts w:hint="eastAsia" w:asciiTheme="minorEastAsia" w:hAnsiTheme="minorEastAsia" w:eastAsiaTheme="minorEastAsia" w:cstheme="minorEastAsia"/>
          <w:color w:val="auto"/>
          <w:sz w:val="21"/>
          <w:szCs w:val="21"/>
        </w:rPr>
        <w:t>或者授权代表签字并加盖单位公章后生效（委托代理人签字的需后附授权委托书，格式自拟）。</w:t>
      </w:r>
    </w:p>
    <w:p w14:paraId="17258B2D">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2、合同执行中涉及采购资金和采购内容修改或者补充的，须经财政部门审批，并签书面补充协议报财政部门备案，方可作为主合同不可分割的一部分。</w:t>
      </w:r>
    </w:p>
    <w:p w14:paraId="5856BF2E">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3、本合同未尽事宜，遵照《中华人民共和国民法典》有关条文执行。</w:t>
      </w:r>
    </w:p>
    <w:p w14:paraId="566F8A5A">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outlineLvl w:val="2"/>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第十三条　合同的变更、终止与转让</w:t>
      </w:r>
    </w:p>
    <w:p w14:paraId="046B4B78">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1、除《中华人民共和国政府采购法》第五十条规定的情形外，本合同一经签订，甲乙双方不得擅自变更、中止或者终止。</w:t>
      </w:r>
    </w:p>
    <w:p w14:paraId="1DC80083">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2、乙方不得擅自转让其应履行的合同义务。</w:t>
      </w:r>
    </w:p>
    <w:p w14:paraId="1A8C2F48">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outlineLvl w:val="2"/>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第十四条　签订本合同依据</w:t>
      </w:r>
    </w:p>
    <w:p w14:paraId="5176EFF2">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1、中标通知书；</w:t>
      </w:r>
    </w:p>
    <w:p w14:paraId="48B0C03B">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2、开标一览表；</w:t>
      </w:r>
    </w:p>
    <w:p w14:paraId="72D20520">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3、商务要求偏离表和技术要求偏离表；</w:t>
      </w:r>
    </w:p>
    <w:p w14:paraId="1598B7A6">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4、服务方案；</w:t>
      </w:r>
    </w:p>
    <w:p w14:paraId="41303E4B">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5、投标文件中的其他相关文件。</w:t>
      </w:r>
    </w:p>
    <w:p w14:paraId="221AD224">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6、上述合同文件互相补充和解释。如果合同文件之间存在矛盾或者不一致之处，以上述文件的排列顺序在先者为准。</w:t>
      </w:r>
    </w:p>
    <w:p w14:paraId="334DA53A">
      <w:pPr>
        <w:spacing w:line="360" w:lineRule="auto"/>
        <w:ind w:firstLine="420" w:firstLineChars="200"/>
        <w:rPr>
          <w:rFonts w:hint="eastAsia" w:ascii="宋体" w:hAnsi="宋体" w:cs="宋体"/>
          <w:color w:val="auto"/>
          <w:szCs w:val="21"/>
        </w:rPr>
      </w:pPr>
      <w:r>
        <w:rPr>
          <w:rFonts w:hint="eastAsia" w:ascii="宋体" w:hAnsi="宋体" w:cs="宋体"/>
          <w:b/>
          <w:color w:val="auto"/>
          <w:szCs w:val="21"/>
        </w:rPr>
        <w:t>第十五条　</w:t>
      </w:r>
      <w:r>
        <w:rPr>
          <w:rFonts w:hint="eastAsia" w:ascii="宋体" w:hAnsi="宋体" w:cs="宋体"/>
          <w:color w:val="auto"/>
          <w:szCs w:val="21"/>
        </w:rPr>
        <w:t>本合同一式四份，具有同等法律效力，财政部门（政府采购监管部门）、采购代理机构各一份，甲乙双方各一份（可根据需要另增加）。</w:t>
      </w:r>
    </w:p>
    <w:p w14:paraId="1CFA55C5">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本合同甲乙双方签字盖章后生效，自签订之日起七个工作日内，甲方应当将合同副本报同级财政部门备案。</w:t>
      </w:r>
    </w:p>
    <w:p w14:paraId="639076B5">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本合同自签订之日起2个工作日内，甲方应当将采购合同在广西壮族自治区财政厅指定的媒体上公告。</w:t>
      </w:r>
    </w:p>
    <w:tbl>
      <w:tblPr>
        <w:tblStyle w:val="17"/>
        <w:tblpPr w:leftFromText="180" w:rightFromText="180" w:vertAnchor="text" w:horzAnchor="margin" w:tblpY="2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2"/>
        <w:gridCol w:w="4583"/>
      </w:tblGrid>
      <w:tr w14:paraId="0493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0"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58E8F4AA">
            <w:pPr>
              <w:snapToGrid w:val="0"/>
              <w:spacing w:line="360" w:lineRule="auto"/>
              <w:rPr>
                <w:rFonts w:hint="eastAsia" w:ascii="宋体" w:hAnsi="宋体" w:cs="宋体"/>
                <w:color w:val="auto"/>
                <w:szCs w:val="21"/>
              </w:rPr>
            </w:pPr>
            <w:r>
              <w:rPr>
                <w:rFonts w:hint="eastAsia" w:ascii="宋体" w:hAnsi="宋体" w:cs="宋体"/>
                <w:color w:val="auto"/>
                <w:szCs w:val="21"/>
              </w:rPr>
              <w:t>甲方：（章）</w:t>
            </w:r>
          </w:p>
          <w:p w14:paraId="4C4E0F39">
            <w:pPr>
              <w:snapToGrid w:val="0"/>
              <w:spacing w:line="360" w:lineRule="auto"/>
              <w:rPr>
                <w:rFonts w:hint="eastAsia" w:ascii="宋体" w:hAnsi="宋体" w:cs="宋体"/>
                <w:color w:val="auto"/>
                <w:szCs w:val="21"/>
              </w:rPr>
            </w:pPr>
          </w:p>
          <w:p w14:paraId="0302D561">
            <w:pPr>
              <w:snapToGrid w:val="0"/>
              <w:spacing w:line="360" w:lineRule="auto"/>
              <w:rPr>
                <w:rFonts w:hint="eastAsia" w:ascii="宋体" w:hAnsi="宋体" w:cs="宋体"/>
                <w:color w:val="auto"/>
                <w:szCs w:val="21"/>
              </w:rPr>
            </w:pPr>
          </w:p>
          <w:p w14:paraId="3A72C440">
            <w:pPr>
              <w:snapToGrid w:val="0"/>
              <w:spacing w:line="360" w:lineRule="auto"/>
              <w:ind w:firstLine="945" w:firstLineChars="450"/>
              <w:jc w:val="right"/>
              <w:rPr>
                <w:rFonts w:hint="eastAsia" w:ascii="宋体" w:hAnsi="宋体" w:cs="宋体"/>
                <w:color w:val="auto"/>
                <w:szCs w:val="21"/>
              </w:rPr>
            </w:pPr>
          </w:p>
          <w:p w14:paraId="0E739866">
            <w:pPr>
              <w:snapToGrid w:val="0"/>
              <w:spacing w:line="360" w:lineRule="auto"/>
              <w:ind w:firstLine="945" w:firstLineChars="450"/>
              <w:jc w:val="right"/>
              <w:rPr>
                <w:rFonts w:ascii="宋体" w:hAnsi="宋体" w:cs="宋体"/>
                <w:color w:val="auto"/>
                <w:szCs w:val="21"/>
              </w:rPr>
            </w:pPr>
            <w:r>
              <w:rPr>
                <w:rFonts w:hint="eastAsia" w:ascii="宋体" w:hAnsi="宋体" w:cs="宋体"/>
                <w:color w:val="auto"/>
                <w:szCs w:val="21"/>
              </w:rPr>
              <w:t>年   月   日</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480FCDB5">
            <w:pPr>
              <w:snapToGrid w:val="0"/>
              <w:spacing w:line="360" w:lineRule="auto"/>
              <w:rPr>
                <w:rFonts w:hint="eastAsia" w:ascii="宋体" w:hAnsi="宋体" w:cs="宋体"/>
                <w:color w:val="auto"/>
                <w:szCs w:val="21"/>
              </w:rPr>
            </w:pPr>
            <w:r>
              <w:rPr>
                <w:rFonts w:hint="eastAsia" w:ascii="宋体" w:hAnsi="宋体" w:cs="宋体"/>
                <w:color w:val="auto"/>
                <w:szCs w:val="21"/>
              </w:rPr>
              <w:t xml:space="preserve">乙方：（章）       </w:t>
            </w:r>
          </w:p>
          <w:p w14:paraId="0F4B664C">
            <w:pPr>
              <w:snapToGrid w:val="0"/>
              <w:spacing w:line="360" w:lineRule="auto"/>
              <w:rPr>
                <w:rFonts w:hint="eastAsia" w:ascii="宋体" w:hAnsi="宋体" w:cs="宋体"/>
                <w:color w:val="auto"/>
                <w:szCs w:val="21"/>
              </w:rPr>
            </w:pPr>
          </w:p>
          <w:p w14:paraId="60712DDD">
            <w:pPr>
              <w:snapToGrid w:val="0"/>
              <w:spacing w:line="360" w:lineRule="auto"/>
              <w:rPr>
                <w:rFonts w:hint="eastAsia" w:ascii="宋体" w:hAnsi="宋体" w:cs="宋体"/>
                <w:color w:val="auto"/>
                <w:szCs w:val="21"/>
              </w:rPr>
            </w:pPr>
            <w:r>
              <w:rPr>
                <w:rFonts w:hint="eastAsia" w:ascii="宋体" w:hAnsi="宋体" w:cs="宋体"/>
                <w:color w:val="auto"/>
                <w:szCs w:val="21"/>
              </w:rPr>
              <w:t xml:space="preserve">       </w:t>
            </w:r>
          </w:p>
          <w:p w14:paraId="082C57C3">
            <w:pPr>
              <w:snapToGrid w:val="0"/>
              <w:spacing w:line="360" w:lineRule="auto"/>
              <w:jc w:val="right"/>
              <w:rPr>
                <w:rFonts w:hint="eastAsia" w:ascii="宋体" w:hAnsi="宋体" w:cs="宋体"/>
                <w:color w:val="auto"/>
                <w:szCs w:val="21"/>
              </w:rPr>
            </w:pPr>
          </w:p>
          <w:p w14:paraId="6BFF8C13">
            <w:pPr>
              <w:snapToGrid w:val="0"/>
              <w:spacing w:line="360" w:lineRule="auto"/>
              <w:jc w:val="right"/>
              <w:rPr>
                <w:rFonts w:ascii="宋体" w:hAnsi="宋体" w:cs="宋体"/>
                <w:color w:val="auto"/>
                <w:szCs w:val="21"/>
              </w:rPr>
            </w:pPr>
            <w:r>
              <w:rPr>
                <w:rFonts w:hint="eastAsia" w:ascii="宋体" w:hAnsi="宋体" w:cs="宋体"/>
                <w:color w:val="auto"/>
                <w:szCs w:val="21"/>
              </w:rPr>
              <w:t xml:space="preserve"> 年   月   日</w:t>
            </w:r>
          </w:p>
        </w:tc>
      </w:tr>
      <w:tr w14:paraId="779DF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4C5D1C46">
            <w:pPr>
              <w:snapToGrid w:val="0"/>
              <w:spacing w:line="360" w:lineRule="auto"/>
              <w:rPr>
                <w:rFonts w:ascii="宋体" w:hAnsi="宋体" w:cs="宋体"/>
                <w:color w:val="auto"/>
                <w:szCs w:val="21"/>
              </w:rPr>
            </w:pPr>
            <w:r>
              <w:rPr>
                <w:rFonts w:hint="eastAsia" w:ascii="宋体" w:hAnsi="宋体" w:cs="宋体"/>
                <w:color w:val="auto"/>
                <w:szCs w:val="21"/>
              </w:rPr>
              <w:t>单位地址：</w:t>
            </w:r>
            <w:r>
              <w:rPr>
                <w:rFonts w:ascii="宋体" w:hAnsi="宋体" w:cs="宋体"/>
                <w:color w:val="auto"/>
                <w:szCs w:val="21"/>
              </w:rPr>
              <w:t xml:space="preserve"> </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32C0418E">
            <w:pPr>
              <w:snapToGrid w:val="0"/>
              <w:spacing w:line="360" w:lineRule="auto"/>
              <w:rPr>
                <w:rFonts w:ascii="宋体" w:hAnsi="宋体" w:cs="宋体"/>
                <w:color w:val="auto"/>
                <w:szCs w:val="21"/>
              </w:rPr>
            </w:pPr>
            <w:r>
              <w:rPr>
                <w:rFonts w:hint="eastAsia" w:ascii="宋体" w:hAnsi="宋体" w:cs="宋体"/>
                <w:color w:val="auto"/>
                <w:szCs w:val="21"/>
              </w:rPr>
              <w:t xml:space="preserve">单位地址： </w:t>
            </w:r>
          </w:p>
        </w:tc>
      </w:tr>
      <w:tr w14:paraId="630D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590DA14F">
            <w:pPr>
              <w:snapToGrid w:val="0"/>
              <w:spacing w:line="360" w:lineRule="auto"/>
              <w:rPr>
                <w:rFonts w:ascii="宋体" w:hAnsi="宋体" w:cs="宋体"/>
                <w:color w:val="auto"/>
                <w:szCs w:val="21"/>
              </w:rPr>
            </w:pPr>
            <w:r>
              <w:rPr>
                <w:rFonts w:hint="eastAsia" w:ascii="宋体" w:hAnsi="宋体" w:cs="宋体"/>
                <w:color w:val="auto"/>
                <w:szCs w:val="21"/>
              </w:rPr>
              <w:t>法定代表人</w:t>
            </w:r>
            <w:r>
              <w:rPr>
                <w:rFonts w:hint="eastAsia" w:ascii="宋体" w:hAnsi="宋体" w:cs="宋体"/>
                <w:color w:val="auto"/>
                <w:szCs w:val="21"/>
                <w:lang w:eastAsia="zh-CN"/>
              </w:rPr>
              <w:t>（负责人）</w:t>
            </w:r>
            <w:r>
              <w:rPr>
                <w:rFonts w:hint="eastAsia" w:ascii="宋体" w:hAnsi="宋体" w:cs="宋体"/>
                <w:color w:val="auto"/>
                <w:szCs w:val="21"/>
              </w:rPr>
              <w:t>：</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3E61A5FF">
            <w:pPr>
              <w:snapToGrid w:val="0"/>
              <w:spacing w:line="360" w:lineRule="auto"/>
              <w:rPr>
                <w:rFonts w:ascii="宋体" w:hAnsi="宋体" w:cs="宋体"/>
                <w:color w:val="auto"/>
                <w:szCs w:val="21"/>
              </w:rPr>
            </w:pPr>
            <w:r>
              <w:rPr>
                <w:rFonts w:hint="eastAsia" w:ascii="宋体" w:hAnsi="宋体" w:cs="宋体"/>
                <w:color w:val="auto"/>
                <w:szCs w:val="21"/>
              </w:rPr>
              <w:t>法定代表人</w:t>
            </w:r>
            <w:r>
              <w:rPr>
                <w:rFonts w:hint="eastAsia" w:ascii="宋体" w:hAnsi="宋体" w:cs="宋体"/>
                <w:color w:val="auto"/>
                <w:szCs w:val="21"/>
                <w:lang w:eastAsia="zh-CN"/>
              </w:rPr>
              <w:t>（负责人）</w:t>
            </w:r>
            <w:r>
              <w:rPr>
                <w:rFonts w:hint="eastAsia" w:ascii="宋体" w:hAnsi="宋体" w:cs="宋体"/>
                <w:color w:val="auto"/>
                <w:szCs w:val="21"/>
              </w:rPr>
              <w:t>：</w:t>
            </w:r>
          </w:p>
        </w:tc>
      </w:tr>
      <w:tr w14:paraId="3D54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3C05623C">
            <w:pPr>
              <w:snapToGrid w:val="0"/>
              <w:spacing w:line="360" w:lineRule="auto"/>
              <w:rPr>
                <w:rFonts w:ascii="宋体" w:hAnsi="宋体" w:cs="宋体"/>
                <w:color w:val="auto"/>
                <w:szCs w:val="21"/>
              </w:rPr>
            </w:pPr>
            <w:r>
              <w:rPr>
                <w:rFonts w:hint="eastAsia" w:ascii="宋体" w:hAnsi="宋体" w:cs="宋体"/>
                <w:color w:val="auto"/>
                <w:szCs w:val="21"/>
              </w:rPr>
              <w:t>委托代理人：</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12E183EC">
            <w:pPr>
              <w:snapToGrid w:val="0"/>
              <w:spacing w:line="360" w:lineRule="auto"/>
              <w:rPr>
                <w:rFonts w:ascii="宋体" w:hAnsi="宋体" w:cs="宋体"/>
                <w:color w:val="auto"/>
                <w:szCs w:val="21"/>
              </w:rPr>
            </w:pPr>
            <w:r>
              <w:rPr>
                <w:rFonts w:hint="eastAsia" w:ascii="宋体" w:hAnsi="宋体" w:cs="宋体"/>
                <w:color w:val="auto"/>
                <w:szCs w:val="21"/>
              </w:rPr>
              <w:t>委托代理人：</w:t>
            </w:r>
          </w:p>
        </w:tc>
      </w:tr>
      <w:tr w14:paraId="14397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543F7153">
            <w:pPr>
              <w:snapToGrid w:val="0"/>
              <w:spacing w:line="360" w:lineRule="auto"/>
              <w:rPr>
                <w:rFonts w:ascii="宋体" w:hAnsi="宋体" w:cs="宋体"/>
                <w:color w:val="auto"/>
                <w:szCs w:val="21"/>
              </w:rPr>
            </w:pPr>
            <w:r>
              <w:rPr>
                <w:rFonts w:hint="eastAsia" w:ascii="宋体" w:hAnsi="宋体" w:cs="宋体"/>
                <w:color w:val="auto"/>
                <w:szCs w:val="21"/>
              </w:rPr>
              <w:t>电话：</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3E8C533F">
            <w:pPr>
              <w:snapToGrid w:val="0"/>
              <w:spacing w:line="360" w:lineRule="auto"/>
              <w:rPr>
                <w:rFonts w:ascii="宋体" w:hAnsi="宋体" w:cs="宋体"/>
                <w:color w:val="auto"/>
                <w:szCs w:val="21"/>
              </w:rPr>
            </w:pPr>
            <w:r>
              <w:rPr>
                <w:rFonts w:hint="eastAsia" w:ascii="宋体" w:hAnsi="宋体" w:cs="宋体"/>
                <w:color w:val="auto"/>
                <w:szCs w:val="21"/>
              </w:rPr>
              <w:t>电话：</w:t>
            </w:r>
          </w:p>
        </w:tc>
      </w:tr>
      <w:tr w14:paraId="3C57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7DCD8426">
            <w:pPr>
              <w:snapToGrid w:val="0"/>
              <w:spacing w:line="360" w:lineRule="auto"/>
              <w:rPr>
                <w:rFonts w:ascii="宋体" w:hAnsi="宋体" w:cs="宋体"/>
                <w:color w:val="auto"/>
                <w:szCs w:val="21"/>
              </w:rPr>
            </w:pPr>
            <w:r>
              <w:rPr>
                <w:rFonts w:hint="eastAsia" w:ascii="宋体" w:hAnsi="宋体" w:cs="宋体"/>
                <w:color w:val="auto"/>
                <w:szCs w:val="21"/>
              </w:rPr>
              <w:t xml:space="preserve">开户银行： </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14B5A9D4">
            <w:pPr>
              <w:snapToGrid w:val="0"/>
              <w:spacing w:line="360" w:lineRule="auto"/>
              <w:rPr>
                <w:rFonts w:ascii="宋体" w:hAnsi="宋体" w:cs="宋体"/>
                <w:color w:val="auto"/>
                <w:szCs w:val="21"/>
              </w:rPr>
            </w:pPr>
            <w:r>
              <w:rPr>
                <w:rFonts w:hint="eastAsia" w:ascii="宋体" w:hAnsi="宋体" w:cs="宋体"/>
                <w:color w:val="auto"/>
                <w:szCs w:val="21"/>
              </w:rPr>
              <w:t xml:space="preserve">开户银行： </w:t>
            </w:r>
          </w:p>
        </w:tc>
      </w:tr>
      <w:tr w14:paraId="126B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3927D2BF">
            <w:pPr>
              <w:snapToGrid w:val="0"/>
              <w:spacing w:line="360" w:lineRule="auto"/>
              <w:rPr>
                <w:rFonts w:ascii="宋体" w:hAnsi="宋体" w:cs="宋体"/>
                <w:color w:val="auto"/>
                <w:szCs w:val="21"/>
              </w:rPr>
            </w:pPr>
            <w:r>
              <w:rPr>
                <w:rFonts w:hint="eastAsia" w:ascii="宋体" w:hAnsi="宋体" w:cs="宋体"/>
                <w:color w:val="auto"/>
                <w:szCs w:val="21"/>
              </w:rPr>
              <w:t>账号：</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41D2C322">
            <w:pPr>
              <w:snapToGrid w:val="0"/>
              <w:spacing w:line="360" w:lineRule="auto"/>
              <w:rPr>
                <w:rFonts w:ascii="宋体" w:hAnsi="宋体" w:cs="宋体"/>
                <w:color w:val="auto"/>
                <w:szCs w:val="21"/>
              </w:rPr>
            </w:pPr>
            <w:r>
              <w:rPr>
                <w:rFonts w:hint="eastAsia" w:ascii="宋体" w:hAnsi="宋体" w:cs="宋体"/>
                <w:color w:val="auto"/>
                <w:szCs w:val="21"/>
              </w:rPr>
              <w:t>账号：</w:t>
            </w:r>
          </w:p>
        </w:tc>
      </w:tr>
      <w:tr w14:paraId="7ECF4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2F94C26D">
            <w:pPr>
              <w:snapToGrid w:val="0"/>
              <w:spacing w:line="360" w:lineRule="auto"/>
              <w:rPr>
                <w:rFonts w:ascii="宋体" w:hAnsi="宋体" w:cs="宋体"/>
                <w:color w:val="auto"/>
                <w:szCs w:val="21"/>
              </w:rPr>
            </w:pPr>
            <w:r>
              <w:rPr>
                <w:rFonts w:hint="eastAsia" w:ascii="宋体" w:hAnsi="宋体" w:cs="宋体"/>
                <w:color w:val="auto"/>
                <w:szCs w:val="21"/>
              </w:rPr>
              <w:t>邮政编码：</w:t>
            </w:r>
          </w:p>
        </w:tc>
        <w:tc>
          <w:tcPr>
            <w:tcW w:w="4583" w:type="dxa"/>
            <w:tcBorders>
              <w:top w:val="single" w:color="auto" w:sz="4" w:space="0"/>
              <w:left w:val="single" w:color="auto" w:sz="4" w:space="0"/>
              <w:bottom w:val="single" w:color="auto" w:sz="4" w:space="0"/>
              <w:right w:val="single" w:color="auto" w:sz="4" w:space="0"/>
            </w:tcBorders>
            <w:noWrap w:val="0"/>
            <w:vAlign w:val="center"/>
          </w:tcPr>
          <w:p w14:paraId="52D1B770">
            <w:pPr>
              <w:snapToGrid w:val="0"/>
              <w:spacing w:line="360" w:lineRule="auto"/>
              <w:rPr>
                <w:rFonts w:ascii="宋体" w:hAnsi="宋体" w:cs="宋体"/>
                <w:color w:val="auto"/>
                <w:szCs w:val="21"/>
              </w:rPr>
            </w:pPr>
            <w:r>
              <w:rPr>
                <w:rFonts w:hint="eastAsia" w:ascii="宋体" w:hAnsi="宋体" w:cs="宋体"/>
                <w:color w:val="auto"/>
                <w:szCs w:val="21"/>
              </w:rPr>
              <w:t>邮政编码：</w:t>
            </w:r>
          </w:p>
        </w:tc>
      </w:tr>
    </w:tbl>
    <w:p w14:paraId="0012A41F">
      <w:pPr>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br w:type="page"/>
      </w:r>
    </w:p>
    <w:p w14:paraId="6685624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t>合 同 附 件</w:t>
      </w:r>
    </w:p>
    <w:tbl>
      <w:tblPr>
        <w:tblStyle w:val="17"/>
        <w:tblW w:w="0" w:type="auto"/>
        <w:jc w:val="center"/>
        <w:tblLayout w:type="fixed"/>
        <w:tblCellMar>
          <w:top w:w="0" w:type="dxa"/>
          <w:left w:w="108" w:type="dxa"/>
          <w:bottom w:w="0" w:type="dxa"/>
          <w:right w:w="108" w:type="dxa"/>
        </w:tblCellMar>
      </w:tblPr>
      <w:tblGrid>
        <w:gridCol w:w="4248"/>
        <w:gridCol w:w="4274"/>
      </w:tblGrid>
      <w:tr w14:paraId="0A9E7CFC">
        <w:tblPrEx>
          <w:tblCellMar>
            <w:top w:w="0" w:type="dxa"/>
            <w:left w:w="108" w:type="dxa"/>
            <w:bottom w:w="0" w:type="dxa"/>
            <w:right w:w="108" w:type="dxa"/>
          </w:tblCellMar>
        </w:tblPrEx>
        <w:trPr>
          <w:trHeight w:val="1226" w:hRule="atLeast"/>
          <w:jc w:val="center"/>
        </w:trPr>
        <w:tc>
          <w:tcPr>
            <w:tcW w:w="8522" w:type="dxa"/>
            <w:gridSpan w:val="2"/>
            <w:tcBorders>
              <w:top w:val="single" w:color="auto" w:sz="4" w:space="0"/>
              <w:left w:val="single" w:color="auto" w:sz="4" w:space="0"/>
              <w:right w:val="single" w:color="auto" w:sz="4" w:space="0"/>
            </w:tcBorders>
          </w:tcPr>
          <w:p w14:paraId="06A959A5">
            <w:pPr>
              <w:numPr>
                <w:ilvl w:val="0"/>
                <w:numId w:val="6"/>
              </w:numPr>
              <w:snapToGrid w:val="0"/>
              <w:spacing w:line="36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供应商承诺具体事项：</w:t>
            </w:r>
          </w:p>
        </w:tc>
      </w:tr>
      <w:tr w14:paraId="03421C80">
        <w:tblPrEx>
          <w:tblCellMar>
            <w:top w:w="0" w:type="dxa"/>
            <w:left w:w="108" w:type="dxa"/>
            <w:bottom w:w="0" w:type="dxa"/>
            <w:right w:w="108" w:type="dxa"/>
          </w:tblCellMar>
        </w:tblPrEx>
        <w:trPr>
          <w:trHeight w:val="1228" w:hRule="atLeast"/>
          <w:jc w:val="center"/>
        </w:trPr>
        <w:tc>
          <w:tcPr>
            <w:tcW w:w="8522" w:type="dxa"/>
            <w:gridSpan w:val="2"/>
            <w:tcBorders>
              <w:top w:val="single" w:color="auto" w:sz="4" w:space="0"/>
              <w:left w:val="single" w:color="auto" w:sz="4" w:space="0"/>
              <w:right w:val="single" w:color="auto" w:sz="4" w:space="0"/>
            </w:tcBorders>
          </w:tcPr>
          <w:p w14:paraId="505E51B3">
            <w:pPr>
              <w:snapToGrid w:val="0"/>
              <w:spacing w:line="36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2. 服务期责任：</w:t>
            </w:r>
          </w:p>
        </w:tc>
      </w:tr>
      <w:tr w14:paraId="22193C2B">
        <w:tblPrEx>
          <w:tblCellMar>
            <w:top w:w="0" w:type="dxa"/>
            <w:left w:w="108" w:type="dxa"/>
            <w:bottom w:w="0" w:type="dxa"/>
            <w:right w:w="108" w:type="dxa"/>
          </w:tblCellMar>
        </w:tblPrEx>
        <w:trPr>
          <w:trHeight w:val="1088" w:hRule="atLeast"/>
          <w:jc w:val="center"/>
        </w:trPr>
        <w:tc>
          <w:tcPr>
            <w:tcW w:w="8522" w:type="dxa"/>
            <w:gridSpan w:val="2"/>
            <w:tcBorders>
              <w:top w:val="single" w:color="auto" w:sz="4" w:space="0"/>
              <w:left w:val="single" w:color="auto" w:sz="4" w:space="0"/>
              <w:right w:val="single" w:color="auto" w:sz="4" w:space="0"/>
            </w:tcBorders>
          </w:tcPr>
          <w:p w14:paraId="3F8DF3E1">
            <w:pPr>
              <w:snapToGrid w:val="0"/>
              <w:spacing w:line="36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3.其他具体事项：</w:t>
            </w:r>
          </w:p>
        </w:tc>
      </w:tr>
      <w:tr w14:paraId="186202D3">
        <w:tblPrEx>
          <w:tblCellMar>
            <w:top w:w="0" w:type="dxa"/>
            <w:left w:w="108" w:type="dxa"/>
            <w:bottom w:w="0" w:type="dxa"/>
            <w:right w:w="108" w:type="dxa"/>
          </w:tblCellMar>
        </w:tblPrEx>
        <w:trPr>
          <w:trHeight w:val="1703" w:hRule="atLeast"/>
          <w:jc w:val="center"/>
        </w:trPr>
        <w:tc>
          <w:tcPr>
            <w:tcW w:w="4248" w:type="dxa"/>
            <w:tcBorders>
              <w:top w:val="single" w:color="auto" w:sz="4" w:space="0"/>
              <w:left w:val="single" w:color="auto" w:sz="4" w:space="0"/>
              <w:bottom w:val="single" w:color="auto" w:sz="4" w:space="0"/>
              <w:right w:val="single" w:color="auto" w:sz="4" w:space="0"/>
            </w:tcBorders>
            <w:vAlign w:val="center"/>
          </w:tcPr>
          <w:p w14:paraId="5AC69B88">
            <w:pPr>
              <w:snapToGrid w:val="0"/>
              <w:spacing w:line="36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甲方（章）</w:t>
            </w:r>
          </w:p>
          <w:p w14:paraId="45F1FB11">
            <w:pPr>
              <w:snapToGrid w:val="0"/>
              <w:spacing w:line="360" w:lineRule="auto"/>
              <w:rPr>
                <w:rFonts w:hint="eastAsia" w:ascii="宋体" w:hAnsi="宋体" w:eastAsia="宋体" w:cs="宋体"/>
                <w:bCs/>
                <w:color w:val="auto"/>
                <w:sz w:val="21"/>
                <w:szCs w:val="21"/>
              </w:rPr>
            </w:pPr>
          </w:p>
          <w:p w14:paraId="5BDEFBC0">
            <w:pPr>
              <w:snapToGrid w:val="0"/>
              <w:spacing w:line="360" w:lineRule="auto"/>
              <w:rPr>
                <w:rFonts w:hint="eastAsia" w:ascii="宋体" w:hAnsi="宋体" w:eastAsia="宋体" w:cs="宋体"/>
                <w:bCs/>
                <w:color w:val="auto"/>
                <w:sz w:val="21"/>
                <w:szCs w:val="21"/>
              </w:rPr>
            </w:pPr>
          </w:p>
          <w:p w14:paraId="6E34173F">
            <w:pPr>
              <w:snapToGrid w:val="0"/>
              <w:spacing w:line="36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 xml:space="preserve">             年  月   日 </w:t>
            </w:r>
          </w:p>
        </w:tc>
        <w:tc>
          <w:tcPr>
            <w:tcW w:w="4274" w:type="dxa"/>
            <w:tcBorders>
              <w:top w:val="single" w:color="auto" w:sz="4" w:space="0"/>
              <w:left w:val="single" w:color="auto" w:sz="4" w:space="0"/>
              <w:bottom w:val="single" w:color="auto" w:sz="4" w:space="0"/>
              <w:right w:val="single" w:color="auto" w:sz="4" w:space="0"/>
            </w:tcBorders>
            <w:vAlign w:val="center"/>
          </w:tcPr>
          <w:p w14:paraId="36BD02C1">
            <w:pPr>
              <w:snapToGrid w:val="0"/>
              <w:spacing w:line="36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乙方（章）</w:t>
            </w:r>
          </w:p>
          <w:p w14:paraId="19C530D5">
            <w:pPr>
              <w:snapToGrid w:val="0"/>
              <w:spacing w:line="360" w:lineRule="auto"/>
              <w:rPr>
                <w:rFonts w:hint="eastAsia" w:ascii="宋体" w:hAnsi="宋体" w:eastAsia="宋体" w:cs="宋体"/>
                <w:bCs/>
                <w:color w:val="auto"/>
                <w:sz w:val="21"/>
                <w:szCs w:val="21"/>
              </w:rPr>
            </w:pPr>
          </w:p>
          <w:p w14:paraId="1F74EC67">
            <w:pPr>
              <w:snapToGrid w:val="0"/>
              <w:spacing w:line="360" w:lineRule="auto"/>
              <w:rPr>
                <w:rFonts w:hint="eastAsia" w:ascii="宋体" w:hAnsi="宋体" w:eastAsia="宋体" w:cs="宋体"/>
                <w:bCs/>
                <w:color w:val="auto"/>
                <w:sz w:val="21"/>
                <w:szCs w:val="21"/>
              </w:rPr>
            </w:pPr>
          </w:p>
          <w:p w14:paraId="065C943E">
            <w:pPr>
              <w:snapToGrid w:val="0"/>
              <w:spacing w:line="36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 xml:space="preserve">       年   月   日</w:t>
            </w:r>
          </w:p>
        </w:tc>
      </w:tr>
    </w:tbl>
    <w:p w14:paraId="19356E93">
      <w:pPr>
        <w:snapToGrid w:val="0"/>
        <w:spacing w:line="360" w:lineRule="auto"/>
        <w:jc w:val="left"/>
        <w:rPr>
          <w:rFonts w:hint="default" w:ascii="Times New Roman" w:hAnsi="Times New Roman" w:cs="Times New Roman"/>
          <w:color w:val="auto"/>
          <w:szCs w:val="21"/>
        </w:rPr>
      </w:pPr>
      <w:r>
        <w:rPr>
          <w:rFonts w:hint="default" w:ascii="Times New Roman" w:hAnsi="Times New Roman" w:cs="Times New Roman"/>
          <w:color w:val="auto"/>
          <w:szCs w:val="21"/>
        </w:rPr>
        <w:t xml:space="preserve">   注：填不下时可另加附页</w:t>
      </w:r>
    </w:p>
    <w:p w14:paraId="28B93189">
      <w:pPr>
        <w:rPr>
          <w:rFonts w:hint="default" w:ascii="Times New Roman" w:hAnsi="Times New Roman" w:cs="Times New Roman"/>
          <w:color w:val="auto"/>
          <w:szCs w:val="21"/>
        </w:rPr>
      </w:pPr>
      <w:r>
        <w:rPr>
          <w:rFonts w:hint="default" w:ascii="Times New Roman" w:hAnsi="Times New Roman" w:cs="Times New Roman"/>
          <w:color w:val="auto"/>
          <w:szCs w:val="21"/>
        </w:rPr>
        <w:br w:type="page"/>
      </w:r>
    </w:p>
    <w:p w14:paraId="21959791">
      <w:pPr>
        <w:spacing w:before="140" w:line="223" w:lineRule="auto"/>
        <w:ind w:left="1976"/>
        <w:outlineLvl w:val="0"/>
        <w:rPr>
          <w:rFonts w:ascii="宋体" w:hAnsi="宋体" w:eastAsia="宋体" w:cs="宋体"/>
          <w:color w:val="auto"/>
          <w:sz w:val="43"/>
          <w:szCs w:val="43"/>
        </w:rPr>
      </w:pPr>
      <w:r>
        <w:rPr>
          <w:rFonts w:ascii="宋体" w:hAnsi="宋体" w:eastAsia="宋体" w:cs="宋体"/>
          <w:b/>
          <w:bCs/>
          <w:color w:val="auto"/>
          <w:spacing w:val="5"/>
          <w:sz w:val="43"/>
          <w:szCs w:val="43"/>
        </w:rPr>
        <w:t>第六章</w:t>
      </w:r>
      <w:r>
        <w:rPr>
          <w:rFonts w:ascii="宋体" w:hAnsi="宋体" w:eastAsia="宋体" w:cs="宋体"/>
          <w:color w:val="auto"/>
          <w:spacing w:val="5"/>
          <w:sz w:val="43"/>
          <w:szCs w:val="43"/>
        </w:rPr>
        <w:t xml:space="preserve">  </w:t>
      </w:r>
      <w:r>
        <w:rPr>
          <w:rFonts w:ascii="宋体" w:hAnsi="宋体" w:eastAsia="宋体" w:cs="宋体"/>
          <w:b/>
          <w:bCs/>
          <w:color w:val="auto"/>
          <w:spacing w:val="5"/>
          <w:sz w:val="43"/>
          <w:szCs w:val="43"/>
        </w:rPr>
        <w:t>投标文件格式</w:t>
      </w:r>
    </w:p>
    <w:p w14:paraId="1AF386D4">
      <w:pPr>
        <w:spacing w:line="223" w:lineRule="auto"/>
        <w:rPr>
          <w:rFonts w:ascii="宋体" w:hAnsi="宋体" w:eastAsia="宋体" w:cs="宋体"/>
          <w:color w:val="auto"/>
          <w:sz w:val="43"/>
          <w:szCs w:val="43"/>
        </w:rPr>
        <w:sectPr>
          <w:footerReference r:id="rId16" w:type="default"/>
          <w:pgSz w:w="11905" w:h="16838"/>
          <w:pgMar w:top="1417" w:right="1417" w:bottom="1417" w:left="1417" w:header="0" w:footer="1196" w:gutter="0"/>
          <w:pgNumType w:fmt="decimal"/>
          <w:cols w:space="0" w:num="1"/>
          <w:rtlGutter w:val="0"/>
          <w:docGrid w:linePitch="0" w:charSpace="0"/>
        </w:sectPr>
      </w:pPr>
    </w:p>
    <w:p w14:paraId="44326970">
      <w:pPr>
        <w:spacing w:before="91" w:line="219" w:lineRule="auto"/>
        <w:outlineLvl w:val="1"/>
        <w:rPr>
          <w:rFonts w:ascii="宋体" w:hAnsi="宋体" w:eastAsia="宋体" w:cs="宋体"/>
          <w:color w:val="auto"/>
          <w:sz w:val="28"/>
          <w:szCs w:val="28"/>
        </w:rPr>
      </w:pPr>
      <w:r>
        <w:rPr>
          <w:rFonts w:ascii="宋体" w:hAnsi="宋体" w:eastAsia="宋体" w:cs="宋体"/>
          <w:b/>
          <w:bCs/>
          <w:color w:val="auto"/>
          <w:spacing w:val="-6"/>
          <w:sz w:val="28"/>
          <w:szCs w:val="28"/>
        </w:rPr>
        <w:t>一、报价文件格式</w:t>
      </w:r>
    </w:p>
    <w:p w14:paraId="3D99853E">
      <w:pPr>
        <w:spacing w:before="147" w:line="218" w:lineRule="auto"/>
        <w:ind w:left="153"/>
        <w:outlineLvl w:val="2"/>
        <w:rPr>
          <w:rFonts w:ascii="宋体" w:hAnsi="宋体" w:eastAsia="宋体" w:cs="宋体"/>
          <w:color w:val="auto"/>
          <w:sz w:val="24"/>
          <w:szCs w:val="24"/>
        </w:rPr>
      </w:pPr>
      <w:r>
        <w:rPr>
          <w:rFonts w:ascii="宋体" w:hAnsi="宋体" w:eastAsia="宋体" w:cs="宋体"/>
          <w:b/>
          <w:bCs/>
          <w:color w:val="auto"/>
          <w:spacing w:val="-7"/>
          <w:sz w:val="24"/>
          <w:szCs w:val="24"/>
        </w:rPr>
        <w:t>1.</w:t>
      </w:r>
      <w:r>
        <w:rPr>
          <w:rFonts w:ascii="宋体" w:hAnsi="宋体" w:eastAsia="宋体" w:cs="宋体"/>
          <w:color w:val="auto"/>
          <w:spacing w:val="-7"/>
          <w:sz w:val="24"/>
          <w:szCs w:val="24"/>
        </w:rPr>
        <w:t xml:space="preserve"> </w:t>
      </w:r>
      <w:r>
        <w:rPr>
          <w:rFonts w:ascii="宋体" w:hAnsi="宋体" w:eastAsia="宋体" w:cs="宋体"/>
          <w:b/>
          <w:bCs/>
          <w:color w:val="auto"/>
          <w:spacing w:val="-7"/>
          <w:sz w:val="24"/>
          <w:szCs w:val="24"/>
        </w:rPr>
        <w:t>报价文件封面格式：</w:t>
      </w:r>
    </w:p>
    <w:p w14:paraId="21CAF58B">
      <w:pPr>
        <w:spacing w:line="272" w:lineRule="auto"/>
        <w:rPr>
          <w:rFonts w:ascii="Arial"/>
          <w:color w:val="auto"/>
          <w:sz w:val="21"/>
        </w:rPr>
      </w:pPr>
    </w:p>
    <w:p w14:paraId="3328FD93">
      <w:pPr>
        <w:spacing w:before="206" w:line="195" w:lineRule="auto"/>
        <w:ind w:left="2897"/>
        <w:outlineLvl w:val="3"/>
        <w:rPr>
          <w:rFonts w:ascii="微软雅黑" w:hAnsi="微软雅黑" w:eastAsia="微软雅黑" w:cs="微软雅黑"/>
          <w:color w:val="auto"/>
          <w:sz w:val="48"/>
          <w:szCs w:val="48"/>
        </w:rPr>
      </w:pPr>
      <w:r>
        <w:rPr>
          <w:rFonts w:ascii="微软雅黑" w:hAnsi="微软雅黑" w:eastAsia="微软雅黑" w:cs="微软雅黑"/>
          <w:color w:val="auto"/>
          <w:spacing w:val="-5"/>
          <w:sz w:val="48"/>
          <w:szCs w:val="48"/>
        </w:rPr>
        <w:t>电子投标文件</w:t>
      </w:r>
    </w:p>
    <w:p w14:paraId="4B3FDB94">
      <w:pPr>
        <w:spacing w:line="241" w:lineRule="auto"/>
        <w:rPr>
          <w:rFonts w:ascii="Arial"/>
          <w:color w:val="auto"/>
          <w:sz w:val="21"/>
        </w:rPr>
      </w:pPr>
    </w:p>
    <w:p w14:paraId="650F7076">
      <w:pPr>
        <w:spacing w:line="241" w:lineRule="auto"/>
        <w:rPr>
          <w:rFonts w:ascii="Arial"/>
          <w:color w:val="auto"/>
          <w:sz w:val="21"/>
        </w:rPr>
      </w:pPr>
    </w:p>
    <w:p w14:paraId="1099AE08">
      <w:pPr>
        <w:spacing w:line="241" w:lineRule="auto"/>
        <w:rPr>
          <w:rFonts w:ascii="Arial"/>
          <w:color w:val="auto"/>
          <w:sz w:val="21"/>
        </w:rPr>
      </w:pPr>
    </w:p>
    <w:p w14:paraId="5A981D0C">
      <w:pPr>
        <w:spacing w:line="241" w:lineRule="auto"/>
        <w:rPr>
          <w:rFonts w:ascii="Arial"/>
          <w:color w:val="auto"/>
          <w:sz w:val="21"/>
        </w:rPr>
      </w:pPr>
    </w:p>
    <w:p w14:paraId="7ED0EC13">
      <w:pPr>
        <w:spacing w:line="242" w:lineRule="auto"/>
        <w:rPr>
          <w:rFonts w:ascii="Arial"/>
          <w:color w:val="auto"/>
          <w:sz w:val="21"/>
        </w:rPr>
      </w:pPr>
    </w:p>
    <w:p w14:paraId="04F6E544">
      <w:pPr>
        <w:spacing w:line="242" w:lineRule="auto"/>
        <w:rPr>
          <w:rFonts w:ascii="Arial"/>
          <w:color w:val="auto"/>
          <w:sz w:val="21"/>
        </w:rPr>
      </w:pPr>
    </w:p>
    <w:p w14:paraId="2543E7BF">
      <w:pPr>
        <w:spacing w:before="101" w:line="224" w:lineRule="auto"/>
        <w:ind w:left="3604"/>
        <w:rPr>
          <w:rFonts w:ascii="宋体" w:hAnsi="宋体" w:eastAsia="宋体" w:cs="宋体"/>
          <w:color w:val="auto"/>
          <w:sz w:val="31"/>
          <w:szCs w:val="31"/>
        </w:rPr>
      </w:pPr>
      <w:r>
        <w:rPr>
          <w:rFonts w:ascii="宋体" w:hAnsi="宋体" w:eastAsia="宋体" w:cs="宋体"/>
          <w:b/>
          <w:bCs/>
          <w:color w:val="auto"/>
          <w:spacing w:val="5"/>
          <w:sz w:val="31"/>
          <w:szCs w:val="31"/>
        </w:rPr>
        <w:t>报价文件</w:t>
      </w:r>
    </w:p>
    <w:p w14:paraId="145B6778">
      <w:pPr>
        <w:spacing w:line="244" w:lineRule="auto"/>
        <w:rPr>
          <w:rFonts w:ascii="Arial"/>
          <w:color w:val="auto"/>
          <w:sz w:val="21"/>
        </w:rPr>
      </w:pPr>
    </w:p>
    <w:p w14:paraId="4F5D6916">
      <w:pPr>
        <w:spacing w:line="244" w:lineRule="auto"/>
        <w:rPr>
          <w:rFonts w:ascii="Arial"/>
          <w:color w:val="auto"/>
          <w:sz w:val="21"/>
        </w:rPr>
      </w:pPr>
    </w:p>
    <w:p w14:paraId="3E0314B5">
      <w:pPr>
        <w:spacing w:line="244" w:lineRule="auto"/>
        <w:rPr>
          <w:rFonts w:ascii="Arial"/>
          <w:color w:val="auto"/>
          <w:sz w:val="21"/>
        </w:rPr>
      </w:pPr>
    </w:p>
    <w:p w14:paraId="0EFEA0E8">
      <w:pPr>
        <w:spacing w:line="245" w:lineRule="auto"/>
        <w:rPr>
          <w:rFonts w:ascii="Arial"/>
          <w:color w:val="auto"/>
          <w:sz w:val="21"/>
        </w:rPr>
      </w:pPr>
    </w:p>
    <w:p w14:paraId="5D055D90">
      <w:pPr>
        <w:spacing w:line="245" w:lineRule="auto"/>
        <w:rPr>
          <w:rFonts w:ascii="Arial"/>
          <w:color w:val="auto"/>
          <w:sz w:val="21"/>
        </w:rPr>
      </w:pPr>
    </w:p>
    <w:p w14:paraId="46B1E791">
      <w:pPr>
        <w:spacing w:line="245" w:lineRule="auto"/>
        <w:rPr>
          <w:rFonts w:ascii="Arial"/>
          <w:color w:val="auto"/>
          <w:sz w:val="21"/>
        </w:rPr>
      </w:pPr>
    </w:p>
    <w:p w14:paraId="35793A23">
      <w:pPr>
        <w:spacing w:line="245" w:lineRule="auto"/>
        <w:rPr>
          <w:rFonts w:ascii="Arial"/>
          <w:color w:val="auto"/>
          <w:sz w:val="21"/>
        </w:rPr>
      </w:pPr>
    </w:p>
    <w:p w14:paraId="4DF9497A">
      <w:pPr>
        <w:spacing w:line="245" w:lineRule="auto"/>
        <w:rPr>
          <w:rFonts w:ascii="Arial"/>
          <w:color w:val="auto"/>
          <w:sz w:val="21"/>
        </w:rPr>
      </w:pPr>
    </w:p>
    <w:p w14:paraId="6CF698D2">
      <w:pPr>
        <w:spacing w:line="245" w:lineRule="auto"/>
        <w:rPr>
          <w:rFonts w:ascii="Arial"/>
          <w:color w:val="auto"/>
          <w:sz w:val="21"/>
        </w:rPr>
      </w:pPr>
    </w:p>
    <w:p w14:paraId="516AE6DB">
      <w:pPr>
        <w:spacing w:before="79" w:line="220" w:lineRule="auto"/>
        <w:ind w:left="357"/>
        <w:rPr>
          <w:rFonts w:ascii="宋体" w:hAnsi="宋体" w:eastAsia="宋体" w:cs="宋体"/>
          <w:color w:val="auto"/>
          <w:sz w:val="24"/>
          <w:szCs w:val="24"/>
        </w:rPr>
      </w:pPr>
      <w:r>
        <w:rPr>
          <w:rFonts w:ascii="宋体" w:hAnsi="宋体" w:eastAsia="宋体" w:cs="宋体"/>
          <w:color w:val="auto"/>
          <w:spacing w:val="-11"/>
          <w:sz w:val="24"/>
          <w:szCs w:val="24"/>
        </w:rPr>
        <w:t>项目名称：</w:t>
      </w:r>
    </w:p>
    <w:p w14:paraId="573A96A5">
      <w:pPr>
        <w:spacing w:line="335" w:lineRule="auto"/>
        <w:rPr>
          <w:rFonts w:ascii="Arial"/>
          <w:color w:val="auto"/>
          <w:sz w:val="21"/>
        </w:rPr>
      </w:pPr>
    </w:p>
    <w:p w14:paraId="5CBFFF5A">
      <w:pPr>
        <w:spacing w:line="335" w:lineRule="auto"/>
        <w:rPr>
          <w:rFonts w:ascii="Arial"/>
          <w:color w:val="auto"/>
          <w:sz w:val="21"/>
        </w:rPr>
      </w:pPr>
    </w:p>
    <w:p w14:paraId="5B940EAB">
      <w:pPr>
        <w:spacing w:before="79" w:line="220" w:lineRule="auto"/>
        <w:ind w:left="357"/>
        <w:rPr>
          <w:rFonts w:ascii="宋体" w:hAnsi="宋体" w:eastAsia="宋体" w:cs="宋体"/>
          <w:color w:val="auto"/>
          <w:sz w:val="24"/>
          <w:szCs w:val="24"/>
        </w:rPr>
      </w:pPr>
      <w:r>
        <w:rPr>
          <w:rFonts w:ascii="宋体" w:hAnsi="宋体" w:eastAsia="宋体" w:cs="宋体"/>
          <w:color w:val="auto"/>
          <w:spacing w:val="-11"/>
          <w:sz w:val="24"/>
          <w:szCs w:val="24"/>
        </w:rPr>
        <w:t>项目编号：</w:t>
      </w:r>
    </w:p>
    <w:p w14:paraId="04556965">
      <w:pPr>
        <w:spacing w:line="335" w:lineRule="auto"/>
        <w:rPr>
          <w:rFonts w:ascii="Arial"/>
          <w:color w:val="auto"/>
          <w:sz w:val="21"/>
        </w:rPr>
      </w:pPr>
    </w:p>
    <w:p w14:paraId="57B03E59">
      <w:pPr>
        <w:spacing w:line="336" w:lineRule="auto"/>
        <w:rPr>
          <w:rFonts w:ascii="Arial"/>
          <w:color w:val="auto"/>
          <w:sz w:val="21"/>
        </w:rPr>
      </w:pPr>
    </w:p>
    <w:p w14:paraId="13EFBB9D">
      <w:pPr>
        <w:spacing w:before="79" w:line="220" w:lineRule="auto"/>
        <w:ind w:left="353"/>
        <w:rPr>
          <w:rFonts w:ascii="宋体" w:hAnsi="宋体" w:eastAsia="宋体" w:cs="宋体"/>
          <w:color w:val="auto"/>
          <w:sz w:val="24"/>
          <w:szCs w:val="24"/>
        </w:rPr>
      </w:pPr>
      <w:r>
        <w:rPr>
          <w:rFonts w:ascii="宋体" w:hAnsi="宋体" w:eastAsia="宋体" w:cs="宋体"/>
          <w:color w:val="auto"/>
          <w:spacing w:val="-11"/>
          <w:sz w:val="24"/>
          <w:szCs w:val="24"/>
        </w:rPr>
        <w:t>所投分标：</w:t>
      </w:r>
    </w:p>
    <w:p w14:paraId="600600EA">
      <w:pPr>
        <w:spacing w:line="336" w:lineRule="auto"/>
        <w:rPr>
          <w:rFonts w:ascii="Arial"/>
          <w:color w:val="auto"/>
          <w:sz w:val="21"/>
        </w:rPr>
      </w:pPr>
    </w:p>
    <w:p w14:paraId="4633DCAE">
      <w:pPr>
        <w:spacing w:line="337" w:lineRule="auto"/>
        <w:rPr>
          <w:rFonts w:ascii="Arial"/>
          <w:color w:val="auto"/>
          <w:sz w:val="21"/>
        </w:rPr>
      </w:pPr>
    </w:p>
    <w:p w14:paraId="205C51C4">
      <w:pPr>
        <w:spacing w:before="78" w:line="220" w:lineRule="auto"/>
        <w:ind w:left="356"/>
        <w:rPr>
          <w:rFonts w:ascii="宋体" w:hAnsi="宋体" w:eastAsia="宋体" w:cs="宋体"/>
          <w:color w:val="auto"/>
          <w:sz w:val="24"/>
          <w:szCs w:val="24"/>
        </w:rPr>
      </w:pPr>
      <w:r>
        <w:rPr>
          <w:rFonts w:ascii="宋体" w:hAnsi="宋体" w:eastAsia="宋体" w:cs="宋体"/>
          <w:color w:val="auto"/>
          <w:spacing w:val="-10"/>
          <w:sz w:val="24"/>
          <w:szCs w:val="24"/>
        </w:rPr>
        <w:t>投标人名称：</w:t>
      </w:r>
    </w:p>
    <w:p w14:paraId="6205E7F3">
      <w:pPr>
        <w:spacing w:line="335" w:lineRule="auto"/>
        <w:rPr>
          <w:rFonts w:ascii="Arial"/>
          <w:color w:val="auto"/>
          <w:sz w:val="21"/>
        </w:rPr>
      </w:pPr>
    </w:p>
    <w:p w14:paraId="0837C96E">
      <w:pPr>
        <w:spacing w:line="336" w:lineRule="auto"/>
        <w:rPr>
          <w:rFonts w:ascii="Arial"/>
          <w:color w:val="auto"/>
          <w:sz w:val="21"/>
        </w:rPr>
      </w:pPr>
    </w:p>
    <w:p w14:paraId="2B71C103">
      <w:pPr>
        <w:spacing w:before="78" w:line="220" w:lineRule="auto"/>
        <w:ind w:left="356"/>
        <w:rPr>
          <w:rFonts w:ascii="宋体" w:hAnsi="宋体" w:eastAsia="宋体" w:cs="宋体"/>
          <w:color w:val="auto"/>
          <w:sz w:val="24"/>
          <w:szCs w:val="24"/>
        </w:rPr>
      </w:pPr>
      <w:r>
        <w:rPr>
          <w:rFonts w:ascii="宋体" w:hAnsi="宋体" w:eastAsia="宋体" w:cs="宋体"/>
          <w:color w:val="auto"/>
          <w:spacing w:val="-10"/>
          <w:sz w:val="24"/>
          <w:szCs w:val="24"/>
        </w:rPr>
        <w:t>投标人地址：</w:t>
      </w:r>
    </w:p>
    <w:p w14:paraId="5A9C7732">
      <w:pPr>
        <w:spacing w:line="300" w:lineRule="auto"/>
        <w:rPr>
          <w:rFonts w:ascii="Arial"/>
          <w:color w:val="auto"/>
          <w:sz w:val="21"/>
        </w:rPr>
      </w:pPr>
    </w:p>
    <w:p w14:paraId="5F408931">
      <w:pPr>
        <w:spacing w:line="301" w:lineRule="auto"/>
        <w:rPr>
          <w:rFonts w:ascii="Arial"/>
          <w:color w:val="auto"/>
          <w:sz w:val="21"/>
        </w:rPr>
      </w:pPr>
    </w:p>
    <w:p w14:paraId="7D196B02">
      <w:pPr>
        <w:spacing w:before="79" w:line="220" w:lineRule="auto"/>
        <w:ind w:left="4195"/>
        <w:rPr>
          <w:rFonts w:ascii="宋体" w:hAnsi="宋体" w:eastAsia="宋体" w:cs="宋体"/>
          <w:color w:val="auto"/>
          <w:sz w:val="24"/>
          <w:szCs w:val="24"/>
        </w:rPr>
      </w:pPr>
      <w:r>
        <w:rPr>
          <w:rFonts w:ascii="宋体" w:hAnsi="宋体" w:eastAsia="宋体" w:cs="宋体"/>
          <w:color w:val="auto"/>
          <w:spacing w:val="-9"/>
          <w:sz w:val="24"/>
          <w:szCs w:val="24"/>
        </w:rPr>
        <w:t>年</w:t>
      </w:r>
      <w:r>
        <w:rPr>
          <w:rFonts w:ascii="宋体" w:hAnsi="宋体" w:eastAsia="宋体" w:cs="宋体"/>
          <w:color w:val="auto"/>
          <w:spacing w:val="7"/>
          <w:sz w:val="24"/>
          <w:szCs w:val="24"/>
        </w:rPr>
        <w:t xml:space="preserve">  </w:t>
      </w:r>
      <w:r>
        <w:rPr>
          <w:rFonts w:ascii="宋体" w:hAnsi="宋体" w:eastAsia="宋体" w:cs="宋体"/>
          <w:color w:val="auto"/>
          <w:spacing w:val="-9"/>
          <w:sz w:val="24"/>
          <w:szCs w:val="24"/>
        </w:rPr>
        <w:t>月</w:t>
      </w:r>
      <w:r>
        <w:rPr>
          <w:rFonts w:ascii="宋体" w:hAnsi="宋体" w:eastAsia="宋体" w:cs="宋体"/>
          <w:color w:val="auto"/>
          <w:spacing w:val="26"/>
          <w:sz w:val="24"/>
          <w:szCs w:val="24"/>
        </w:rPr>
        <w:t xml:space="preserve">  </w:t>
      </w:r>
      <w:r>
        <w:rPr>
          <w:rFonts w:ascii="宋体" w:hAnsi="宋体" w:eastAsia="宋体" w:cs="宋体"/>
          <w:color w:val="auto"/>
          <w:spacing w:val="-9"/>
          <w:sz w:val="24"/>
          <w:szCs w:val="24"/>
        </w:rPr>
        <w:t>日</w:t>
      </w:r>
    </w:p>
    <w:p w14:paraId="049219C9">
      <w:pPr>
        <w:spacing w:line="220" w:lineRule="auto"/>
        <w:rPr>
          <w:rFonts w:ascii="宋体" w:hAnsi="宋体" w:eastAsia="宋体" w:cs="宋体"/>
          <w:color w:val="auto"/>
          <w:sz w:val="24"/>
          <w:szCs w:val="24"/>
        </w:rPr>
        <w:sectPr>
          <w:footerReference r:id="rId17" w:type="default"/>
          <w:pgSz w:w="11905" w:h="16838"/>
          <w:pgMar w:top="1417" w:right="1417" w:bottom="1417" w:left="1417" w:header="0" w:footer="1196" w:gutter="0"/>
          <w:pgNumType w:fmt="decimal"/>
          <w:cols w:space="0" w:num="1"/>
          <w:rtlGutter w:val="0"/>
          <w:docGrid w:linePitch="0" w:charSpace="0"/>
        </w:sectPr>
      </w:pPr>
    </w:p>
    <w:p w14:paraId="5BE4E0CD">
      <w:pPr>
        <w:spacing w:before="78" w:line="218" w:lineRule="auto"/>
        <w:ind w:left="4"/>
        <w:outlineLvl w:val="2"/>
        <w:rPr>
          <w:rFonts w:ascii="宋体" w:hAnsi="宋体" w:eastAsia="宋体" w:cs="宋体"/>
          <w:color w:val="auto"/>
          <w:sz w:val="24"/>
          <w:szCs w:val="24"/>
        </w:rPr>
      </w:pPr>
      <w:r>
        <w:rPr>
          <w:rFonts w:ascii="宋体" w:hAnsi="宋体" w:eastAsia="宋体" w:cs="宋体"/>
          <w:b/>
          <w:bCs/>
          <w:color w:val="auto"/>
          <w:spacing w:val="-4"/>
          <w:sz w:val="24"/>
          <w:szCs w:val="24"/>
        </w:rPr>
        <w:t>2.报价文件目录</w:t>
      </w:r>
    </w:p>
    <w:p w14:paraId="757F740B">
      <w:pPr>
        <w:spacing w:before="225" w:line="220" w:lineRule="auto"/>
        <w:rPr>
          <w:rFonts w:ascii="宋体" w:hAnsi="宋体" w:eastAsia="宋体" w:cs="宋体"/>
          <w:color w:val="auto"/>
          <w:sz w:val="21"/>
          <w:szCs w:val="21"/>
        </w:rPr>
      </w:pPr>
      <w:r>
        <w:rPr>
          <w:rFonts w:ascii="宋体" w:hAnsi="宋体" w:eastAsia="宋体" w:cs="宋体"/>
          <w:color w:val="auto"/>
          <w:spacing w:val="-1"/>
          <w:sz w:val="21"/>
          <w:szCs w:val="21"/>
        </w:rPr>
        <w:t>根据招标文件规定及投标人提供的材料自行编写目录。</w:t>
      </w:r>
    </w:p>
    <w:p w14:paraId="6663DE61">
      <w:pPr>
        <w:spacing w:line="220" w:lineRule="auto"/>
        <w:rPr>
          <w:rFonts w:ascii="宋体" w:hAnsi="宋体" w:eastAsia="宋体" w:cs="宋体"/>
          <w:color w:val="auto"/>
          <w:sz w:val="21"/>
          <w:szCs w:val="21"/>
        </w:rPr>
        <w:sectPr>
          <w:footerReference r:id="rId18" w:type="default"/>
          <w:pgSz w:w="11905" w:h="16838"/>
          <w:pgMar w:top="1417" w:right="1417" w:bottom="1417" w:left="1417" w:header="0" w:footer="1196" w:gutter="0"/>
          <w:pgNumType w:fmt="decimal"/>
          <w:cols w:space="0" w:num="1"/>
          <w:rtlGutter w:val="0"/>
          <w:docGrid w:linePitch="0" w:charSpace="0"/>
        </w:sectPr>
      </w:pPr>
    </w:p>
    <w:p w14:paraId="0AC4CA08">
      <w:pPr>
        <w:spacing w:before="78" w:line="220" w:lineRule="auto"/>
        <w:ind w:left="148"/>
        <w:outlineLvl w:val="2"/>
        <w:rPr>
          <w:rFonts w:ascii="宋体" w:hAnsi="宋体" w:eastAsia="宋体" w:cs="宋体"/>
          <w:color w:val="auto"/>
          <w:sz w:val="24"/>
          <w:szCs w:val="24"/>
        </w:rPr>
      </w:pPr>
      <w:r>
        <w:rPr>
          <w:rFonts w:ascii="宋体" w:hAnsi="宋体" w:eastAsia="宋体" w:cs="宋体"/>
          <w:b/>
          <w:bCs/>
          <w:color w:val="auto"/>
          <w:spacing w:val="-10"/>
          <w:sz w:val="24"/>
          <w:szCs w:val="24"/>
        </w:rPr>
        <w:t>3.</w:t>
      </w:r>
      <w:r>
        <w:rPr>
          <w:rFonts w:ascii="宋体" w:hAnsi="宋体" w:eastAsia="宋体" w:cs="宋体"/>
          <w:color w:val="auto"/>
          <w:spacing w:val="13"/>
          <w:sz w:val="24"/>
          <w:szCs w:val="24"/>
        </w:rPr>
        <w:t xml:space="preserve"> </w:t>
      </w:r>
      <w:r>
        <w:rPr>
          <w:rFonts w:ascii="宋体" w:hAnsi="宋体" w:eastAsia="宋体" w:cs="宋体"/>
          <w:b/>
          <w:bCs/>
          <w:color w:val="auto"/>
          <w:spacing w:val="-10"/>
          <w:sz w:val="24"/>
          <w:szCs w:val="24"/>
        </w:rPr>
        <w:t>投标函格式：</w:t>
      </w:r>
    </w:p>
    <w:p w14:paraId="1F7A9662">
      <w:pPr>
        <w:spacing w:before="90" w:line="226" w:lineRule="auto"/>
        <w:ind w:left="3618"/>
        <w:rPr>
          <w:rFonts w:ascii="宋体" w:hAnsi="宋体" w:eastAsia="宋体" w:cs="宋体"/>
          <w:color w:val="auto"/>
          <w:sz w:val="31"/>
          <w:szCs w:val="31"/>
        </w:rPr>
      </w:pPr>
      <w:r>
        <w:rPr>
          <w:rFonts w:ascii="宋体" w:hAnsi="宋体" w:eastAsia="宋体" w:cs="宋体"/>
          <w:b/>
          <w:bCs/>
          <w:color w:val="auto"/>
          <w:spacing w:val="-8"/>
          <w:sz w:val="31"/>
          <w:szCs w:val="31"/>
        </w:rPr>
        <w:t>投</w:t>
      </w:r>
      <w:r>
        <w:rPr>
          <w:rFonts w:ascii="宋体" w:hAnsi="宋体" w:eastAsia="宋体" w:cs="宋体"/>
          <w:color w:val="auto"/>
          <w:spacing w:val="26"/>
          <w:sz w:val="31"/>
          <w:szCs w:val="31"/>
        </w:rPr>
        <w:t xml:space="preserve"> </w:t>
      </w:r>
      <w:r>
        <w:rPr>
          <w:rFonts w:ascii="宋体" w:hAnsi="宋体" w:eastAsia="宋体" w:cs="宋体"/>
          <w:b/>
          <w:bCs/>
          <w:color w:val="auto"/>
          <w:spacing w:val="-8"/>
          <w:sz w:val="31"/>
          <w:szCs w:val="31"/>
        </w:rPr>
        <w:t>标</w:t>
      </w:r>
      <w:r>
        <w:rPr>
          <w:rFonts w:ascii="宋体" w:hAnsi="宋体" w:eastAsia="宋体" w:cs="宋体"/>
          <w:color w:val="auto"/>
          <w:spacing w:val="39"/>
          <w:sz w:val="31"/>
          <w:szCs w:val="31"/>
        </w:rPr>
        <w:t xml:space="preserve"> </w:t>
      </w:r>
      <w:r>
        <w:rPr>
          <w:rFonts w:ascii="宋体" w:hAnsi="宋体" w:eastAsia="宋体" w:cs="宋体"/>
          <w:b/>
          <w:bCs/>
          <w:color w:val="auto"/>
          <w:spacing w:val="-8"/>
          <w:sz w:val="31"/>
          <w:szCs w:val="31"/>
        </w:rPr>
        <w:t>函</w:t>
      </w:r>
    </w:p>
    <w:p w14:paraId="64D9E9A1">
      <w:pPr>
        <w:spacing w:before="78" w:line="219" w:lineRule="auto"/>
        <w:ind w:left="1"/>
        <w:rPr>
          <w:rFonts w:ascii="宋体" w:hAnsi="宋体" w:eastAsia="宋体" w:cs="宋体"/>
          <w:color w:val="auto"/>
          <w:sz w:val="21"/>
          <w:szCs w:val="21"/>
        </w:rPr>
      </w:pPr>
      <w:r>
        <w:rPr>
          <w:rFonts w:ascii="宋体" w:hAnsi="宋体" w:eastAsia="宋体" w:cs="宋体"/>
          <w:color w:val="auto"/>
          <w:spacing w:val="-2"/>
          <w:sz w:val="21"/>
          <w:szCs w:val="21"/>
        </w:rPr>
        <w:t>致：</w:t>
      </w:r>
      <w:r>
        <w:rPr>
          <w:rFonts w:ascii="宋体" w:hAnsi="宋体" w:eastAsia="宋体" w:cs="宋体"/>
          <w:color w:val="auto"/>
          <w:spacing w:val="-2"/>
          <w:sz w:val="21"/>
          <w:szCs w:val="21"/>
          <w:u w:val="single" w:color="auto"/>
        </w:rPr>
        <w:t>采购人名称</w:t>
      </w:r>
      <w:r>
        <w:rPr>
          <w:rFonts w:ascii="宋体" w:hAnsi="宋体" w:eastAsia="宋体" w:cs="宋体"/>
          <w:color w:val="auto"/>
          <w:spacing w:val="-2"/>
          <w:sz w:val="21"/>
          <w:szCs w:val="21"/>
        </w:rPr>
        <w:t>：</w:t>
      </w:r>
    </w:p>
    <w:p w14:paraId="254A1529">
      <w:pPr>
        <w:spacing w:before="180" w:line="347" w:lineRule="auto"/>
        <w:ind w:left="8" w:firstLine="473"/>
        <w:jc w:val="both"/>
        <w:rPr>
          <w:rFonts w:ascii="宋体" w:hAnsi="宋体" w:eastAsia="宋体" w:cs="宋体"/>
          <w:color w:val="auto"/>
          <w:sz w:val="21"/>
          <w:szCs w:val="21"/>
        </w:rPr>
      </w:pPr>
      <w:r>
        <w:rPr>
          <w:rFonts w:ascii="宋体" w:hAnsi="宋体" w:eastAsia="宋体" w:cs="宋体"/>
          <w:color w:val="auto"/>
          <w:spacing w:val="-9"/>
          <w:sz w:val="21"/>
          <w:szCs w:val="21"/>
        </w:rPr>
        <w:t>根据贵方</w:t>
      </w:r>
      <w:r>
        <w:rPr>
          <w:rFonts w:ascii="宋体" w:hAnsi="宋体" w:eastAsia="宋体" w:cs="宋体"/>
          <w:color w:val="auto"/>
          <w:spacing w:val="-9"/>
          <w:sz w:val="21"/>
          <w:szCs w:val="21"/>
          <w:u w:val="single" w:color="auto"/>
        </w:rPr>
        <w:t xml:space="preserve"> 项目名称</w:t>
      </w:r>
      <w:r>
        <w:rPr>
          <w:rFonts w:ascii="宋体" w:hAnsi="宋体" w:eastAsia="宋体" w:cs="宋体"/>
          <w:color w:val="auto"/>
          <w:spacing w:val="-9"/>
          <w:sz w:val="21"/>
          <w:szCs w:val="21"/>
        </w:rPr>
        <w:t>（项目编号</w:t>
      </w:r>
      <w:r>
        <w:rPr>
          <w:rFonts w:ascii="宋体" w:hAnsi="宋体" w:eastAsia="宋体" w:cs="宋体"/>
          <w:color w:val="auto"/>
          <w:spacing w:val="-56"/>
          <w:w w:val="88"/>
          <w:sz w:val="21"/>
          <w:szCs w:val="21"/>
        </w:rPr>
        <w:t>：</w:t>
      </w:r>
      <w:r>
        <w:rPr>
          <w:rFonts w:ascii="宋体" w:hAnsi="宋体" w:eastAsia="宋体" w:cs="宋体"/>
          <w:color w:val="auto"/>
          <w:sz w:val="21"/>
          <w:szCs w:val="21"/>
          <w:u w:val="single" w:color="auto"/>
        </w:rPr>
        <w:t xml:space="preserve">             </w:t>
      </w:r>
      <w:r>
        <w:rPr>
          <w:rFonts w:ascii="宋体" w:hAnsi="宋体" w:eastAsia="宋体" w:cs="宋体"/>
          <w:color w:val="auto"/>
          <w:spacing w:val="-56"/>
          <w:w w:val="88"/>
          <w:sz w:val="21"/>
          <w:szCs w:val="21"/>
        </w:rPr>
        <w:t>）</w:t>
      </w:r>
      <w:r>
        <w:rPr>
          <w:rFonts w:ascii="宋体" w:hAnsi="宋体" w:eastAsia="宋体" w:cs="宋体"/>
          <w:color w:val="auto"/>
          <w:spacing w:val="-9"/>
          <w:sz w:val="21"/>
          <w:szCs w:val="21"/>
        </w:rPr>
        <w:t>的招标公告，签字</w:t>
      </w:r>
      <w:r>
        <w:rPr>
          <w:rFonts w:ascii="宋体" w:hAnsi="宋体" w:eastAsia="宋体" w:cs="宋体"/>
          <w:color w:val="auto"/>
          <w:spacing w:val="-10"/>
          <w:sz w:val="21"/>
          <w:szCs w:val="21"/>
        </w:rPr>
        <w:t>代表</w:t>
      </w:r>
      <w:r>
        <w:rPr>
          <w:rFonts w:ascii="宋体" w:hAnsi="宋体" w:eastAsia="宋体" w:cs="宋体"/>
          <w:color w:val="auto"/>
          <w:spacing w:val="-116"/>
          <w:sz w:val="21"/>
          <w:szCs w:val="21"/>
        </w:rPr>
        <w:t xml:space="preserve"> </w:t>
      </w:r>
      <w:r>
        <w:rPr>
          <w:rFonts w:ascii="宋体" w:hAnsi="宋体" w:eastAsia="宋体" w:cs="宋体"/>
          <w:color w:val="auto"/>
          <w:sz w:val="21"/>
          <w:szCs w:val="21"/>
          <w:u w:val="single" w:color="auto"/>
        </w:rPr>
        <w:t xml:space="preserve">      </w:t>
      </w:r>
      <w:r>
        <w:rPr>
          <w:rFonts w:ascii="宋体" w:hAnsi="宋体" w:eastAsia="宋体" w:cs="宋体"/>
          <w:color w:val="auto"/>
          <w:sz w:val="21"/>
          <w:szCs w:val="21"/>
        </w:rPr>
        <w:t xml:space="preserve"> </w:t>
      </w:r>
      <w:r>
        <w:rPr>
          <w:rFonts w:ascii="宋体" w:hAnsi="宋体" w:eastAsia="宋体" w:cs="宋体"/>
          <w:color w:val="auto"/>
          <w:spacing w:val="-1"/>
          <w:sz w:val="21"/>
          <w:szCs w:val="21"/>
        </w:rPr>
        <w:t>（姓名）经正式授权并代表投标人</w:t>
      </w:r>
      <w:r>
        <w:rPr>
          <w:rFonts w:ascii="宋体" w:hAnsi="宋体" w:eastAsia="宋体" w:cs="宋体"/>
          <w:color w:val="auto"/>
          <w:spacing w:val="-120"/>
          <w:sz w:val="21"/>
          <w:szCs w:val="21"/>
        </w:rPr>
        <w:t xml:space="preserve"> </w:t>
      </w:r>
      <w:r>
        <w:rPr>
          <w:rFonts w:ascii="宋体" w:hAnsi="宋体" w:eastAsia="宋体" w:cs="宋体"/>
          <w:color w:val="auto"/>
          <w:spacing w:val="-1"/>
          <w:sz w:val="21"/>
          <w:szCs w:val="21"/>
          <w:u w:val="single" w:color="auto"/>
        </w:rPr>
        <w:t xml:space="preserve">     </w:t>
      </w:r>
      <w:r>
        <w:rPr>
          <w:rFonts w:ascii="宋体" w:hAnsi="宋体" w:eastAsia="宋体" w:cs="宋体"/>
          <w:color w:val="auto"/>
          <w:spacing w:val="-2"/>
          <w:sz w:val="21"/>
          <w:szCs w:val="21"/>
          <w:u w:val="single" w:color="auto"/>
        </w:rPr>
        <w:t xml:space="preserve">         </w:t>
      </w:r>
      <w:r>
        <w:rPr>
          <w:rFonts w:ascii="宋体" w:hAnsi="宋体" w:eastAsia="宋体" w:cs="宋体"/>
          <w:color w:val="auto"/>
          <w:spacing w:val="-2"/>
          <w:sz w:val="21"/>
          <w:szCs w:val="21"/>
        </w:rPr>
        <w:t>（投标人名称）提交投标文件。</w:t>
      </w:r>
    </w:p>
    <w:p w14:paraId="681CDA0C">
      <w:pPr>
        <w:spacing w:before="32" w:line="219" w:lineRule="auto"/>
        <w:ind w:left="480"/>
        <w:jc w:val="both"/>
        <w:rPr>
          <w:rFonts w:ascii="宋体" w:hAnsi="宋体" w:eastAsia="宋体" w:cs="宋体"/>
          <w:color w:val="auto"/>
          <w:sz w:val="21"/>
          <w:szCs w:val="21"/>
        </w:rPr>
      </w:pPr>
      <w:r>
        <w:rPr>
          <w:rFonts w:ascii="宋体" w:hAnsi="宋体" w:eastAsia="宋体" w:cs="宋体"/>
          <w:color w:val="auto"/>
          <w:spacing w:val="-5"/>
          <w:sz w:val="21"/>
          <w:szCs w:val="21"/>
        </w:rPr>
        <w:t>据此函，我方宣布同意如下：</w:t>
      </w:r>
    </w:p>
    <w:p w14:paraId="6DF4B076">
      <w:pPr>
        <w:spacing w:before="184" w:line="350" w:lineRule="auto"/>
        <w:ind w:right="95" w:firstLine="499"/>
        <w:jc w:val="both"/>
        <w:rPr>
          <w:rFonts w:ascii="宋体" w:hAnsi="宋体" w:eastAsia="宋体" w:cs="宋体"/>
          <w:color w:val="auto"/>
          <w:sz w:val="21"/>
          <w:szCs w:val="21"/>
        </w:rPr>
      </w:pPr>
      <w:r>
        <w:rPr>
          <w:rFonts w:ascii="宋体" w:hAnsi="宋体" w:eastAsia="宋体" w:cs="宋体"/>
          <w:color w:val="auto"/>
          <w:spacing w:val="2"/>
          <w:sz w:val="21"/>
          <w:szCs w:val="21"/>
        </w:rPr>
        <w:t>1.我方已详细审查全部“招标文件”，包括修改文件（如有的话）以及全部参考资料和有关附件，已经了解我方对于招标文件、采购过程、采购结果有依法</w:t>
      </w:r>
      <w:r>
        <w:rPr>
          <w:rFonts w:ascii="宋体" w:hAnsi="宋体" w:eastAsia="宋体" w:cs="宋体"/>
          <w:color w:val="auto"/>
          <w:spacing w:val="-2"/>
          <w:sz w:val="21"/>
          <w:szCs w:val="21"/>
        </w:rPr>
        <w:t>进行询问、质疑、投诉的权利及相关渠道和要求。</w:t>
      </w:r>
    </w:p>
    <w:p w14:paraId="0A7028DB">
      <w:pPr>
        <w:spacing w:before="32" w:line="347" w:lineRule="auto"/>
        <w:ind w:left="3" w:right="95" w:firstLine="480"/>
        <w:jc w:val="both"/>
        <w:rPr>
          <w:rFonts w:ascii="宋体" w:hAnsi="宋体" w:eastAsia="宋体" w:cs="宋体"/>
          <w:color w:val="auto"/>
          <w:sz w:val="21"/>
          <w:szCs w:val="21"/>
        </w:rPr>
      </w:pPr>
      <w:r>
        <w:rPr>
          <w:rFonts w:ascii="宋体" w:hAnsi="宋体" w:eastAsia="宋体" w:cs="宋体"/>
          <w:color w:val="auto"/>
          <w:spacing w:val="2"/>
          <w:sz w:val="21"/>
          <w:szCs w:val="21"/>
        </w:rPr>
        <w:t>2.我方在投标之前已经完全理解并接受招标文件的各项规定和要求，对招标</w:t>
      </w:r>
      <w:r>
        <w:rPr>
          <w:rFonts w:ascii="宋体" w:hAnsi="宋体" w:eastAsia="宋体" w:cs="宋体"/>
          <w:color w:val="auto"/>
          <w:spacing w:val="-3"/>
          <w:sz w:val="21"/>
          <w:szCs w:val="21"/>
        </w:rPr>
        <w:t>文件的合理性、合法性不再有异议。</w:t>
      </w:r>
    </w:p>
    <w:p w14:paraId="63D1A80F">
      <w:pPr>
        <w:spacing w:before="34" w:line="219" w:lineRule="auto"/>
        <w:ind w:left="486"/>
        <w:jc w:val="both"/>
        <w:outlineLvl w:val="2"/>
        <w:rPr>
          <w:rFonts w:ascii="宋体" w:hAnsi="宋体" w:eastAsia="宋体" w:cs="宋体"/>
          <w:color w:val="auto"/>
          <w:sz w:val="21"/>
          <w:szCs w:val="21"/>
        </w:rPr>
      </w:pPr>
      <w:r>
        <w:rPr>
          <w:rFonts w:ascii="宋体" w:hAnsi="宋体" w:eastAsia="宋体" w:cs="宋体"/>
          <w:color w:val="auto"/>
          <w:spacing w:val="-4"/>
          <w:sz w:val="21"/>
          <w:szCs w:val="21"/>
        </w:rPr>
        <w:t>3.本投标有效期自投标截止之日起</w:t>
      </w:r>
      <w:r>
        <w:rPr>
          <w:rFonts w:ascii="宋体" w:hAnsi="宋体" w:eastAsia="宋体" w:cs="宋体"/>
          <w:color w:val="auto"/>
          <w:spacing w:val="-113"/>
          <w:sz w:val="21"/>
          <w:szCs w:val="21"/>
        </w:rPr>
        <w:t xml:space="preserve"> </w:t>
      </w:r>
      <w:r>
        <w:rPr>
          <w:rFonts w:ascii="宋体" w:hAnsi="宋体" w:eastAsia="宋体" w:cs="宋体"/>
          <w:color w:val="auto"/>
          <w:sz w:val="21"/>
          <w:szCs w:val="21"/>
          <w:u w:val="single" w:color="auto"/>
        </w:rPr>
        <w:t xml:space="preserve">    </w:t>
      </w:r>
      <w:r>
        <w:rPr>
          <w:rFonts w:ascii="宋体" w:hAnsi="宋体" w:eastAsia="宋体" w:cs="宋体"/>
          <w:color w:val="auto"/>
          <w:spacing w:val="-70"/>
          <w:sz w:val="21"/>
          <w:szCs w:val="21"/>
        </w:rPr>
        <w:t xml:space="preserve"> </w:t>
      </w:r>
      <w:r>
        <w:rPr>
          <w:rFonts w:ascii="宋体" w:hAnsi="宋体" w:eastAsia="宋体" w:cs="宋体"/>
          <w:color w:val="auto"/>
          <w:spacing w:val="-4"/>
          <w:sz w:val="21"/>
          <w:szCs w:val="21"/>
        </w:rPr>
        <w:t>日。</w:t>
      </w:r>
    </w:p>
    <w:p w14:paraId="4051ACE7">
      <w:pPr>
        <w:spacing w:before="181" w:line="347" w:lineRule="auto"/>
        <w:ind w:left="2" w:right="90" w:firstLine="478"/>
        <w:jc w:val="both"/>
        <w:rPr>
          <w:rFonts w:ascii="宋体" w:hAnsi="宋体" w:eastAsia="宋体" w:cs="宋体"/>
          <w:color w:val="auto"/>
          <w:sz w:val="21"/>
          <w:szCs w:val="21"/>
        </w:rPr>
      </w:pPr>
      <w:r>
        <w:rPr>
          <w:rFonts w:ascii="宋体" w:hAnsi="宋体" w:eastAsia="宋体" w:cs="宋体"/>
          <w:color w:val="auto"/>
          <w:spacing w:val="3"/>
          <w:sz w:val="21"/>
          <w:szCs w:val="21"/>
        </w:rPr>
        <w:t>4.如中标，本投标文件至本项目合同履行完毕止均保</w:t>
      </w:r>
      <w:r>
        <w:rPr>
          <w:rFonts w:ascii="宋体" w:hAnsi="宋体" w:eastAsia="宋体" w:cs="宋体"/>
          <w:color w:val="auto"/>
          <w:spacing w:val="2"/>
          <w:sz w:val="21"/>
          <w:szCs w:val="21"/>
        </w:rPr>
        <w:t>持有效，我方将按“招</w:t>
      </w:r>
      <w:r>
        <w:rPr>
          <w:rFonts w:ascii="宋体" w:hAnsi="宋体" w:eastAsia="宋体" w:cs="宋体"/>
          <w:color w:val="auto"/>
          <w:spacing w:val="-2"/>
          <w:sz w:val="21"/>
          <w:szCs w:val="21"/>
        </w:rPr>
        <w:t>标文件”及政府采购法律、法规的规定履行合同责任和义务。</w:t>
      </w:r>
    </w:p>
    <w:p w14:paraId="23CD232C">
      <w:pPr>
        <w:spacing w:before="31" w:line="347" w:lineRule="auto"/>
        <w:ind w:left="483" w:right="1425" w:firstLine="2"/>
        <w:jc w:val="both"/>
        <w:rPr>
          <w:rFonts w:ascii="宋体" w:hAnsi="宋体" w:eastAsia="宋体" w:cs="宋体"/>
          <w:color w:val="auto"/>
          <w:spacing w:val="9"/>
          <w:sz w:val="21"/>
          <w:szCs w:val="21"/>
        </w:rPr>
      </w:pPr>
      <w:r>
        <w:rPr>
          <w:rFonts w:ascii="宋体" w:hAnsi="宋体" w:eastAsia="宋体" w:cs="宋体"/>
          <w:color w:val="auto"/>
          <w:spacing w:val="-2"/>
          <w:sz w:val="21"/>
          <w:szCs w:val="21"/>
        </w:rPr>
        <w:t>5.我方同意按照贵方要求提供与投标有关的一切数据或者资料。</w:t>
      </w:r>
    </w:p>
    <w:p w14:paraId="14559C5B">
      <w:pPr>
        <w:spacing w:before="31" w:line="347" w:lineRule="auto"/>
        <w:ind w:left="483" w:right="1425" w:firstLine="2"/>
        <w:jc w:val="both"/>
        <w:rPr>
          <w:rFonts w:ascii="宋体" w:hAnsi="宋体" w:eastAsia="宋体" w:cs="宋体"/>
          <w:color w:val="auto"/>
          <w:sz w:val="21"/>
          <w:szCs w:val="21"/>
        </w:rPr>
      </w:pPr>
      <w:r>
        <w:rPr>
          <w:rFonts w:ascii="宋体" w:hAnsi="宋体" w:eastAsia="宋体" w:cs="宋体"/>
          <w:color w:val="auto"/>
          <w:spacing w:val="-2"/>
          <w:sz w:val="21"/>
          <w:szCs w:val="21"/>
        </w:rPr>
        <w:t>6.我方向贵方提交的所有投标文件、资料都是准确的和真实的。</w:t>
      </w:r>
    </w:p>
    <w:p w14:paraId="67C78509">
      <w:pPr>
        <w:spacing w:before="32" w:line="347" w:lineRule="auto"/>
        <w:ind w:right="95" w:firstLine="486"/>
        <w:jc w:val="both"/>
        <w:rPr>
          <w:rFonts w:ascii="宋体" w:hAnsi="宋体" w:eastAsia="宋体" w:cs="宋体"/>
          <w:color w:val="auto"/>
          <w:sz w:val="21"/>
          <w:szCs w:val="21"/>
        </w:rPr>
      </w:pPr>
      <w:r>
        <w:rPr>
          <w:rFonts w:ascii="宋体" w:hAnsi="宋体" w:eastAsia="宋体" w:cs="宋体"/>
          <w:color w:val="auto"/>
          <w:spacing w:val="2"/>
          <w:sz w:val="21"/>
          <w:szCs w:val="21"/>
        </w:rPr>
        <w:t>7.以上事项如有虚假或者隐瞒，我方愿意承担一切后果，并不再寻求任何旨</w:t>
      </w:r>
      <w:r>
        <w:rPr>
          <w:rFonts w:ascii="宋体" w:hAnsi="宋体" w:eastAsia="宋体" w:cs="宋体"/>
          <w:color w:val="auto"/>
          <w:spacing w:val="-2"/>
          <w:sz w:val="21"/>
          <w:szCs w:val="21"/>
        </w:rPr>
        <w:t>在减轻或者免除法律责任的辩解。</w:t>
      </w:r>
    </w:p>
    <w:p w14:paraId="764327A2">
      <w:pPr>
        <w:spacing w:before="33" w:line="350" w:lineRule="auto"/>
        <w:ind w:left="2" w:right="87" w:firstLine="479"/>
        <w:jc w:val="both"/>
        <w:rPr>
          <w:rFonts w:ascii="宋体" w:hAnsi="宋体" w:eastAsia="宋体" w:cs="宋体"/>
          <w:color w:val="auto"/>
          <w:sz w:val="21"/>
          <w:szCs w:val="21"/>
        </w:rPr>
      </w:pPr>
      <w:r>
        <w:rPr>
          <w:rFonts w:ascii="宋体" w:hAnsi="宋体" w:eastAsia="宋体" w:cs="宋体"/>
          <w:color w:val="auto"/>
          <w:spacing w:val="2"/>
          <w:sz w:val="21"/>
          <w:szCs w:val="21"/>
        </w:rPr>
        <w:t>8.根据《中华人民共和国政府采购法实施条例》第五十条要求对政府采购合</w:t>
      </w:r>
      <w:r>
        <w:rPr>
          <w:rFonts w:ascii="宋体" w:hAnsi="宋体" w:eastAsia="宋体" w:cs="宋体"/>
          <w:color w:val="auto"/>
          <w:spacing w:val="3"/>
          <w:sz w:val="21"/>
          <w:szCs w:val="21"/>
        </w:rPr>
        <w:t>同进行公告，但政府采购合同中涉及国家秘密、商业</w:t>
      </w:r>
      <w:r>
        <w:rPr>
          <w:rFonts w:ascii="宋体" w:hAnsi="宋体" w:eastAsia="宋体" w:cs="宋体"/>
          <w:color w:val="auto"/>
          <w:spacing w:val="2"/>
          <w:sz w:val="21"/>
          <w:szCs w:val="21"/>
        </w:rPr>
        <w:t>秘密的内容除外。我方就对</w:t>
      </w:r>
      <w:r>
        <w:rPr>
          <w:rFonts w:ascii="宋体" w:hAnsi="宋体" w:eastAsia="宋体" w:cs="宋体"/>
          <w:color w:val="auto"/>
          <w:sz w:val="21"/>
          <w:szCs w:val="21"/>
        </w:rPr>
        <w:t xml:space="preserve"> 本次投标文件进行注明如下</w:t>
      </w:r>
      <w:r>
        <w:rPr>
          <w:rFonts w:ascii="宋体" w:hAnsi="宋体" w:eastAsia="宋体" w:cs="宋体"/>
          <w:color w:val="auto"/>
          <w:spacing w:val="-10"/>
          <w:sz w:val="21"/>
          <w:szCs w:val="21"/>
        </w:rPr>
        <w:t>：（</w:t>
      </w:r>
      <w:r>
        <w:rPr>
          <w:rFonts w:ascii="宋体" w:hAnsi="宋体" w:eastAsia="宋体" w:cs="宋体"/>
          <w:color w:val="auto"/>
          <w:sz w:val="21"/>
          <w:szCs w:val="21"/>
        </w:rPr>
        <w:t>两项内容中必须选择一项）</w:t>
      </w:r>
    </w:p>
    <w:p w14:paraId="66274C53">
      <w:pPr>
        <w:spacing w:before="36" w:line="219" w:lineRule="auto"/>
        <w:ind w:left="506"/>
        <w:jc w:val="both"/>
        <w:rPr>
          <w:rFonts w:ascii="宋体" w:hAnsi="宋体" w:eastAsia="宋体" w:cs="宋体"/>
          <w:color w:val="auto"/>
          <w:sz w:val="21"/>
          <w:szCs w:val="21"/>
        </w:rPr>
      </w:pPr>
      <w:r>
        <w:rPr>
          <w:rFonts w:ascii="宋体" w:hAnsi="宋体" w:eastAsia="宋体" w:cs="宋体"/>
          <w:color w:val="auto"/>
          <w:spacing w:val="-2"/>
          <w:sz w:val="21"/>
          <w:szCs w:val="21"/>
        </w:rPr>
        <w:t>□我方本次投标文件内容中未涉及商业秘密；</w:t>
      </w:r>
    </w:p>
    <w:p w14:paraId="5A0806F8">
      <w:pPr>
        <w:spacing w:before="182" w:line="289" w:lineRule="auto"/>
        <w:ind w:left="482" w:right="125" w:firstLine="23"/>
        <w:rPr>
          <w:rFonts w:ascii="宋体" w:hAnsi="宋体" w:eastAsia="宋体" w:cs="宋体"/>
          <w:color w:val="auto"/>
          <w:spacing w:val="2"/>
          <w:sz w:val="21"/>
          <w:szCs w:val="21"/>
        </w:rPr>
      </w:pPr>
      <w:r>
        <w:rPr>
          <w:rFonts w:ascii="宋体" w:hAnsi="宋体" w:eastAsia="宋体" w:cs="宋体"/>
          <w:color w:val="auto"/>
          <w:spacing w:val="-2"/>
          <w:sz w:val="21"/>
          <w:szCs w:val="21"/>
        </w:rPr>
        <w:t>□我方本次投标文件涉及商业秘密的内容有</w:t>
      </w:r>
      <w:r>
        <w:rPr>
          <w:rFonts w:ascii="宋体" w:hAnsi="宋体" w:eastAsia="宋体" w:cs="宋体"/>
          <w:color w:val="auto"/>
          <w:spacing w:val="-27"/>
          <w:sz w:val="21"/>
          <w:szCs w:val="21"/>
        </w:rPr>
        <w:t>：</w:t>
      </w:r>
      <w:r>
        <w:rPr>
          <w:rFonts w:ascii="宋体" w:hAnsi="宋体" w:eastAsia="宋体" w:cs="宋体"/>
          <w:color w:val="auto"/>
          <w:sz w:val="21"/>
          <w:szCs w:val="21"/>
          <w:u w:val="single" w:color="auto"/>
        </w:rPr>
        <w:t xml:space="preserve">                         </w:t>
      </w:r>
      <w:r>
        <w:rPr>
          <w:rFonts w:ascii="宋体" w:hAnsi="宋体" w:eastAsia="宋体" w:cs="宋体"/>
          <w:color w:val="auto"/>
          <w:spacing w:val="-27"/>
          <w:sz w:val="21"/>
          <w:szCs w:val="21"/>
        </w:rPr>
        <w:t>；</w:t>
      </w:r>
      <w:r>
        <w:rPr>
          <w:rFonts w:ascii="宋体" w:hAnsi="宋体" w:eastAsia="宋体" w:cs="宋体"/>
          <w:color w:val="auto"/>
          <w:spacing w:val="2"/>
          <w:sz w:val="21"/>
          <w:szCs w:val="21"/>
        </w:rPr>
        <w:t xml:space="preserve"> </w:t>
      </w:r>
    </w:p>
    <w:p w14:paraId="72BB299F">
      <w:pPr>
        <w:spacing w:before="182" w:line="289" w:lineRule="auto"/>
        <w:ind w:left="482" w:right="125" w:firstLine="23"/>
        <w:rPr>
          <w:rFonts w:ascii="宋体" w:hAnsi="宋体" w:eastAsia="宋体" w:cs="宋体"/>
          <w:color w:val="auto"/>
          <w:sz w:val="21"/>
          <w:szCs w:val="21"/>
        </w:rPr>
      </w:pPr>
      <w:r>
        <w:rPr>
          <w:rFonts w:ascii="宋体" w:hAnsi="宋体" w:eastAsia="宋体" w:cs="宋体"/>
          <w:color w:val="auto"/>
          <w:spacing w:val="-3"/>
          <w:sz w:val="21"/>
          <w:szCs w:val="21"/>
        </w:rPr>
        <w:t>9.与本投标有关的一切正式往来信函请寄：</w:t>
      </w:r>
    </w:p>
    <w:p w14:paraId="6A124B0F">
      <w:pPr>
        <w:tabs>
          <w:tab w:val="left" w:pos="420"/>
        </w:tabs>
        <w:spacing w:before="181" w:line="220" w:lineRule="auto"/>
        <w:rPr>
          <w:rFonts w:ascii="宋体" w:hAnsi="宋体" w:eastAsia="宋体" w:cs="宋体"/>
          <w:color w:val="auto"/>
          <w:sz w:val="21"/>
          <w:szCs w:val="21"/>
        </w:rPr>
      </w:pPr>
      <w:r>
        <w:rPr>
          <w:rFonts w:hint="eastAsia" w:ascii="宋体" w:hAnsi="宋体" w:eastAsia="宋体" w:cs="宋体"/>
          <w:color w:val="auto"/>
          <w:spacing w:val="-7"/>
          <w:sz w:val="21"/>
          <w:szCs w:val="21"/>
          <w:lang w:val="en-US" w:eastAsia="zh-CN"/>
        </w:rPr>
        <w:tab/>
      </w:r>
      <w:r>
        <w:rPr>
          <w:rFonts w:ascii="宋体" w:hAnsi="宋体" w:eastAsia="宋体" w:cs="宋体"/>
          <w:color w:val="auto"/>
          <w:spacing w:val="-7"/>
          <w:sz w:val="21"/>
          <w:szCs w:val="21"/>
        </w:rPr>
        <w:t>地址：</w:t>
      </w:r>
      <w:r>
        <w:rPr>
          <w:rFonts w:ascii="宋体" w:hAnsi="宋体" w:eastAsia="宋体" w:cs="宋体"/>
          <w:color w:val="auto"/>
          <w:sz w:val="21"/>
          <w:szCs w:val="21"/>
          <w:u w:val="single" w:color="auto"/>
        </w:rPr>
        <w:t xml:space="preserve">          </w:t>
      </w:r>
      <w:r>
        <w:rPr>
          <w:rFonts w:ascii="宋体" w:hAnsi="宋体" w:eastAsia="宋体" w:cs="宋体"/>
          <w:color w:val="auto"/>
          <w:spacing w:val="-88"/>
          <w:sz w:val="21"/>
          <w:szCs w:val="21"/>
        </w:rPr>
        <w:t xml:space="preserve"> </w:t>
      </w:r>
      <w:r>
        <w:rPr>
          <w:rFonts w:ascii="宋体" w:hAnsi="宋体" w:eastAsia="宋体" w:cs="宋体"/>
          <w:color w:val="auto"/>
          <w:spacing w:val="-7"/>
          <w:sz w:val="21"/>
          <w:szCs w:val="21"/>
        </w:rPr>
        <w:t>邮编：</w:t>
      </w:r>
      <w:r>
        <w:rPr>
          <w:rFonts w:ascii="宋体" w:hAnsi="宋体" w:eastAsia="宋体" w:cs="宋体"/>
          <w:color w:val="auto"/>
          <w:sz w:val="21"/>
          <w:szCs w:val="21"/>
          <w:u w:val="single" w:color="auto"/>
        </w:rPr>
        <w:t xml:space="preserve">             </w:t>
      </w:r>
    </w:p>
    <w:p w14:paraId="3DF44B4D">
      <w:pPr>
        <w:tabs>
          <w:tab w:val="left" w:pos="420"/>
        </w:tabs>
        <w:spacing w:before="182" w:line="219" w:lineRule="auto"/>
        <w:rPr>
          <w:rFonts w:ascii="宋体" w:hAnsi="宋体" w:eastAsia="宋体" w:cs="宋体"/>
          <w:color w:val="auto"/>
          <w:sz w:val="21"/>
          <w:szCs w:val="21"/>
        </w:rPr>
      </w:pPr>
      <w:r>
        <w:rPr>
          <w:rFonts w:hint="eastAsia" w:ascii="宋体" w:hAnsi="宋体" w:eastAsia="宋体" w:cs="宋体"/>
          <w:color w:val="auto"/>
          <w:spacing w:val="-5"/>
          <w:sz w:val="21"/>
          <w:szCs w:val="21"/>
          <w:lang w:val="en-US" w:eastAsia="zh-CN"/>
        </w:rPr>
        <w:tab/>
      </w:r>
      <w:r>
        <w:rPr>
          <w:rFonts w:ascii="宋体" w:hAnsi="宋体" w:eastAsia="宋体" w:cs="宋体"/>
          <w:color w:val="auto"/>
          <w:spacing w:val="-5"/>
          <w:sz w:val="21"/>
          <w:szCs w:val="21"/>
        </w:rPr>
        <w:t>电话：</w:t>
      </w:r>
      <w:r>
        <w:rPr>
          <w:rFonts w:ascii="宋体" w:hAnsi="宋体" w:eastAsia="宋体" w:cs="宋体"/>
          <w:color w:val="auto"/>
          <w:spacing w:val="-5"/>
          <w:sz w:val="21"/>
          <w:szCs w:val="21"/>
          <w:u w:val="single" w:color="auto"/>
        </w:rPr>
        <w:t xml:space="preserve">        </w:t>
      </w:r>
      <w:r>
        <w:rPr>
          <w:rFonts w:ascii="宋体" w:hAnsi="宋体" w:eastAsia="宋体" w:cs="宋体"/>
          <w:color w:val="auto"/>
          <w:spacing w:val="-101"/>
          <w:sz w:val="21"/>
          <w:szCs w:val="21"/>
        </w:rPr>
        <w:t xml:space="preserve"> </w:t>
      </w:r>
      <w:r>
        <w:rPr>
          <w:rFonts w:ascii="宋体" w:hAnsi="宋体" w:eastAsia="宋体" w:cs="宋体"/>
          <w:color w:val="auto"/>
          <w:spacing w:val="-5"/>
          <w:sz w:val="21"/>
          <w:szCs w:val="21"/>
        </w:rPr>
        <w:t>传真：</w:t>
      </w:r>
      <w:r>
        <w:rPr>
          <w:rFonts w:ascii="宋体" w:hAnsi="宋体" w:eastAsia="宋体" w:cs="宋体"/>
          <w:color w:val="auto"/>
          <w:sz w:val="21"/>
          <w:szCs w:val="21"/>
          <w:u w:val="single" w:color="auto"/>
        </w:rPr>
        <w:t xml:space="preserve">          </w:t>
      </w:r>
      <w:r>
        <w:rPr>
          <w:rFonts w:ascii="宋体" w:hAnsi="宋体" w:eastAsia="宋体" w:cs="宋体"/>
          <w:color w:val="auto"/>
          <w:spacing w:val="-82"/>
          <w:sz w:val="21"/>
          <w:szCs w:val="21"/>
        </w:rPr>
        <w:t xml:space="preserve"> </w:t>
      </w:r>
      <w:r>
        <w:rPr>
          <w:rFonts w:ascii="宋体" w:hAnsi="宋体" w:eastAsia="宋体" w:cs="宋体"/>
          <w:color w:val="auto"/>
          <w:spacing w:val="-5"/>
          <w:sz w:val="21"/>
          <w:szCs w:val="21"/>
        </w:rPr>
        <w:t>电子邮箱：</w:t>
      </w:r>
      <w:r>
        <w:rPr>
          <w:rFonts w:ascii="宋体" w:hAnsi="宋体" w:eastAsia="宋体" w:cs="宋体"/>
          <w:color w:val="auto"/>
          <w:sz w:val="21"/>
          <w:szCs w:val="21"/>
          <w:u w:val="single" w:color="auto"/>
        </w:rPr>
        <w:t xml:space="preserve">          </w:t>
      </w:r>
    </w:p>
    <w:p w14:paraId="60B43497">
      <w:pPr>
        <w:tabs>
          <w:tab w:val="left" w:pos="420"/>
        </w:tabs>
        <w:spacing w:before="78" w:line="220" w:lineRule="auto"/>
        <w:rPr>
          <w:rFonts w:ascii="宋体" w:hAnsi="宋体" w:eastAsia="宋体" w:cs="宋体"/>
          <w:color w:val="auto"/>
          <w:sz w:val="21"/>
          <w:szCs w:val="21"/>
        </w:rPr>
      </w:pPr>
      <w:r>
        <w:rPr>
          <w:rFonts w:hint="eastAsia" w:ascii="宋体" w:hAnsi="宋体" w:eastAsia="宋体" w:cs="宋体"/>
          <w:color w:val="auto"/>
          <w:spacing w:val="-2"/>
          <w:sz w:val="21"/>
          <w:szCs w:val="21"/>
          <w:lang w:val="en-US" w:eastAsia="zh-CN"/>
        </w:rPr>
        <w:tab/>
      </w:r>
      <w:r>
        <w:rPr>
          <w:rFonts w:ascii="宋体" w:hAnsi="宋体" w:eastAsia="宋体" w:cs="宋体"/>
          <w:color w:val="auto"/>
          <w:spacing w:val="-2"/>
          <w:sz w:val="21"/>
          <w:szCs w:val="21"/>
        </w:rPr>
        <w:t>投标人名称:</w:t>
      </w:r>
      <w:r>
        <w:rPr>
          <w:rFonts w:ascii="宋体" w:hAnsi="宋体" w:eastAsia="宋体" w:cs="宋体"/>
          <w:color w:val="auto"/>
          <w:sz w:val="21"/>
          <w:szCs w:val="21"/>
          <w:u w:val="single" w:color="auto"/>
        </w:rPr>
        <w:t xml:space="preserve">                </w:t>
      </w:r>
    </w:p>
    <w:p w14:paraId="0029AD93">
      <w:pPr>
        <w:tabs>
          <w:tab w:val="left" w:pos="420"/>
        </w:tabs>
        <w:spacing w:before="179" w:line="220" w:lineRule="auto"/>
        <w:rPr>
          <w:rFonts w:ascii="宋体" w:hAnsi="宋体" w:eastAsia="宋体" w:cs="宋体"/>
          <w:color w:val="auto"/>
          <w:sz w:val="21"/>
          <w:szCs w:val="21"/>
        </w:rPr>
      </w:pPr>
      <w:r>
        <w:rPr>
          <w:rFonts w:hint="eastAsia" w:ascii="宋体" w:hAnsi="宋体" w:eastAsia="宋体" w:cs="宋体"/>
          <w:color w:val="auto"/>
          <w:spacing w:val="-2"/>
          <w:sz w:val="21"/>
          <w:szCs w:val="21"/>
          <w:lang w:val="en-US" w:eastAsia="zh-CN"/>
        </w:rPr>
        <w:tab/>
      </w:r>
      <w:r>
        <w:rPr>
          <w:rFonts w:ascii="宋体" w:hAnsi="宋体" w:eastAsia="宋体" w:cs="宋体"/>
          <w:color w:val="auto"/>
          <w:spacing w:val="-2"/>
          <w:sz w:val="21"/>
          <w:szCs w:val="21"/>
        </w:rPr>
        <w:t>开户银行：</w:t>
      </w:r>
      <w:r>
        <w:rPr>
          <w:rFonts w:ascii="宋体" w:hAnsi="宋体" w:eastAsia="宋体" w:cs="宋体"/>
          <w:color w:val="auto"/>
          <w:spacing w:val="-2"/>
          <w:sz w:val="21"/>
          <w:szCs w:val="21"/>
          <w:u w:val="single" w:color="auto"/>
        </w:rPr>
        <w:t xml:space="preserve">                      </w:t>
      </w:r>
      <w:r>
        <w:rPr>
          <w:rFonts w:ascii="宋体" w:hAnsi="宋体" w:eastAsia="宋体" w:cs="宋体"/>
          <w:color w:val="auto"/>
          <w:spacing w:val="-2"/>
          <w:sz w:val="21"/>
          <w:szCs w:val="21"/>
        </w:rPr>
        <w:t xml:space="preserve">   银行帐号：</w:t>
      </w:r>
      <w:r>
        <w:rPr>
          <w:rFonts w:ascii="宋体" w:hAnsi="宋体" w:eastAsia="宋体" w:cs="宋体"/>
          <w:color w:val="auto"/>
          <w:spacing w:val="-2"/>
          <w:sz w:val="21"/>
          <w:szCs w:val="21"/>
          <w:u w:val="single" w:color="auto"/>
        </w:rPr>
        <w:t xml:space="preserve">   </w:t>
      </w:r>
      <w:r>
        <w:rPr>
          <w:rFonts w:ascii="宋体" w:hAnsi="宋体" w:eastAsia="宋体" w:cs="宋体"/>
          <w:color w:val="auto"/>
          <w:spacing w:val="-3"/>
          <w:sz w:val="21"/>
          <w:szCs w:val="21"/>
          <w:u w:val="single" w:color="auto"/>
        </w:rPr>
        <w:t xml:space="preserve">                  </w:t>
      </w:r>
    </w:p>
    <w:p w14:paraId="4BB8CE57">
      <w:pPr>
        <w:spacing w:line="282" w:lineRule="auto"/>
        <w:rPr>
          <w:rFonts w:ascii="Arial"/>
          <w:color w:val="auto"/>
          <w:sz w:val="21"/>
          <w:szCs w:val="21"/>
        </w:rPr>
      </w:pPr>
    </w:p>
    <w:p w14:paraId="5F73FBFD">
      <w:pPr>
        <w:spacing w:line="283" w:lineRule="auto"/>
        <w:rPr>
          <w:rFonts w:ascii="Arial"/>
          <w:color w:val="auto"/>
          <w:sz w:val="21"/>
          <w:szCs w:val="21"/>
        </w:rPr>
      </w:pPr>
    </w:p>
    <w:p w14:paraId="6F278048">
      <w:pPr>
        <w:spacing w:line="397" w:lineRule="auto"/>
        <w:rPr>
          <w:rFonts w:ascii="Arial"/>
          <w:color w:val="auto"/>
          <w:sz w:val="21"/>
          <w:szCs w:val="21"/>
        </w:rPr>
      </w:pPr>
    </w:p>
    <w:p w14:paraId="06249257">
      <w:pPr>
        <w:spacing w:before="78" w:line="219" w:lineRule="auto"/>
        <w:ind w:left="4959"/>
        <w:rPr>
          <w:rFonts w:ascii="Arial"/>
          <w:color w:val="auto"/>
          <w:sz w:val="21"/>
          <w:szCs w:val="21"/>
        </w:rPr>
      </w:pPr>
      <w:r>
        <w:rPr>
          <w:rFonts w:ascii="宋体" w:hAnsi="宋体" w:eastAsia="宋体" w:cs="宋体"/>
          <w:color w:val="auto"/>
          <w:spacing w:val="-6"/>
          <w:sz w:val="21"/>
          <w:szCs w:val="21"/>
        </w:rPr>
        <w:t>投标人名称（电子签章</w:t>
      </w:r>
      <w:r>
        <w:rPr>
          <w:rFonts w:ascii="宋体" w:hAnsi="宋体" w:eastAsia="宋体" w:cs="宋体"/>
          <w:color w:val="auto"/>
          <w:spacing w:val="-2"/>
          <w:sz w:val="21"/>
          <w:szCs w:val="21"/>
        </w:rPr>
        <w:t>）：</w:t>
      </w:r>
    </w:p>
    <w:p w14:paraId="12EAD92B">
      <w:pPr>
        <w:tabs>
          <w:tab w:val="left" w:pos="6397"/>
        </w:tabs>
        <w:spacing w:before="78" w:line="220" w:lineRule="auto"/>
        <w:ind w:left="5677"/>
        <w:rPr>
          <w:rFonts w:ascii="宋体" w:hAnsi="宋体" w:eastAsia="宋体" w:cs="宋体"/>
          <w:color w:val="auto"/>
          <w:sz w:val="21"/>
          <w:szCs w:val="21"/>
        </w:rPr>
      </w:pPr>
      <w:r>
        <w:rPr>
          <w:rFonts w:ascii="宋体" w:hAnsi="宋体" w:eastAsia="宋体" w:cs="宋体"/>
          <w:color w:val="auto"/>
          <w:sz w:val="21"/>
          <w:szCs w:val="21"/>
          <w:u w:val="single" w:color="auto"/>
        </w:rPr>
        <w:tab/>
      </w:r>
      <w:r>
        <w:rPr>
          <w:rFonts w:ascii="宋体" w:hAnsi="宋体" w:eastAsia="宋体" w:cs="宋体"/>
          <w:color w:val="auto"/>
          <w:spacing w:val="-109"/>
          <w:sz w:val="21"/>
          <w:szCs w:val="21"/>
        </w:rPr>
        <w:t xml:space="preserve"> </w:t>
      </w:r>
      <w:r>
        <w:rPr>
          <w:rFonts w:ascii="宋体" w:hAnsi="宋体" w:eastAsia="宋体" w:cs="宋体"/>
          <w:color w:val="auto"/>
          <w:spacing w:val="-9"/>
          <w:sz w:val="21"/>
          <w:szCs w:val="21"/>
        </w:rPr>
        <w:t>年</w:t>
      </w:r>
      <w:r>
        <w:rPr>
          <w:rFonts w:ascii="宋体" w:hAnsi="宋体" w:eastAsia="宋体" w:cs="宋体"/>
          <w:color w:val="auto"/>
          <w:sz w:val="21"/>
          <w:szCs w:val="21"/>
          <w:u w:val="single" w:color="auto"/>
        </w:rPr>
        <w:t xml:space="preserve">    </w:t>
      </w:r>
      <w:r>
        <w:rPr>
          <w:rFonts w:ascii="宋体" w:hAnsi="宋体" w:eastAsia="宋体" w:cs="宋体"/>
          <w:color w:val="auto"/>
          <w:spacing w:val="-105"/>
          <w:sz w:val="21"/>
          <w:szCs w:val="21"/>
        </w:rPr>
        <w:t xml:space="preserve"> </w:t>
      </w:r>
      <w:r>
        <w:rPr>
          <w:rFonts w:ascii="宋体" w:hAnsi="宋体" w:eastAsia="宋体" w:cs="宋体"/>
          <w:color w:val="auto"/>
          <w:spacing w:val="-9"/>
          <w:sz w:val="21"/>
          <w:szCs w:val="21"/>
        </w:rPr>
        <w:t>月</w:t>
      </w:r>
      <w:r>
        <w:rPr>
          <w:rFonts w:ascii="宋体" w:hAnsi="宋体" w:eastAsia="宋体" w:cs="宋体"/>
          <w:color w:val="auto"/>
          <w:sz w:val="21"/>
          <w:szCs w:val="21"/>
          <w:u w:val="single" w:color="auto"/>
        </w:rPr>
        <w:t xml:space="preserve">     </w:t>
      </w:r>
      <w:r>
        <w:rPr>
          <w:rFonts w:ascii="宋体" w:hAnsi="宋体" w:eastAsia="宋体" w:cs="宋体"/>
          <w:color w:val="auto"/>
          <w:spacing w:val="-69"/>
          <w:sz w:val="21"/>
          <w:szCs w:val="21"/>
        </w:rPr>
        <w:t xml:space="preserve"> </w:t>
      </w:r>
      <w:r>
        <w:rPr>
          <w:rFonts w:ascii="宋体" w:hAnsi="宋体" w:eastAsia="宋体" w:cs="宋体"/>
          <w:color w:val="auto"/>
          <w:spacing w:val="-9"/>
          <w:sz w:val="21"/>
          <w:szCs w:val="21"/>
        </w:rPr>
        <w:t>日</w:t>
      </w:r>
    </w:p>
    <w:p w14:paraId="18A6EA0C">
      <w:pPr>
        <w:spacing w:line="220" w:lineRule="auto"/>
        <w:rPr>
          <w:rFonts w:ascii="宋体" w:hAnsi="宋体" w:eastAsia="宋体" w:cs="宋体"/>
          <w:color w:val="auto"/>
          <w:sz w:val="21"/>
          <w:szCs w:val="21"/>
        </w:rPr>
        <w:sectPr>
          <w:footerReference r:id="rId19" w:type="default"/>
          <w:pgSz w:w="11905" w:h="16838"/>
          <w:pgMar w:top="1417" w:right="1417" w:bottom="1417" w:left="1417" w:header="0" w:footer="1196" w:gutter="0"/>
          <w:pgNumType w:fmt="decimal"/>
          <w:cols w:space="0" w:num="1"/>
          <w:rtlGutter w:val="0"/>
          <w:docGrid w:linePitch="0" w:charSpace="0"/>
        </w:sectPr>
      </w:pPr>
    </w:p>
    <w:p w14:paraId="062866DC">
      <w:pPr>
        <w:spacing w:before="78" w:line="220" w:lineRule="auto"/>
        <w:ind w:left="430"/>
        <w:outlineLvl w:val="2"/>
        <w:rPr>
          <w:rFonts w:ascii="宋体" w:hAnsi="宋体" w:eastAsia="宋体" w:cs="宋体"/>
          <w:color w:val="auto"/>
          <w:sz w:val="24"/>
          <w:szCs w:val="24"/>
        </w:rPr>
      </w:pPr>
      <w:r>
        <w:rPr>
          <w:rFonts w:ascii="宋体" w:hAnsi="宋体" w:eastAsia="宋体" w:cs="宋体"/>
          <w:b/>
          <w:bCs/>
          <w:color w:val="auto"/>
          <w:spacing w:val="-3"/>
          <w:sz w:val="24"/>
          <w:szCs w:val="24"/>
        </w:rPr>
        <w:t>4.</w:t>
      </w:r>
      <w:r>
        <w:rPr>
          <w:rFonts w:ascii="宋体" w:hAnsi="宋体" w:eastAsia="宋体" w:cs="宋体"/>
          <w:color w:val="auto"/>
          <w:spacing w:val="-3"/>
          <w:sz w:val="24"/>
          <w:szCs w:val="24"/>
        </w:rPr>
        <w:t xml:space="preserve"> </w:t>
      </w:r>
      <w:r>
        <w:rPr>
          <w:rFonts w:ascii="宋体" w:hAnsi="宋体" w:eastAsia="宋体" w:cs="宋体"/>
          <w:b/>
          <w:bCs/>
          <w:color w:val="auto"/>
          <w:spacing w:val="-3"/>
          <w:sz w:val="24"/>
          <w:szCs w:val="24"/>
        </w:rPr>
        <w:t>开标一览表</w:t>
      </w:r>
    </w:p>
    <w:p w14:paraId="31230D8F">
      <w:pPr>
        <w:spacing w:before="82" w:line="220" w:lineRule="auto"/>
        <w:ind w:left="3935"/>
        <w:outlineLvl w:val="3"/>
        <w:rPr>
          <w:rFonts w:ascii="宋体" w:hAnsi="宋体" w:eastAsia="宋体" w:cs="宋体"/>
          <w:color w:val="auto"/>
          <w:sz w:val="30"/>
          <w:szCs w:val="30"/>
        </w:rPr>
      </w:pPr>
      <w:r>
        <w:rPr>
          <w:rFonts w:ascii="宋体" w:hAnsi="宋体" w:eastAsia="宋体" w:cs="宋体"/>
          <w:b/>
          <w:bCs/>
          <w:color w:val="auto"/>
          <w:spacing w:val="-5"/>
          <w:sz w:val="30"/>
          <w:szCs w:val="30"/>
        </w:rPr>
        <w:t>开标一览表</w:t>
      </w:r>
    </w:p>
    <w:p w14:paraId="37135846">
      <w:pPr>
        <w:spacing w:line="430" w:lineRule="auto"/>
        <w:rPr>
          <w:rFonts w:ascii="Arial"/>
          <w:color w:val="auto"/>
          <w:sz w:val="21"/>
        </w:rPr>
      </w:pPr>
    </w:p>
    <w:p w14:paraId="644CF8A8">
      <w:pPr>
        <w:spacing w:before="78" w:line="220" w:lineRule="auto"/>
        <w:ind w:left="435"/>
        <w:rPr>
          <w:rFonts w:ascii="宋体" w:hAnsi="宋体" w:eastAsia="宋体" w:cs="宋体"/>
          <w:color w:val="auto"/>
          <w:sz w:val="21"/>
          <w:szCs w:val="21"/>
        </w:rPr>
      </w:pPr>
      <w:r>
        <w:rPr>
          <w:rFonts w:ascii="宋体" w:hAnsi="宋体" w:eastAsia="宋体" w:cs="宋体"/>
          <w:color w:val="auto"/>
          <w:spacing w:val="-1"/>
          <w:sz w:val="21"/>
          <w:szCs w:val="21"/>
        </w:rPr>
        <w:t>项目名称：</w:t>
      </w:r>
      <w:r>
        <w:rPr>
          <w:rFonts w:ascii="宋体" w:hAnsi="宋体" w:eastAsia="宋体" w:cs="宋体"/>
          <w:color w:val="auto"/>
          <w:spacing w:val="-1"/>
          <w:sz w:val="21"/>
          <w:szCs w:val="21"/>
          <w:u w:val="single" w:color="auto"/>
        </w:rPr>
        <w:t xml:space="preserve">           </w:t>
      </w:r>
      <w:r>
        <w:rPr>
          <w:rFonts w:ascii="宋体" w:hAnsi="宋体" w:eastAsia="宋体" w:cs="宋体"/>
          <w:color w:val="auto"/>
          <w:spacing w:val="-1"/>
          <w:sz w:val="21"/>
          <w:szCs w:val="21"/>
        </w:rPr>
        <w:t xml:space="preserve">         项目编号：</w:t>
      </w:r>
      <w:r>
        <w:rPr>
          <w:rFonts w:ascii="宋体" w:hAnsi="宋体" w:eastAsia="宋体" w:cs="宋体"/>
          <w:color w:val="auto"/>
          <w:spacing w:val="-1"/>
          <w:sz w:val="21"/>
          <w:szCs w:val="21"/>
          <w:u w:val="single" w:color="auto"/>
        </w:rPr>
        <w:t xml:space="preserve">            </w:t>
      </w:r>
      <w:r>
        <w:rPr>
          <w:rFonts w:ascii="宋体" w:hAnsi="宋体" w:eastAsia="宋体" w:cs="宋体"/>
          <w:color w:val="auto"/>
          <w:spacing w:val="2"/>
          <w:sz w:val="21"/>
          <w:szCs w:val="21"/>
        </w:rPr>
        <w:t xml:space="preserve">         </w:t>
      </w:r>
      <w:r>
        <w:rPr>
          <w:rFonts w:ascii="宋体" w:hAnsi="宋体" w:eastAsia="宋体" w:cs="宋体"/>
          <w:color w:val="auto"/>
          <w:spacing w:val="-1"/>
          <w:sz w:val="21"/>
          <w:szCs w:val="21"/>
        </w:rPr>
        <w:t>分标：</w:t>
      </w:r>
      <w:r>
        <w:rPr>
          <w:rFonts w:ascii="宋体" w:hAnsi="宋体" w:eastAsia="宋体" w:cs="宋体"/>
          <w:color w:val="auto"/>
          <w:spacing w:val="-1"/>
          <w:sz w:val="21"/>
          <w:szCs w:val="21"/>
          <w:u w:val="single" w:color="auto"/>
        </w:rPr>
        <w:t xml:space="preserve">    </w:t>
      </w:r>
    </w:p>
    <w:p w14:paraId="7B776F10">
      <w:pPr>
        <w:spacing w:before="233" w:line="220" w:lineRule="auto"/>
        <w:ind w:left="434"/>
        <w:rPr>
          <w:rFonts w:ascii="宋体" w:hAnsi="宋体" w:eastAsia="宋体" w:cs="宋体"/>
          <w:color w:val="auto"/>
          <w:sz w:val="21"/>
          <w:szCs w:val="21"/>
        </w:rPr>
      </w:pPr>
      <w:r>
        <w:rPr>
          <w:rFonts w:ascii="宋体" w:hAnsi="宋体" w:eastAsia="宋体" w:cs="宋体"/>
          <w:color w:val="auto"/>
          <w:sz w:val="21"/>
          <w:szCs w:val="21"/>
        </w:rPr>
        <w:t>投标人名称：</w:t>
      </w:r>
      <w:r>
        <w:rPr>
          <w:rFonts w:ascii="宋体" w:hAnsi="宋体" w:eastAsia="宋体" w:cs="宋体"/>
          <w:color w:val="auto"/>
          <w:sz w:val="21"/>
          <w:szCs w:val="21"/>
          <w:u w:val="single" w:color="auto"/>
        </w:rPr>
        <w:t xml:space="preserve">                     </w:t>
      </w:r>
      <w:r>
        <w:rPr>
          <w:rFonts w:ascii="宋体" w:hAnsi="宋体" w:eastAsia="宋体" w:cs="宋体"/>
          <w:color w:val="auto"/>
          <w:sz w:val="21"/>
          <w:szCs w:val="21"/>
        </w:rPr>
        <w:t xml:space="preserve">                  </w:t>
      </w:r>
      <w:r>
        <w:rPr>
          <w:rFonts w:ascii="宋体" w:hAnsi="宋体" w:eastAsia="宋体" w:cs="宋体"/>
          <w:color w:val="auto"/>
          <w:spacing w:val="-1"/>
          <w:sz w:val="21"/>
          <w:szCs w:val="21"/>
        </w:rPr>
        <w:t xml:space="preserve">     单位：元</w:t>
      </w:r>
    </w:p>
    <w:p w14:paraId="376DBA22">
      <w:pPr>
        <w:spacing w:line="193" w:lineRule="exact"/>
        <w:rPr>
          <w:color w:val="auto"/>
          <w:sz w:val="21"/>
          <w:szCs w:val="21"/>
        </w:rPr>
      </w:pPr>
    </w:p>
    <w:tbl>
      <w:tblPr>
        <w:tblStyle w:val="17"/>
        <w:tblW w:w="9854" w:type="dxa"/>
        <w:tblInd w:w="-1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1671"/>
        <w:gridCol w:w="3600"/>
        <w:gridCol w:w="937"/>
        <w:gridCol w:w="838"/>
        <w:gridCol w:w="1100"/>
        <w:gridCol w:w="1131"/>
      </w:tblGrid>
      <w:tr w14:paraId="19C9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577" w:type="dxa"/>
            <w:tcBorders>
              <w:top w:val="single" w:color="auto" w:sz="4" w:space="0"/>
              <w:left w:val="single" w:color="auto" w:sz="4" w:space="0"/>
              <w:bottom w:val="single" w:color="auto" w:sz="4" w:space="0"/>
              <w:right w:val="single" w:color="auto" w:sz="4" w:space="0"/>
            </w:tcBorders>
            <w:vAlign w:val="center"/>
          </w:tcPr>
          <w:p w14:paraId="068E8B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671" w:type="dxa"/>
            <w:tcBorders>
              <w:top w:val="single" w:color="auto" w:sz="4" w:space="0"/>
              <w:left w:val="single" w:color="auto" w:sz="4" w:space="0"/>
              <w:bottom w:val="single" w:color="auto" w:sz="4" w:space="0"/>
              <w:right w:val="single" w:color="auto" w:sz="4" w:space="0"/>
            </w:tcBorders>
            <w:vAlign w:val="center"/>
          </w:tcPr>
          <w:p w14:paraId="2C0DAE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服务</w:t>
            </w:r>
            <w:r>
              <w:rPr>
                <w:rFonts w:hint="eastAsia" w:ascii="宋体" w:hAnsi="宋体" w:eastAsia="宋体" w:cs="宋体"/>
                <w:color w:val="auto"/>
                <w:sz w:val="21"/>
                <w:szCs w:val="21"/>
              </w:rPr>
              <w:t>名称</w:t>
            </w:r>
          </w:p>
        </w:tc>
        <w:tc>
          <w:tcPr>
            <w:tcW w:w="3600" w:type="dxa"/>
            <w:tcBorders>
              <w:top w:val="single" w:color="auto" w:sz="4" w:space="0"/>
              <w:left w:val="single" w:color="auto" w:sz="4" w:space="0"/>
              <w:bottom w:val="single" w:color="auto" w:sz="4" w:space="0"/>
              <w:right w:val="single" w:color="auto" w:sz="4" w:space="0"/>
            </w:tcBorders>
            <w:vAlign w:val="center"/>
          </w:tcPr>
          <w:p w14:paraId="27417D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eastAsia="zh-CN"/>
              </w:rPr>
            </w:pPr>
            <w:r>
              <w:rPr>
                <w:rFonts w:hint="eastAsia" w:asciiTheme="minorEastAsia" w:hAnsiTheme="minorEastAsia" w:eastAsiaTheme="minorEastAsia" w:cstheme="minorEastAsia"/>
                <w:sz w:val="21"/>
                <w:szCs w:val="21"/>
                <w:highlight w:val="none"/>
                <w:vertAlign w:val="baseline"/>
                <w:lang w:eastAsia="zh-CN"/>
              </w:rPr>
              <w:t>服务内容及技术指标</w:t>
            </w:r>
          </w:p>
        </w:tc>
        <w:tc>
          <w:tcPr>
            <w:tcW w:w="937" w:type="dxa"/>
            <w:tcBorders>
              <w:top w:val="single" w:color="auto" w:sz="4" w:space="0"/>
              <w:left w:val="single" w:color="auto" w:sz="4" w:space="0"/>
              <w:bottom w:val="single" w:color="auto" w:sz="4" w:space="0"/>
              <w:right w:val="single" w:color="auto" w:sz="4" w:space="0"/>
            </w:tcBorders>
            <w:vAlign w:val="center"/>
          </w:tcPr>
          <w:p w14:paraId="7FA22F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数量</w:t>
            </w:r>
          </w:p>
        </w:tc>
        <w:tc>
          <w:tcPr>
            <w:tcW w:w="838" w:type="dxa"/>
            <w:tcBorders>
              <w:top w:val="single" w:color="auto" w:sz="4" w:space="0"/>
              <w:left w:val="single" w:color="auto" w:sz="4" w:space="0"/>
              <w:bottom w:val="single" w:color="auto" w:sz="4" w:space="0"/>
              <w:right w:val="single" w:color="auto" w:sz="4" w:space="0"/>
            </w:tcBorders>
            <w:vAlign w:val="center"/>
          </w:tcPr>
          <w:p w14:paraId="3C119D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单位</w:t>
            </w:r>
          </w:p>
        </w:tc>
        <w:tc>
          <w:tcPr>
            <w:tcW w:w="1100" w:type="dxa"/>
            <w:tcBorders>
              <w:top w:val="single" w:color="auto" w:sz="4" w:space="0"/>
              <w:left w:val="single" w:color="auto" w:sz="4" w:space="0"/>
              <w:bottom w:val="single" w:color="auto" w:sz="4" w:space="0"/>
              <w:right w:val="single" w:color="auto" w:sz="4" w:space="0"/>
            </w:tcBorders>
            <w:vAlign w:val="center"/>
          </w:tcPr>
          <w:p w14:paraId="32372C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单价（元）</w:t>
            </w:r>
          </w:p>
        </w:tc>
        <w:tc>
          <w:tcPr>
            <w:tcW w:w="1131" w:type="dxa"/>
            <w:tcBorders>
              <w:top w:val="single" w:color="auto" w:sz="4" w:space="0"/>
              <w:left w:val="single" w:color="auto" w:sz="4" w:space="0"/>
              <w:bottom w:val="single" w:color="auto" w:sz="4" w:space="0"/>
              <w:right w:val="single" w:color="auto" w:sz="4" w:space="0"/>
            </w:tcBorders>
            <w:vAlign w:val="center"/>
          </w:tcPr>
          <w:p w14:paraId="5E3B98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总价（元）</w:t>
            </w:r>
          </w:p>
        </w:tc>
      </w:tr>
      <w:tr w14:paraId="1624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577" w:type="dxa"/>
            <w:tcBorders>
              <w:top w:val="single" w:color="auto" w:sz="4" w:space="0"/>
              <w:left w:val="single" w:color="auto" w:sz="4" w:space="0"/>
              <w:right w:val="single" w:color="auto" w:sz="4" w:space="0"/>
            </w:tcBorders>
            <w:vAlign w:val="center"/>
          </w:tcPr>
          <w:p w14:paraId="7A44093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671" w:type="dxa"/>
            <w:tcBorders>
              <w:top w:val="single" w:color="auto" w:sz="4" w:space="0"/>
              <w:left w:val="single" w:color="auto" w:sz="4" w:space="0"/>
              <w:right w:val="single" w:color="auto" w:sz="4" w:space="0"/>
            </w:tcBorders>
            <w:vAlign w:val="center"/>
          </w:tcPr>
          <w:p w14:paraId="3C0D24C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3600" w:type="dxa"/>
            <w:tcBorders>
              <w:top w:val="single" w:color="auto" w:sz="4" w:space="0"/>
              <w:left w:val="single" w:color="auto" w:sz="4" w:space="0"/>
              <w:bottom w:val="single" w:color="auto" w:sz="4" w:space="0"/>
              <w:right w:val="single" w:color="auto" w:sz="4" w:space="0"/>
            </w:tcBorders>
            <w:vAlign w:val="center"/>
          </w:tcPr>
          <w:p w14:paraId="73CE456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937" w:type="dxa"/>
            <w:tcBorders>
              <w:top w:val="single" w:color="auto" w:sz="4" w:space="0"/>
              <w:left w:val="single" w:color="auto" w:sz="4" w:space="0"/>
              <w:bottom w:val="single" w:color="auto" w:sz="4" w:space="0"/>
              <w:right w:val="single" w:color="auto" w:sz="4" w:space="0"/>
            </w:tcBorders>
            <w:vAlign w:val="center"/>
          </w:tcPr>
          <w:p w14:paraId="48EADBA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838" w:type="dxa"/>
            <w:tcBorders>
              <w:top w:val="single" w:color="auto" w:sz="4" w:space="0"/>
              <w:left w:val="single" w:color="auto" w:sz="4" w:space="0"/>
              <w:bottom w:val="single" w:color="auto" w:sz="4" w:space="0"/>
              <w:right w:val="single" w:color="auto" w:sz="4" w:space="0"/>
            </w:tcBorders>
            <w:vAlign w:val="center"/>
          </w:tcPr>
          <w:p w14:paraId="63E2BE0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项</w:t>
            </w:r>
          </w:p>
        </w:tc>
        <w:tc>
          <w:tcPr>
            <w:tcW w:w="1100" w:type="dxa"/>
            <w:tcBorders>
              <w:top w:val="single" w:color="auto" w:sz="4" w:space="0"/>
              <w:left w:val="single" w:color="auto" w:sz="4" w:space="0"/>
              <w:bottom w:val="single" w:color="auto" w:sz="4" w:space="0"/>
              <w:right w:val="single" w:color="auto" w:sz="4" w:space="0"/>
            </w:tcBorders>
            <w:vAlign w:val="center"/>
          </w:tcPr>
          <w:p w14:paraId="501F434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131" w:type="dxa"/>
            <w:tcBorders>
              <w:top w:val="single" w:color="auto" w:sz="4" w:space="0"/>
              <w:left w:val="single" w:color="auto" w:sz="4" w:space="0"/>
              <w:bottom w:val="single" w:color="auto" w:sz="4" w:space="0"/>
              <w:right w:val="single" w:color="auto" w:sz="4" w:space="0"/>
            </w:tcBorders>
            <w:vAlign w:val="center"/>
          </w:tcPr>
          <w:p w14:paraId="086AE31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r>
      <w:tr w14:paraId="493C5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854" w:type="dxa"/>
            <w:gridSpan w:val="7"/>
            <w:tcBorders>
              <w:top w:val="single" w:color="auto" w:sz="4" w:space="0"/>
              <w:left w:val="single" w:color="auto" w:sz="4" w:space="0"/>
              <w:bottom w:val="single" w:color="auto" w:sz="4" w:space="0"/>
              <w:right w:val="single" w:color="auto" w:sz="4" w:space="0"/>
            </w:tcBorders>
            <w:vAlign w:val="center"/>
          </w:tcPr>
          <w:p w14:paraId="483BBB4A">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投标总报价：</w:t>
            </w:r>
            <w:r>
              <w:rPr>
                <w:rFonts w:hint="eastAsia" w:ascii="宋体" w:hAnsi="宋体" w:eastAsia="宋体" w:cs="宋体"/>
                <w:color w:val="auto"/>
                <w:sz w:val="21"/>
                <w:szCs w:val="21"/>
              </w:rPr>
              <w:t>（大写）：</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w:t>
            </w:r>
          </w:p>
        </w:tc>
      </w:tr>
      <w:tr w14:paraId="3A1D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854" w:type="dxa"/>
            <w:gridSpan w:val="7"/>
            <w:tcBorders>
              <w:top w:val="single" w:color="auto" w:sz="4" w:space="0"/>
              <w:left w:val="single" w:color="auto" w:sz="4" w:space="0"/>
              <w:bottom w:val="single" w:color="auto" w:sz="4" w:space="0"/>
              <w:right w:val="single" w:color="auto" w:sz="4" w:space="0"/>
            </w:tcBorders>
            <w:vAlign w:val="center"/>
          </w:tcPr>
          <w:p w14:paraId="31D838F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合同履约期限：</w:t>
            </w:r>
          </w:p>
        </w:tc>
      </w:tr>
    </w:tbl>
    <w:p w14:paraId="03B7E337">
      <w:pPr>
        <w:spacing w:before="36" w:line="224" w:lineRule="auto"/>
        <w:ind w:left="431"/>
        <w:rPr>
          <w:rFonts w:ascii="宋体" w:hAnsi="宋体" w:eastAsia="宋体" w:cs="宋体"/>
          <w:color w:val="auto"/>
          <w:sz w:val="21"/>
          <w:szCs w:val="21"/>
        </w:rPr>
      </w:pPr>
      <w:r>
        <w:rPr>
          <w:rFonts w:ascii="宋体" w:hAnsi="宋体" w:eastAsia="宋体" w:cs="宋体"/>
          <w:color w:val="auto"/>
          <w:spacing w:val="17"/>
          <w:sz w:val="21"/>
          <w:szCs w:val="21"/>
        </w:rPr>
        <w:t>注:</w:t>
      </w:r>
    </w:p>
    <w:p w14:paraId="124F3BCB">
      <w:pPr>
        <w:spacing w:before="177" w:line="345" w:lineRule="auto"/>
        <w:ind w:right="525"/>
        <w:rPr>
          <w:rFonts w:ascii="宋体" w:hAnsi="宋体" w:eastAsia="宋体" w:cs="宋体"/>
          <w:color w:val="auto"/>
          <w:sz w:val="21"/>
          <w:szCs w:val="21"/>
        </w:rPr>
      </w:pPr>
      <w:r>
        <w:rPr>
          <w:rFonts w:ascii="宋体" w:hAnsi="宋体" w:eastAsia="宋体" w:cs="宋体"/>
          <w:color w:val="auto"/>
          <w:spacing w:val="-1"/>
          <w:sz w:val="21"/>
          <w:szCs w:val="21"/>
        </w:rPr>
        <w:t>1.投标人的开标一览表必须加盖投标人电子签章并由法定代表人</w:t>
      </w:r>
      <w:r>
        <w:rPr>
          <w:rFonts w:hint="eastAsia" w:ascii="宋体" w:hAnsi="宋体" w:eastAsia="宋体" w:cs="宋体"/>
          <w:color w:val="auto"/>
          <w:spacing w:val="-1"/>
          <w:sz w:val="21"/>
          <w:szCs w:val="21"/>
          <w:lang w:eastAsia="zh-CN"/>
        </w:rPr>
        <w:t>（负责人）</w:t>
      </w:r>
      <w:r>
        <w:rPr>
          <w:rFonts w:ascii="宋体" w:hAnsi="宋体" w:eastAsia="宋体" w:cs="宋体"/>
          <w:color w:val="auto"/>
          <w:spacing w:val="-1"/>
          <w:sz w:val="21"/>
          <w:szCs w:val="21"/>
        </w:rPr>
        <w:t>或者委托代</w:t>
      </w:r>
      <w:r>
        <w:rPr>
          <w:rFonts w:ascii="宋体" w:hAnsi="宋体" w:eastAsia="宋体" w:cs="宋体"/>
          <w:color w:val="auto"/>
          <w:spacing w:val="-2"/>
          <w:sz w:val="21"/>
          <w:szCs w:val="21"/>
        </w:rPr>
        <w:t>理人签字或者电子签名，</w:t>
      </w:r>
      <w:r>
        <w:rPr>
          <w:rFonts w:ascii="宋体" w:hAnsi="宋体" w:eastAsia="宋体" w:cs="宋体"/>
          <w:b/>
          <w:bCs/>
          <w:color w:val="auto"/>
          <w:spacing w:val="-2"/>
          <w:sz w:val="21"/>
          <w:szCs w:val="21"/>
        </w:rPr>
        <w:t>否则其投标作无效标处理</w:t>
      </w:r>
      <w:r>
        <w:rPr>
          <w:rFonts w:ascii="宋体" w:hAnsi="宋体" w:eastAsia="宋体" w:cs="宋体"/>
          <w:color w:val="auto"/>
          <w:spacing w:val="-2"/>
          <w:sz w:val="21"/>
          <w:szCs w:val="21"/>
        </w:rPr>
        <w:t>。</w:t>
      </w:r>
    </w:p>
    <w:p w14:paraId="1490A9D5">
      <w:pPr>
        <w:spacing w:before="37" w:line="345" w:lineRule="auto"/>
        <w:ind w:right="525"/>
        <w:rPr>
          <w:rFonts w:ascii="宋体" w:hAnsi="宋体" w:eastAsia="宋体" w:cs="宋体"/>
          <w:color w:val="auto"/>
          <w:sz w:val="21"/>
          <w:szCs w:val="21"/>
        </w:rPr>
      </w:pPr>
      <w:r>
        <w:rPr>
          <w:rFonts w:ascii="宋体" w:hAnsi="宋体" w:eastAsia="宋体" w:cs="宋体"/>
          <w:color w:val="auto"/>
          <w:sz w:val="21"/>
          <w:szCs w:val="21"/>
        </w:rPr>
        <w:t>2.报价一经涂改，应在涂改处加盖投标人公章或</w:t>
      </w:r>
      <w:r>
        <w:rPr>
          <w:rFonts w:ascii="宋体" w:hAnsi="宋体" w:eastAsia="宋体" w:cs="宋体"/>
          <w:color w:val="auto"/>
          <w:spacing w:val="-1"/>
          <w:sz w:val="21"/>
          <w:szCs w:val="21"/>
        </w:rPr>
        <w:t>者加盖电子签章或者由法定</w:t>
      </w:r>
      <w:r>
        <w:rPr>
          <w:rFonts w:ascii="宋体" w:hAnsi="宋体" w:eastAsia="宋体" w:cs="宋体"/>
          <w:color w:val="auto"/>
          <w:spacing w:val="-2"/>
          <w:sz w:val="21"/>
          <w:szCs w:val="21"/>
        </w:rPr>
        <w:t>代表人或者委托代理人签字（或者电子签名</w:t>
      </w:r>
      <w:r>
        <w:rPr>
          <w:rFonts w:ascii="宋体" w:hAnsi="宋体" w:eastAsia="宋体" w:cs="宋体"/>
          <w:color w:val="auto"/>
          <w:spacing w:val="8"/>
          <w:sz w:val="21"/>
          <w:szCs w:val="21"/>
        </w:rPr>
        <w:t>）</w:t>
      </w:r>
      <w:r>
        <w:rPr>
          <w:rFonts w:ascii="宋体" w:hAnsi="宋体" w:eastAsia="宋体" w:cs="宋体"/>
          <w:b/>
          <w:bCs/>
          <w:color w:val="auto"/>
          <w:spacing w:val="8"/>
          <w:sz w:val="21"/>
          <w:szCs w:val="21"/>
        </w:rPr>
        <w:t>，</w:t>
      </w:r>
      <w:r>
        <w:rPr>
          <w:rFonts w:ascii="宋体" w:hAnsi="宋体" w:eastAsia="宋体" w:cs="宋体"/>
          <w:b/>
          <w:bCs/>
          <w:color w:val="auto"/>
          <w:spacing w:val="-2"/>
          <w:sz w:val="21"/>
          <w:szCs w:val="21"/>
        </w:rPr>
        <w:t>否则其投标作无效</w:t>
      </w:r>
      <w:r>
        <w:rPr>
          <w:rFonts w:ascii="宋体" w:hAnsi="宋体" w:eastAsia="宋体" w:cs="宋体"/>
          <w:b/>
          <w:bCs/>
          <w:color w:val="auto"/>
          <w:spacing w:val="-3"/>
          <w:sz w:val="21"/>
          <w:szCs w:val="21"/>
        </w:rPr>
        <w:t>标处理。</w:t>
      </w:r>
    </w:p>
    <w:p w14:paraId="3B27CA6C">
      <w:pPr>
        <w:spacing w:before="37" w:line="344" w:lineRule="auto"/>
        <w:ind w:right="527"/>
        <w:rPr>
          <w:rFonts w:ascii="宋体" w:hAnsi="宋体" w:eastAsia="宋体" w:cs="宋体"/>
          <w:color w:val="auto"/>
          <w:sz w:val="21"/>
          <w:szCs w:val="21"/>
        </w:rPr>
      </w:pPr>
      <w:r>
        <w:rPr>
          <w:rFonts w:ascii="宋体" w:hAnsi="宋体" w:eastAsia="宋体" w:cs="宋体"/>
          <w:color w:val="auto"/>
          <w:spacing w:val="-1"/>
          <w:sz w:val="21"/>
          <w:szCs w:val="21"/>
        </w:rPr>
        <w:t>3.招标文件中列明采购专用耗材的，应按招标文件规定的耗材量或者按耗材</w:t>
      </w:r>
      <w:r>
        <w:rPr>
          <w:rFonts w:ascii="宋体" w:hAnsi="宋体" w:eastAsia="宋体" w:cs="宋体"/>
          <w:color w:val="auto"/>
          <w:spacing w:val="-6"/>
          <w:sz w:val="21"/>
          <w:szCs w:val="21"/>
        </w:rPr>
        <w:t>的常规试用量提供报价。</w:t>
      </w:r>
    </w:p>
    <w:p w14:paraId="71D833D1">
      <w:pPr>
        <w:spacing w:before="40" w:line="346" w:lineRule="auto"/>
        <w:ind w:right="526"/>
        <w:rPr>
          <w:rFonts w:ascii="宋体" w:hAnsi="宋体" w:eastAsia="宋体" w:cs="宋体"/>
          <w:color w:val="auto"/>
          <w:sz w:val="21"/>
          <w:szCs w:val="21"/>
          <w:highlight w:val="none"/>
        </w:rPr>
      </w:pPr>
      <w:r>
        <w:rPr>
          <w:rFonts w:ascii="宋体" w:hAnsi="宋体" w:eastAsia="宋体" w:cs="宋体"/>
          <w:color w:val="auto"/>
          <w:sz w:val="21"/>
          <w:szCs w:val="21"/>
          <w:highlight w:val="none"/>
        </w:rPr>
        <w:t>4.如为联合体投标，“投标人名称”处必须列明联合体</w:t>
      </w:r>
      <w:r>
        <w:rPr>
          <w:rFonts w:ascii="宋体" w:hAnsi="宋体" w:eastAsia="宋体" w:cs="宋体"/>
          <w:color w:val="auto"/>
          <w:spacing w:val="-1"/>
          <w:sz w:val="21"/>
          <w:szCs w:val="21"/>
          <w:highlight w:val="none"/>
        </w:rPr>
        <w:t>各方名称，并标注联</w:t>
      </w:r>
      <w:r>
        <w:rPr>
          <w:rFonts w:ascii="宋体" w:hAnsi="宋体" w:eastAsia="宋体" w:cs="宋体"/>
          <w:color w:val="auto"/>
          <w:spacing w:val="-3"/>
          <w:sz w:val="21"/>
          <w:szCs w:val="21"/>
          <w:highlight w:val="none"/>
        </w:rPr>
        <w:t>合体牵头人名称，</w:t>
      </w:r>
      <w:r>
        <w:rPr>
          <w:rFonts w:ascii="宋体" w:hAnsi="宋体" w:eastAsia="宋体" w:cs="宋体"/>
          <w:b/>
          <w:bCs/>
          <w:color w:val="auto"/>
          <w:spacing w:val="-3"/>
          <w:sz w:val="21"/>
          <w:szCs w:val="21"/>
          <w:highlight w:val="none"/>
        </w:rPr>
        <w:t>否则其投标作无效标处理。</w:t>
      </w:r>
    </w:p>
    <w:p w14:paraId="77C36049">
      <w:pPr>
        <w:spacing w:before="33" w:line="349" w:lineRule="auto"/>
        <w:ind w:right="470"/>
        <w:rPr>
          <w:rFonts w:ascii="宋体" w:hAnsi="宋体" w:eastAsia="宋体" w:cs="宋体"/>
          <w:color w:val="auto"/>
          <w:sz w:val="21"/>
          <w:szCs w:val="21"/>
          <w:highlight w:val="none"/>
        </w:rPr>
      </w:pPr>
      <w:r>
        <w:rPr>
          <w:rFonts w:ascii="宋体" w:hAnsi="宋体" w:eastAsia="宋体" w:cs="宋体"/>
          <w:color w:val="auto"/>
          <w:spacing w:val="-12"/>
          <w:sz w:val="21"/>
          <w:szCs w:val="21"/>
          <w:highlight w:val="none"/>
        </w:rPr>
        <w:t>5.如为联合体投标，盖章处须加盖联合体牵头人电子签章，</w:t>
      </w:r>
      <w:r>
        <w:rPr>
          <w:rFonts w:ascii="宋体" w:hAnsi="宋体" w:eastAsia="宋体" w:cs="宋体"/>
          <w:b/>
          <w:bCs/>
          <w:color w:val="auto"/>
          <w:spacing w:val="-12"/>
          <w:sz w:val="21"/>
          <w:szCs w:val="21"/>
          <w:highlight w:val="none"/>
        </w:rPr>
        <w:t>否则其</w:t>
      </w:r>
      <w:r>
        <w:rPr>
          <w:rFonts w:ascii="宋体" w:hAnsi="宋体" w:eastAsia="宋体" w:cs="宋体"/>
          <w:b/>
          <w:bCs/>
          <w:color w:val="auto"/>
          <w:spacing w:val="-13"/>
          <w:sz w:val="21"/>
          <w:szCs w:val="21"/>
          <w:highlight w:val="none"/>
        </w:rPr>
        <w:t>投标作无效标</w:t>
      </w:r>
      <w:r>
        <w:rPr>
          <w:rFonts w:ascii="宋体" w:hAnsi="宋体" w:eastAsia="宋体" w:cs="宋体"/>
          <w:b/>
          <w:bCs/>
          <w:color w:val="auto"/>
          <w:spacing w:val="-12"/>
          <w:sz w:val="21"/>
          <w:szCs w:val="21"/>
          <w:highlight w:val="none"/>
        </w:rPr>
        <w:t>处理。</w:t>
      </w:r>
    </w:p>
    <w:p w14:paraId="4A1BA18F">
      <w:pPr>
        <w:spacing w:before="27" w:line="219" w:lineRule="auto"/>
        <w:outlineLvl w:val="2"/>
        <w:rPr>
          <w:rFonts w:ascii="宋体" w:hAnsi="宋体" w:eastAsia="宋体" w:cs="宋体"/>
          <w:b/>
          <w:bCs/>
          <w:color w:val="auto"/>
          <w:spacing w:val="-1"/>
          <w:sz w:val="21"/>
          <w:szCs w:val="21"/>
        </w:rPr>
      </w:pPr>
      <w:r>
        <w:rPr>
          <w:rFonts w:ascii="宋体" w:hAnsi="宋体" w:eastAsia="宋体" w:cs="宋体"/>
          <w:color w:val="auto"/>
          <w:spacing w:val="-1"/>
          <w:sz w:val="21"/>
          <w:szCs w:val="21"/>
        </w:rPr>
        <w:t>6.如有多分标，按分标分别提供开标一览表，</w:t>
      </w:r>
      <w:r>
        <w:rPr>
          <w:rFonts w:ascii="宋体" w:hAnsi="宋体" w:eastAsia="宋体" w:cs="宋体"/>
          <w:b/>
          <w:bCs/>
          <w:color w:val="auto"/>
          <w:spacing w:val="-1"/>
          <w:sz w:val="21"/>
          <w:szCs w:val="21"/>
        </w:rPr>
        <w:t>否则投标无效。</w:t>
      </w:r>
    </w:p>
    <w:p w14:paraId="11EB7B2F">
      <w:pPr>
        <w:spacing w:before="185" w:line="344" w:lineRule="auto"/>
        <w:ind w:left="4483" w:right="224" w:hanging="813"/>
        <w:rPr>
          <w:rFonts w:ascii="宋体" w:hAnsi="宋体" w:eastAsia="宋体" w:cs="宋体"/>
          <w:color w:val="auto"/>
          <w:spacing w:val="-1"/>
          <w:sz w:val="21"/>
          <w:szCs w:val="21"/>
        </w:rPr>
      </w:pPr>
    </w:p>
    <w:p w14:paraId="0DE95DEE">
      <w:pPr>
        <w:spacing w:before="185" w:line="344" w:lineRule="auto"/>
        <w:ind w:left="4483" w:right="224" w:hanging="813"/>
        <w:rPr>
          <w:rFonts w:ascii="宋体" w:hAnsi="宋体" w:eastAsia="宋体" w:cs="宋体"/>
          <w:color w:val="auto"/>
          <w:spacing w:val="-3"/>
          <w:sz w:val="21"/>
          <w:szCs w:val="21"/>
        </w:rPr>
      </w:pPr>
      <w:r>
        <w:rPr>
          <w:rFonts w:ascii="宋体" w:hAnsi="宋体" w:eastAsia="宋体" w:cs="宋体"/>
          <w:color w:val="auto"/>
          <w:spacing w:val="-1"/>
          <w:sz w:val="21"/>
          <w:szCs w:val="21"/>
        </w:rPr>
        <w:t>法定代表人</w:t>
      </w:r>
      <w:r>
        <w:rPr>
          <w:rFonts w:hint="eastAsia" w:ascii="宋体" w:hAnsi="宋体" w:eastAsia="宋体" w:cs="宋体"/>
          <w:color w:val="auto"/>
          <w:spacing w:val="-1"/>
          <w:sz w:val="21"/>
          <w:szCs w:val="21"/>
          <w:lang w:eastAsia="zh-CN"/>
        </w:rPr>
        <w:t>（负责人）</w:t>
      </w:r>
      <w:r>
        <w:rPr>
          <w:rFonts w:ascii="宋体" w:hAnsi="宋体" w:eastAsia="宋体" w:cs="宋体"/>
          <w:color w:val="auto"/>
          <w:spacing w:val="-1"/>
          <w:sz w:val="21"/>
          <w:szCs w:val="21"/>
        </w:rPr>
        <w:t>（签字或者盖章或者电子签名</w:t>
      </w:r>
      <w:r>
        <w:rPr>
          <w:rFonts w:ascii="宋体" w:hAnsi="宋体" w:eastAsia="宋体" w:cs="宋体"/>
          <w:color w:val="auto"/>
          <w:spacing w:val="2"/>
          <w:sz w:val="21"/>
          <w:szCs w:val="21"/>
        </w:rPr>
        <w:t>：</w:t>
      </w:r>
      <w:r>
        <w:rPr>
          <w:rFonts w:ascii="宋体" w:hAnsi="宋体" w:eastAsia="宋体" w:cs="宋体"/>
          <w:color w:val="auto"/>
          <w:sz w:val="21"/>
          <w:szCs w:val="21"/>
          <w:u w:val="single" w:color="auto"/>
        </w:rPr>
        <w:t xml:space="preserve">             </w:t>
      </w:r>
    </w:p>
    <w:p w14:paraId="73728256">
      <w:pPr>
        <w:spacing w:before="185" w:line="344" w:lineRule="auto"/>
        <w:ind w:left="4483" w:right="224" w:hanging="813"/>
        <w:rPr>
          <w:rFonts w:ascii="宋体" w:hAnsi="宋体" w:eastAsia="宋体" w:cs="宋体"/>
          <w:color w:val="auto"/>
          <w:sz w:val="21"/>
          <w:szCs w:val="21"/>
        </w:rPr>
      </w:pPr>
      <w:r>
        <w:rPr>
          <w:rFonts w:ascii="宋体" w:hAnsi="宋体" w:eastAsia="宋体" w:cs="宋体"/>
          <w:color w:val="auto"/>
          <w:spacing w:val="-6"/>
          <w:sz w:val="21"/>
          <w:szCs w:val="21"/>
        </w:rPr>
        <w:t>投标人名称（电子签章</w:t>
      </w:r>
      <w:r>
        <w:rPr>
          <w:rFonts w:ascii="宋体" w:hAnsi="宋体" w:eastAsia="宋体" w:cs="宋体"/>
          <w:color w:val="auto"/>
          <w:spacing w:val="-2"/>
          <w:sz w:val="21"/>
          <w:szCs w:val="21"/>
        </w:rPr>
        <w:t>）：</w:t>
      </w:r>
      <w:r>
        <w:rPr>
          <w:rFonts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p>
    <w:p w14:paraId="1DA1D32C">
      <w:pPr>
        <w:spacing w:before="37" w:line="220" w:lineRule="auto"/>
        <w:ind w:left="4522"/>
        <w:rPr>
          <w:rFonts w:ascii="宋体" w:hAnsi="宋体" w:eastAsia="宋体" w:cs="宋体"/>
          <w:color w:val="auto"/>
          <w:sz w:val="21"/>
          <w:szCs w:val="21"/>
        </w:rPr>
      </w:pPr>
      <w:r>
        <w:rPr>
          <w:rFonts w:ascii="宋体" w:hAnsi="宋体" w:eastAsia="宋体" w:cs="宋体"/>
          <w:color w:val="auto"/>
          <w:spacing w:val="-13"/>
          <w:sz w:val="21"/>
          <w:szCs w:val="21"/>
        </w:rPr>
        <w:t>日期：</w:t>
      </w:r>
      <w:r>
        <w:rPr>
          <w:rFonts w:ascii="宋体" w:hAnsi="宋体" w:eastAsia="宋体" w:cs="宋体"/>
          <w:color w:val="auto"/>
          <w:spacing w:val="2"/>
          <w:sz w:val="21"/>
          <w:szCs w:val="21"/>
        </w:rPr>
        <w:t xml:space="preserve">    </w:t>
      </w:r>
      <w:r>
        <w:rPr>
          <w:rFonts w:ascii="宋体" w:hAnsi="宋体" w:eastAsia="宋体" w:cs="宋体"/>
          <w:color w:val="auto"/>
          <w:spacing w:val="-13"/>
          <w:sz w:val="21"/>
          <w:szCs w:val="21"/>
        </w:rPr>
        <w:t>年</w:t>
      </w:r>
      <w:r>
        <w:rPr>
          <w:rFonts w:ascii="宋体" w:hAnsi="宋体" w:eastAsia="宋体" w:cs="宋体"/>
          <w:color w:val="auto"/>
          <w:spacing w:val="6"/>
          <w:sz w:val="21"/>
          <w:szCs w:val="21"/>
        </w:rPr>
        <w:t xml:space="preserve">   </w:t>
      </w:r>
      <w:r>
        <w:rPr>
          <w:rFonts w:ascii="宋体" w:hAnsi="宋体" w:eastAsia="宋体" w:cs="宋体"/>
          <w:color w:val="auto"/>
          <w:spacing w:val="-13"/>
          <w:sz w:val="21"/>
          <w:szCs w:val="21"/>
        </w:rPr>
        <w:t>月</w:t>
      </w:r>
      <w:r>
        <w:rPr>
          <w:rFonts w:ascii="宋体" w:hAnsi="宋体" w:eastAsia="宋体" w:cs="宋体"/>
          <w:color w:val="auto"/>
          <w:spacing w:val="17"/>
          <w:sz w:val="21"/>
          <w:szCs w:val="21"/>
        </w:rPr>
        <w:t xml:space="preserve">   </w:t>
      </w:r>
      <w:r>
        <w:rPr>
          <w:rFonts w:ascii="宋体" w:hAnsi="宋体" w:eastAsia="宋体" w:cs="宋体"/>
          <w:color w:val="auto"/>
          <w:spacing w:val="-13"/>
          <w:sz w:val="21"/>
          <w:szCs w:val="21"/>
        </w:rPr>
        <w:t>日</w:t>
      </w:r>
    </w:p>
    <w:p w14:paraId="385C8702">
      <w:pPr>
        <w:spacing w:line="220" w:lineRule="auto"/>
        <w:rPr>
          <w:rFonts w:ascii="宋体" w:hAnsi="宋体" w:eastAsia="宋体" w:cs="宋体"/>
          <w:color w:val="auto"/>
          <w:sz w:val="21"/>
          <w:szCs w:val="21"/>
        </w:rPr>
        <w:sectPr>
          <w:footerReference r:id="rId20" w:type="default"/>
          <w:pgSz w:w="11905" w:h="16838"/>
          <w:pgMar w:top="1417" w:right="1417" w:bottom="1417" w:left="1417" w:header="0" w:footer="1196" w:gutter="0"/>
          <w:pgNumType w:fmt="decimal"/>
          <w:cols w:space="0" w:num="1"/>
          <w:rtlGutter w:val="0"/>
          <w:docGrid w:linePitch="0" w:charSpace="0"/>
        </w:sectPr>
      </w:pPr>
    </w:p>
    <w:p w14:paraId="57556E13">
      <w:pPr>
        <w:spacing w:before="91" w:line="220" w:lineRule="auto"/>
        <w:jc w:val="center"/>
        <w:outlineLvl w:val="1"/>
        <w:rPr>
          <w:rFonts w:hint="eastAsia" w:ascii="宋体" w:hAnsi="宋体" w:eastAsia="宋体" w:cs="宋体"/>
          <w:b/>
          <w:bCs/>
          <w:color w:val="auto"/>
          <w:spacing w:val="-4"/>
          <w:sz w:val="28"/>
          <w:szCs w:val="28"/>
          <w:lang w:eastAsia="zh-CN"/>
        </w:rPr>
      </w:pPr>
      <w:r>
        <w:rPr>
          <w:rFonts w:hint="eastAsia" w:ascii="宋体" w:hAnsi="宋体" w:eastAsia="宋体"/>
          <w:b/>
          <w:color w:val="auto"/>
          <w:sz w:val="28"/>
          <w:szCs w:val="28"/>
          <w:lang w:eastAsia="zh-CN"/>
        </w:rPr>
        <w:t>百色市森林防火智慧预警项目投标</w:t>
      </w:r>
      <w:r>
        <w:rPr>
          <w:rFonts w:hint="eastAsia" w:ascii="宋体" w:hAnsi="宋体" w:eastAsia="宋体" w:cs="宋体"/>
          <w:b/>
          <w:bCs/>
          <w:color w:val="auto"/>
          <w:spacing w:val="-4"/>
          <w:sz w:val="28"/>
          <w:szCs w:val="28"/>
          <w:lang w:eastAsia="zh-CN"/>
        </w:rPr>
        <w:t>报价明细清单</w:t>
      </w:r>
    </w:p>
    <w:tbl>
      <w:tblPr>
        <w:tblStyle w:val="17"/>
        <w:tblW w:w="9854" w:type="dxa"/>
        <w:tblInd w:w="-1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1223"/>
        <w:gridCol w:w="1570"/>
        <w:gridCol w:w="830"/>
        <w:gridCol w:w="820"/>
        <w:gridCol w:w="680"/>
        <w:gridCol w:w="889"/>
        <w:gridCol w:w="1569"/>
        <w:gridCol w:w="1696"/>
      </w:tblGrid>
      <w:tr w14:paraId="4C24C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577" w:type="dxa"/>
            <w:tcBorders>
              <w:top w:val="single" w:color="auto" w:sz="4" w:space="0"/>
              <w:left w:val="single" w:color="auto" w:sz="4" w:space="0"/>
              <w:bottom w:val="single" w:color="auto" w:sz="4" w:space="0"/>
              <w:right w:val="single" w:color="auto" w:sz="4" w:space="0"/>
            </w:tcBorders>
            <w:vAlign w:val="center"/>
          </w:tcPr>
          <w:p w14:paraId="6C1B6E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223" w:type="dxa"/>
            <w:tcBorders>
              <w:top w:val="single" w:color="auto" w:sz="4" w:space="0"/>
              <w:left w:val="single" w:color="auto" w:sz="4" w:space="0"/>
              <w:bottom w:val="single" w:color="auto" w:sz="4" w:space="0"/>
              <w:right w:val="single" w:color="auto" w:sz="4" w:space="0"/>
            </w:tcBorders>
            <w:vAlign w:val="center"/>
          </w:tcPr>
          <w:p w14:paraId="11AE82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标的名称</w:t>
            </w:r>
          </w:p>
        </w:tc>
        <w:tc>
          <w:tcPr>
            <w:tcW w:w="1570" w:type="dxa"/>
            <w:tcBorders>
              <w:top w:val="single" w:color="auto" w:sz="4" w:space="0"/>
              <w:left w:val="single" w:color="auto" w:sz="4" w:space="0"/>
              <w:bottom w:val="single" w:color="auto" w:sz="4" w:space="0"/>
              <w:right w:val="single" w:color="auto" w:sz="4" w:space="0"/>
            </w:tcBorders>
            <w:vAlign w:val="center"/>
          </w:tcPr>
          <w:p w14:paraId="011276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模块名称</w:t>
            </w:r>
          </w:p>
        </w:tc>
        <w:tc>
          <w:tcPr>
            <w:tcW w:w="830" w:type="dxa"/>
            <w:tcBorders>
              <w:top w:val="single" w:color="auto" w:sz="4" w:space="0"/>
              <w:left w:val="single" w:color="auto" w:sz="4" w:space="0"/>
              <w:bottom w:val="single" w:color="auto" w:sz="4" w:space="0"/>
              <w:right w:val="single" w:color="auto" w:sz="4" w:space="0"/>
            </w:tcBorders>
            <w:vAlign w:val="center"/>
          </w:tcPr>
          <w:p w14:paraId="7906FA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规格型号</w:t>
            </w:r>
          </w:p>
        </w:tc>
        <w:tc>
          <w:tcPr>
            <w:tcW w:w="820" w:type="dxa"/>
            <w:tcBorders>
              <w:top w:val="single" w:color="auto" w:sz="4" w:space="0"/>
              <w:left w:val="single" w:color="auto" w:sz="4" w:space="0"/>
              <w:bottom w:val="single" w:color="auto" w:sz="4" w:space="0"/>
              <w:right w:val="single" w:color="auto" w:sz="4" w:space="0"/>
            </w:tcBorders>
            <w:vAlign w:val="center"/>
          </w:tcPr>
          <w:p w14:paraId="372B52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品牌</w:t>
            </w:r>
          </w:p>
        </w:tc>
        <w:tc>
          <w:tcPr>
            <w:tcW w:w="680" w:type="dxa"/>
            <w:tcBorders>
              <w:top w:val="single" w:color="auto" w:sz="4" w:space="0"/>
              <w:left w:val="single" w:color="auto" w:sz="4" w:space="0"/>
              <w:bottom w:val="single" w:color="auto" w:sz="4" w:space="0"/>
              <w:right w:val="single" w:color="auto" w:sz="4" w:space="0"/>
            </w:tcBorders>
            <w:vAlign w:val="center"/>
          </w:tcPr>
          <w:p w14:paraId="433644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数量</w:t>
            </w:r>
          </w:p>
        </w:tc>
        <w:tc>
          <w:tcPr>
            <w:tcW w:w="889" w:type="dxa"/>
            <w:tcBorders>
              <w:top w:val="single" w:color="auto" w:sz="4" w:space="0"/>
              <w:left w:val="single" w:color="auto" w:sz="4" w:space="0"/>
              <w:bottom w:val="single" w:color="auto" w:sz="4" w:space="0"/>
              <w:right w:val="single" w:color="auto" w:sz="4" w:space="0"/>
            </w:tcBorders>
            <w:vAlign w:val="center"/>
          </w:tcPr>
          <w:p w14:paraId="58EF5A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单位</w:t>
            </w:r>
          </w:p>
        </w:tc>
        <w:tc>
          <w:tcPr>
            <w:tcW w:w="1569" w:type="dxa"/>
            <w:tcBorders>
              <w:top w:val="single" w:color="auto" w:sz="4" w:space="0"/>
              <w:left w:val="single" w:color="auto" w:sz="4" w:space="0"/>
              <w:bottom w:val="single" w:color="auto" w:sz="4" w:space="0"/>
              <w:right w:val="single" w:color="auto" w:sz="4" w:space="0"/>
            </w:tcBorders>
            <w:vAlign w:val="center"/>
          </w:tcPr>
          <w:p w14:paraId="0BDD41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单价（元）</w:t>
            </w:r>
          </w:p>
        </w:tc>
        <w:tc>
          <w:tcPr>
            <w:tcW w:w="1696" w:type="dxa"/>
            <w:tcBorders>
              <w:top w:val="single" w:color="auto" w:sz="4" w:space="0"/>
              <w:left w:val="single" w:color="auto" w:sz="4" w:space="0"/>
              <w:bottom w:val="single" w:color="auto" w:sz="4" w:space="0"/>
              <w:right w:val="single" w:color="auto" w:sz="4" w:space="0"/>
            </w:tcBorders>
            <w:vAlign w:val="center"/>
          </w:tcPr>
          <w:p w14:paraId="15F7C0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总价（元）</w:t>
            </w:r>
          </w:p>
        </w:tc>
      </w:tr>
      <w:tr w14:paraId="58D90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577" w:type="dxa"/>
            <w:vMerge w:val="restart"/>
            <w:tcBorders>
              <w:top w:val="single" w:color="auto" w:sz="4" w:space="0"/>
              <w:left w:val="single" w:color="auto" w:sz="4" w:space="0"/>
              <w:right w:val="single" w:color="auto" w:sz="4" w:space="0"/>
            </w:tcBorders>
            <w:vAlign w:val="center"/>
          </w:tcPr>
          <w:p w14:paraId="38AD5F5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223" w:type="dxa"/>
            <w:vMerge w:val="restart"/>
            <w:tcBorders>
              <w:top w:val="single" w:color="auto" w:sz="4" w:space="0"/>
              <w:left w:val="single" w:color="auto" w:sz="4" w:space="0"/>
              <w:right w:val="single" w:color="auto" w:sz="4" w:space="0"/>
            </w:tcBorders>
            <w:vAlign w:val="center"/>
          </w:tcPr>
          <w:p w14:paraId="41C114B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570" w:type="dxa"/>
            <w:tcBorders>
              <w:top w:val="single" w:color="auto" w:sz="4" w:space="0"/>
              <w:left w:val="single" w:color="auto" w:sz="4" w:space="0"/>
              <w:bottom w:val="single" w:color="auto" w:sz="4" w:space="0"/>
              <w:right w:val="single" w:color="auto" w:sz="4" w:space="0"/>
            </w:tcBorders>
            <w:vAlign w:val="center"/>
          </w:tcPr>
          <w:p w14:paraId="316F872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830" w:type="dxa"/>
            <w:tcBorders>
              <w:top w:val="single" w:color="auto" w:sz="4" w:space="0"/>
              <w:left w:val="single" w:color="auto" w:sz="4" w:space="0"/>
              <w:bottom w:val="single" w:color="auto" w:sz="4" w:space="0"/>
              <w:right w:val="single" w:color="auto" w:sz="4" w:space="0"/>
            </w:tcBorders>
            <w:vAlign w:val="center"/>
          </w:tcPr>
          <w:p w14:paraId="23367C9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820" w:type="dxa"/>
            <w:tcBorders>
              <w:top w:val="single" w:color="auto" w:sz="4" w:space="0"/>
              <w:left w:val="single" w:color="auto" w:sz="4" w:space="0"/>
              <w:bottom w:val="single" w:color="auto" w:sz="4" w:space="0"/>
              <w:right w:val="single" w:color="auto" w:sz="4" w:space="0"/>
            </w:tcBorders>
            <w:vAlign w:val="center"/>
          </w:tcPr>
          <w:p w14:paraId="1013E6D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2426EDC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889" w:type="dxa"/>
            <w:tcBorders>
              <w:top w:val="single" w:color="auto" w:sz="4" w:space="0"/>
              <w:left w:val="single" w:color="auto" w:sz="4" w:space="0"/>
              <w:bottom w:val="single" w:color="auto" w:sz="4" w:space="0"/>
              <w:right w:val="single" w:color="auto" w:sz="4" w:space="0"/>
            </w:tcBorders>
            <w:vAlign w:val="center"/>
          </w:tcPr>
          <w:p w14:paraId="62ECF93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569" w:type="dxa"/>
            <w:tcBorders>
              <w:top w:val="single" w:color="auto" w:sz="4" w:space="0"/>
              <w:left w:val="single" w:color="auto" w:sz="4" w:space="0"/>
              <w:bottom w:val="single" w:color="auto" w:sz="4" w:space="0"/>
              <w:right w:val="single" w:color="auto" w:sz="4" w:space="0"/>
            </w:tcBorders>
            <w:vAlign w:val="center"/>
          </w:tcPr>
          <w:p w14:paraId="4400CFC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696" w:type="dxa"/>
            <w:tcBorders>
              <w:top w:val="single" w:color="auto" w:sz="4" w:space="0"/>
              <w:left w:val="single" w:color="auto" w:sz="4" w:space="0"/>
              <w:bottom w:val="single" w:color="auto" w:sz="4" w:space="0"/>
              <w:right w:val="single" w:color="auto" w:sz="4" w:space="0"/>
            </w:tcBorders>
            <w:vAlign w:val="center"/>
          </w:tcPr>
          <w:p w14:paraId="579267D2">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r>
      <w:tr w14:paraId="10030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577" w:type="dxa"/>
            <w:vMerge w:val="continue"/>
            <w:tcBorders>
              <w:left w:val="single" w:color="auto" w:sz="4" w:space="0"/>
              <w:bottom w:val="single" w:color="auto" w:sz="4" w:space="0"/>
              <w:right w:val="single" w:color="auto" w:sz="4" w:space="0"/>
            </w:tcBorders>
            <w:vAlign w:val="center"/>
          </w:tcPr>
          <w:p w14:paraId="711548C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223" w:type="dxa"/>
            <w:vMerge w:val="continue"/>
            <w:tcBorders>
              <w:left w:val="single" w:color="auto" w:sz="4" w:space="0"/>
              <w:bottom w:val="single" w:color="auto" w:sz="4" w:space="0"/>
              <w:right w:val="single" w:color="auto" w:sz="4" w:space="0"/>
            </w:tcBorders>
            <w:vAlign w:val="center"/>
          </w:tcPr>
          <w:p w14:paraId="7A5ED10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570" w:type="dxa"/>
            <w:tcBorders>
              <w:top w:val="single" w:color="auto" w:sz="4" w:space="0"/>
              <w:left w:val="single" w:color="auto" w:sz="4" w:space="0"/>
              <w:bottom w:val="single" w:color="auto" w:sz="4" w:space="0"/>
              <w:right w:val="single" w:color="auto" w:sz="4" w:space="0"/>
            </w:tcBorders>
            <w:vAlign w:val="center"/>
          </w:tcPr>
          <w:p w14:paraId="0B943AB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830" w:type="dxa"/>
            <w:tcBorders>
              <w:top w:val="single" w:color="auto" w:sz="4" w:space="0"/>
              <w:left w:val="single" w:color="auto" w:sz="4" w:space="0"/>
              <w:bottom w:val="single" w:color="auto" w:sz="4" w:space="0"/>
              <w:right w:val="single" w:color="auto" w:sz="4" w:space="0"/>
            </w:tcBorders>
            <w:vAlign w:val="center"/>
          </w:tcPr>
          <w:p w14:paraId="40F696E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820" w:type="dxa"/>
            <w:tcBorders>
              <w:top w:val="single" w:color="auto" w:sz="4" w:space="0"/>
              <w:left w:val="single" w:color="auto" w:sz="4" w:space="0"/>
              <w:bottom w:val="single" w:color="auto" w:sz="4" w:space="0"/>
              <w:right w:val="single" w:color="auto" w:sz="4" w:space="0"/>
            </w:tcBorders>
            <w:vAlign w:val="center"/>
          </w:tcPr>
          <w:p w14:paraId="0263E86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324EA89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889" w:type="dxa"/>
            <w:tcBorders>
              <w:top w:val="single" w:color="auto" w:sz="4" w:space="0"/>
              <w:left w:val="single" w:color="auto" w:sz="4" w:space="0"/>
              <w:bottom w:val="single" w:color="auto" w:sz="4" w:space="0"/>
              <w:right w:val="single" w:color="auto" w:sz="4" w:space="0"/>
            </w:tcBorders>
            <w:vAlign w:val="center"/>
          </w:tcPr>
          <w:p w14:paraId="1879CBC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569" w:type="dxa"/>
            <w:tcBorders>
              <w:top w:val="single" w:color="auto" w:sz="4" w:space="0"/>
              <w:left w:val="single" w:color="auto" w:sz="4" w:space="0"/>
              <w:bottom w:val="single" w:color="auto" w:sz="4" w:space="0"/>
              <w:right w:val="single" w:color="auto" w:sz="4" w:space="0"/>
            </w:tcBorders>
            <w:vAlign w:val="center"/>
          </w:tcPr>
          <w:p w14:paraId="45C5A1A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696" w:type="dxa"/>
            <w:tcBorders>
              <w:top w:val="single" w:color="auto" w:sz="4" w:space="0"/>
              <w:left w:val="single" w:color="auto" w:sz="4" w:space="0"/>
              <w:bottom w:val="single" w:color="auto" w:sz="4" w:space="0"/>
              <w:right w:val="single" w:color="auto" w:sz="4" w:space="0"/>
            </w:tcBorders>
            <w:vAlign w:val="center"/>
          </w:tcPr>
          <w:p w14:paraId="1E25C63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r>
      <w:tr w14:paraId="2402C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trPr>
        <w:tc>
          <w:tcPr>
            <w:tcW w:w="577" w:type="dxa"/>
            <w:vMerge w:val="restart"/>
            <w:tcBorders>
              <w:top w:val="single" w:color="auto" w:sz="4" w:space="0"/>
              <w:left w:val="single" w:color="auto" w:sz="4" w:space="0"/>
              <w:right w:val="single" w:color="auto" w:sz="4" w:space="0"/>
            </w:tcBorders>
            <w:vAlign w:val="center"/>
          </w:tcPr>
          <w:p w14:paraId="61E9264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1223" w:type="dxa"/>
            <w:vMerge w:val="restart"/>
            <w:tcBorders>
              <w:top w:val="single" w:color="auto" w:sz="4" w:space="0"/>
              <w:left w:val="single" w:color="auto" w:sz="4" w:space="0"/>
              <w:right w:val="single" w:color="auto" w:sz="4" w:space="0"/>
            </w:tcBorders>
            <w:vAlign w:val="center"/>
          </w:tcPr>
          <w:p w14:paraId="721BD2D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570" w:type="dxa"/>
            <w:tcBorders>
              <w:top w:val="single" w:color="auto" w:sz="4" w:space="0"/>
              <w:left w:val="single" w:color="auto" w:sz="4" w:space="0"/>
              <w:bottom w:val="single" w:color="auto" w:sz="4" w:space="0"/>
              <w:right w:val="single" w:color="auto" w:sz="4" w:space="0"/>
            </w:tcBorders>
            <w:vAlign w:val="center"/>
          </w:tcPr>
          <w:p w14:paraId="73860B4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830" w:type="dxa"/>
            <w:tcBorders>
              <w:top w:val="single" w:color="auto" w:sz="4" w:space="0"/>
              <w:left w:val="single" w:color="auto" w:sz="4" w:space="0"/>
              <w:bottom w:val="single" w:color="auto" w:sz="4" w:space="0"/>
              <w:right w:val="single" w:color="auto" w:sz="4" w:space="0"/>
            </w:tcBorders>
            <w:vAlign w:val="center"/>
          </w:tcPr>
          <w:p w14:paraId="0C1E321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820" w:type="dxa"/>
            <w:tcBorders>
              <w:top w:val="single" w:color="auto" w:sz="4" w:space="0"/>
              <w:left w:val="single" w:color="auto" w:sz="4" w:space="0"/>
              <w:bottom w:val="single" w:color="auto" w:sz="4" w:space="0"/>
              <w:right w:val="single" w:color="auto" w:sz="4" w:space="0"/>
            </w:tcBorders>
            <w:vAlign w:val="center"/>
          </w:tcPr>
          <w:p w14:paraId="5D1A244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5DB1F05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889" w:type="dxa"/>
            <w:tcBorders>
              <w:top w:val="single" w:color="auto" w:sz="4" w:space="0"/>
              <w:left w:val="single" w:color="auto" w:sz="4" w:space="0"/>
              <w:bottom w:val="single" w:color="auto" w:sz="4" w:space="0"/>
              <w:right w:val="single" w:color="auto" w:sz="4" w:space="0"/>
            </w:tcBorders>
            <w:vAlign w:val="center"/>
          </w:tcPr>
          <w:p w14:paraId="0254788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569" w:type="dxa"/>
            <w:tcBorders>
              <w:top w:val="single" w:color="auto" w:sz="4" w:space="0"/>
              <w:left w:val="single" w:color="auto" w:sz="4" w:space="0"/>
              <w:bottom w:val="single" w:color="auto" w:sz="4" w:space="0"/>
              <w:right w:val="single" w:color="auto" w:sz="4" w:space="0"/>
            </w:tcBorders>
            <w:vAlign w:val="center"/>
          </w:tcPr>
          <w:p w14:paraId="65B3D24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696" w:type="dxa"/>
            <w:tcBorders>
              <w:top w:val="single" w:color="auto" w:sz="4" w:space="0"/>
              <w:left w:val="single" w:color="auto" w:sz="4" w:space="0"/>
              <w:bottom w:val="single" w:color="auto" w:sz="4" w:space="0"/>
              <w:right w:val="single" w:color="auto" w:sz="4" w:space="0"/>
            </w:tcBorders>
            <w:vAlign w:val="center"/>
          </w:tcPr>
          <w:p w14:paraId="5533540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r>
      <w:tr w14:paraId="3DC8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577" w:type="dxa"/>
            <w:vMerge w:val="continue"/>
            <w:tcBorders>
              <w:left w:val="single" w:color="auto" w:sz="4" w:space="0"/>
              <w:bottom w:val="single" w:color="auto" w:sz="4" w:space="0"/>
              <w:right w:val="single" w:color="auto" w:sz="4" w:space="0"/>
            </w:tcBorders>
            <w:vAlign w:val="center"/>
          </w:tcPr>
          <w:p w14:paraId="6075985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lang w:val="en-US" w:eastAsia="zh-CN"/>
              </w:rPr>
            </w:pPr>
          </w:p>
        </w:tc>
        <w:tc>
          <w:tcPr>
            <w:tcW w:w="1223" w:type="dxa"/>
            <w:vMerge w:val="continue"/>
            <w:tcBorders>
              <w:left w:val="single" w:color="auto" w:sz="4" w:space="0"/>
              <w:bottom w:val="single" w:color="auto" w:sz="4" w:space="0"/>
              <w:right w:val="single" w:color="auto" w:sz="4" w:space="0"/>
            </w:tcBorders>
            <w:vAlign w:val="center"/>
          </w:tcPr>
          <w:p w14:paraId="6B51FB4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570" w:type="dxa"/>
            <w:tcBorders>
              <w:top w:val="single" w:color="auto" w:sz="4" w:space="0"/>
              <w:left w:val="single" w:color="auto" w:sz="4" w:space="0"/>
              <w:bottom w:val="single" w:color="auto" w:sz="4" w:space="0"/>
              <w:right w:val="single" w:color="auto" w:sz="4" w:space="0"/>
            </w:tcBorders>
            <w:vAlign w:val="center"/>
          </w:tcPr>
          <w:p w14:paraId="4A0C40B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830" w:type="dxa"/>
            <w:tcBorders>
              <w:top w:val="single" w:color="auto" w:sz="4" w:space="0"/>
              <w:left w:val="single" w:color="auto" w:sz="4" w:space="0"/>
              <w:bottom w:val="single" w:color="auto" w:sz="4" w:space="0"/>
              <w:right w:val="single" w:color="auto" w:sz="4" w:space="0"/>
            </w:tcBorders>
            <w:vAlign w:val="center"/>
          </w:tcPr>
          <w:p w14:paraId="3C2D8A6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820" w:type="dxa"/>
            <w:tcBorders>
              <w:top w:val="single" w:color="auto" w:sz="4" w:space="0"/>
              <w:left w:val="single" w:color="auto" w:sz="4" w:space="0"/>
              <w:bottom w:val="single" w:color="auto" w:sz="4" w:space="0"/>
              <w:right w:val="single" w:color="auto" w:sz="4" w:space="0"/>
            </w:tcBorders>
            <w:vAlign w:val="center"/>
          </w:tcPr>
          <w:p w14:paraId="71B9CA2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25C73FA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889" w:type="dxa"/>
            <w:tcBorders>
              <w:top w:val="single" w:color="auto" w:sz="4" w:space="0"/>
              <w:left w:val="single" w:color="auto" w:sz="4" w:space="0"/>
              <w:bottom w:val="single" w:color="auto" w:sz="4" w:space="0"/>
              <w:right w:val="single" w:color="auto" w:sz="4" w:space="0"/>
            </w:tcBorders>
            <w:vAlign w:val="center"/>
          </w:tcPr>
          <w:p w14:paraId="364918C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569" w:type="dxa"/>
            <w:tcBorders>
              <w:top w:val="single" w:color="auto" w:sz="4" w:space="0"/>
              <w:left w:val="single" w:color="auto" w:sz="4" w:space="0"/>
              <w:bottom w:val="single" w:color="auto" w:sz="4" w:space="0"/>
              <w:right w:val="single" w:color="auto" w:sz="4" w:space="0"/>
            </w:tcBorders>
            <w:vAlign w:val="center"/>
          </w:tcPr>
          <w:p w14:paraId="54C0856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696" w:type="dxa"/>
            <w:tcBorders>
              <w:top w:val="single" w:color="auto" w:sz="4" w:space="0"/>
              <w:left w:val="single" w:color="auto" w:sz="4" w:space="0"/>
              <w:bottom w:val="single" w:color="auto" w:sz="4" w:space="0"/>
              <w:right w:val="single" w:color="auto" w:sz="4" w:space="0"/>
            </w:tcBorders>
            <w:vAlign w:val="center"/>
          </w:tcPr>
          <w:p w14:paraId="0B9ACBE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r>
      <w:tr w14:paraId="782D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577" w:type="dxa"/>
            <w:tcBorders>
              <w:top w:val="single" w:color="auto" w:sz="4" w:space="0"/>
              <w:left w:val="single" w:color="auto" w:sz="4" w:space="0"/>
              <w:bottom w:val="single" w:color="auto" w:sz="4" w:space="0"/>
              <w:right w:val="single" w:color="auto" w:sz="4" w:space="0"/>
            </w:tcBorders>
            <w:vAlign w:val="center"/>
          </w:tcPr>
          <w:p w14:paraId="6FC2D0CB">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1223" w:type="dxa"/>
            <w:tcBorders>
              <w:top w:val="single" w:color="auto" w:sz="4" w:space="0"/>
              <w:left w:val="single" w:color="auto" w:sz="4" w:space="0"/>
              <w:bottom w:val="single" w:color="auto" w:sz="4" w:space="0"/>
              <w:right w:val="single" w:color="auto" w:sz="4" w:space="0"/>
            </w:tcBorders>
            <w:vAlign w:val="center"/>
          </w:tcPr>
          <w:p w14:paraId="7197423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570" w:type="dxa"/>
            <w:tcBorders>
              <w:top w:val="single" w:color="auto" w:sz="4" w:space="0"/>
              <w:left w:val="single" w:color="auto" w:sz="4" w:space="0"/>
              <w:bottom w:val="single" w:color="auto" w:sz="4" w:space="0"/>
              <w:right w:val="single" w:color="auto" w:sz="4" w:space="0"/>
            </w:tcBorders>
            <w:vAlign w:val="center"/>
          </w:tcPr>
          <w:p w14:paraId="5911479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830" w:type="dxa"/>
            <w:tcBorders>
              <w:top w:val="single" w:color="auto" w:sz="4" w:space="0"/>
              <w:left w:val="single" w:color="auto" w:sz="4" w:space="0"/>
              <w:bottom w:val="single" w:color="auto" w:sz="4" w:space="0"/>
              <w:right w:val="single" w:color="auto" w:sz="4" w:space="0"/>
            </w:tcBorders>
            <w:vAlign w:val="center"/>
          </w:tcPr>
          <w:p w14:paraId="143FAC9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820" w:type="dxa"/>
            <w:tcBorders>
              <w:top w:val="single" w:color="auto" w:sz="4" w:space="0"/>
              <w:left w:val="single" w:color="auto" w:sz="4" w:space="0"/>
              <w:bottom w:val="single" w:color="auto" w:sz="4" w:space="0"/>
              <w:right w:val="single" w:color="auto" w:sz="4" w:space="0"/>
            </w:tcBorders>
            <w:vAlign w:val="center"/>
          </w:tcPr>
          <w:p w14:paraId="6A3428F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680" w:type="dxa"/>
            <w:tcBorders>
              <w:top w:val="single" w:color="auto" w:sz="4" w:space="0"/>
              <w:left w:val="single" w:color="auto" w:sz="4" w:space="0"/>
              <w:bottom w:val="single" w:color="auto" w:sz="4" w:space="0"/>
              <w:right w:val="single" w:color="auto" w:sz="4" w:space="0"/>
            </w:tcBorders>
            <w:vAlign w:val="center"/>
          </w:tcPr>
          <w:p w14:paraId="11E00A1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889" w:type="dxa"/>
            <w:tcBorders>
              <w:top w:val="single" w:color="auto" w:sz="4" w:space="0"/>
              <w:left w:val="single" w:color="auto" w:sz="4" w:space="0"/>
              <w:bottom w:val="single" w:color="auto" w:sz="4" w:space="0"/>
              <w:right w:val="single" w:color="auto" w:sz="4" w:space="0"/>
            </w:tcBorders>
            <w:vAlign w:val="center"/>
          </w:tcPr>
          <w:p w14:paraId="00C78AB9">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569" w:type="dxa"/>
            <w:tcBorders>
              <w:top w:val="single" w:color="auto" w:sz="4" w:space="0"/>
              <w:left w:val="single" w:color="auto" w:sz="4" w:space="0"/>
              <w:bottom w:val="single" w:color="auto" w:sz="4" w:space="0"/>
              <w:right w:val="single" w:color="auto" w:sz="4" w:space="0"/>
            </w:tcBorders>
            <w:vAlign w:val="center"/>
          </w:tcPr>
          <w:p w14:paraId="1939E01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c>
          <w:tcPr>
            <w:tcW w:w="1696" w:type="dxa"/>
            <w:tcBorders>
              <w:top w:val="single" w:color="auto" w:sz="4" w:space="0"/>
              <w:left w:val="single" w:color="auto" w:sz="4" w:space="0"/>
              <w:bottom w:val="single" w:color="auto" w:sz="4" w:space="0"/>
              <w:right w:val="single" w:color="auto" w:sz="4" w:space="0"/>
            </w:tcBorders>
            <w:vAlign w:val="center"/>
          </w:tcPr>
          <w:p w14:paraId="4E8F5BD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1"/>
                <w:szCs w:val="21"/>
              </w:rPr>
            </w:pPr>
          </w:p>
        </w:tc>
      </w:tr>
      <w:tr w14:paraId="5D77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854" w:type="dxa"/>
            <w:gridSpan w:val="9"/>
            <w:tcBorders>
              <w:top w:val="single" w:color="auto" w:sz="4" w:space="0"/>
              <w:left w:val="single" w:color="auto" w:sz="4" w:space="0"/>
              <w:bottom w:val="single" w:color="auto" w:sz="4" w:space="0"/>
              <w:right w:val="single" w:color="auto" w:sz="4" w:space="0"/>
            </w:tcBorders>
            <w:vAlign w:val="center"/>
          </w:tcPr>
          <w:p w14:paraId="29C3D8DF">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投标总报价：</w:t>
            </w:r>
            <w:r>
              <w:rPr>
                <w:rFonts w:hint="eastAsia" w:ascii="宋体" w:hAnsi="宋体" w:eastAsia="宋体" w:cs="宋体"/>
                <w:color w:val="auto"/>
                <w:sz w:val="21"/>
                <w:szCs w:val="21"/>
              </w:rPr>
              <w:t>（大写）：</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w:t>
            </w:r>
          </w:p>
        </w:tc>
      </w:tr>
      <w:tr w14:paraId="1996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854" w:type="dxa"/>
            <w:gridSpan w:val="9"/>
            <w:tcBorders>
              <w:top w:val="single" w:color="auto" w:sz="4" w:space="0"/>
              <w:left w:val="single" w:color="auto" w:sz="4" w:space="0"/>
              <w:bottom w:val="single" w:color="auto" w:sz="4" w:space="0"/>
              <w:right w:val="single" w:color="auto" w:sz="4" w:space="0"/>
            </w:tcBorders>
            <w:vAlign w:val="center"/>
          </w:tcPr>
          <w:p w14:paraId="030D21BE">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合同履约期限：</w:t>
            </w:r>
          </w:p>
        </w:tc>
      </w:tr>
    </w:tbl>
    <w:p w14:paraId="704D97B0">
      <w:pPr>
        <w:spacing w:before="185" w:line="344" w:lineRule="auto"/>
        <w:ind w:left="4483" w:right="224" w:hanging="813"/>
        <w:rPr>
          <w:rFonts w:ascii="宋体" w:hAnsi="宋体" w:eastAsia="宋体" w:cs="宋体"/>
          <w:color w:val="auto"/>
          <w:sz w:val="21"/>
          <w:szCs w:val="21"/>
        </w:rPr>
      </w:pPr>
      <w:r>
        <w:rPr>
          <w:rFonts w:ascii="宋体" w:hAnsi="宋体" w:eastAsia="宋体" w:cs="宋体"/>
          <w:color w:val="auto"/>
          <w:spacing w:val="-6"/>
          <w:sz w:val="21"/>
          <w:szCs w:val="21"/>
        </w:rPr>
        <w:t>投标人名称（电子签章</w:t>
      </w:r>
      <w:r>
        <w:rPr>
          <w:rFonts w:ascii="宋体" w:hAnsi="宋体" w:eastAsia="宋体" w:cs="宋体"/>
          <w:color w:val="auto"/>
          <w:spacing w:val="-2"/>
          <w:sz w:val="21"/>
          <w:szCs w:val="21"/>
        </w:rPr>
        <w:t>）：</w:t>
      </w:r>
      <w:r>
        <w:rPr>
          <w:rFonts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p>
    <w:p w14:paraId="5CA94C4B">
      <w:pPr>
        <w:spacing w:before="37" w:line="220" w:lineRule="auto"/>
        <w:ind w:left="4522"/>
        <w:rPr>
          <w:rFonts w:ascii="宋体" w:hAnsi="宋体" w:eastAsia="宋体" w:cs="宋体"/>
          <w:color w:val="auto"/>
          <w:sz w:val="21"/>
          <w:szCs w:val="21"/>
        </w:rPr>
      </w:pPr>
      <w:r>
        <w:rPr>
          <w:rFonts w:ascii="宋体" w:hAnsi="宋体" w:eastAsia="宋体" w:cs="宋体"/>
          <w:color w:val="auto"/>
          <w:spacing w:val="-13"/>
          <w:sz w:val="21"/>
          <w:szCs w:val="21"/>
        </w:rPr>
        <w:t>日期：</w:t>
      </w:r>
      <w:r>
        <w:rPr>
          <w:rFonts w:ascii="宋体" w:hAnsi="宋体" w:eastAsia="宋体" w:cs="宋体"/>
          <w:color w:val="auto"/>
          <w:spacing w:val="2"/>
          <w:sz w:val="21"/>
          <w:szCs w:val="21"/>
        </w:rPr>
        <w:t xml:space="preserve">    </w:t>
      </w:r>
      <w:r>
        <w:rPr>
          <w:rFonts w:ascii="宋体" w:hAnsi="宋体" w:eastAsia="宋体" w:cs="宋体"/>
          <w:color w:val="auto"/>
          <w:spacing w:val="-13"/>
          <w:sz w:val="21"/>
          <w:szCs w:val="21"/>
        </w:rPr>
        <w:t>年</w:t>
      </w:r>
      <w:r>
        <w:rPr>
          <w:rFonts w:ascii="宋体" w:hAnsi="宋体" w:eastAsia="宋体" w:cs="宋体"/>
          <w:color w:val="auto"/>
          <w:spacing w:val="6"/>
          <w:sz w:val="21"/>
          <w:szCs w:val="21"/>
        </w:rPr>
        <w:t xml:space="preserve">   </w:t>
      </w:r>
      <w:r>
        <w:rPr>
          <w:rFonts w:ascii="宋体" w:hAnsi="宋体" w:eastAsia="宋体" w:cs="宋体"/>
          <w:color w:val="auto"/>
          <w:spacing w:val="-13"/>
          <w:sz w:val="21"/>
          <w:szCs w:val="21"/>
        </w:rPr>
        <w:t>月</w:t>
      </w:r>
      <w:r>
        <w:rPr>
          <w:rFonts w:ascii="宋体" w:hAnsi="宋体" w:eastAsia="宋体" w:cs="宋体"/>
          <w:color w:val="auto"/>
          <w:spacing w:val="17"/>
          <w:sz w:val="21"/>
          <w:szCs w:val="21"/>
        </w:rPr>
        <w:t xml:space="preserve">   </w:t>
      </w:r>
      <w:r>
        <w:rPr>
          <w:rFonts w:ascii="宋体" w:hAnsi="宋体" w:eastAsia="宋体" w:cs="宋体"/>
          <w:color w:val="auto"/>
          <w:spacing w:val="-13"/>
          <w:sz w:val="21"/>
          <w:szCs w:val="21"/>
        </w:rPr>
        <w:t>日</w:t>
      </w:r>
    </w:p>
    <w:p w14:paraId="054AD38B">
      <w:pPr>
        <w:spacing w:line="220" w:lineRule="auto"/>
        <w:rPr>
          <w:rFonts w:ascii="宋体" w:hAnsi="宋体" w:eastAsia="宋体" w:cs="宋体"/>
          <w:color w:val="auto"/>
          <w:sz w:val="21"/>
          <w:szCs w:val="21"/>
        </w:rPr>
        <w:sectPr>
          <w:footerReference r:id="rId21" w:type="default"/>
          <w:pgSz w:w="11905" w:h="16838"/>
          <w:pgMar w:top="1417" w:right="1417" w:bottom="1417" w:left="1417" w:header="0" w:footer="1196" w:gutter="0"/>
          <w:pgNumType w:fmt="decimal"/>
          <w:cols w:space="0" w:num="1"/>
          <w:rtlGutter w:val="0"/>
          <w:docGrid w:linePitch="0" w:charSpace="0"/>
        </w:sectPr>
      </w:pPr>
    </w:p>
    <w:p w14:paraId="1EAF3BA4">
      <w:pPr>
        <w:spacing w:before="91" w:line="220" w:lineRule="auto"/>
        <w:outlineLvl w:val="1"/>
        <w:rPr>
          <w:rFonts w:ascii="宋体" w:hAnsi="宋体" w:eastAsia="宋体" w:cs="宋体"/>
          <w:b/>
          <w:bCs/>
          <w:color w:val="auto"/>
          <w:spacing w:val="-4"/>
          <w:sz w:val="28"/>
          <w:szCs w:val="28"/>
        </w:rPr>
      </w:pPr>
    </w:p>
    <w:p w14:paraId="40C4029A">
      <w:pPr>
        <w:spacing w:before="91" w:line="220" w:lineRule="auto"/>
        <w:outlineLvl w:val="1"/>
        <w:rPr>
          <w:rFonts w:ascii="宋体" w:hAnsi="宋体" w:eastAsia="宋体" w:cs="宋体"/>
          <w:color w:val="auto"/>
          <w:sz w:val="28"/>
          <w:szCs w:val="28"/>
        </w:rPr>
      </w:pPr>
      <w:r>
        <w:rPr>
          <w:rFonts w:ascii="宋体" w:hAnsi="宋体" w:eastAsia="宋体" w:cs="宋体"/>
          <w:b/>
          <w:bCs/>
          <w:color w:val="auto"/>
          <w:spacing w:val="-4"/>
          <w:sz w:val="28"/>
          <w:szCs w:val="28"/>
        </w:rPr>
        <w:t>二、资格证明文件格式</w:t>
      </w:r>
    </w:p>
    <w:p w14:paraId="2DE2EFF1">
      <w:pPr>
        <w:spacing w:before="144" w:line="220" w:lineRule="auto"/>
        <w:ind w:left="11"/>
        <w:outlineLvl w:val="2"/>
        <w:rPr>
          <w:rFonts w:ascii="宋体" w:hAnsi="宋体" w:eastAsia="宋体" w:cs="宋体"/>
          <w:color w:val="auto"/>
          <w:sz w:val="24"/>
          <w:szCs w:val="24"/>
        </w:rPr>
      </w:pPr>
      <w:r>
        <w:rPr>
          <w:rFonts w:ascii="宋体" w:hAnsi="宋体" w:eastAsia="宋体" w:cs="宋体"/>
          <w:b/>
          <w:bCs/>
          <w:color w:val="auto"/>
          <w:spacing w:val="-9"/>
          <w:sz w:val="24"/>
          <w:szCs w:val="24"/>
        </w:rPr>
        <w:t>1.</w:t>
      </w:r>
      <w:r>
        <w:rPr>
          <w:rFonts w:ascii="宋体" w:hAnsi="宋体" w:eastAsia="宋体" w:cs="宋体"/>
          <w:color w:val="auto"/>
          <w:spacing w:val="87"/>
          <w:sz w:val="24"/>
          <w:szCs w:val="24"/>
        </w:rPr>
        <w:t xml:space="preserve"> </w:t>
      </w:r>
      <w:r>
        <w:rPr>
          <w:rFonts w:ascii="宋体" w:hAnsi="宋体" w:eastAsia="宋体" w:cs="宋体"/>
          <w:b/>
          <w:bCs/>
          <w:color w:val="auto"/>
          <w:spacing w:val="-9"/>
          <w:sz w:val="24"/>
          <w:szCs w:val="24"/>
        </w:rPr>
        <w:t>资格证明文件封面格式：</w:t>
      </w:r>
    </w:p>
    <w:p w14:paraId="2EFE9B6D">
      <w:pPr>
        <w:spacing w:line="268" w:lineRule="auto"/>
        <w:rPr>
          <w:rFonts w:ascii="Arial"/>
          <w:color w:val="auto"/>
          <w:sz w:val="21"/>
        </w:rPr>
      </w:pPr>
    </w:p>
    <w:p w14:paraId="63D9C10B">
      <w:pPr>
        <w:spacing w:before="206" w:line="195" w:lineRule="auto"/>
        <w:ind w:left="2825"/>
        <w:outlineLvl w:val="3"/>
        <w:rPr>
          <w:rFonts w:ascii="微软雅黑" w:hAnsi="微软雅黑" w:eastAsia="微软雅黑" w:cs="微软雅黑"/>
          <w:color w:val="auto"/>
          <w:sz w:val="48"/>
          <w:szCs w:val="48"/>
        </w:rPr>
      </w:pPr>
      <w:r>
        <w:rPr>
          <w:rFonts w:ascii="微软雅黑" w:hAnsi="微软雅黑" w:eastAsia="微软雅黑" w:cs="微软雅黑"/>
          <w:color w:val="auto"/>
          <w:spacing w:val="-5"/>
          <w:sz w:val="48"/>
          <w:szCs w:val="48"/>
        </w:rPr>
        <w:t>电子投标文件</w:t>
      </w:r>
    </w:p>
    <w:p w14:paraId="4B4E3F8B">
      <w:pPr>
        <w:spacing w:line="437" w:lineRule="auto"/>
        <w:rPr>
          <w:rFonts w:ascii="Arial"/>
          <w:color w:val="auto"/>
          <w:sz w:val="21"/>
        </w:rPr>
      </w:pPr>
    </w:p>
    <w:p w14:paraId="1B04BC3F">
      <w:pPr>
        <w:spacing w:before="101" w:line="225" w:lineRule="auto"/>
        <w:ind w:left="3299"/>
        <w:rPr>
          <w:rFonts w:ascii="宋体" w:hAnsi="宋体" w:eastAsia="宋体" w:cs="宋体"/>
          <w:color w:val="auto"/>
          <w:sz w:val="31"/>
          <w:szCs w:val="31"/>
        </w:rPr>
      </w:pPr>
      <w:r>
        <w:rPr>
          <w:rFonts w:ascii="宋体" w:hAnsi="宋体" w:eastAsia="宋体" w:cs="宋体"/>
          <w:b/>
          <w:bCs/>
          <w:color w:val="auto"/>
          <w:spacing w:val="3"/>
          <w:sz w:val="31"/>
          <w:szCs w:val="31"/>
        </w:rPr>
        <w:t>资格证明文件</w:t>
      </w:r>
    </w:p>
    <w:p w14:paraId="323E7CBC">
      <w:pPr>
        <w:spacing w:line="255" w:lineRule="auto"/>
        <w:rPr>
          <w:rFonts w:ascii="Arial"/>
          <w:color w:val="auto"/>
          <w:sz w:val="21"/>
        </w:rPr>
      </w:pPr>
    </w:p>
    <w:p w14:paraId="661DEE33">
      <w:pPr>
        <w:spacing w:line="255" w:lineRule="auto"/>
        <w:rPr>
          <w:rFonts w:ascii="Arial"/>
          <w:color w:val="auto"/>
          <w:sz w:val="21"/>
        </w:rPr>
      </w:pPr>
    </w:p>
    <w:p w14:paraId="4DC43D9E">
      <w:pPr>
        <w:spacing w:line="255" w:lineRule="auto"/>
        <w:rPr>
          <w:rFonts w:ascii="Arial"/>
          <w:color w:val="auto"/>
          <w:sz w:val="21"/>
        </w:rPr>
      </w:pPr>
    </w:p>
    <w:p w14:paraId="657476C2">
      <w:pPr>
        <w:spacing w:line="256" w:lineRule="auto"/>
        <w:rPr>
          <w:rFonts w:ascii="Arial"/>
          <w:color w:val="auto"/>
          <w:sz w:val="21"/>
        </w:rPr>
      </w:pPr>
    </w:p>
    <w:p w14:paraId="2F94F904">
      <w:pPr>
        <w:spacing w:line="256" w:lineRule="auto"/>
        <w:rPr>
          <w:rFonts w:ascii="Arial"/>
          <w:color w:val="auto"/>
          <w:sz w:val="21"/>
        </w:rPr>
      </w:pPr>
    </w:p>
    <w:p w14:paraId="3CE8B9D1">
      <w:pPr>
        <w:spacing w:line="256" w:lineRule="auto"/>
        <w:rPr>
          <w:rFonts w:ascii="Arial"/>
          <w:color w:val="auto"/>
          <w:sz w:val="21"/>
        </w:rPr>
      </w:pPr>
    </w:p>
    <w:p w14:paraId="06C91B75">
      <w:pPr>
        <w:spacing w:line="256" w:lineRule="auto"/>
        <w:rPr>
          <w:rFonts w:ascii="Arial"/>
          <w:color w:val="auto"/>
          <w:sz w:val="21"/>
        </w:rPr>
      </w:pPr>
    </w:p>
    <w:p w14:paraId="09A6B7CD">
      <w:pPr>
        <w:spacing w:line="256" w:lineRule="auto"/>
        <w:rPr>
          <w:rFonts w:ascii="Arial"/>
          <w:color w:val="auto"/>
          <w:sz w:val="21"/>
        </w:rPr>
      </w:pPr>
    </w:p>
    <w:p w14:paraId="40BABBB7">
      <w:pPr>
        <w:spacing w:line="256" w:lineRule="auto"/>
        <w:rPr>
          <w:rFonts w:ascii="Arial"/>
          <w:color w:val="auto"/>
          <w:sz w:val="21"/>
        </w:rPr>
      </w:pPr>
    </w:p>
    <w:p w14:paraId="1386348E">
      <w:pPr>
        <w:spacing w:line="256" w:lineRule="auto"/>
        <w:rPr>
          <w:rFonts w:ascii="Arial"/>
          <w:color w:val="auto"/>
          <w:sz w:val="21"/>
        </w:rPr>
      </w:pPr>
    </w:p>
    <w:p w14:paraId="4F950711">
      <w:pPr>
        <w:spacing w:line="256" w:lineRule="auto"/>
        <w:rPr>
          <w:rFonts w:ascii="Arial"/>
          <w:color w:val="auto"/>
          <w:sz w:val="21"/>
        </w:rPr>
      </w:pPr>
    </w:p>
    <w:p w14:paraId="1B210535">
      <w:pPr>
        <w:spacing w:line="256" w:lineRule="auto"/>
        <w:rPr>
          <w:rFonts w:ascii="Arial"/>
          <w:color w:val="auto"/>
          <w:sz w:val="21"/>
        </w:rPr>
      </w:pPr>
    </w:p>
    <w:p w14:paraId="4D7B845C">
      <w:pPr>
        <w:spacing w:before="78" w:line="220" w:lineRule="auto"/>
        <w:ind w:left="537"/>
        <w:rPr>
          <w:rFonts w:ascii="宋体" w:hAnsi="宋体" w:eastAsia="宋体" w:cs="宋体"/>
          <w:color w:val="auto"/>
          <w:sz w:val="24"/>
          <w:szCs w:val="24"/>
        </w:rPr>
      </w:pPr>
      <w:r>
        <w:rPr>
          <w:rFonts w:ascii="宋体" w:hAnsi="宋体" w:eastAsia="宋体" w:cs="宋体"/>
          <w:color w:val="auto"/>
          <w:spacing w:val="-11"/>
          <w:sz w:val="24"/>
          <w:szCs w:val="24"/>
        </w:rPr>
        <w:t>项目名称：</w:t>
      </w:r>
    </w:p>
    <w:p w14:paraId="40D9A501">
      <w:pPr>
        <w:spacing w:line="246" w:lineRule="auto"/>
        <w:rPr>
          <w:rFonts w:ascii="Arial"/>
          <w:color w:val="auto"/>
          <w:sz w:val="21"/>
        </w:rPr>
      </w:pPr>
    </w:p>
    <w:p w14:paraId="6BB0FCD6">
      <w:pPr>
        <w:spacing w:line="247" w:lineRule="auto"/>
        <w:rPr>
          <w:rFonts w:ascii="Arial"/>
          <w:color w:val="auto"/>
          <w:sz w:val="21"/>
        </w:rPr>
      </w:pPr>
    </w:p>
    <w:p w14:paraId="5F8C386A">
      <w:pPr>
        <w:spacing w:before="78" w:line="220" w:lineRule="auto"/>
        <w:ind w:left="537"/>
        <w:rPr>
          <w:rFonts w:ascii="宋体" w:hAnsi="宋体" w:eastAsia="宋体" w:cs="宋体"/>
          <w:color w:val="auto"/>
          <w:sz w:val="24"/>
          <w:szCs w:val="24"/>
        </w:rPr>
      </w:pPr>
      <w:r>
        <w:rPr>
          <w:rFonts w:ascii="宋体" w:hAnsi="宋体" w:eastAsia="宋体" w:cs="宋体"/>
          <w:color w:val="auto"/>
          <w:spacing w:val="-9"/>
          <w:sz w:val="24"/>
          <w:szCs w:val="24"/>
        </w:rPr>
        <w:t>项目编号：</w:t>
      </w:r>
    </w:p>
    <w:p w14:paraId="511D3F46">
      <w:pPr>
        <w:spacing w:line="249" w:lineRule="auto"/>
        <w:rPr>
          <w:rFonts w:ascii="Arial"/>
          <w:color w:val="auto"/>
          <w:sz w:val="21"/>
        </w:rPr>
      </w:pPr>
    </w:p>
    <w:p w14:paraId="3E033B4F">
      <w:pPr>
        <w:spacing w:line="249" w:lineRule="auto"/>
        <w:rPr>
          <w:rFonts w:ascii="Arial"/>
          <w:color w:val="auto"/>
          <w:sz w:val="21"/>
        </w:rPr>
      </w:pPr>
    </w:p>
    <w:p w14:paraId="0F8990E5">
      <w:pPr>
        <w:spacing w:before="79" w:line="220" w:lineRule="auto"/>
        <w:ind w:left="533"/>
        <w:rPr>
          <w:rFonts w:ascii="宋体" w:hAnsi="宋体" w:eastAsia="宋体" w:cs="宋体"/>
          <w:color w:val="auto"/>
          <w:sz w:val="24"/>
          <w:szCs w:val="24"/>
        </w:rPr>
      </w:pPr>
      <w:r>
        <w:rPr>
          <w:rFonts w:ascii="宋体" w:hAnsi="宋体" w:eastAsia="宋体" w:cs="宋体"/>
          <w:color w:val="auto"/>
          <w:spacing w:val="-11"/>
          <w:sz w:val="24"/>
          <w:szCs w:val="24"/>
        </w:rPr>
        <w:t>所投分标：</w:t>
      </w:r>
    </w:p>
    <w:p w14:paraId="7A34D9D3">
      <w:pPr>
        <w:spacing w:line="356" w:lineRule="auto"/>
        <w:rPr>
          <w:rFonts w:ascii="Arial"/>
          <w:color w:val="auto"/>
          <w:sz w:val="21"/>
        </w:rPr>
      </w:pPr>
    </w:p>
    <w:p w14:paraId="14736176">
      <w:pPr>
        <w:spacing w:before="78" w:line="220" w:lineRule="auto"/>
        <w:ind w:left="536"/>
        <w:rPr>
          <w:rFonts w:ascii="宋体" w:hAnsi="宋体" w:eastAsia="宋体" w:cs="宋体"/>
          <w:color w:val="auto"/>
          <w:sz w:val="24"/>
          <w:szCs w:val="24"/>
        </w:rPr>
      </w:pPr>
      <w:r>
        <w:rPr>
          <w:rFonts w:ascii="宋体" w:hAnsi="宋体" w:eastAsia="宋体" w:cs="宋体"/>
          <w:color w:val="auto"/>
          <w:spacing w:val="-10"/>
          <w:sz w:val="24"/>
          <w:szCs w:val="24"/>
        </w:rPr>
        <w:t>投标人名称：</w:t>
      </w:r>
    </w:p>
    <w:p w14:paraId="239EC7A6">
      <w:pPr>
        <w:spacing w:line="260" w:lineRule="auto"/>
        <w:rPr>
          <w:rFonts w:ascii="Arial"/>
          <w:color w:val="auto"/>
          <w:sz w:val="21"/>
        </w:rPr>
      </w:pPr>
    </w:p>
    <w:p w14:paraId="22356A3E">
      <w:pPr>
        <w:spacing w:line="261" w:lineRule="auto"/>
        <w:rPr>
          <w:rFonts w:ascii="Arial"/>
          <w:color w:val="auto"/>
          <w:sz w:val="21"/>
        </w:rPr>
      </w:pPr>
    </w:p>
    <w:p w14:paraId="2B2B3584">
      <w:pPr>
        <w:spacing w:line="261" w:lineRule="auto"/>
        <w:rPr>
          <w:rFonts w:ascii="Arial"/>
          <w:color w:val="auto"/>
          <w:sz w:val="21"/>
        </w:rPr>
      </w:pPr>
    </w:p>
    <w:p w14:paraId="3EA3D435">
      <w:pPr>
        <w:spacing w:before="78" w:line="220" w:lineRule="auto"/>
        <w:ind w:left="3970"/>
        <w:rPr>
          <w:rFonts w:ascii="宋体" w:hAnsi="宋体" w:eastAsia="宋体" w:cs="宋体"/>
          <w:color w:val="auto"/>
          <w:sz w:val="24"/>
          <w:szCs w:val="24"/>
        </w:rPr>
      </w:pPr>
      <w:r>
        <w:rPr>
          <w:rFonts w:ascii="宋体" w:hAnsi="宋体" w:eastAsia="宋体" w:cs="宋体"/>
          <w:color w:val="auto"/>
          <w:spacing w:val="-9"/>
          <w:sz w:val="24"/>
          <w:szCs w:val="24"/>
        </w:rPr>
        <w:t>年</w:t>
      </w:r>
      <w:r>
        <w:rPr>
          <w:rFonts w:ascii="宋体" w:hAnsi="宋体" w:eastAsia="宋体" w:cs="宋体"/>
          <w:color w:val="auto"/>
          <w:spacing w:val="7"/>
          <w:sz w:val="24"/>
          <w:szCs w:val="24"/>
        </w:rPr>
        <w:t xml:space="preserve">  </w:t>
      </w:r>
      <w:r>
        <w:rPr>
          <w:rFonts w:ascii="宋体" w:hAnsi="宋体" w:eastAsia="宋体" w:cs="宋体"/>
          <w:color w:val="auto"/>
          <w:spacing w:val="-9"/>
          <w:sz w:val="24"/>
          <w:szCs w:val="24"/>
        </w:rPr>
        <w:t>月</w:t>
      </w:r>
      <w:r>
        <w:rPr>
          <w:rFonts w:ascii="宋体" w:hAnsi="宋体" w:eastAsia="宋体" w:cs="宋体"/>
          <w:color w:val="auto"/>
          <w:spacing w:val="26"/>
          <w:sz w:val="24"/>
          <w:szCs w:val="24"/>
        </w:rPr>
        <w:t xml:space="preserve">  </w:t>
      </w:r>
      <w:r>
        <w:rPr>
          <w:rFonts w:ascii="宋体" w:hAnsi="宋体" w:eastAsia="宋体" w:cs="宋体"/>
          <w:color w:val="auto"/>
          <w:spacing w:val="-9"/>
          <w:sz w:val="24"/>
          <w:szCs w:val="24"/>
        </w:rPr>
        <w:t>日</w:t>
      </w:r>
    </w:p>
    <w:p w14:paraId="2EEB9E7D">
      <w:pPr>
        <w:spacing w:line="220" w:lineRule="auto"/>
        <w:rPr>
          <w:rFonts w:ascii="宋体" w:hAnsi="宋体" w:eastAsia="宋体" w:cs="宋体"/>
          <w:color w:val="auto"/>
          <w:sz w:val="24"/>
          <w:szCs w:val="24"/>
        </w:rPr>
        <w:sectPr>
          <w:footerReference r:id="rId22" w:type="default"/>
          <w:pgSz w:w="11905" w:h="16838"/>
          <w:pgMar w:top="1417" w:right="1417" w:bottom="1417" w:left="1417" w:header="0" w:footer="1196" w:gutter="0"/>
          <w:pgNumType w:fmt="decimal"/>
          <w:cols w:space="0" w:num="1"/>
          <w:rtlGutter w:val="0"/>
          <w:docGrid w:linePitch="0" w:charSpace="0"/>
        </w:sectPr>
      </w:pPr>
    </w:p>
    <w:p w14:paraId="00B232DF">
      <w:pPr>
        <w:spacing w:before="78" w:line="220" w:lineRule="auto"/>
        <w:outlineLvl w:val="2"/>
        <w:rPr>
          <w:rFonts w:ascii="宋体" w:hAnsi="宋体" w:eastAsia="宋体" w:cs="宋体"/>
          <w:color w:val="auto"/>
          <w:sz w:val="24"/>
          <w:szCs w:val="24"/>
        </w:rPr>
      </w:pPr>
      <w:r>
        <w:rPr>
          <w:rFonts w:ascii="宋体" w:hAnsi="宋体" w:eastAsia="宋体" w:cs="宋体"/>
          <w:color w:val="auto"/>
          <w:spacing w:val="-5"/>
          <w:sz w:val="24"/>
          <w:szCs w:val="24"/>
        </w:rPr>
        <w:t>2.</w:t>
      </w:r>
      <w:r>
        <w:rPr>
          <w:rFonts w:ascii="宋体" w:hAnsi="宋体" w:eastAsia="宋体" w:cs="宋体"/>
          <w:color w:val="auto"/>
          <w:spacing w:val="83"/>
          <w:sz w:val="24"/>
          <w:szCs w:val="24"/>
        </w:rPr>
        <w:t xml:space="preserve"> </w:t>
      </w:r>
      <w:r>
        <w:rPr>
          <w:rFonts w:ascii="宋体" w:hAnsi="宋体" w:eastAsia="宋体" w:cs="宋体"/>
          <w:b/>
          <w:bCs/>
          <w:color w:val="auto"/>
          <w:spacing w:val="-5"/>
          <w:sz w:val="24"/>
          <w:szCs w:val="24"/>
        </w:rPr>
        <w:t>资格证明文件目录</w:t>
      </w:r>
    </w:p>
    <w:p w14:paraId="67993B9F">
      <w:pPr>
        <w:spacing w:before="223" w:line="220" w:lineRule="auto"/>
        <w:ind w:left="415"/>
        <w:rPr>
          <w:rFonts w:ascii="宋体" w:hAnsi="宋体" w:eastAsia="宋体" w:cs="宋体"/>
          <w:color w:val="auto"/>
          <w:sz w:val="21"/>
          <w:szCs w:val="21"/>
        </w:rPr>
      </w:pPr>
      <w:r>
        <w:rPr>
          <w:rFonts w:ascii="宋体" w:hAnsi="宋体" w:eastAsia="宋体" w:cs="宋体"/>
          <w:color w:val="auto"/>
          <w:spacing w:val="-1"/>
          <w:sz w:val="21"/>
          <w:szCs w:val="21"/>
        </w:rPr>
        <w:t>根据招标文件规定及投标人提供的材料自行编写目录。</w:t>
      </w:r>
    </w:p>
    <w:p w14:paraId="37C97E9A">
      <w:pPr>
        <w:spacing w:line="220" w:lineRule="auto"/>
        <w:rPr>
          <w:rFonts w:ascii="宋体" w:hAnsi="宋体" w:eastAsia="宋体" w:cs="宋体"/>
          <w:color w:val="auto"/>
          <w:sz w:val="21"/>
          <w:szCs w:val="21"/>
        </w:rPr>
        <w:sectPr>
          <w:footerReference r:id="rId23" w:type="default"/>
          <w:pgSz w:w="11905" w:h="16838"/>
          <w:pgMar w:top="1417" w:right="1417" w:bottom="1417" w:left="1417" w:header="0" w:footer="1196" w:gutter="0"/>
          <w:pgNumType w:fmt="decimal"/>
          <w:cols w:space="0" w:num="1"/>
          <w:rtlGutter w:val="0"/>
          <w:docGrid w:linePitch="0" w:charSpace="0"/>
        </w:sectPr>
      </w:pPr>
    </w:p>
    <w:p w14:paraId="7F756171">
      <w:pPr>
        <w:spacing w:before="91" w:line="220" w:lineRule="auto"/>
        <w:ind w:left="138"/>
        <w:outlineLvl w:val="2"/>
        <w:rPr>
          <w:rFonts w:ascii="宋体" w:hAnsi="宋体" w:eastAsia="宋体" w:cs="宋体"/>
          <w:color w:val="auto"/>
          <w:sz w:val="28"/>
          <w:szCs w:val="28"/>
        </w:rPr>
      </w:pPr>
      <w:r>
        <w:rPr>
          <w:rFonts w:hint="eastAsia" w:ascii="宋体" w:hAnsi="宋体" w:eastAsia="宋体" w:cs="宋体"/>
          <w:b/>
          <w:bCs/>
          <w:color w:val="auto"/>
          <w:spacing w:val="-4"/>
          <w:sz w:val="24"/>
          <w:szCs w:val="24"/>
          <w:lang w:val="en-US" w:eastAsia="zh-CN"/>
        </w:rPr>
        <w:t>5</w:t>
      </w:r>
      <w:r>
        <w:rPr>
          <w:rFonts w:ascii="宋体" w:hAnsi="宋体" w:eastAsia="宋体" w:cs="宋体"/>
          <w:b/>
          <w:bCs/>
          <w:color w:val="auto"/>
          <w:spacing w:val="-4"/>
          <w:sz w:val="24"/>
          <w:szCs w:val="24"/>
        </w:rPr>
        <w:t>.</w:t>
      </w:r>
      <w:r>
        <w:rPr>
          <w:rFonts w:ascii="宋体" w:hAnsi="宋体" w:eastAsia="宋体" w:cs="宋体"/>
          <w:color w:val="auto"/>
          <w:spacing w:val="81"/>
          <w:sz w:val="24"/>
          <w:szCs w:val="24"/>
        </w:rPr>
        <w:t xml:space="preserve"> </w:t>
      </w:r>
      <w:r>
        <w:rPr>
          <w:rFonts w:ascii="宋体" w:hAnsi="宋体" w:eastAsia="宋体" w:cs="宋体"/>
          <w:b/>
          <w:bCs/>
          <w:color w:val="auto"/>
          <w:spacing w:val="-4"/>
          <w:sz w:val="28"/>
          <w:szCs w:val="28"/>
        </w:rPr>
        <w:t>投标人直接控股、管理关系信息表</w:t>
      </w:r>
    </w:p>
    <w:p w14:paraId="3D9B5771">
      <w:pPr>
        <w:spacing w:line="463" w:lineRule="auto"/>
        <w:rPr>
          <w:rFonts w:ascii="Arial"/>
          <w:color w:val="auto"/>
          <w:sz w:val="21"/>
        </w:rPr>
      </w:pPr>
    </w:p>
    <w:p w14:paraId="08E1769A">
      <w:pPr>
        <w:spacing w:before="91" w:line="220" w:lineRule="auto"/>
        <w:ind w:left="138"/>
        <w:jc w:val="center"/>
        <w:outlineLvl w:val="2"/>
        <w:rPr>
          <w:rFonts w:hint="eastAsia" w:ascii="宋体" w:hAnsi="宋体" w:eastAsia="宋体" w:cs="宋体"/>
          <w:b/>
          <w:bCs/>
          <w:color w:val="auto"/>
          <w:spacing w:val="-4"/>
          <w:sz w:val="28"/>
          <w:szCs w:val="28"/>
        </w:rPr>
      </w:pPr>
      <w:r>
        <w:rPr>
          <w:rFonts w:hint="eastAsia" w:ascii="宋体" w:hAnsi="宋体" w:eastAsia="宋体" w:cs="宋体"/>
          <w:b/>
          <w:bCs/>
          <w:color w:val="auto"/>
          <w:spacing w:val="-4"/>
          <w:sz w:val="28"/>
          <w:szCs w:val="28"/>
        </w:rPr>
        <w:t>投标人直接控股股东信息表</w:t>
      </w:r>
    </w:p>
    <w:p w14:paraId="47A291C2">
      <w:pPr>
        <w:spacing w:before="77"/>
        <w:rPr>
          <w:rFonts w:hint="eastAsia" w:asciiTheme="minorEastAsia" w:hAnsiTheme="minorEastAsia" w:eastAsiaTheme="minorEastAsia" w:cstheme="minorEastAsia"/>
          <w:color w:val="auto"/>
          <w:sz w:val="21"/>
          <w:szCs w:val="21"/>
        </w:rPr>
      </w:pPr>
    </w:p>
    <w:tbl>
      <w:tblPr>
        <w:tblStyle w:val="24"/>
        <w:tblW w:w="948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2267"/>
        <w:gridCol w:w="1241"/>
        <w:gridCol w:w="3721"/>
        <w:gridCol w:w="1420"/>
      </w:tblGrid>
      <w:tr w14:paraId="244A8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2" w:hRule="atLeast"/>
          <w:jc w:val="center"/>
        </w:trPr>
        <w:tc>
          <w:tcPr>
            <w:tcW w:w="832" w:type="dxa"/>
            <w:shd w:val="clear" w:color="auto" w:fill="EAE3D8"/>
            <w:vAlign w:val="center"/>
          </w:tcPr>
          <w:p w14:paraId="6DA5813F">
            <w:pPr>
              <w:pStyle w:val="25"/>
              <w:spacing w:before="78" w:line="221" w:lineRule="auto"/>
              <w:ind w:left="18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5"/>
                <w:sz w:val="21"/>
                <w:szCs w:val="21"/>
              </w:rPr>
              <w:t>序号</w:t>
            </w:r>
          </w:p>
        </w:tc>
        <w:tc>
          <w:tcPr>
            <w:tcW w:w="2267" w:type="dxa"/>
            <w:shd w:val="clear" w:color="auto" w:fill="EAE3D8"/>
            <w:vAlign w:val="center"/>
          </w:tcPr>
          <w:p w14:paraId="208B5657">
            <w:pPr>
              <w:pStyle w:val="25"/>
              <w:spacing w:before="78" w:line="220" w:lineRule="auto"/>
              <w:ind w:left="177"/>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4"/>
                <w:sz w:val="21"/>
                <w:szCs w:val="21"/>
              </w:rPr>
              <w:t>直接控股股东名称</w:t>
            </w:r>
          </w:p>
        </w:tc>
        <w:tc>
          <w:tcPr>
            <w:tcW w:w="1241" w:type="dxa"/>
            <w:shd w:val="clear" w:color="auto" w:fill="EAE3D8"/>
            <w:vAlign w:val="center"/>
          </w:tcPr>
          <w:p w14:paraId="148D53B5">
            <w:pPr>
              <w:pStyle w:val="25"/>
              <w:spacing w:before="78" w:line="221" w:lineRule="auto"/>
              <w:ind w:left="164"/>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9"/>
                <w:sz w:val="21"/>
                <w:szCs w:val="21"/>
              </w:rPr>
              <w:t>出资比例</w:t>
            </w:r>
          </w:p>
        </w:tc>
        <w:tc>
          <w:tcPr>
            <w:tcW w:w="3721" w:type="dxa"/>
            <w:shd w:val="clear" w:color="auto" w:fill="EAE3D8"/>
            <w:vAlign w:val="center"/>
          </w:tcPr>
          <w:p w14:paraId="7290730F">
            <w:pPr>
              <w:pStyle w:val="25"/>
              <w:spacing w:before="159" w:line="347" w:lineRule="auto"/>
              <w:ind w:left="1742" w:right="175" w:hanging="1559"/>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3"/>
                <w:sz w:val="21"/>
                <w:szCs w:val="21"/>
              </w:rPr>
              <w:t>身份证号码或者统一社会信用代</w:t>
            </w:r>
            <w:r>
              <w:rPr>
                <w:rFonts w:hint="eastAsia" w:asciiTheme="minorEastAsia" w:hAnsiTheme="minorEastAsia" w:eastAsiaTheme="minorEastAsia" w:cstheme="minorEastAsia"/>
                <w:color w:val="auto"/>
                <w:spacing w:val="2"/>
                <w:sz w:val="21"/>
                <w:szCs w:val="21"/>
              </w:rPr>
              <w:t xml:space="preserve"> </w:t>
            </w:r>
            <w:r>
              <w:rPr>
                <w:rFonts w:hint="eastAsia" w:asciiTheme="minorEastAsia" w:hAnsiTheme="minorEastAsia" w:eastAsiaTheme="minorEastAsia" w:cstheme="minorEastAsia"/>
                <w:b/>
                <w:bCs/>
                <w:color w:val="auto"/>
                <w:spacing w:val="-3"/>
                <w:sz w:val="21"/>
                <w:szCs w:val="21"/>
              </w:rPr>
              <w:t>码</w:t>
            </w:r>
          </w:p>
        </w:tc>
        <w:tc>
          <w:tcPr>
            <w:tcW w:w="1420" w:type="dxa"/>
            <w:shd w:val="clear" w:color="auto" w:fill="EAE3D8"/>
            <w:vAlign w:val="center"/>
          </w:tcPr>
          <w:p w14:paraId="4F1BE851">
            <w:pPr>
              <w:pStyle w:val="25"/>
              <w:spacing w:before="78" w:line="221" w:lineRule="auto"/>
              <w:ind w:left="477"/>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5"/>
                <w:sz w:val="21"/>
                <w:szCs w:val="21"/>
              </w:rPr>
              <w:t>备注</w:t>
            </w:r>
          </w:p>
        </w:tc>
      </w:tr>
      <w:tr w14:paraId="4D743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jc w:val="center"/>
        </w:trPr>
        <w:tc>
          <w:tcPr>
            <w:tcW w:w="832" w:type="dxa"/>
            <w:vAlign w:val="top"/>
          </w:tcPr>
          <w:p w14:paraId="37288F71">
            <w:pPr>
              <w:pStyle w:val="25"/>
              <w:spacing w:before="196" w:line="182" w:lineRule="auto"/>
              <w:ind w:left="379"/>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w:t>
            </w:r>
          </w:p>
        </w:tc>
        <w:tc>
          <w:tcPr>
            <w:tcW w:w="2267" w:type="dxa"/>
            <w:vAlign w:val="top"/>
          </w:tcPr>
          <w:p w14:paraId="14D481B7">
            <w:pPr>
              <w:rPr>
                <w:rFonts w:hint="eastAsia" w:asciiTheme="minorEastAsia" w:hAnsiTheme="minorEastAsia" w:eastAsiaTheme="minorEastAsia" w:cstheme="minorEastAsia"/>
                <w:color w:val="auto"/>
                <w:sz w:val="21"/>
                <w:szCs w:val="21"/>
              </w:rPr>
            </w:pPr>
          </w:p>
        </w:tc>
        <w:tc>
          <w:tcPr>
            <w:tcW w:w="1241" w:type="dxa"/>
            <w:vAlign w:val="top"/>
          </w:tcPr>
          <w:p w14:paraId="748D38A6">
            <w:pPr>
              <w:rPr>
                <w:rFonts w:hint="eastAsia" w:asciiTheme="minorEastAsia" w:hAnsiTheme="minorEastAsia" w:eastAsiaTheme="minorEastAsia" w:cstheme="minorEastAsia"/>
                <w:color w:val="auto"/>
                <w:sz w:val="21"/>
                <w:szCs w:val="21"/>
              </w:rPr>
            </w:pPr>
          </w:p>
        </w:tc>
        <w:tc>
          <w:tcPr>
            <w:tcW w:w="3721" w:type="dxa"/>
            <w:vAlign w:val="top"/>
          </w:tcPr>
          <w:p w14:paraId="02B8E3A4">
            <w:pPr>
              <w:rPr>
                <w:rFonts w:hint="eastAsia" w:asciiTheme="minorEastAsia" w:hAnsiTheme="minorEastAsia" w:eastAsiaTheme="minorEastAsia" w:cstheme="minorEastAsia"/>
                <w:color w:val="auto"/>
                <w:sz w:val="21"/>
                <w:szCs w:val="21"/>
              </w:rPr>
            </w:pPr>
          </w:p>
        </w:tc>
        <w:tc>
          <w:tcPr>
            <w:tcW w:w="1420" w:type="dxa"/>
            <w:vAlign w:val="top"/>
          </w:tcPr>
          <w:p w14:paraId="29495622">
            <w:pPr>
              <w:rPr>
                <w:rFonts w:hint="eastAsia" w:asciiTheme="minorEastAsia" w:hAnsiTheme="minorEastAsia" w:eastAsiaTheme="minorEastAsia" w:cstheme="minorEastAsia"/>
                <w:color w:val="auto"/>
                <w:sz w:val="21"/>
                <w:szCs w:val="21"/>
              </w:rPr>
            </w:pPr>
          </w:p>
        </w:tc>
      </w:tr>
      <w:tr w14:paraId="7D76E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jc w:val="center"/>
        </w:trPr>
        <w:tc>
          <w:tcPr>
            <w:tcW w:w="832" w:type="dxa"/>
            <w:vAlign w:val="top"/>
          </w:tcPr>
          <w:p w14:paraId="291AFFF8">
            <w:pPr>
              <w:pStyle w:val="25"/>
              <w:spacing w:before="201" w:line="181" w:lineRule="auto"/>
              <w:ind w:left="364"/>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w:t>
            </w:r>
          </w:p>
        </w:tc>
        <w:tc>
          <w:tcPr>
            <w:tcW w:w="2267" w:type="dxa"/>
            <w:vAlign w:val="top"/>
          </w:tcPr>
          <w:p w14:paraId="66F750C3">
            <w:pPr>
              <w:rPr>
                <w:rFonts w:hint="eastAsia" w:asciiTheme="minorEastAsia" w:hAnsiTheme="minorEastAsia" w:eastAsiaTheme="minorEastAsia" w:cstheme="minorEastAsia"/>
                <w:color w:val="auto"/>
                <w:sz w:val="21"/>
                <w:szCs w:val="21"/>
              </w:rPr>
            </w:pPr>
          </w:p>
        </w:tc>
        <w:tc>
          <w:tcPr>
            <w:tcW w:w="1241" w:type="dxa"/>
            <w:vAlign w:val="top"/>
          </w:tcPr>
          <w:p w14:paraId="39ACC05C">
            <w:pPr>
              <w:rPr>
                <w:rFonts w:hint="eastAsia" w:asciiTheme="minorEastAsia" w:hAnsiTheme="minorEastAsia" w:eastAsiaTheme="minorEastAsia" w:cstheme="minorEastAsia"/>
                <w:color w:val="auto"/>
                <w:sz w:val="21"/>
                <w:szCs w:val="21"/>
              </w:rPr>
            </w:pPr>
          </w:p>
        </w:tc>
        <w:tc>
          <w:tcPr>
            <w:tcW w:w="3721" w:type="dxa"/>
            <w:vAlign w:val="top"/>
          </w:tcPr>
          <w:p w14:paraId="49237427">
            <w:pPr>
              <w:rPr>
                <w:rFonts w:hint="eastAsia" w:asciiTheme="minorEastAsia" w:hAnsiTheme="minorEastAsia" w:eastAsiaTheme="minorEastAsia" w:cstheme="minorEastAsia"/>
                <w:color w:val="auto"/>
                <w:sz w:val="21"/>
                <w:szCs w:val="21"/>
              </w:rPr>
            </w:pPr>
          </w:p>
        </w:tc>
        <w:tc>
          <w:tcPr>
            <w:tcW w:w="1420" w:type="dxa"/>
            <w:vAlign w:val="top"/>
          </w:tcPr>
          <w:p w14:paraId="66F59EAE">
            <w:pPr>
              <w:rPr>
                <w:rFonts w:hint="eastAsia" w:asciiTheme="minorEastAsia" w:hAnsiTheme="minorEastAsia" w:eastAsiaTheme="minorEastAsia" w:cstheme="minorEastAsia"/>
                <w:color w:val="auto"/>
                <w:sz w:val="21"/>
                <w:szCs w:val="21"/>
              </w:rPr>
            </w:pPr>
          </w:p>
        </w:tc>
      </w:tr>
      <w:tr w14:paraId="6873E9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jc w:val="center"/>
        </w:trPr>
        <w:tc>
          <w:tcPr>
            <w:tcW w:w="832" w:type="dxa"/>
            <w:vAlign w:val="top"/>
          </w:tcPr>
          <w:p w14:paraId="72275A4D">
            <w:pPr>
              <w:pStyle w:val="25"/>
              <w:spacing w:before="200" w:line="181" w:lineRule="auto"/>
              <w:ind w:left="366"/>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w:t>
            </w:r>
          </w:p>
        </w:tc>
        <w:tc>
          <w:tcPr>
            <w:tcW w:w="2267" w:type="dxa"/>
            <w:vAlign w:val="top"/>
          </w:tcPr>
          <w:p w14:paraId="24863DCB">
            <w:pPr>
              <w:rPr>
                <w:rFonts w:hint="eastAsia" w:asciiTheme="minorEastAsia" w:hAnsiTheme="minorEastAsia" w:eastAsiaTheme="minorEastAsia" w:cstheme="minorEastAsia"/>
                <w:color w:val="auto"/>
                <w:sz w:val="21"/>
                <w:szCs w:val="21"/>
              </w:rPr>
            </w:pPr>
          </w:p>
        </w:tc>
        <w:tc>
          <w:tcPr>
            <w:tcW w:w="1241" w:type="dxa"/>
            <w:vAlign w:val="top"/>
          </w:tcPr>
          <w:p w14:paraId="2644508F">
            <w:pPr>
              <w:rPr>
                <w:rFonts w:hint="eastAsia" w:asciiTheme="minorEastAsia" w:hAnsiTheme="minorEastAsia" w:eastAsiaTheme="minorEastAsia" w:cstheme="minorEastAsia"/>
                <w:color w:val="auto"/>
                <w:sz w:val="21"/>
                <w:szCs w:val="21"/>
              </w:rPr>
            </w:pPr>
          </w:p>
        </w:tc>
        <w:tc>
          <w:tcPr>
            <w:tcW w:w="3721" w:type="dxa"/>
            <w:vAlign w:val="top"/>
          </w:tcPr>
          <w:p w14:paraId="2269CBBB">
            <w:pPr>
              <w:rPr>
                <w:rFonts w:hint="eastAsia" w:asciiTheme="minorEastAsia" w:hAnsiTheme="minorEastAsia" w:eastAsiaTheme="minorEastAsia" w:cstheme="minorEastAsia"/>
                <w:color w:val="auto"/>
                <w:sz w:val="21"/>
                <w:szCs w:val="21"/>
              </w:rPr>
            </w:pPr>
          </w:p>
        </w:tc>
        <w:tc>
          <w:tcPr>
            <w:tcW w:w="1420" w:type="dxa"/>
            <w:vAlign w:val="top"/>
          </w:tcPr>
          <w:p w14:paraId="0672F660">
            <w:pPr>
              <w:rPr>
                <w:rFonts w:hint="eastAsia" w:asciiTheme="minorEastAsia" w:hAnsiTheme="minorEastAsia" w:eastAsiaTheme="minorEastAsia" w:cstheme="minorEastAsia"/>
                <w:color w:val="auto"/>
                <w:sz w:val="21"/>
                <w:szCs w:val="21"/>
              </w:rPr>
            </w:pPr>
          </w:p>
        </w:tc>
      </w:tr>
      <w:tr w14:paraId="7D1F3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jc w:val="center"/>
        </w:trPr>
        <w:tc>
          <w:tcPr>
            <w:tcW w:w="832" w:type="dxa"/>
            <w:vAlign w:val="top"/>
          </w:tcPr>
          <w:p w14:paraId="43FBCF65">
            <w:pPr>
              <w:pStyle w:val="25"/>
              <w:spacing w:before="160" w:line="378" w:lineRule="exact"/>
              <w:ind w:left="197"/>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7"/>
                <w:position w:val="3"/>
                <w:sz w:val="21"/>
                <w:szCs w:val="21"/>
              </w:rPr>
              <w:t>……</w:t>
            </w:r>
          </w:p>
        </w:tc>
        <w:tc>
          <w:tcPr>
            <w:tcW w:w="2267" w:type="dxa"/>
            <w:vAlign w:val="top"/>
          </w:tcPr>
          <w:p w14:paraId="7E4C9F37">
            <w:pPr>
              <w:rPr>
                <w:rFonts w:hint="eastAsia" w:asciiTheme="minorEastAsia" w:hAnsiTheme="minorEastAsia" w:eastAsiaTheme="minorEastAsia" w:cstheme="minorEastAsia"/>
                <w:color w:val="auto"/>
                <w:sz w:val="21"/>
                <w:szCs w:val="21"/>
              </w:rPr>
            </w:pPr>
          </w:p>
        </w:tc>
        <w:tc>
          <w:tcPr>
            <w:tcW w:w="1241" w:type="dxa"/>
            <w:vAlign w:val="top"/>
          </w:tcPr>
          <w:p w14:paraId="3F5CC3B1">
            <w:pPr>
              <w:rPr>
                <w:rFonts w:hint="eastAsia" w:asciiTheme="minorEastAsia" w:hAnsiTheme="minorEastAsia" w:eastAsiaTheme="minorEastAsia" w:cstheme="minorEastAsia"/>
                <w:color w:val="auto"/>
                <w:sz w:val="21"/>
                <w:szCs w:val="21"/>
              </w:rPr>
            </w:pPr>
          </w:p>
        </w:tc>
        <w:tc>
          <w:tcPr>
            <w:tcW w:w="3721" w:type="dxa"/>
            <w:vAlign w:val="top"/>
          </w:tcPr>
          <w:p w14:paraId="03531BF5">
            <w:pPr>
              <w:rPr>
                <w:rFonts w:hint="eastAsia" w:asciiTheme="minorEastAsia" w:hAnsiTheme="minorEastAsia" w:eastAsiaTheme="minorEastAsia" w:cstheme="minorEastAsia"/>
                <w:color w:val="auto"/>
                <w:sz w:val="21"/>
                <w:szCs w:val="21"/>
              </w:rPr>
            </w:pPr>
          </w:p>
        </w:tc>
        <w:tc>
          <w:tcPr>
            <w:tcW w:w="1420" w:type="dxa"/>
            <w:vAlign w:val="top"/>
          </w:tcPr>
          <w:p w14:paraId="0C203779">
            <w:pPr>
              <w:rPr>
                <w:rFonts w:hint="eastAsia" w:asciiTheme="minorEastAsia" w:hAnsiTheme="minorEastAsia" w:eastAsiaTheme="minorEastAsia" w:cstheme="minorEastAsia"/>
                <w:color w:val="auto"/>
                <w:sz w:val="21"/>
                <w:szCs w:val="21"/>
              </w:rPr>
            </w:pPr>
          </w:p>
        </w:tc>
      </w:tr>
    </w:tbl>
    <w:p w14:paraId="6A68943C">
      <w:pPr>
        <w:spacing w:before="36" w:line="224" w:lineRule="auto"/>
        <w:ind w:left="134"/>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5"/>
          <w:sz w:val="21"/>
          <w:szCs w:val="21"/>
        </w:rPr>
        <w:t>注：</w:t>
      </w:r>
    </w:p>
    <w:p w14:paraId="5EB0CB4D">
      <w:pPr>
        <w:keepNext w:val="0"/>
        <w:keepLines w:val="0"/>
        <w:pageBreakBefore w:val="0"/>
        <w:widowControl/>
        <w:kinsoku w:val="0"/>
        <w:wordWrap w:val="0"/>
        <w:overflowPunct w:val="0"/>
        <w:topLinePunct w:val="0"/>
        <w:autoSpaceDE/>
        <w:autoSpaceDN/>
        <w:bidi w:val="0"/>
        <w:adjustRightInd w:val="0"/>
        <w:snapToGrid w:val="0"/>
        <w:spacing w:before="172" w:line="353" w:lineRule="auto"/>
        <w:ind w:right="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1.直接控股股东：是指其出资额占有限责任公司资本总额百分之五十以上或者其</w:t>
      </w:r>
      <w:r>
        <w:rPr>
          <w:rFonts w:hint="eastAsia" w:asciiTheme="minorEastAsia" w:hAnsiTheme="minorEastAsia" w:eastAsiaTheme="minorEastAsia" w:cstheme="minorEastAsia"/>
          <w:color w:val="auto"/>
          <w:sz w:val="21"/>
          <w:szCs w:val="21"/>
        </w:rPr>
        <w:t>持有的股份占股份有限公司股份总额百分之五十以上的</w:t>
      </w:r>
      <w:r>
        <w:rPr>
          <w:rFonts w:hint="eastAsia" w:asciiTheme="minorEastAsia" w:hAnsiTheme="minorEastAsia" w:eastAsiaTheme="minorEastAsia" w:cstheme="minorEastAsia"/>
          <w:color w:val="auto"/>
          <w:spacing w:val="-1"/>
          <w:sz w:val="21"/>
          <w:szCs w:val="21"/>
        </w:rPr>
        <w:t>股东；出资额或者持有股</w:t>
      </w:r>
      <w:r>
        <w:rPr>
          <w:rFonts w:hint="eastAsia" w:asciiTheme="minorEastAsia" w:hAnsiTheme="minorEastAsia" w:eastAsiaTheme="minorEastAsia" w:cstheme="minorEastAsia"/>
          <w:color w:val="auto"/>
          <w:sz w:val="21"/>
          <w:szCs w:val="21"/>
        </w:rPr>
        <w:t>份的比例虽然不足百分之五十，但依其出资额或者持有的</w:t>
      </w:r>
      <w:r>
        <w:rPr>
          <w:rFonts w:hint="eastAsia" w:asciiTheme="minorEastAsia" w:hAnsiTheme="minorEastAsia" w:eastAsiaTheme="minorEastAsia" w:cstheme="minorEastAsia"/>
          <w:color w:val="auto"/>
          <w:spacing w:val="-1"/>
          <w:sz w:val="21"/>
          <w:szCs w:val="21"/>
        </w:rPr>
        <w:t>股份所享有的表决权已</w:t>
      </w:r>
      <w:r>
        <w:rPr>
          <w:rFonts w:hint="eastAsia" w:asciiTheme="minorEastAsia" w:hAnsiTheme="minorEastAsia" w:eastAsiaTheme="minorEastAsia" w:cstheme="minorEastAsia"/>
          <w:color w:val="auto"/>
          <w:spacing w:val="-2"/>
          <w:sz w:val="21"/>
          <w:szCs w:val="21"/>
        </w:rPr>
        <w:t>足以对股东会、股东大会的决议产生重大影响的股东。</w:t>
      </w:r>
    </w:p>
    <w:p w14:paraId="035671E3">
      <w:pPr>
        <w:keepNext w:val="0"/>
        <w:keepLines w:val="0"/>
        <w:pageBreakBefore w:val="0"/>
        <w:widowControl/>
        <w:kinsoku w:val="0"/>
        <w:wordWrap w:val="0"/>
        <w:overflowPunct w:val="0"/>
        <w:topLinePunct w:val="0"/>
        <w:autoSpaceDE/>
        <w:autoSpaceDN/>
        <w:bidi w:val="0"/>
        <w:adjustRightInd w:val="0"/>
        <w:snapToGrid w:val="0"/>
        <w:spacing w:before="34" w:line="346" w:lineRule="auto"/>
        <w:ind w:right="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2.本表所指的控股关系仅限于直接控股关系，不</w:t>
      </w:r>
      <w:r>
        <w:rPr>
          <w:rFonts w:hint="eastAsia" w:asciiTheme="minorEastAsia" w:hAnsiTheme="minorEastAsia" w:eastAsiaTheme="minorEastAsia" w:cstheme="minorEastAsia"/>
          <w:color w:val="auto"/>
          <w:spacing w:val="-1"/>
          <w:sz w:val="21"/>
          <w:szCs w:val="21"/>
        </w:rPr>
        <w:t>包括间接的控股关系。公司实际</w:t>
      </w:r>
      <w:r>
        <w:rPr>
          <w:rFonts w:hint="eastAsia" w:asciiTheme="minorEastAsia" w:hAnsiTheme="minorEastAsia" w:eastAsiaTheme="minorEastAsia" w:cstheme="minorEastAsia"/>
          <w:color w:val="auto"/>
          <w:spacing w:val="-2"/>
          <w:sz w:val="21"/>
          <w:szCs w:val="21"/>
        </w:rPr>
        <w:t>控制人与公司之间的关系不属于本表所指的直接控股关系。</w:t>
      </w:r>
    </w:p>
    <w:p w14:paraId="27299DE0">
      <w:pPr>
        <w:keepNext w:val="0"/>
        <w:keepLines w:val="0"/>
        <w:pageBreakBefore w:val="0"/>
        <w:widowControl/>
        <w:kinsoku w:val="0"/>
        <w:wordWrap w:val="0"/>
        <w:overflowPunct w:val="0"/>
        <w:topLinePunct w:val="0"/>
        <w:autoSpaceDE/>
        <w:autoSpaceDN/>
        <w:bidi w:val="0"/>
        <w:adjustRightInd w:val="0"/>
        <w:snapToGrid w:val="0"/>
        <w:spacing w:before="33" w:line="219" w:lineRule="auto"/>
        <w:ind w:right="0"/>
        <w:textAlignment w:val="baseline"/>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3.供应商不存在直接控股股东的，则在</w:t>
      </w:r>
      <w:r>
        <w:rPr>
          <w:rFonts w:hint="eastAsia" w:asciiTheme="minorEastAsia" w:hAnsiTheme="minorEastAsia" w:eastAsiaTheme="minorEastAsia" w:cstheme="minorEastAsia"/>
          <w:color w:val="auto"/>
          <w:spacing w:val="-2"/>
          <w:sz w:val="21"/>
          <w:szCs w:val="21"/>
        </w:rPr>
        <w:t>“</w:t>
      </w:r>
      <w:r>
        <w:rPr>
          <w:rFonts w:hint="eastAsia" w:asciiTheme="minorEastAsia" w:hAnsiTheme="minorEastAsia" w:eastAsiaTheme="minorEastAsia" w:cstheme="minorEastAsia"/>
          <w:b/>
          <w:bCs/>
          <w:color w:val="auto"/>
          <w:spacing w:val="-2"/>
          <w:sz w:val="21"/>
          <w:szCs w:val="21"/>
        </w:rPr>
        <w:t>直接控股股东名称</w:t>
      </w:r>
      <w:r>
        <w:rPr>
          <w:rFonts w:hint="eastAsia" w:asciiTheme="minorEastAsia" w:hAnsiTheme="minorEastAsia" w:eastAsiaTheme="minorEastAsia" w:cstheme="minorEastAsia"/>
          <w:color w:val="auto"/>
          <w:spacing w:val="-2"/>
          <w:sz w:val="21"/>
          <w:szCs w:val="21"/>
        </w:rPr>
        <w:t>”中填“无”。</w:t>
      </w:r>
    </w:p>
    <w:p w14:paraId="73AB24C1">
      <w:pPr>
        <w:spacing w:line="242" w:lineRule="auto"/>
        <w:rPr>
          <w:rFonts w:hint="eastAsia" w:asciiTheme="minorEastAsia" w:hAnsiTheme="minorEastAsia" w:eastAsiaTheme="minorEastAsia" w:cstheme="minorEastAsia"/>
          <w:color w:val="auto"/>
          <w:sz w:val="21"/>
          <w:szCs w:val="21"/>
        </w:rPr>
      </w:pPr>
    </w:p>
    <w:p w14:paraId="27432A2A">
      <w:pPr>
        <w:spacing w:line="242" w:lineRule="auto"/>
        <w:rPr>
          <w:rFonts w:hint="eastAsia" w:asciiTheme="minorEastAsia" w:hAnsiTheme="minorEastAsia" w:eastAsiaTheme="minorEastAsia" w:cstheme="minorEastAsia"/>
          <w:color w:val="auto"/>
          <w:sz w:val="21"/>
          <w:szCs w:val="21"/>
        </w:rPr>
      </w:pPr>
    </w:p>
    <w:p w14:paraId="51C94702">
      <w:pPr>
        <w:spacing w:line="242" w:lineRule="auto"/>
        <w:rPr>
          <w:rFonts w:hint="eastAsia" w:asciiTheme="minorEastAsia" w:hAnsiTheme="minorEastAsia" w:eastAsiaTheme="minorEastAsia" w:cstheme="minorEastAsia"/>
          <w:color w:val="auto"/>
          <w:sz w:val="21"/>
          <w:szCs w:val="21"/>
        </w:rPr>
      </w:pPr>
    </w:p>
    <w:p w14:paraId="6581CDCC">
      <w:pPr>
        <w:spacing w:line="243" w:lineRule="auto"/>
        <w:rPr>
          <w:rFonts w:hint="eastAsia" w:asciiTheme="minorEastAsia" w:hAnsiTheme="minorEastAsia" w:eastAsiaTheme="minorEastAsia" w:cstheme="minorEastAsia"/>
          <w:color w:val="auto"/>
          <w:sz w:val="21"/>
          <w:szCs w:val="21"/>
        </w:rPr>
      </w:pPr>
    </w:p>
    <w:p w14:paraId="7BC29FC1">
      <w:pPr>
        <w:spacing w:line="243" w:lineRule="auto"/>
        <w:rPr>
          <w:rFonts w:hint="eastAsia" w:asciiTheme="minorEastAsia" w:hAnsiTheme="minorEastAsia" w:eastAsiaTheme="minorEastAsia" w:cstheme="minorEastAsia"/>
          <w:color w:val="auto"/>
          <w:sz w:val="21"/>
          <w:szCs w:val="21"/>
        </w:rPr>
      </w:pPr>
    </w:p>
    <w:p w14:paraId="62C49190">
      <w:pPr>
        <w:spacing w:line="243" w:lineRule="auto"/>
        <w:rPr>
          <w:rFonts w:hint="eastAsia" w:asciiTheme="minorEastAsia" w:hAnsiTheme="minorEastAsia" w:eastAsiaTheme="minorEastAsia" w:cstheme="minorEastAsia"/>
          <w:color w:val="auto"/>
          <w:sz w:val="21"/>
          <w:szCs w:val="21"/>
        </w:rPr>
      </w:pPr>
    </w:p>
    <w:p w14:paraId="3FDE0E56">
      <w:pPr>
        <w:spacing w:line="243" w:lineRule="auto"/>
        <w:rPr>
          <w:rFonts w:hint="eastAsia" w:asciiTheme="minorEastAsia" w:hAnsiTheme="minorEastAsia" w:eastAsiaTheme="minorEastAsia" w:cstheme="minorEastAsia"/>
          <w:color w:val="auto"/>
          <w:sz w:val="21"/>
          <w:szCs w:val="21"/>
        </w:rPr>
      </w:pPr>
    </w:p>
    <w:p w14:paraId="5D2CE768">
      <w:pPr>
        <w:spacing w:line="243" w:lineRule="auto"/>
        <w:rPr>
          <w:rFonts w:hint="eastAsia" w:asciiTheme="minorEastAsia" w:hAnsiTheme="minorEastAsia" w:eastAsiaTheme="minorEastAsia" w:cstheme="minorEastAsia"/>
          <w:color w:val="auto"/>
          <w:sz w:val="21"/>
          <w:szCs w:val="21"/>
        </w:rPr>
      </w:pPr>
    </w:p>
    <w:p w14:paraId="55825BA8">
      <w:pPr>
        <w:spacing w:line="243" w:lineRule="auto"/>
        <w:rPr>
          <w:rFonts w:hint="eastAsia" w:asciiTheme="minorEastAsia" w:hAnsiTheme="minorEastAsia" w:eastAsiaTheme="minorEastAsia" w:cstheme="minorEastAsia"/>
          <w:color w:val="auto"/>
          <w:sz w:val="21"/>
          <w:szCs w:val="21"/>
        </w:rPr>
      </w:pPr>
    </w:p>
    <w:p w14:paraId="61F3B8C5">
      <w:pPr>
        <w:spacing w:line="243" w:lineRule="auto"/>
        <w:rPr>
          <w:rFonts w:hint="eastAsia" w:asciiTheme="minorEastAsia" w:hAnsiTheme="minorEastAsia" w:eastAsiaTheme="minorEastAsia" w:cstheme="minorEastAsia"/>
          <w:color w:val="auto"/>
          <w:sz w:val="21"/>
          <w:szCs w:val="21"/>
        </w:rPr>
      </w:pPr>
    </w:p>
    <w:p w14:paraId="6185FD14">
      <w:pPr>
        <w:spacing w:before="78" w:line="344" w:lineRule="auto"/>
        <w:ind w:left="4487" w:leftChars="977" w:right="1978" w:hanging="2435" w:hangingChars="1230"/>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pacing w:val="-6"/>
          <w:sz w:val="21"/>
          <w:szCs w:val="21"/>
        </w:rPr>
        <w:t>投标人名称（电子签章</w:t>
      </w:r>
      <w:r>
        <w:rPr>
          <w:rFonts w:hint="eastAsia" w:asciiTheme="minorEastAsia" w:hAnsiTheme="minorEastAsia" w:eastAsiaTheme="minorEastAsia" w:cstheme="minorEastAsia"/>
          <w:color w:val="auto"/>
          <w:spacing w:val="-2"/>
          <w:sz w:val="21"/>
          <w:szCs w:val="21"/>
        </w:rPr>
        <w:t>）：</w:t>
      </w:r>
      <w:r>
        <w:rPr>
          <w:rFonts w:hint="eastAsia" w:asciiTheme="minorEastAsia" w:hAnsiTheme="minorEastAsia" w:eastAsiaTheme="minorEastAsia" w:cstheme="minorEastAsia"/>
          <w:color w:val="auto"/>
          <w:spacing w:val="-2"/>
          <w:sz w:val="21"/>
          <w:szCs w:val="21"/>
          <w:u w:val="single"/>
          <w:lang w:val="en-US" w:eastAsia="zh-CN"/>
        </w:rPr>
        <w:t xml:space="preserve">                 </w:t>
      </w:r>
    </w:p>
    <w:p w14:paraId="0C8B3F72">
      <w:pPr>
        <w:tabs>
          <w:tab w:val="left" w:pos="2940"/>
        </w:tabs>
        <w:spacing w:before="38" w:line="22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3"/>
          <w:sz w:val="21"/>
          <w:szCs w:val="21"/>
          <w:lang w:val="en-US" w:eastAsia="zh-CN"/>
        </w:rPr>
        <w:tab/>
      </w:r>
      <w:r>
        <w:rPr>
          <w:rFonts w:hint="eastAsia" w:asciiTheme="minorEastAsia" w:hAnsiTheme="minorEastAsia" w:eastAsiaTheme="minorEastAsia" w:cstheme="minorEastAsia"/>
          <w:color w:val="auto"/>
          <w:spacing w:val="-13"/>
          <w:sz w:val="21"/>
          <w:szCs w:val="21"/>
        </w:rPr>
        <w:t>日期：</w:t>
      </w:r>
      <w:r>
        <w:rPr>
          <w:rFonts w:hint="eastAsia" w:asciiTheme="minorEastAsia" w:hAnsiTheme="minorEastAsia" w:eastAsiaTheme="minorEastAsia" w:cstheme="minorEastAsia"/>
          <w:color w:val="auto"/>
          <w:spacing w:val="2"/>
          <w:sz w:val="21"/>
          <w:szCs w:val="21"/>
        </w:rPr>
        <w:t xml:space="preserve">    </w:t>
      </w:r>
      <w:r>
        <w:rPr>
          <w:rFonts w:hint="eastAsia" w:asciiTheme="minorEastAsia" w:hAnsiTheme="minorEastAsia" w:eastAsiaTheme="minorEastAsia" w:cstheme="minorEastAsia"/>
          <w:color w:val="auto"/>
          <w:spacing w:val="-13"/>
          <w:sz w:val="21"/>
          <w:szCs w:val="21"/>
        </w:rPr>
        <w:t>年</w:t>
      </w:r>
      <w:r>
        <w:rPr>
          <w:rFonts w:hint="eastAsia" w:asciiTheme="minorEastAsia" w:hAnsiTheme="minorEastAsia" w:eastAsiaTheme="minorEastAsia" w:cstheme="minorEastAsia"/>
          <w:color w:val="auto"/>
          <w:spacing w:val="6"/>
          <w:sz w:val="21"/>
          <w:szCs w:val="21"/>
        </w:rPr>
        <w:t xml:space="preserve">   </w:t>
      </w:r>
      <w:r>
        <w:rPr>
          <w:rFonts w:hint="eastAsia" w:asciiTheme="minorEastAsia" w:hAnsiTheme="minorEastAsia" w:eastAsiaTheme="minorEastAsia" w:cstheme="minorEastAsia"/>
          <w:color w:val="auto"/>
          <w:spacing w:val="-13"/>
          <w:sz w:val="21"/>
          <w:szCs w:val="21"/>
        </w:rPr>
        <w:t>月</w:t>
      </w:r>
      <w:r>
        <w:rPr>
          <w:rFonts w:hint="eastAsia" w:asciiTheme="minorEastAsia" w:hAnsiTheme="minorEastAsia" w:eastAsiaTheme="minorEastAsia" w:cstheme="minorEastAsia"/>
          <w:color w:val="auto"/>
          <w:spacing w:val="17"/>
          <w:sz w:val="21"/>
          <w:szCs w:val="21"/>
        </w:rPr>
        <w:t xml:space="preserve">   </w:t>
      </w:r>
      <w:r>
        <w:rPr>
          <w:rFonts w:hint="eastAsia" w:asciiTheme="minorEastAsia" w:hAnsiTheme="minorEastAsia" w:eastAsiaTheme="minorEastAsia" w:cstheme="minorEastAsia"/>
          <w:color w:val="auto"/>
          <w:spacing w:val="-13"/>
          <w:sz w:val="21"/>
          <w:szCs w:val="21"/>
        </w:rPr>
        <w:t>日</w:t>
      </w:r>
    </w:p>
    <w:p w14:paraId="453CB6F7">
      <w:pPr>
        <w:spacing w:line="220" w:lineRule="auto"/>
        <w:rPr>
          <w:rFonts w:hint="eastAsia" w:asciiTheme="minorEastAsia" w:hAnsiTheme="minorEastAsia" w:eastAsiaTheme="minorEastAsia" w:cstheme="minorEastAsia"/>
          <w:color w:val="auto"/>
          <w:sz w:val="21"/>
          <w:szCs w:val="21"/>
        </w:rPr>
        <w:sectPr>
          <w:footerReference r:id="rId24" w:type="default"/>
          <w:pgSz w:w="11905" w:h="16838"/>
          <w:pgMar w:top="1417" w:right="1417" w:bottom="1417" w:left="1417" w:header="0" w:footer="1196" w:gutter="0"/>
          <w:pgNumType w:fmt="decimal"/>
          <w:cols w:space="0" w:num="1"/>
          <w:rtlGutter w:val="0"/>
          <w:docGrid w:linePitch="0" w:charSpace="0"/>
        </w:sectPr>
      </w:pPr>
    </w:p>
    <w:p w14:paraId="41249132">
      <w:pPr>
        <w:spacing w:before="91" w:line="220" w:lineRule="auto"/>
        <w:ind w:left="138"/>
        <w:jc w:val="center"/>
        <w:outlineLvl w:val="2"/>
        <w:rPr>
          <w:rFonts w:hint="eastAsia" w:ascii="宋体" w:hAnsi="宋体" w:eastAsia="宋体" w:cs="宋体"/>
          <w:b/>
          <w:bCs/>
          <w:color w:val="auto"/>
          <w:spacing w:val="-4"/>
          <w:sz w:val="28"/>
          <w:szCs w:val="28"/>
        </w:rPr>
      </w:pPr>
      <w:r>
        <w:rPr>
          <w:rFonts w:hint="eastAsia" w:ascii="宋体" w:hAnsi="宋体" w:eastAsia="宋体" w:cs="宋体"/>
          <w:b/>
          <w:bCs/>
          <w:color w:val="auto"/>
          <w:spacing w:val="-4"/>
          <w:sz w:val="28"/>
          <w:szCs w:val="28"/>
        </w:rPr>
        <w:t>投标人直接管理关系信息表</w:t>
      </w:r>
    </w:p>
    <w:p w14:paraId="225BCC18">
      <w:pPr>
        <w:spacing w:line="196" w:lineRule="exact"/>
        <w:rPr>
          <w:color w:val="auto"/>
        </w:rPr>
      </w:pPr>
    </w:p>
    <w:tbl>
      <w:tblPr>
        <w:tblStyle w:val="24"/>
        <w:tblW w:w="965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0"/>
        <w:gridCol w:w="2658"/>
        <w:gridCol w:w="3923"/>
        <w:gridCol w:w="2068"/>
      </w:tblGrid>
      <w:tr w14:paraId="6ADBB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jc w:val="center"/>
        </w:trPr>
        <w:tc>
          <w:tcPr>
            <w:tcW w:w="1010" w:type="dxa"/>
            <w:shd w:val="clear" w:color="auto" w:fill="EAE3D8"/>
            <w:vAlign w:val="top"/>
          </w:tcPr>
          <w:p w14:paraId="6408AE50">
            <w:pPr>
              <w:pStyle w:val="25"/>
              <w:spacing w:before="160" w:line="221" w:lineRule="auto"/>
              <w:ind w:left="269"/>
              <w:rPr>
                <w:color w:val="auto"/>
                <w:sz w:val="21"/>
                <w:szCs w:val="21"/>
              </w:rPr>
            </w:pPr>
            <w:r>
              <w:rPr>
                <w:b/>
                <w:bCs/>
                <w:color w:val="auto"/>
                <w:spacing w:val="-5"/>
                <w:sz w:val="21"/>
                <w:szCs w:val="21"/>
              </w:rPr>
              <w:t>序号</w:t>
            </w:r>
          </w:p>
        </w:tc>
        <w:tc>
          <w:tcPr>
            <w:tcW w:w="2658" w:type="dxa"/>
            <w:shd w:val="clear" w:color="auto" w:fill="EAE3D8"/>
            <w:vAlign w:val="top"/>
          </w:tcPr>
          <w:p w14:paraId="08ACBC8A">
            <w:pPr>
              <w:pStyle w:val="25"/>
              <w:spacing w:before="160" w:line="220" w:lineRule="auto"/>
              <w:ind w:left="131"/>
              <w:rPr>
                <w:color w:val="auto"/>
                <w:sz w:val="21"/>
                <w:szCs w:val="21"/>
              </w:rPr>
            </w:pPr>
            <w:r>
              <w:rPr>
                <w:b/>
                <w:bCs/>
                <w:color w:val="auto"/>
                <w:spacing w:val="-3"/>
                <w:sz w:val="21"/>
                <w:szCs w:val="21"/>
              </w:rPr>
              <w:t>直接管理关系单位名称</w:t>
            </w:r>
          </w:p>
        </w:tc>
        <w:tc>
          <w:tcPr>
            <w:tcW w:w="3923" w:type="dxa"/>
            <w:shd w:val="clear" w:color="auto" w:fill="EAE3D8"/>
            <w:vAlign w:val="top"/>
          </w:tcPr>
          <w:p w14:paraId="25AD1120">
            <w:pPr>
              <w:pStyle w:val="25"/>
              <w:spacing w:before="160" w:line="219" w:lineRule="auto"/>
              <w:ind w:left="1008"/>
              <w:rPr>
                <w:color w:val="auto"/>
                <w:sz w:val="21"/>
                <w:szCs w:val="21"/>
              </w:rPr>
            </w:pPr>
            <w:r>
              <w:rPr>
                <w:b/>
                <w:bCs/>
                <w:color w:val="auto"/>
                <w:spacing w:val="-4"/>
                <w:sz w:val="21"/>
                <w:szCs w:val="21"/>
              </w:rPr>
              <w:t>统一社会信用代码</w:t>
            </w:r>
          </w:p>
        </w:tc>
        <w:tc>
          <w:tcPr>
            <w:tcW w:w="2068" w:type="dxa"/>
            <w:shd w:val="clear" w:color="auto" w:fill="EAE3D8"/>
            <w:vAlign w:val="top"/>
          </w:tcPr>
          <w:p w14:paraId="1465D511">
            <w:pPr>
              <w:pStyle w:val="25"/>
              <w:spacing w:before="160" w:line="221" w:lineRule="auto"/>
              <w:ind w:left="798"/>
              <w:rPr>
                <w:color w:val="auto"/>
                <w:sz w:val="21"/>
                <w:szCs w:val="21"/>
              </w:rPr>
            </w:pPr>
            <w:r>
              <w:rPr>
                <w:b/>
                <w:bCs/>
                <w:color w:val="auto"/>
                <w:spacing w:val="-5"/>
                <w:sz w:val="21"/>
                <w:szCs w:val="21"/>
              </w:rPr>
              <w:t>备注</w:t>
            </w:r>
          </w:p>
        </w:tc>
      </w:tr>
      <w:tr w14:paraId="1F04E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jc w:val="center"/>
        </w:trPr>
        <w:tc>
          <w:tcPr>
            <w:tcW w:w="1010" w:type="dxa"/>
            <w:vAlign w:val="top"/>
          </w:tcPr>
          <w:p w14:paraId="7CCD9FFA">
            <w:pPr>
              <w:pStyle w:val="25"/>
              <w:spacing w:before="196" w:line="182" w:lineRule="auto"/>
              <w:ind w:left="468"/>
              <w:rPr>
                <w:color w:val="auto"/>
                <w:sz w:val="21"/>
                <w:szCs w:val="21"/>
              </w:rPr>
            </w:pPr>
            <w:r>
              <w:rPr>
                <w:color w:val="auto"/>
                <w:sz w:val="21"/>
                <w:szCs w:val="21"/>
              </w:rPr>
              <w:t>1</w:t>
            </w:r>
          </w:p>
        </w:tc>
        <w:tc>
          <w:tcPr>
            <w:tcW w:w="2658" w:type="dxa"/>
            <w:vAlign w:val="top"/>
          </w:tcPr>
          <w:p w14:paraId="35347370">
            <w:pPr>
              <w:rPr>
                <w:rFonts w:ascii="Arial"/>
                <w:color w:val="auto"/>
                <w:sz w:val="21"/>
                <w:szCs w:val="21"/>
              </w:rPr>
            </w:pPr>
          </w:p>
        </w:tc>
        <w:tc>
          <w:tcPr>
            <w:tcW w:w="3923" w:type="dxa"/>
            <w:vAlign w:val="top"/>
          </w:tcPr>
          <w:p w14:paraId="70FF31BC">
            <w:pPr>
              <w:rPr>
                <w:rFonts w:ascii="Arial"/>
                <w:color w:val="auto"/>
                <w:sz w:val="21"/>
                <w:szCs w:val="21"/>
              </w:rPr>
            </w:pPr>
          </w:p>
        </w:tc>
        <w:tc>
          <w:tcPr>
            <w:tcW w:w="2068" w:type="dxa"/>
            <w:vAlign w:val="top"/>
          </w:tcPr>
          <w:p w14:paraId="35F4C597">
            <w:pPr>
              <w:rPr>
                <w:rFonts w:ascii="Arial"/>
                <w:color w:val="auto"/>
                <w:sz w:val="21"/>
                <w:szCs w:val="21"/>
              </w:rPr>
            </w:pPr>
          </w:p>
        </w:tc>
      </w:tr>
      <w:tr w14:paraId="339E5C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jc w:val="center"/>
        </w:trPr>
        <w:tc>
          <w:tcPr>
            <w:tcW w:w="1010" w:type="dxa"/>
            <w:vAlign w:val="top"/>
          </w:tcPr>
          <w:p w14:paraId="5A20A023">
            <w:pPr>
              <w:pStyle w:val="25"/>
              <w:spacing w:before="199" w:line="181" w:lineRule="auto"/>
              <w:ind w:left="453"/>
              <w:rPr>
                <w:color w:val="auto"/>
                <w:sz w:val="21"/>
                <w:szCs w:val="21"/>
              </w:rPr>
            </w:pPr>
            <w:r>
              <w:rPr>
                <w:color w:val="auto"/>
                <w:sz w:val="21"/>
                <w:szCs w:val="21"/>
              </w:rPr>
              <w:t>2</w:t>
            </w:r>
          </w:p>
        </w:tc>
        <w:tc>
          <w:tcPr>
            <w:tcW w:w="2658" w:type="dxa"/>
            <w:vAlign w:val="top"/>
          </w:tcPr>
          <w:p w14:paraId="2FB96BBF">
            <w:pPr>
              <w:rPr>
                <w:rFonts w:ascii="Arial"/>
                <w:color w:val="auto"/>
                <w:sz w:val="21"/>
                <w:szCs w:val="21"/>
              </w:rPr>
            </w:pPr>
          </w:p>
        </w:tc>
        <w:tc>
          <w:tcPr>
            <w:tcW w:w="3923" w:type="dxa"/>
            <w:vAlign w:val="top"/>
          </w:tcPr>
          <w:p w14:paraId="6432D045">
            <w:pPr>
              <w:rPr>
                <w:rFonts w:ascii="Arial"/>
                <w:color w:val="auto"/>
                <w:sz w:val="21"/>
                <w:szCs w:val="21"/>
              </w:rPr>
            </w:pPr>
          </w:p>
        </w:tc>
        <w:tc>
          <w:tcPr>
            <w:tcW w:w="2068" w:type="dxa"/>
            <w:vAlign w:val="top"/>
          </w:tcPr>
          <w:p w14:paraId="43F7504A">
            <w:pPr>
              <w:rPr>
                <w:rFonts w:ascii="Arial"/>
                <w:color w:val="auto"/>
                <w:sz w:val="21"/>
                <w:szCs w:val="21"/>
              </w:rPr>
            </w:pPr>
          </w:p>
        </w:tc>
      </w:tr>
      <w:tr w14:paraId="4FB8C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jc w:val="center"/>
        </w:trPr>
        <w:tc>
          <w:tcPr>
            <w:tcW w:w="1010" w:type="dxa"/>
            <w:vAlign w:val="top"/>
          </w:tcPr>
          <w:p w14:paraId="7B62C6BE">
            <w:pPr>
              <w:pStyle w:val="25"/>
              <w:spacing w:before="200" w:line="181" w:lineRule="auto"/>
              <w:ind w:left="455"/>
              <w:rPr>
                <w:color w:val="auto"/>
                <w:sz w:val="21"/>
                <w:szCs w:val="21"/>
              </w:rPr>
            </w:pPr>
            <w:r>
              <w:rPr>
                <w:color w:val="auto"/>
                <w:sz w:val="21"/>
                <w:szCs w:val="21"/>
              </w:rPr>
              <w:t>3</w:t>
            </w:r>
          </w:p>
        </w:tc>
        <w:tc>
          <w:tcPr>
            <w:tcW w:w="2658" w:type="dxa"/>
            <w:vAlign w:val="top"/>
          </w:tcPr>
          <w:p w14:paraId="13B764C5">
            <w:pPr>
              <w:rPr>
                <w:rFonts w:ascii="Arial"/>
                <w:color w:val="auto"/>
                <w:sz w:val="21"/>
                <w:szCs w:val="21"/>
              </w:rPr>
            </w:pPr>
          </w:p>
        </w:tc>
        <w:tc>
          <w:tcPr>
            <w:tcW w:w="3923" w:type="dxa"/>
            <w:vAlign w:val="top"/>
          </w:tcPr>
          <w:p w14:paraId="3B7DB668">
            <w:pPr>
              <w:rPr>
                <w:rFonts w:ascii="Arial"/>
                <w:color w:val="auto"/>
                <w:sz w:val="21"/>
                <w:szCs w:val="21"/>
              </w:rPr>
            </w:pPr>
          </w:p>
        </w:tc>
        <w:tc>
          <w:tcPr>
            <w:tcW w:w="2068" w:type="dxa"/>
            <w:vAlign w:val="top"/>
          </w:tcPr>
          <w:p w14:paraId="6AC52EDB">
            <w:pPr>
              <w:rPr>
                <w:rFonts w:ascii="Arial"/>
                <w:color w:val="auto"/>
                <w:sz w:val="21"/>
                <w:szCs w:val="21"/>
              </w:rPr>
            </w:pPr>
          </w:p>
        </w:tc>
      </w:tr>
      <w:tr w14:paraId="14066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jc w:val="center"/>
        </w:trPr>
        <w:tc>
          <w:tcPr>
            <w:tcW w:w="1010" w:type="dxa"/>
            <w:vAlign w:val="top"/>
          </w:tcPr>
          <w:p w14:paraId="30AD2F77">
            <w:pPr>
              <w:pStyle w:val="25"/>
              <w:spacing w:before="160" w:line="378" w:lineRule="exact"/>
              <w:ind w:left="285"/>
              <w:rPr>
                <w:color w:val="auto"/>
                <w:sz w:val="21"/>
                <w:szCs w:val="21"/>
              </w:rPr>
            </w:pPr>
            <w:r>
              <w:rPr>
                <w:color w:val="auto"/>
                <w:spacing w:val="-7"/>
                <w:position w:val="3"/>
                <w:sz w:val="21"/>
                <w:szCs w:val="21"/>
              </w:rPr>
              <w:t>……</w:t>
            </w:r>
          </w:p>
        </w:tc>
        <w:tc>
          <w:tcPr>
            <w:tcW w:w="2658" w:type="dxa"/>
            <w:vAlign w:val="top"/>
          </w:tcPr>
          <w:p w14:paraId="1629C80A">
            <w:pPr>
              <w:rPr>
                <w:rFonts w:ascii="Arial"/>
                <w:color w:val="auto"/>
                <w:sz w:val="21"/>
                <w:szCs w:val="21"/>
              </w:rPr>
            </w:pPr>
          </w:p>
        </w:tc>
        <w:tc>
          <w:tcPr>
            <w:tcW w:w="3923" w:type="dxa"/>
            <w:vAlign w:val="top"/>
          </w:tcPr>
          <w:p w14:paraId="2B84F97E">
            <w:pPr>
              <w:rPr>
                <w:rFonts w:ascii="Arial"/>
                <w:color w:val="auto"/>
                <w:sz w:val="21"/>
                <w:szCs w:val="21"/>
              </w:rPr>
            </w:pPr>
          </w:p>
        </w:tc>
        <w:tc>
          <w:tcPr>
            <w:tcW w:w="2068" w:type="dxa"/>
            <w:vAlign w:val="top"/>
          </w:tcPr>
          <w:p w14:paraId="43EDD201">
            <w:pPr>
              <w:rPr>
                <w:rFonts w:ascii="Arial"/>
                <w:color w:val="auto"/>
                <w:sz w:val="21"/>
                <w:szCs w:val="21"/>
              </w:rPr>
            </w:pPr>
          </w:p>
        </w:tc>
      </w:tr>
    </w:tbl>
    <w:p w14:paraId="10793FD2">
      <w:pPr>
        <w:spacing w:before="36" w:line="224" w:lineRule="auto"/>
        <w:ind w:left="134"/>
        <w:rPr>
          <w:rFonts w:ascii="宋体" w:hAnsi="宋体" w:eastAsia="宋体" w:cs="宋体"/>
          <w:color w:val="auto"/>
          <w:sz w:val="21"/>
          <w:szCs w:val="21"/>
        </w:rPr>
      </w:pPr>
      <w:r>
        <w:rPr>
          <w:rFonts w:ascii="宋体" w:hAnsi="宋体" w:eastAsia="宋体" w:cs="宋体"/>
          <w:color w:val="auto"/>
          <w:spacing w:val="-17"/>
          <w:sz w:val="21"/>
          <w:szCs w:val="21"/>
        </w:rPr>
        <w:t>注：</w:t>
      </w:r>
    </w:p>
    <w:p w14:paraId="500F03CB">
      <w:pPr>
        <w:keepNext w:val="0"/>
        <w:keepLines w:val="0"/>
        <w:pageBreakBefore w:val="0"/>
        <w:widowControl/>
        <w:kinsoku w:val="0"/>
        <w:wordWrap/>
        <w:overflowPunct/>
        <w:topLinePunct w:val="0"/>
        <w:autoSpaceDE w:val="0"/>
        <w:autoSpaceDN w:val="0"/>
        <w:bidi w:val="0"/>
        <w:adjustRightInd w:val="0"/>
        <w:snapToGrid w:val="0"/>
        <w:spacing w:before="174" w:line="347" w:lineRule="auto"/>
        <w:ind w:right="0"/>
        <w:textAlignment w:val="baseline"/>
        <w:rPr>
          <w:rFonts w:ascii="宋体" w:hAnsi="宋体" w:eastAsia="宋体" w:cs="宋体"/>
          <w:color w:val="auto"/>
          <w:sz w:val="21"/>
          <w:szCs w:val="21"/>
        </w:rPr>
      </w:pPr>
      <w:r>
        <w:rPr>
          <w:rFonts w:ascii="宋体" w:hAnsi="宋体" w:eastAsia="宋体" w:cs="宋体"/>
          <w:color w:val="auto"/>
          <w:spacing w:val="-1"/>
          <w:sz w:val="21"/>
          <w:szCs w:val="21"/>
        </w:rPr>
        <w:t>1.管理关系：是指不具有出资持股关系的其他单位之间存在的管理与被管理</w:t>
      </w:r>
      <w:r>
        <w:rPr>
          <w:rFonts w:ascii="宋体" w:hAnsi="宋体" w:eastAsia="宋体" w:cs="宋体"/>
          <w:color w:val="auto"/>
          <w:spacing w:val="-2"/>
          <w:sz w:val="21"/>
          <w:szCs w:val="21"/>
        </w:rPr>
        <w:t>关系，如一些上下级关系的事业单位和团体</w:t>
      </w:r>
      <w:r>
        <w:rPr>
          <w:rFonts w:ascii="宋体" w:hAnsi="宋体" w:eastAsia="宋体" w:cs="宋体"/>
          <w:color w:val="auto"/>
          <w:spacing w:val="-3"/>
          <w:sz w:val="21"/>
          <w:szCs w:val="21"/>
        </w:rPr>
        <w:t>组织。</w:t>
      </w:r>
    </w:p>
    <w:p w14:paraId="43FA9FE3">
      <w:pPr>
        <w:keepNext w:val="0"/>
        <w:keepLines w:val="0"/>
        <w:pageBreakBefore w:val="0"/>
        <w:widowControl/>
        <w:kinsoku w:val="0"/>
        <w:wordWrap/>
        <w:overflowPunct/>
        <w:topLinePunct w:val="0"/>
        <w:autoSpaceDE w:val="0"/>
        <w:autoSpaceDN w:val="0"/>
        <w:bidi w:val="0"/>
        <w:adjustRightInd w:val="0"/>
        <w:snapToGrid w:val="0"/>
        <w:spacing w:before="31" w:line="219" w:lineRule="auto"/>
        <w:ind w:right="0"/>
        <w:textAlignment w:val="baseline"/>
        <w:rPr>
          <w:rFonts w:ascii="宋体" w:hAnsi="宋体" w:eastAsia="宋体" w:cs="宋体"/>
          <w:color w:val="auto"/>
          <w:sz w:val="21"/>
          <w:szCs w:val="21"/>
        </w:rPr>
      </w:pPr>
      <w:r>
        <w:rPr>
          <w:rFonts w:ascii="宋体" w:hAnsi="宋体" w:eastAsia="宋体" w:cs="宋体"/>
          <w:color w:val="auto"/>
          <w:spacing w:val="-12"/>
          <w:sz w:val="21"/>
          <w:szCs w:val="21"/>
        </w:rPr>
        <w:t>2.本表所指的管理关系仅限于直接管理关系，不包括间接的管理关系。</w:t>
      </w:r>
    </w:p>
    <w:p w14:paraId="250215FB">
      <w:pPr>
        <w:keepNext w:val="0"/>
        <w:keepLines w:val="0"/>
        <w:pageBreakBefore w:val="0"/>
        <w:widowControl/>
        <w:kinsoku w:val="0"/>
        <w:wordWrap/>
        <w:overflowPunct/>
        <w:topLinePunct w:val="0"/>
        <w:autoSpaceDE w:val="0"/>
        <w:autoSpaceDN w:val="0"/>
        <w:bidi w:val="0"/>
        <w:adjustRightInd w:val="0"/>
        <w:snapToGrid w:val="0"/>
        <w:spacing w:before="183" w:line="219" w:lineRule="auto"/>
        <w:ind w:right="0"/>
        <w:textAlignment w:val="baseline"/>
        <w:rPr>
          <w:rFonts w:ascii="宋体" w:hAnsi="宋体" w:eastAsia="宋体" w:cs="宋体"/>
          <w:color w:val="auto"/>
          <w:sz w:val="21"/>
          <w:szCs w:val="21"/>
        </w:rPr>
      </w:pPr>
      <w:r>
        <w:rPr>
          <w:rFonts w:ascii="宋体" w:hAnsi="宋体" w:eastAsia="宋体" w:cs="宋体"/>
          <w:color w:val="auto"/>
          <w:spacing w:val="-7"/>
          <w:sz w:val="21"/>
          <w:szCs w:val="21"/>
        </w:rPr>
        <w:t>3.供应商不存在直接管理关系的，则在“</w:t>
      </w:r>
      <w:r>
        <w:rPr>
          <w:rFonts w:ascii="宋体" w:hAnsi="宋体" w:eastAsia="宋体" w:cs="宋体"/>
          <w:b/>
          <w:bCs/>
          <w:color w:val="auto"/>
          <w:spacing w:val="-7"/>
          <w:sz w:val="21"/>
          <w:szCs w:val="21"/>
        </w:rPr>
        <w:t>直接管理关系单位名称</w:t>
      </w:r>
      <w:r>
        <w:rPr>
          <w:rFonts w:ascii="宋体" w:hAnsi="宋体" w:eastAsia="宋体" w:cs="宋体"/>
          <w:color w:val="auto"/>
          <w:spacing w:val="-7"/>
          <w:sz w:val="21"/>
          <w:szCs w:val="21"/>
        </w:rPr>
        <w:t>”中填“无”。</w:t>
      </w:r>
    </w:p>
    <w:p w14:paraId="185AB845">
      <w:pPr>
        <w:spacing w:line="243" w:lineRule="auto"/>
        <w:rPr>
          <w:rFonts w:ascii="Arial"/>
          <w:color w:val="auto"/>
          <w:sz w:val="21"/>
          <w:szCs w:val="21"/>
        </w:rPr>
      </w:pPr>
    </w:p>
    <w:p w14:paraId="2ABEF706">
      <w:pPr>
        <w:spacing w:line="244" w:lineRule="auto"/>
        <w:rPr>
          <w:rFonts w:ascii="Arial"/>
          <w:color w:val="auto"/>
          <w:sz w:val="21"/>
          <w:szCs w:val="21"/>
        </w:rPr>
      </w:pPr>
    </w:p>
    <w:p w14:paraId="1E7492A5">
      <w:pPr>
        <w:spacing w:line="244" w:lineRule="auto"/>
        <w:rPr>
          <w:rFonts w:ascii="Arial"/>
          <w:color w:val="auto"/>
          <w:sz w:val="21"/>
          <w:szCs w:val="21"/>
        </w:rPr>
      </w:pPr>
    </w:p>
    <w:p w14:paraId="263136B2">
      <w:pPr>
        <w:spacing w:before="78" w:line="344" w:lineRule="auto"/>
        <w:ind w:left="4487" w:leftChars="977" w:right="1978" w:hanging="2435" w:hangingChars="1230"/>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pacing w:val="-6"/>
          <w:sz w:val="21"/>
          <w:szCs w:val="21"/>
        </w:rPr>
        <w:t>投标人名称（电子签章</w:t>
      </w:r>
      <w:r>
        <w:rPr>
          <w:rFonts w:hint="eastAsia" w:asciiTheme="minorEastAsia" w:hAnsiTheme="minorEastAsia" w:eastAsiaTheme="minorEastAsia" w:cstheme="minorEastAsia"/>
          <w:color w:val="auto"/>
          <w:spacing w:val="-2"/>
          <w:sz w:val="21"/>
          <w:szCs w:val="21"/>
        </w:rPr>
        <w:t>）：</w:t>
      </w:r>
      <w:r>
        <w:rPr>
          <w:rFonts w:hint="eastAsia" w:asciiTheme="minorEastAsia" w:hAnsiTheme="minorEastAsia" w:eastAsiaTheme="minorEastAsia" w:cstheme="minorEastAsia"/>
          <w:color w:val="auto"/>
          <w:spacing w:val="-2"/>
          <w:sz w:val="21"/>
          <w:szCs w:val="21"/>
          <w:u w:val="single"/>
          <w:lang w:val="en-US" w:eastAsia="zh-CN"/>
        </w:rPr>
        <w:t xml:space="preserve">                 </w:t>
      </w:r>
    </w:p>
    <w:p w14:paraId="3C34F0F0">
      <w:pPr>
        <w:tabs>
          <w:tab w:val="left" w:pos="2940"/>
        </w:tabs>
        <w:spacing w:before="38" w:line="22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3"/>
          <w:sz w:val="21"/>
          <w:szCs w:val="21"/>
          <w:lang w:val="en-US" w:eastAsia="zh-CN"/>
        </w:rPr>
        <w:tab/>
      </w:r>
      <w:r>
        <w:rPr>
          <w:rFonts w:hint="eastAsia" w:asciiTheme="minorEastAsia" w:hAnsiTheme="minorEastAsia" w:eastAsiaTheme="minorEastAsia" w:cstheme="minorEastAsia"/>
          <w:color w:val="auto"/>
          <w:spacing w:val="-13"/>
          <w:sz w:val="21"/>
          <w:szCs w:val="21"/>
        </w:rPr>
        <w:t>日期：</w:t>
      </w:r>
      <w:r>
        <w:rPr>
          <w:rFonts w:hint="eastAsia" w:asciiTheme="minorEastAsia" w:hAnsiTheme="minorEastAsia" w:eastAsiaTheme="minorEastAsia" w:cstheme="minorEastAsia"/>
          <w:color w:val="auto"/>
          <w:spacing w:val="2"/>
          <w:sz w:val="21"/>
          <w:szCs w:val="21"/>
        </w:rPr>
        <w:t xml:space="preserve">    </w:t>
      </w:r>
      <w:r>
        <w:rPr>
          <w:rFonts w:hint="eastAsia" w:asciiTheme="minorEastAsia" w:hAnsiTheme="minorEastAsia" w:eastAsiaTheme="minorEastAsia" w:cstheme="minorEastAsia"/>
          <w:color w:val="auto"/>
          <w:spacing w:val="-13"/>
          <w:sz w:val="21"/>
          <w:szCs w:val="21"/>
        </w:rPr>
        <w:t>年</w:t>
      </w:r>
      <w:r>
        <w:rPr>
          <w:rFonts w:hint="eastAsia" w:asciiTheme="minorEastAsia" w:hAnsiTheme="minorEastAsia" w:eastAsiaTheme="minorEastAsia" w:cstheme="minorEastAsia"/>
          <w:color w:val="auto"/>
          <w:spacing w:val="6"/>
          <w:sz w:val="21"/>
          <w:szCs w:val="21"/>
        </w:rPr>
        <w:t xml:space="preserve">   </w:t>
      </w:r>
      <w:r>
        <w:rPr>
          <w:rFonts w:hint="eastAsia" w:asciiTheme="minorEastAsia" w:hAnsiTheme="minorEastAsia" w:eastAsiaTheme="minorEastAsia" w:cstheme="minorEastAsia"/>
          <w:color w:val="auto"/>
          <w:spacing w:val="-13"/>
          <w:sz w:val="21"/>
          <w:szCs w:val="21"/>
        </w:rPr>
        <w:t>月</w:t>
      </w:r>
      <w:r>
        <w:rPr>
          <w:rFonts w:hint="eastAsia" w:asciiTheme="minorEastAsia" w:hAnsiTheme="minorEastAsia" w:eastAsiaTheme="minorEastAsia" w:cstheme="minorEastAsia"/>
          <w:color w:val="auto"/>
          <w:spacing w:val="17"/>
          <w:sz w:val="21"/>
          <w:szCs w:val="21"/>
        </w:rPr>
        <w:t xml:space="preserve">   </w:t>
      </w:r>
      <w:r>
        <w:rPr>
          <w:rFonts w:hint="eastAsia" w:asciiTheme="minorEastAsia" w:hAnsiTheme="minorEastAsia" w:eastAsiaTheme="minorEastAsia" w:cstheme="minorEastAsia"/>
          <w:color w:val="auto"/>
          <w:spacing w:val="-13"/>
          <w:sz w:val="21"/>
          <w:szCs w:val="21"/>
        </w:rPr>
        <w:t>日</w:t>
      </w:r>
    </w:p>
    <w:p w14:paraId="7E5F5CD9">
      <w:pPr>
        <w:spacing w:line="220" w:lineRule="auto"/>
        <w:rPr>
          <w:rFonts w:hint="eastAsia" w:asciiTheme="minorEastAsia" w:hAnsiTheme="minorEastAsia" w:eastAsiaTheme="minorEastAsia" w:cstheme="minorEastAsia"/>
          <w:color w:val="auto"/>
          <w:sz w:val="21"/>
          <w:szCs w:val="21"/>
        </w:rPr>
        <w:sectPr>
          <w:footerReference r:id="rId25" w:type="default"/>
          <w:pgSz w:w="11905" w:h="16838"/>
          <w:pgMar w:top="1417" w:right="1417" w:bottom="1417" w:left="1417" w:header="0" w:footer="1196" w:gutter="0"/>
          <w:pgNumType w:fmt="decimal"/>
          <w:cols w:space="0" w:num="1"/>
          <w:rtlGutter w:val="0"/>
          <w:docGrid w:linePitch="0" w:charSpace="0"/>
        </w:sectPr>
      </w:pPr>
    </w:p>
    <w:p w14:paraId="32A509DD">
      <w:pPr>
        <w:spacing w:before="78" w:line="220" w:lineRule="auto"/>
        <w:outlineLvl w:val="2"/>
        <w:rPr>
          <w:rFonts w:ascii="Arial"/>
          <w:color w:val="auto"/>
          <w:sz w:val="21"/>
        </w:rPr>
      </w:pPr>
      <w:r>
        <w:rPr>
          <w:rFonts w:hint="eastAsia" w:ascii="宋体" w:hAnsi="宋体" w:eastAsia="宋体" w:cs="宋体"/>
          <w:b/>
          <w:bCs/>
          <w:color w:val="auto"/>
          <w:spacing w:val="-5"/>
          <w:sz w:val="24"/>
          <w:szCs w:val="24"/>
          <w:lang w:val="en-US" w:eastAsia="zh-CN"/>
        </w:rPr>
        <w:t>6.</w:t>
      </w:r>
      <w:r>
        <w:rPr>
          <w:rFonts w:ascii="宋体" w:hAnsi="宋体" w:eastAsia="宋体" w:cs="宋体"/>
          <w:color w:val="auto"/>
          <w:spacing w:val="69"/>
          <w:sz w:val="24"/>
          <w:szCs w:val="24"/>
        </w:rPr>
        <w:t xml:space="preserve"> </w:t>
      </w:r>
      <w:r>
        <w:rPr>
          <w:rFonts w:ascii="宋体" w:hAnsi="宋体" w:eastAsia="宋体" w:cs="宋体"/>
          <w:b/>
          <w:bCs/>
          <w:color w:val="auto"/>
          <w:spacing w:val="-5"/>
          <w:sz w:val="24"/>
          <w:szCs w:val="24"/>
        </w:rPr>
        <w:t>投标声明</w:t>
      </w:r>
    </w:p>
    <w:p w14:paraId="14788298">
      <w:pPr>
        <w:spacing w:before="101" w:line="225" w:lineRule="auto"/>
        <w:ind w:left="3617"/>
        <w:rPr>
          <w:rFonts w:ascii="宋体" w:hAnsi="宋体" w:eastAsia="宋体" w:cs="宋体"/>
          <w:color w:val="auto"/>
          <w:sz w:val="28"/>
          <w:szCs w:val="28"/>
        </w:rPr>
      </w:pPr>
      <w:r>
        <w:rPr>
          <w:rFonts w:ascii="宋体" w:hAnsi="宋体" w:eastAsia="宋体" w:cs="宋体"/>
          <w:b/>
          <w:bCs/>
          <w:color w:val="auto"/>
          <w:spacing w:val="3"/>
          <w:sz w:val="28"/>
          <w:szCs w:val="28"/>
        </w:rPr>
        <w:t>投标声明</w:t>
      </w:r>
    </w:p>
    <w:p w14:paraId="0E9FBAD8">
      <w:pPr>
        <w:spacing w:before="225" w:line="360" w:lineRule="auto"/>
        <w:ind w:left="7"/>
        <w:jc w:val="both"/>
        <w:rPr>
          <w:rFonts w:ascii="宋体" w:hAnsi="宋体" w:eastAsia="宋体" w:cs="宋体"/>
          <w:color w:val="auto"/>
          <w:sz w:val="21"/>
          <w:szCs w:val="21"/>
        </w:rPr>
      </w:pPr>
      <w:r>
        <w:rPr>
          <w:rFonts w:ascii="宋体" w:hAnsi="宋体" w:eastAsia="宋体" w:cs="宋体"/>
          <w:color w:val="auto"/>
          <w:spacing w:val="-9"/>
          <w:sz w:val="21"/>
          <w:szCs w:val="21"/>
        </w:rPr>
        <w:t>（采购人名称</w:t>
      </w:r>
      <w:r>
        <w:rPr>
          <w:rFonts w:ascii="宋体" w:hAnsi="宋体" w:eastAsia="宋体" w:cs="宋体"/>
          <w:color w:val="auto"/>
          <w:spacing w:val="-5"/>
          <w:sz w:val="21"/>
          <w:szCs w:val="21"/>
        </w:rPr>
        <w:t>）：</w:t>
      </w:r>
    </w:p>
    <w:p w14:paraId="2D3ABE7A">
      <w:pPr>
        <w:spacing w:before="116" w:line="360" w:lineRule="auto"/>
        <w:ind w:left="4" w:right="72" w:firstLine="521"/>
        <w:jc w:val="both"/>
        <w:rPr>
          <w:rFonts w:ascii="宋体" w:hAnsi="宋体" w:eastAsia="宋体" w:cs="宋体"/>
          <w:color w:val="auto"/>
          <w:sz w:val="21"/>
          <w:szCs w:val="21"/>
        </w:rPr>
      </w:pPr>
      <w:r>
        <w:rPr>
          <w:rFonts w:ascii="宋体" w:hAnsi="宋体" w:eastAsia="宋体" w:cs="宋体"/>
          <w:color w:val="auto"/>
          <w:spacing w:val="-2"/>
          <w:sz w:val="21"/>
          <w:szCs w:val="21"/>
        </w:rPr>
        <w:t>我方参加贵单位组织</w:t>
      </w:r>
      <w:r>
        <w:rPr>
          <w:rFonts w:ascii="宋体" w:hAnsi="宋体" w:eastAsia="宋体" w:cs="宋体"/>
          <w:color w:val="auto"/>
          <w:spacing w:val="-119"/>
          <w:sz w:val="21"/>
          <w:szCs w:val="21"/>
        </w:rPr>
        <w:t xml:space="preserve"> </w:t>
      </w:r>
      <w:r>
        <w:rPr>
          <w:rFonts w:ascii="宋体" w:hAnsi="宋体" w:eastAsia="宋体" w:cs="宋体"/>
          <w:color w:val="auto"/>
          <w:sz w:val="21"/>
          <w:szCs w:val="21"/>
          <w:u w:val="single" w:color="auto"/>
        </w:rPr>
        <w:t xml:space="preserve">             </w:t>
      </w:r>
      <w:r>
        <w:rPr>
          <w:rFonts w:ascii="宋体" w:hAnsi="宋体" w:eastAsia="宋体" w:cs="宋体"/>
          <w:color w:val="auto"/>
          <w:spacing w:val="-106"/>
          <w:sz w:val="21"/>
          <w:szCs w:val="21"/>
        </w:rPr>
        <w:t xml:space="preserve"> </w:t>
      </w:r>
      <w:r>
        <w:rPr>
          <w:rFonts w:ascii="宋体" w:hAnsi="宋体" w:eastAsia="宋体" w:cs="宋体"/>
          <w:color w:val="auto"/>
          <w:spacing w:val="-2"/>
          <w:sz w:val="21"/>
          <w:szCs w:val="21"/>
        </w:rPr>
        <w:t>项目（项目编号</w:t>
      </w:r>
      <w:r>
        <w:rPr>
          <w:rFonts w:ascii="宋体" w:hAnsi="宋体" w:eastAsia="宋体" w:cs="宋体"/>
          <w:color w:val="auto"/>
          <w:spacing w:val="2"/>
          <w:sz w:val="21"/>
          <w:szCs w:val="21"/>
        </w:rPr>
        <w:t>：</w:t>
      </w:r>
      <w:r>
        <w:rPr>
          <w:rFonts w:ascii="宋体" w:hAnsi="宋体" w:eastAsia="宋体" w:cs="宋体"/>
          <w:color w:val="auto"/>
          <w:sz w:val="21"/>
          <w:szCs w:val="21"/>
          <w:u w:val="single" w:color="auto"/>
        </w:rPr>
        <w:t xml:space="preserve">       </w:t>
      </w:r>
      <w:r>
        <w:rPr>
          <w:rFonts w:ascii="宋体" w:hAnsi="宋体" w:eastAsia="宋体" w:cs="宋体"/>
          <w:color w:val="auto"/>
          <w:spacing w:val="2"/>
          <w:sz w:val="21"/>
          <w:szCs w:val="21"/>
        </w:rPr>
        <w:t>）</w:t>
      </w:r>
      <w:r>
        <w:rPr>
          <w:rFonts w:ascii="宋体" w:hAnsi="宋体" w:eastAsia="宋体" w:cs="宋体"/>
          <w:color w:val="auto"/>
          <w:spacing w:val="-2"/>
          <w:sz w:val="21"/>
          <w:szCs w:val="21"/>
        </w:rPr>
        <w:t>的政府采购活动。我方在此郑重声明：</w:t>
      </w:r>
    </w:p>
    <w:p w14:paraId="65A4A484">
      <w:pPr>
        <w:spacing w:before="38" w:line="360" w:lineRule="auto"/>
        <w:ind w:right="103" w:firstLine="497"/>
        <w:jc w:val="both"/>
        <w:rPr>
          <w:rFonts w:ascii="宋体" w:hAnsi="宋体" w:eastAsia="宋体" w:cs="宋体"/>
          <w:color w:val="auto"/>
          <w:sz w:val="21"/>
          <w:szCs w:val="21"/>
        </w:rPr>
      </w:pPr>
      <w:r>
        <w:rPr>
          <w:rFonts w:ascii="宋体" w:hAnsi="宋体" w:eastAsia="宋体" w:cs="宋体"/>
          <w:color w:val="auto"/>
          <w:spacing w:val="-1"/>
          <w:sz w:val="21"/>
          <w:szCs w:val="21"/>
        </w:rPr>
        <w:t>1.我方参加本项目的政府采购活动前三年内在经营活动中没有重大违法记录（重大违法记录是指供应商因违法经营受到刑事处罚或者责令停产停业、吊销许可证或者执照、较大数额罚款等行政处罚</w:t>
      </w:r>
      <w:r>
        <w:rPr>
          <w:rFonts w:ascii="宋体" w:hAnsi="宋体" w:eastAsia="宋体" w:cs="宋体"/>
          <w:color w:val="auto"/>
          <w:spacing w:val="12"/>
          <w:sz w:val="21"/>
          <w:szCs w:val="21"/>
        </w:rPr>
        <w:t>），</w:t>
      </w:r>
      <w:r>
        <w:rPr>
          <w:rFonts w:ascii="宋体" w:hAnsi="宋体" w:eastAsia="宋体" w:cs="宋体"/>
          <w:color w:val="auto"/>
          <w:spacing w:val="-1"/>
          <w:sz w:val="21"/>
          <w:szCs w:val="21"/>
        </w:rPr>
        <w:t>未被列入失信被执行人、重大税收</w:t>
      </w:r>
      <w:r>
        <w:rPr>
          <w:rFonts w:ascii="宋体" w:hAnsi="宋体" w:eastAsia="宋体" w:cs="宋体"/>
          <w:color w:val="auto"/>
          <w:sz w:val="21"/>
          <w:szCs w:val="21"/>
        </w:rPr>
        <w:t>违法案件当事人名单、政府采购严重违法失信行为记录名</w:t>
      </w:r>
      <w:r>
        <w:rPr>
          <w:rFonts w:ascii="宋体" w:hAnsi="宋体" w:eastAsia="宋体" w:cs="宋体"/>
          <w:color w:val="auto"/>
          <w:spacing w:val="-1"/>
          <w:sz w:val="21"/>
          <w:szCs w:val="21"/>
        </w:rPr>
        <w:t>单，完全符合《中华人</w:t>
      </w:r>
      <w:r>
        <w:rPr>
          <w:rFonts w:ascii="宋体" w:hAnsi="宋体" w:eastAsia="宋体" w:cs="宋体"/>
          <w:color w:val="auto"/>
          <w:sz w:val="21"/>
          <w:szCs w:val="21"/>
        </w:rPr>
        <w:t>民共和国政府采购法》第二十二条规定的供应商资格条件，</w:t>
      </w:r>
      <w:r>
        <w:rPr>
          <w:rFonts w:ascii="宋体" w:hAnsi="宋体" w:eastAsia="宋体" w:cs="宋体"/>
          <w:color w:val="auto"/>
          <w:spacing w:val="-1"/>
          <w:sz w:val="21"/>
          <w:szCs w:val="21"/>
        </w:rPr>
        <w:t>我方对此声明负全部</w:t>
      </w:r>
      <w:r>
        <w:rPr>
          <w:rFonts w:ascii="宋体" w:hAnsi="宋体" w:eastAsia="宋体" w:cs="宋体"/>
          <w:color w:val="auto"/>
          <w:spacing w:val="-8"/>
          <w:sz w:val="21"/>
          <w:szCs w:val="21"/>
        </w:rPr>
        <w:t>法律责任。</w:t>
      </w:r>
    </w:p>
    <w:p w14:paraId="00AA9918">
      <w:pPr>
        <w:spacing w:before="35" w:line="360" w:lineRule="auto"/>
        <w:ind w:right="140" w:firstLine="482"/>
        <w:jc w:val="both"/>
        <w:rPr>
          <w:rFonts w:ascii="宋体" w:hAnsi="宋体" w:eastAsia="宋体" w:cs="宋体"/>
          <w:color w:val="auto"/>
          <w:sz w:val="21"/>
          <w:szCs w:val="21"/>
        </w:rPr>
      </w:pPr>
      <w:r>
        <w:rPr>
          <w:rFonts w:ascii="宋体" w:hAnsi="宋体" w:eastAsia="宋体" w:cs="宋体"/>
          <w:color w:val="auto"/>
          <w:spacing w:val="-1"/>
          <w:sz w:val="21"/>
          <w:szCs w:val="21"/>
        </w:rPr>
        <w:t>2.我方不是为本次采购项目提供整体设计</w:t>
      </w:r>
      <w:r>
        <w:rPr>
          <w:rFonts w:ascii="宋体" w:hAnsi="宋体" w:eastAsia="宋体" w:cs="宋体"/>
          <w:color w:val="auto"/>
          <w:spacing w:val="-2"/>
          <w:sz w:val="21"/>
          <w:szCs w:val="21"/>
        </w:rPr>
        <w:t>、规范编制或者项目管理、监理、</w:t>
      </w:r>
      <w:r>
        <w:rPr>
          <w:rFonts w:ascii="宋体" w:hAnsi="宋体" w:eastAsia="宋体" w:cs="宋体"/>
          <w:color w:val="auto"/>
          <w:spacing w:val="-4"/>
          <w:sz w:val="21"/>
          <w:szCs w:val="21"/>
        </w:rPr>
        <w:t>检测等服务的供应商。</w:t>
      </w:r>
    </w:p>
    <w:p w14:paraId="2F3522A7">
      <w:pPr>
        <w:spacing w:before="33" w:line="360" w:lineRule="auto"/>
        <w:ind w:left="485"/>
        <w:jc w:val="both"/>
        <w:rPr>
          <w:rFonts w:ascii="宋体" w:hAnsi="宋体" w:eastAsia="宋体" w:cs="宋体"/>
          <w:color w:val="auto"/>
          <w:sz w:val="21"/>
          <w:szCs w:val="21"/>
        </w:rPr>
      </w:pPr>
      <w:r>
        <w:rPr>
          <w:rFonts w:ascii="宋体" w:hAnsi="宋体" w:eastAsia="宋体" w:cs="宋体"/>
          <w:color w:val="auto"/>
          <w:spacing w:val="-1"/>
          <w:sz w:val="21"/>
          <w:szCs w:val="21"/>
        </w:rPr>
        <w:t>3. 我方承诺符合《中华人民共和国政府采</w:t>
      </w:r>
      <w:r>
        <w:rPr>
          <w:rFonts w:ascii="宋体" w:hAnsi="宋体" w:eastAsia="宋体" w:cs="宋体"/>
          <w:color w:val="auto"/>
          <w:spacing w:val="-2"/>
          <w:sz w:val="21"/>
          <w:szCs w:val="21"/>
        </w:rPr>
        <w:t>购法》第二十二条规定：</w:t>
      </w:r>
    </w:p>
    <w:p w14:paraId="3DBE6B57">
      <w:pPr>
        <w:spacing w:before="115" w:line="360" w:lineRule="auto"/>
        <w:ind w:left="487"/>
        <w:jc w:val="both"/>
        <w:rPr>
          <w:rFonts w:ascii="宋体" w:hAnsi="宋体" w:eastAsia="宋体" w:cs="宋体"/>
          <w:color w:val="auto"/>
          <w:sz w:val="21"/>
          <w:szCs w:val="21"/>
        </w:rPr>
      </w:pPr>
      <w:r>
        <w:rPr>
          <w:rFonts w:ascii="宋体" w:hAnsi="宋体" w:eastAsia="宋体" w:cs="宋体"/>
          <w:color w:val="auto"/>
          <w:spacing w:val="-4"/>
          <w:sz w:val="21"/>
          <w:szCs w:val="21"/>
        </w:rPr>
        <w:t>（一）具有独立承担民事责任的能力；</w:t>
      </w:r>
    </w:p>
    <w:p w14:paraId="2478DE62">
      <w:pPr>
        <w:spacing w:before="116" w:line="360" w:lineRule="auto"/>
        <w:ind w:left="487"/>
        <w:jc w:val="both"/>
        <w:rPr>
          <w:rFonts w:ascii="宋体" w:hAnsi="宋体" w:eastAsia="宋体" w:cs="宋体"/>
          <w:color w:val="auto"/>
          <w:sz w:val="21"/>
          <w:szCs w:val="21"/>
        </w:rPr>
      </w:pPr>
      <w:r>
        <w:rPr>
          <w:rFonts w:ascii="宋体" w:hAnsi="宋体" w:eastAsia="宋体" w:cs="宋体"/>
          <w:color w:val="auto"/>
          <w:spacing w:val="-3"/>
          <w:sz w:val="21"/>
          <w:szCs w:val="21"/>
        </w:rPr>
        <w:t>（二）具有良好的商业信誉和健全的财务会计制度；</w:t>
      </w:r>
    </w:p>
    <w:p w14:paraId="0F16044C">
      <w:pPr>
        <w:spacing w:before="113" w:line="360" w:lineRule="auto"/>
        <w:ind w:left="487"/>
        <w:jc w:val="both"/>
        <w:rPr>
          <w:rFonts w:ascii="宋体" w:hAnsi="宋体" w:eastAsia="宋体" w:cs="宋体"/>
          <w:color w:val="auto"/>
          <w:sz w:val="21"/>
          <w:szCs w:val="21"/>
        </w:rPr>
      </w:pPr>
      <w:r>
        <w:rPr>
          <w:rFonts w:ascii="宋体" w:hAnsi="宋体" w:eastAsia="宋体" w:cs="宋体"/>
          <w:color w:val="auto"/>
          <w:spacing w:val="-3"/>
          <w:sz w:val="21"/>
          <w:szCs w:val="21"/>
        </w:rPr>
        <w:t>（三）具有履行合同所必需的设备和专业技术能力；</w:t>
      </w:r>
    </w:p>
    <w:p w14:paraId="7283A458">
      <w:pPr>
        <w:spacing w:before="115" w:line="360" w:lineRule="auto"/>
        <w:ind w:left="487"/>
        <w:jc w:val="both"/>
        <w:rPr>
          <w:rFonts w:ascii="宋体" w:hAnsi="宋体" w:eastAsia="宋体" w:cs="宋体"/>
          <w:color w:val="auto"/>
          <w:sz w:val="21"/>
          <w:szCs w:val="21"/>
        </w:rPr>
      </w:pPr>
      <w:r>
        <w:rPr>
          <w:rFonts w:ascii="宋体" w:hAnsi="宋体" w:eastAsia="宋体" w:cs="宋体"/>
          <w:color w:val="auto"/>
          <w:spacing w:val="-1"/>
          <w:sz w:val="21"/>
          <w:szCs w:val="21"/>
        </w:rPr>
        <w:t>（四）有依法缴纳税收和社会保障资金的良好记录；</w:t>
      </w:r>
    </w:p>
    <w:p w14:paraId="1BE6D539">
      <w:pPr>
        <w:spacing w:before="116" w:line="360" w:lineRule="auto"/>
        <w:ind w:left="487"/>
        <w:jc w:val="both"/>
        <w:rPr>
          <w:rFonts w:ascii="宋体" w:hAnsi="宋体" w:eastAsia="宋体" w:cs="宋体"/>
          <w:color w:val="auto"/>
          <w:sz w:val="21"/>
          <w:szCs w:val="21"/>
        </w:rPr>
      </w:pPr>
      <w:r>
        <w:rPr>
          <w:rFonts w:ascii="宋体" w:hAnsi="宋体" w:eastAsia="宋体" w:cs="宋体"/>
          <w:color w:val="auto"/>
          <w:spacing w:val="-2"/>
          <w:sz w:val="21"/>
          <w:szCs w:val="21"/>
        </w:rPr>
        <w:t>（五）参加政府采购活动前三年内，在经营活动中没有重大</w:t>
      </w:r>
      <w:r>
        <w:rPr>
          <w:rFonts w:ascii="宋体" w:hAnsi="宋体" w:eastAsia="宋体" w:cs="宋体"/>
          <w:color w:val="auto"/>
          <w:spacing w:val="-3"/>
          <w:sz w:val="21"/>
          <w:szCs w:val="21"/>
        </w:rPr>
        <w:t>违法记录；</w:t>
      </w:r>
    </w:p>
    <w:p w14:paraId="20F6EBD9">
      <w:pPr>
        <w:spacing w:before="114" w:line="360" w:lineRule="auto"/>
        <w:ind w:left="487"/>
        <w:jc w:val="both"/>
        <w:outlineLvl w:val="3"/>
        <w:rPr>
          <w:rFonts w:ascii="宋体" w:hAnsi="宋体" w:eastAsia="宋体" w:cs="宋体"/>
          <w:color w:val="auto"/>
          <w:sz w:val="21"/>
          <w:szCs w:val="21"/>
        </w:rPr>
      </w:pPr>
      <w:r>
        <w:rPr>
          <w:rFonts w:ascii="宋体" w:hAnsi="宋体" w:eastAsia="宋体" w:cs="宋体"/>
          <w:color w:val="auto"/>
          <w:spacing w:val="-3"/>
          <w:sz w:val="21"/>
          <w:szCs w:val="21"/>
        </w:rPr>
        <w:t>（六）法律、行政法规规定的其他条件。</w:t>
      </w:r>
    </w:p>
    <w:p w14:paraId="53D020D0">
      <w:pPr>
        <w:spacing w:before="115" w:line="360" w:lineRule="auto"/>
        <w:ind w:right="103" w:firstLine="479"/>
        <w:jc w:val="both"/>
        <w:rPr>
          <w:rFonts w:ascii="宋体" w:hAnsi="宋体" w:eastAsia="宋体" w:cs="宋体"/>
          <w:color w:val="auto"/>
          <w:sz w:val="21"/>
          <w:szCs w:val="21"/>
        </w:rPr>
      </w:pPr>
      <w:r>
        <w:rPr>
          <w:rFonts w:ascii="宋体" w:hAnsi="宋体" w:eastAsia="宋体" w:cs="宋体"/>
          <w:color w:val="auto"/>
          <w:sz w:val="21"/>
          <w:szCs w:val="21"/>
        </w:rPr>
        <w:t>4.以上事项如有虚假或者隐瞒，我方愿意承担一切后果，</w:t>
      </w:r>
      <w:r>
        <w:rPr>
          <w:rFonts w:ascii="宋体" w:hAnsi="宋体" w:eastAsia="宋体" w:cs="宋体"/>
          <w:color w:val="auto"/>
          <w:spacing w:val="-1"/>
          <w:sz w:val="21"/>
          <w:szCs w:val="21"/>
        </w:rPr>
        <w:t>并不再寻求任何旨</w:t>
      </w:r>
      <w:r>
        <w:rPr>
          <w:rFonts w:ascii="宋体" w:hAnsi="宋体" w:eastAsia="宋体" w:cs="宋体"/>
          <w:color w:val="auto"/>
          <w:spacing w:val="-3"/>
          <w:sz w:val="21"/>
          <w:szCs w:val="21"/>
        </w:rPr>
        <w:t>在减轻或者免除法律责任的辩解。</w:t>
      </w:r>
    </w:p>
    <w:p w14:paraId="358A88CB">
      <w:pPr>
        <w:spacing w:before="32" w:line="360" w:lineRule="auto"/>
        <w:ind w:left="480"/>
        <w:rPr>
          <w:rFonts w:ascii="宋体" w:hAnsi="宋体" w:eastAsia="宋体" w:cs="宋体"/>
          <w:color w:val="auto"/>
          <w:sz w:val="21"/>
          <w:szCs w:val="21"/>
        </w:rPr>
      </w:pPr>
      <w:r>
        <w:rPr>
          <w:rFonts w:ascii="宋体" w:hAnsi="宋体" w:eastAsia="宋体" w:cs="宋体"/>
          <w:color w:val="auto"/>
          <w:spacing w:val="-8"/>
          <w:sz w:val="21"/>
          <w:szCs w:val="21"/>
        </w:rPr>
        <w:t>特此承诺。</w:t>
      </w:r>
    </w:p>
    <w:p w14:paraId="64436D2A">
      <w:pPr>
        <w:spacing w:before="78" w:line="344" w:lineRule="auto"/>
        <w:ind w:right="1978" w:firstLine="1248" w:firstLineChars="600"/>
        <w:rPr>
          <w:rFonts w:hint="eastAsia" w:asciiTheme="minorEastAsia" w:hAnsiTheme="minorEastAsia" w:eastAsiaTheme="minorEastAsia" w:cstheme="minorEastAsia"/>
          <w:color w:val="auto"/>
          <w:spacing w:val="-6"/>
          <w:sz w:val="21"/>
          <w:szCs w:val="21"/>
        </w:rPr>
      </w:pPr>
      <w:r>
        <w:rPr>
          <w:rFonts w:ascii="宋体" w:hAnsi="宋体" w:eastAsia="宋体" w:cs="宋体"/>
          <w:color w:val="auto"/>
          <w:spacing w:val="-1"/>
          <w:sz w:val="21"/>
          <w:szCs w:val="21"/>
        </w:rPr>
        <w:t>法定代表人</w:t>
      </w:r>
      <w:r>
        <w:rPr>
          <w:rFonts w:hint="eastAsia" w:ascii="宋体" w:hAnsi="宋体" w:eastAsia="宋体" w:cs="宋体"/>
          <w:color w:val="auto"/>
          <w:spacing w:val="-1"/>
          <w:sz w:val="21"/>
          <w:szCs w:val="21"/>
          <w:lang w:eastAsia="zh-CN"/>
        </w:rPr>
        <w:t>（负责人）</w:t>
      </w:r>
      <w:r>
        <w:rPr>
          <w:rFonts w:ascii="宋体" w:hAnsi="宋体" w:eastAsia="宋体" w:cs="宋体"/>
          <w:color w:val="auto"/>
          <w:spacing w:val="-1"/>
          <w:sz w:val="21"/>
          <w:szCs w:val="21"/>
        </w:rPr>
        <w:t>（签字或者盖章或者电子签名</w:t>
      </w:r>
      <w:r>
        <w:rPr>
          <w:rFonts w:hint="eastAsia" w:ascii="宋体" w:hAnsi="宋体" w:eastAsia="宋体" w:cs="宋体"/>
          <w:color w:val="auto"/>
          <w:spacing w:val="-1"/>
          <w:sz w:val="21"/>
          <w:szCs w:val="21"/>
          <w:lang w:eastAsia="zh-CN"/>
        </w:rPr>
        <w:t>）</w:t>
      </w:r>
      <w:r>
        <w:rPr>
          <w:rFonts w:ascii="宋体" w:hAnsi="宋体" w:eastAsia="宋体" w:cs="宋体"/>
          <w:color w:val="auto"/>
          <w:spacing w:val="2"/>
          <w:sz w:val="21"/>
          <w:szCs w:val="21"/>
        </w:rPr>
        <w:t>：</w:t>
      </w:r>
      <w:r>
        <w:rPr>
          <w:rFonts w:ascii="宋体" w:hAnsi="宋体" w:eastAsia="宋体" w:cs="宋体"/>
          <w:color w:val="auto"/>
          <w:sz w:val="21"/>
          <w:szCs w:val="21"/>
          <w:u w:val="single" w:color="auto"/>
        </w:rPr>
        <w:t xml:space="preserve">             </w:t>
      </w:r>
    </w:p>
    <w:p w14:paraId="2735536D">
      <w:pPr>
        <w:spacing w:before="78" w:line="344" w:lineRule="auto"/>
        <w:ind w:left="4487" w:leftChars="977" w:right="1978" w:hanging="2435" w:hangingChars="1230"/>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pacing w:val="-6"/>
          <w:sz w:val="21"/>
          <w:szCs w:val="21"/>
        </w:rPr>
        <w:t>投标人名称（电子签章</w:t>
      </w:r>
      <w:r>
        <w:rPr>
          <w:rFonts w:hint="eastAsia" w:asciiTheme="minorEastAsia" w:hAnsiTheme="minorEastAsia" w:eastAsiaTheme="minorEastAsia" w:cstheme="minorEastAsia"/>
          <w:color w:val="auto"/>
          <w:spacing w:val="-2"/>
          <w:sz w:val="21"/>
          <w:szCs w:val="21"/>
        </w:rPr>
        <w:t>）：</w:t>
      </w:r>
      <w:r>
        <w:rPr>
          <w:rFonts w:hint="eastAsia" w:asciiTheme="minorEastAsia" w:hAnsiTheme="minorEastAsia" w:eastAsiaTheme="minorEastAsia" w:cstheme="minorEastAsia"/>
          <w:color w:val="auto"/>
          <w:spacing w:val="-2"/>
          <w:sz w:val="21"/>
          <w:szCs w:val="21"/>
          <w:u w:val="single"/>
          <w:lang w:val="en-US" w:eastAsia="zh-CN"/>
        </w:rPr>
        <w:t xml:space="preserve">                 </w:t>
      </w:r>
    </w:p>
    <w:p w14:paraId="5D1AD8EF">
      <w:pPr>
        <w:tabs>
          <w:tab w:val="left" w:pos="2940"/>
        </w:tabs>
        <w:spacing w:before="38" w:line="22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3"/>
          <w:sz w:val="21"/>
          <w:szCs w:val="21"/>
          <w:lang w:val="en-US" w:eastAsia="zh-CN"/>
        </w:rPr>
        <w:tab/>
      </w:r>
      <w:r>
        <w:rPr>
          <w:rFonts w:hint="eastAsia" w:asciiTheme="minorEastAsia" w:hAnsiTheme="minorEastAsia" w:eastAsiaTheme="minorEastAsia" w:cstheme="minorEastAsia"/>
          <w:color w:val="auto"/>
          <w:spacing w:val="-13"/>
          <w:sz w:val="21"/>
          <w:szCs w:val="21"/>
        </w:rPr>
        <w:t>日期：</w:t>
      </w:r>
      <w:r>
        <w:rPr>
          <w:rFonts w:hint="eastAsia" w:asciiTheme="minorEastAsia" w:hAnsiTheme="minorEastAsia" w:eastAsiaTheme="minorEastAsia" w:cstheme="minorEastAsia"/>
          <w:color w:val="auto"/>
          <w:spacing w:val="2"/>
          <w:sz w:val="21"/>
          <w:szCs w:val="21"/>
        </w:rPr>
        <w:t xml:space="preserve">    </w:t>
      </w:r>
      <w:r>
        <w:rPr>
          <w:rFonts w:hint="eastAsia" w:asciiTheme="minorEastAsia" w:hAnsiTheme="minorEastAsia" w:eastAsiaTheme="minorEastAsia" w:cstheme="minorEastAsia"/>
          <w:color w:val="auto"/>
          <w:spacing w:val="-13"/>
          <w:sz w:val="21"/>
          <w:szCs w:val="21"/>
        </w:rPr>
        <w:t>年</w:t>
      </w:r>
      <w:r>
        <w:rPr>
          <w:rFonts w:hint="eastAsia" w:asciiTheme="minorEastAsia" w:hAnsiTheme="minorEastAsia" w:eastAsiaTheme="minorEastAsia" w:cstheme="minorEastAsia"/>
          <w:color w:val="auto"/>
          <w:spacing w:val="6"/>
          <w:sz w:val="21"/>
          <w:szCs w:val="21"/>
        </w:rPr>
        <w:t xml:space="preserve">   </w:t>
      </w:r>
      <w:r>
        <w:rPr>
          <w:rFonts w:hint="eastAsia" w:asciiTheme="minorEastAsia" w:hAnsiTheme="minorEastAsia" w:eastAsiaTheme="minorEastAsia" w:cstheme="minorEastAsia"/>
          <w:color w:val="auto"/>
          <w:spacing w:val="-13"/>
          <w:sz w:val="21"/>
          <w:szCs w:val="21"/>
        </w:rPr>
        <w:t>月</w:t>
      </w:r>
      <w:r>
        <w:rPr>
          <w:rFonts w:hint="eastAsia" w:asciiTheme="minorEastAsia" w:hAnsiTheme="minorEastAsia" w:eastAsiaTheme="minorEastAsia" w:cstheme="minorEastAsia"/>
          <w:color w:val="auto"/>
          <w:spacing w:val="17"/>
          <w:sz w:val="21"/>
          <w:szCs w:val="21"/>
        </w:rPr>
        <w:t xml:space="preserve">   </w:t>
      </w:r>
      <w:r>
        <w:rPr>
          <w:rFonts w:hint="eastAsia" w:asciiTheme="minorEastAsia" w:hAnsiTheme="minorEastAsia" w:eastAsiaTheme="minorEastAsia" w:cstheme="minorEastAsia"/>
          <w:color w:val="auto"/>
          <w:spacing w:val="-13"/>
          <w:sz w:val="21"/>
          <w:szCs w:val="21"/>
        </w:rPr>
        <w:t>日</w:t>
      </w:r>
    </w:p>
    <w:p w14:paraId="7F85C27E">
      <w:pPr>
        <w:spacing w:before="147" w:line="326" w:lineRule="auto"/>
        <w:ind w:left="5" w:right="7" w:hanging="5"/>
        <w:rPr>
          <w:rFonts w:ascii="宋体" w:hAnsi="宋体" w:eastAsia="宋体" w:cs="宋体"/>
          <w:color w:val="auto"/>
          <w:sz w:val="21"/>
          <w:szCs w:val="21"/>
        </w:rPr>
      </w:pPr>
      <w:r>
        <w:rPr>
          <w:rFonts w:ascii="宋体" w:hAnsi="宋体" w:eastAsia="宋体" w:cs="宋体"/>
          <w:b/>
          <w:bCs/>
          <w:color w:val="auto"/>
          <w:sz w:val="21"/>
          <w:szCs w:val="21"/>
        </w:rPr>
        <w:t>注：如为联合体投标，盖章处须加盖联合体牵头人电子签章并由联合体牵头</w:t>
      </w:r>
      <w:r>
        <w:rPr>
          <w:rFonts w:ascii="宋体" w:hAnsi="宋体" w:eastAsia="宋体" w:cs="宋体"/>
          <w:b/>
          <w:bCs/>
          <w:color w:val="auto"/>
          <w:spacing w:val="-1"/>
          <w:sz w:val="21"/>
          <w:szCs w:val="21"/>
        </w:rPr>
        <w:t>人法</w:t>
      </w:r>
      <w:r>
        <w:rPr>
          <w:rFonts w:ascii="宋体" w:hAnsi="宋体" w:eastAsia="宋体" w:cs="宋体"/>
          <w:b/>
          <w:bCs/>
          <w:color w:val="auto"/>
          <w:spacing w:val="-3"/>
          <w:sz w:val="21"/>
          <w:szCs w:val="21"/>
        </w:rPr>
        <w:t>定代表人</w:t>
      </w:r>
      <w:r>
        <w:rPr>
          <w:rFonts w:hint="eastAsia" w:ascii="宋体" w:hAnsi="宋体" w:eastAsia="宋体" w:cs="宋体"/>
          <w:b/>
          <w:bCs/>
          <w:color w:val="auto"/>
          <w:spacing w:val="-3"/>
          <w:sz w:val="21"/>
          <w:szCs w:val="21"/>
          <w:lang w:eastAsia="zh-CN"/>
        </w:rPr>
        <w:t>（负责人）</w:t>
      </w:r>
      <w:r>
        <w:rPr>
          <w:rFonts w:ascii="宋体" w:hAnsi="宋体" w:eastAsia="宋体" w:cs="宋体"/>
          <w:b/>
          <w:bCs/>
          <w:color w:val="auto"/>
          <w:spacing w:val="-3"/>
          <w:sz w:val="21"/>
          <w:szCs w:val="21"/>
        </w:rPr>
        <w:t>分别签字或者盖章或者电子签名，否则投</w:t>
      </w:r>
      <w:r>
        <w:rPr>
          <w:rFonts w:ascii="宋体" w:hAnsi="宋体" w:eastAsia="宋体" w:cs="宋体"/>
          <w:b/>
          <w:bCs/>
          <w:color w:val="auto"/>
          <w:spacing w:val="-4"/>
          <w:sz w:val="21"/>
          <w:szCs w:val="21"/>
        </w:rPr>
        <w:t>标无效。</w:t>
      </w:r>
    </w:p>
    <w:p w14:paraId="19F0565E">
      <w:pPr>
        <w:rPr>
          <w:rFonts w:hint="eastAsia" w:ascii="宋体" w:hAnsi="宋体" w:eastAsia="宋体" w:cs="宋体"/>
          <w:b/>
          <w:bCs/>
          <w:color w:val="auto"/>
          <w:kern w:val="0"/>
          <w:sz w:val="32"/>
          <w:szCs w:val="32"/>
          <w:lang w:val="en-US" w:eastAsia="zh-CN"/>
        </w:rPr>
      </w:pPr>
      <w:r>
        <w:rPr>
          <w:rFonts w:hint="eastAsia" w:ascii="宋体" w:hAnsi="宋体" w:eastAsia="宋体" w:cs="宋体"/>
          <w:b/>
          <w:bCs/>
          <w:color w:val="auto"/>
          <w:kern w:val="0"/>
          <w:sz w:val="32"/>
          <w:szCs w:val="32"/>
          <w:lang w:val="en-US" w:eastAsia="zh-CN"/>
        </w:rPr>
        <w:br w:type="page"/>
      </w:r>
    </w:p>
    <w:p w14:paraId="2B342EDB">
      <w:pPr>
        <w:numPr>
          <w:ilvl w:val="0"/>
          <w:numId w:val="4"/>
        </w:numPr>
        <w:spacing w:before="91" w:line="305" w:lineRule="auto"/>
        <w:ind w:left="0" w:leftChars="0" w:right="6064" w:firstLine="420" w:firstLineChars="0"/>
        <w:outlineLvl w:val="1"/>
        <w:rPr>
          <w:rFonts w:ascii="宋体" w:hAnsi="宋体" w:eastAsia="宋体" w:cs="宋体"/>
          <w:color w:val="auto"/>
          <w:spacing w:val="5"/>
          <w:sz w:val="28"/>
          <w:szCs w:val="28"/>
        </w:rPr>
      </w:pPr>
      <w:r>
        <w:rPr>
          <w:rFonts w:ascii="宋体" w:hAnsi="宋体" w:eastAsia="宋体" w:cs="宋体"/>
          <w:b/>
          <w:bCs/>
          <w:color w:val="auto"/>
          <w:spacing w:val="-4"/>
          <w:sz w:val="28"/>
          <w:szCs w:val="28"/>
        </w:rPr>
        <w:t>商务文件格式</w:t>
      </w:r>
      <w:r>
        <w:rPr>
          <w:rFonts w:ascii="宋体" w:hAnsi="宋体" w:eastAsia="宋体" w:cs="宋体"/>
          <w:color w:val="auto"/>
          <w:spacing w:val="5"/>
          <w:sz w:val="28"/>
          <w:szCs w:val="28"/>
        </w:rPr>
        <w:t xml:space="preserve"> </w:t>
      </w:r>
    </w:p>
    <w:p w14:paraId="7D809388">
      <w:pPr>
        <w:numPr>
          <w:ilvl w:val="0"/>
          <w:numId w:val="0"/>
        </w:numPr>
        <w:spacing w:before="91" w:line="305" w:lineRule="auto"/>
        <w:ind w:left="420" w:leftChars="0" w:right="6064" w:rightChars="0"/>
        <w:outlineLvl w:val="1"/>
        <w:rPr>
          <w:rFonts w:ascii="宋体" w:hAnsi="宋体" w:eastAsia="宋体" w:cs="宋体"/>
          <w:color w:val="auto"/>
          <w:sz w:val="24"/>
          <w:szCs w:val="24"/>
        </w:rPr>
      </w:pPr>
      <w:r>
        <w:rPr>
          <w:rFonts w:ascii="宋体" w:hAnsi="宋体" w:eastAsia="宋体" w:cs="宋体"/>
          <w:b/>
          <w:bCs/>
          <w:color w:val="auto"/>
          <w:spacing w:val="-10"/>
          <w:sz w:val="24"/>
          <w:szCs w:val="24"/>
        </w:rPr>
        <w:t>1.商务文件封面格式：</w:t>
      </w:r>
    </w:p>
    <w:p w14:paraId="60FEF938">
      <w:pPr>
        <w:spacing w:before="381" w:line="195" w:lineRule="auto"/>
        <w:ind w:left="2830"/>
        <w:outlineLvl w:val="2"/>
        <w:rPr>
          <w:rFonts w:ascii="微软雅黑" w:hAnsi="微软雅黑" w:eastAsia="微软雅黑" w:cs="微软雅黑"/>
          <w:color w:val="auto"/>
          <w:sz w:val="48"/>
          <w:szCs w:val="48"/>
        </w:rPr>
      </w:pPr>
      <w:r>
        <w:rPr>
          <w:rFonts w:ascii="微软雅黑" w:hAnsi="微软雅黑" w:eastAsia="微软雅黑" w:cs="微软雅黑"/>
          <w:color w:val="auto"/>
          <w:spacing w:val="-5"/>
          <w:sz w:val="48"/>
          <w:szCs w:val="48"/>
        </w:rPr>
        <w:t>电子投标文件</w:t>
      </w:r>
    </w:p>
    <w:p w14:paraId="4C993099">
      <w:pPr>
        <w:spacing w:line="437" w:lineRule="auto"/>
        <w:rPr>
          <w:rFonts w:ascii="Arial"/>
          <w:color w:val="auto"/>
          <w:sz w:val="21"/>
        </w:rPr>
      </w:pPr>
    </w:p>
    <w:p w14:paraId="3BC02BC6">
      <w:pPr>
        <w:spacing w:before="101" w:line="225" w:lineRule="auto"/>
        <w:ind w:left="3618"/>
        <w:rPr>
          <w:rFonts w:ascii="宋体" w:hAnsi="宋体" w:eastAsia="宋体" w:cs="宋体"/>
          <w:color w:val="auto"/>
          <w:sz w:val="31"/>
          <w:szCs w:val="31"/>
        </w:rPr>
      </w:pPr>
      <w:r>
        <w:rPr>
          <w:rFonts w:ascii="宋体" w:hAnsi="宋体" w:eastAsia="宋体" w:cs="宋体"/>
          <w:b/>
          <w:bCs/>
          <w:color w:val="auto"/>
          <w:spacing w:val="3"/>
          <w:sz w:val="31"/>
          <w:szCs w:val="31"/>
        </w:rPr>
        <w:t>商务文件</w:t>
      </w:r>
    </w:p>
    <w:p w14:paraId="7514E89B">
      <w:pPr>
        <w:spacing w:line="249" w:lineRule="auto"/>
        <w:rPr>
          <w:rFonts w:ascii="Arial"/>
          <w:color w:val="auto"/>
          <w:sz w:val="21"/>
        </w:rPr>
      </w:pPr>
    </w:p>
    <w:p w14:paraId="706FBD71">
      <w:pPr>
        <w:spacing w:line="249" w:lineRule="auto"/>
        <w:rPr>
          <w:rFonts w:ascii="Arial"/>
          <w:color w:val="auto"/>
          <w:sz w:val="21"/>
        </w:rPr>
      </w:pPr>
    </w:p>
    <w:p w14:paraId="66E1D52F">
      <w:pPr>
        <w:spacing w:before="78" w:line="220" w:lineRule="auto"/>
        <w:ind w:left="542"/>
        <w:rPr>
          <w:rFonts w:ascii="宋体" w:hAnsi="宋体" w:eastAsia="宋体" w:cs="宋体"/>
          <w:color w:val="auto"/>
          <w:sz w:val="24"/>
          <w:szCs w:val="24"/>
        </w:rPr>
      </w:pPr>
      <w:r>
        <w:rPr>
          <w:rFonts w:ascii="宋体" w:hAnsi="宋体" w:eastAsia="宋体" w:cs="宋体"/>
          <w:color w:val="auto"/>
          <w:spacing w:val="-11"/>
          <w:sz w:val="24"/>
          <w:szCs w:val="24"/>
        </w:rPr>
        <w:t>项目名称：</w:t>
      </w:r>
    </w:p>
    <w:p w14:paraId="2201B856">
      <w:pPr>
        <w:spacing w:line="246" w:lineRule="auto"/>
        <w:rPr>
          <w:rFonts w:ascii="Arial"/>
          <w:color w:val="auto"/>
          <w:sz w:val="21"/>
        </w:rPr>
      </w:pPr>
    </w:p>
    <w:p w14:paraId="0A24A05E">
      <w:pPr>
        <w:spacing w:line="247" w:lineRule="auto"/>
        <w:rPr>
          <w:rFonts w:ascii="Arial"/>
          <w:color w:val="auto"/>
          <w:sz w:val="21"/>
        </w:rPr>
      </w:pPr>
    </w:p>
    <w:p w14:paraId="6FBD73D9">
      <w:pPr>
        <w:spacing w:before="78" w:line="220" w:lineRule="auto"/>
        <w:ind w:left="542"/>
        <w:rPr>
          <w:rFonts w:ascii="宋体" w:hAnsi="宋体" w:eastAsia="宋体" w:cs="宋体"/>
          <w:color w:val="auto"/>
          <w:sz w:val="24"/>
          <w:szCs w:val="24"/>
        </w:rPr>
      </w:pPr>
      <w:r>
        <w:rPr>
          <w:rFonts w:ascii="宋体" w:hAnsi="宋体" w:eastAsia="宋体" w:cs="宋体"/>
          <w:color w:val="auto"/>
          <w:spacing w:val="-11"/>
          <w:sz w:val="24"/>
          <w:szCs w:val="24"/>
        </w:rPr>
        <w:t>项目编号：</w:t>
      </w:r>
    </w:p>
    <w:p w14:paraId="79C1F40A">
      <w:pPr>
        <w:spacing w:line="248" w:lineRule="auto"/>
        <w:rPr>
          <w:rFonts w:ascii="Arial"/>
          <w:color w:val="auto"/>
          <w:sz w:val="21"/>
        </w:rPr>
      </w:pPr>
    </w:p>
    <w:p w14:paraId="319E2670">
      <w:pPr>
        <w:spacing w:line="249" w:lineRule="auto"/>
        <w:rPr>
          <w:rFonts w:ascii="Arial"/>
          <w:color w:val="auto"/>
          <w:sz w:val="21"/>
        </w:rPr>
      </w:pPr>
    </w:p>
    <w:p w14:paraId="04FA1BFB">
      <w:pPr>
        <w:spacing w:before="78" w:line="220" w:lineRule="auto"/>
        <w:ind w:left="538"/>
        <w:rPr>
          <w:rFonts w:ascii="宋体" w:hAnsi="宋体" w:eastAsia="宋体" w:cs="宋体"/>
          <w:color w:val="auto"/>
          <w:sz w:val="24"/>
          <w:szCs w:val="24"/>
        </w:rPr>
      </w:pPr>
      <w:r>
        <w:rPr>
          <w:rFonts w:ascii="宋体" w:hAnsi="宋体" w:eastAsia="宋体" w:cs="宋体"/>
          <w:color w:val="auto"/>
          <w:spacing w:val="-8"/>
          <w:sz w:val="24"/>
          <w:szCs w:val="24"/>
        </w:rPr>
        <w:t>所投分标：</w:t>
      </w:r>
    </w:p>
    <w:p w14:paraId="54752572">
      <w:pPr>
        <w:spacing w:line="424" w:lineRule="auto"/>
        <w:rPr>
          <w:rFonts w:ascii="Arial"/>
          <w:color w:val="auto"/>
          <w:sz w:val="21"/>
        </w:rPr>
      </w:pPr>
    </w:p>
    <w:p w14:paraId="73BE7F75">
      <w:pPr>
        <w:spacing w:before="78" w:line="543" w:lineRule="auto"/>
        <w:ind w:left="541" w:right="6493"/>
        <w:rPr>
          <w:rFonts w:ascii="宋体" w:hAnsi="宋体" w:eastAsia="宋体" w:cs="宋体"/>
          <w:color w:val="auto"/>
          <w:sz w:val="24"/>
          <w:szCs w:val="24"/>
        </w:rPr>
      </w:pPr>
      <w:r>
        <w:rPr>
          <w:rFonts w:ascii="宋体" w:hAnsi="宋体" w:eastAsia="宋体" w:cs="宋体"/>
          <w:color w:val="auto"/>
          <w:spacing w:val="-12"/>
          <w:sz w:val="24"/>
          <w:szCs w:val="24"/>
        </w:rPr>
        <w:t>投标人名称：</w:t>
      </w:r>
      <w:r>
        <w:rPr>
          <w:rFonts w:ascii="宋体" w:hAnsi="宋体" w:eastAsia="宋体" w:cs="宋体"/>
          <w:color w:val="auto"/>
          <w:spacing w:val="3"/>
          <w:sz w:val="24"/>
          <w:szCs w:val="24"/>
        </w:rPr>
        <w:t xml:space="preserve"> </w:t>
      </w:r>
      <w:r>
        <w:rPr>
          <w:rFonts w:ascii="宋体" w:hAnsi="宋体" w:eastAsia="宋体" w:cs="宋体"/>
          <w:color w:val="auto"/>
          <w:spacing w:val="-12"/>
          <w:sz w:val="24"/>
          <w:szCs w:val="24"/>
        </w:rPr>
        <w:t>投标人地址：</w:t>
      </w:r>
    </w:p>
    <w:p w14:paraId="273C3230">
      <w:pPr>
        <w:spacing w:before="104" w:line="220" w:lineRule="auto"/>
        <w:ind w:left="3525"/>
        <w:rPr>
          <w:rFonts w:ascii="宋体" w:hAnsi="宋体" w:eastAsia="宋体" w:cs="宋体"/>
          <w:color w:val="auto"/>
          <w:sz w:val="24"/>
          <w:szCs w:val="24"/>
        </w:rPr>
      </w:pPr>
      <w:r>
        <w:rPr>
          <w:rFonts w:ascii="宋体" w:hAnsi="宋体" w:eastAsia="宋体" w:cs="宋体"/>
          <w:color w:val="auto"/>
          <w:spacing w:val="-9"/>
          <w:sz w:val="24"/>
          <w:szCs w:val="24"/>
        </w:rPr>
        <w:t>年</w:t>
      </w:r>
      <w:r>
        <w:rPr>
          <w:rFonts w:ascii="宋体" w:hAnsi="宋体" w:eastAsia="宋体" w:cs="宋体"/>
          <w:color w:val="auto"/>
          <w:spacing w:val="8"/>
          <w:sz w:val="24"/>
          <w:szCs w:val="24"/>
        </w:rPr>
        <w:t xml:space="preserve">  </w:t>
      </w:r>
      <w:r>
        <w:rPr>
          <w:rFonts w:ascii="宋体" w:hAnsi="宋体" w:eastAsia="宋体" w:cs="宋体"/>
          <w:color w:val="auto"/>
          <w:spacing w:val="-9"/>
          <w:sz w:val="24"/>
          <w:szCs w:val="24"/>
        </w:rPr>
        <w:t>月</w:t>
      </w:r>
      <w:r>
        <w:rPr>
          <w:rFonts w:ascii="宋体" w:hAnsi="宋体" w:eastAsia="宋体" w:cs="宋体"/>
          <w:color w:val="auto"/>
          <w:spacing w:val="25"/>
          <w:sz w:val="24"/>
          <w:szCs w:val="24"/>
        </w:rPr>
        <w:t xml:space="preserve">  </w:t>
      </w:r>
      <w:r>
        <w:rPr>
          <w:rFonts w:ascii="宋体" w:hAnsi="宋体" w:eastAsia="宋体" w:cs="宋体"/>
          <w:color w:val="auto"/>
          <w:spacing w:val="-9"/>
          <w:sz w:val="24"/>
          <w:szCs w:val="24"/>
        </w:rPr>
        <w:t>日</w:t>
      </w:r>
    </w:p>
    <w:p w14:paraId="3041DD09">
      <w:pPr>
        <w:spacing w:line="220" w:lineRule="auto"/>
        <w:rPr>
          <w:rFonts w:ascii="宋体" w:hAnsi="宋体" w:eastAsia="宋体" w:cs="宋体"/>
          <w:color w:val="auto"/>
          <w:sz w:val="24"/>
          <w:szCs w:val="24"/>
        </w:rPr>
        <w:sectPr>
          <w:footerReference r:id="rId26" w:type="default"/>
          <w:pgSz w:w="11905" w:h="16838"/>
          <w:pgMar w:top="1417" w:right="1417" w:bottom="1417" w:left="1417" w:header="0" w:footer="1196" w:gutter="0"/>
          <w:pgNumType w:fmt="decimal"/>
          <w:cols w:space="0" w:num="1"/>
          <w:rtlGutter w:val="0"/>
          <w:docGrid w:linePitch="0" w:charSpace="0"/>
        </w:sectPr>
      </w:pPr>
    </w:p>
    <w:p w14:paraId="7E71B5A6">
      <w:pPr>
        <w:spacing w:before="91" w:line="220" w:lineRule="auto"/>
        <w:ind w:left="6"/>
        <w:outlineLvl w:val="2"/>
        <w:rPr>
          <w:rFonts w:ascii="宋体" w:hAnsi="宋体" w:eastAsia="宋体" w:cs="宋体"/>
          <w:color w:val="auto"/>
          <w:sz w:val="28"/>
          <w:szCs w:val="28"/>
        </w:rPr>
      </w:pPr>
      <w:r>
        <w:rPr>
          <w:rFonts w:ascii="宋体" w:hAnsi="宋体" w:eastAsia="宋体" w:cs="宋体"/>
          <w:b/>
          <w:bCs/>
          <w:color w:val="auto"/>
          <w:spacing w:val="-4"/>
          <w:sz w:val="28"/>
          <w:szCs w:val="28"/>
        </w:rPr>
        <w:t>2.商务文件目录</w:t>
      </w:r>
    </w:p>
    <w:p w14:paraId="014D0006">
      <w:pPr>
        <w:spacing w:before="249" w:line="220" w:lineRule="auto"/>
        <w:rPr>
          <w:rFonts w:ascii="宋体" w:hAnsi="宋体" w:eastAsia="宋体" w:cs="宋体"/>
          <w:color w:val="auto"/>
          <w:sz w:val="21"/>
          <w:szCs w:val="21"/>
        </w:rPr>
      </w:pPr>
      <w:r>
        <w:rPr>
          <w:rFonts w:ascii="宋体" w:hAnsi="宋体" w:eastAsia="宋体" w:cs="宋体"/>
          <w:color w:val="auto"/>
          <w:spacing w:val="-1"/>
          <w:sz w:val="21"/>
          <w:szCs w:val="21"/>
        </w:rPr>
        <w:t>根据招标文件规定及投标人提供的材料自行编写目录。</w:t>
      </w:r>
    </w:p>
    <w:p w14:paraId="5E90F3E0">
      <w:pPr>
        <w:spacing w:line="220" w:lineRule="auto"/>
        <w:rPr>
          <w:rFonts w:ascii="宋体" w:hAnsi="宋体" w:eastAsia="宋体" w:cs="宋体"/>
          <w:color w:val="auto"/>
          <w:sz w:val="21"/>
          <w:szCs w:val="21"/>
        </w:rPr>
        <w:sectPr>
          <w:footerReference r:id="rId27" w:type="default"/>
          <w:pgSz w:w="11905" w:h="16838"/>
          <w:pgMar w:top="1417" w:right="1417" w:bottom="1417" w:left="1417" w:header="0" w:footer="1196" w:gutter="0"/>
          <w:pgNumType w:fmt="decimal"/>
          <w:cols w:space="0" w:num="1"/>
          <w:rtlGutter w:val="0"/>
          <w:docGrid w:linePitch="0" w:charSpace="0"/>
        </w:sectPr>
      </w:pPr>
    </w:p>
    <w:p w14:paraId="6CC6C3D4">
      <w:pPr>
        <w:spacing w:before="78" w:line="219" w:lineRule="auto"/>
        <w:ind w:left="5"/>
        <w:outlineLvl w:val="2"/>
        <w:rPr>
          <w:rFonts w:ascii="宋体" w:hAnsi="宋体" w:eastAsia="宋体" w:cs="宋体"/>
          <w:color w:val="auto"/>
          <w:sz w:val="24"/>
          <w:szCs w:val="24"/>
        </w:rPr>
      </w:pPr>
      <w:r>
        <w:rPr>
          <w:rFonts w:ascii="宋体" w:hAnsi="宋体" w:eastAsia="宋体" w:cs="宋体"/>
          <w:b/>
          <w:bCs/>
          <w:color w:val="auto"/>
          <w:spacing w:val="-3"/>
          <w:sz w:val="24"/>
          <w:szCs w:val="24"/>
        </w:rPr>
        <w:t>3.投标人参加本项目无围标串标行为的承诺</w:t>
      </w:r>
    </w:p>
    <w:p w14:paraId="181CEC2C">
      <w:pPr>
        <w:spacing w:line="274" w:lineRule="auto"/>
        <w:rPr>
          <w:rFonts w:ascii="Arial"/>
          <w:color w:val="auto"/>
          <w:sz w:val="21"/>
        </w:rPr>
      </w:pPr>
    </w:p>
    <w:p w14:paraId="7AD21A10">
      <w:pPr>
        <w:spacing w:line="275" w:lineRule="auto"/>
        <w:rPr>
          <w:rFonts w:ascii="Arial"/>
          <w:color w:val="auto"/>
          <w:sz w:val="21"/>
        </w:rPr>
      </w:pPr>
    </w:p>
    <w:p w14:paraId="6BF34FC6">
      <w:pPr>
        <w:spacing w:before="184" w:line="196" w:lineRule="auto"/>
        <w:ind w:right="54"/>
        <w:jc w:val="center"/>
        <w:outlineLvl w:val="1"/>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pacing w:val="-22"/>
          <w:sz w:val="28"/>
          <w:szCs w:val="28"/>
        </w:rPr>
        <w:t>投标人参加本项目无围标串标行为的承诺函</w:t>
      </w:r>
    </w:p>
    <w:p w14:paraId="3DFEAED5">
      <w:pPr>
        <w:spacing w:line="471" w:lineRule="auto"/>
        <w:rPr>
          <w:rFonts w:hint="eastAsia" w:asciiTheme="minorEastAsia" w:hAnsiTheme="minorEastAsia" w:eastAsiaTheme="minorEastAsia" w:cstheme="minorEastAsia"/>
          <w:color w:val="auto"/>
          <w:sz w:val="21"/>
          <w:szCs w:val="21"/>
        </w:rPr>
      </w:pPr>
    </w:p>
    <w:p w14:paraId="2C3B1802">
      <w:pPr>
        <w:spacing w:before="78" w:line="220" w:lineRule="auto"/>
        <w:ind w:left="4"/>
        <w:outlineLvl w:val="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3"/>
          <w:sz w:val="21"/>
          <w:szCs w:val="21"/>
        </w:rPr>
        <w:t>一、我方承诺无下列相互串通投标的情形：</w:t>
      </w:r>
    </w:p>
    <w:p w14:paraId="03E0EE90">
      <w:pPr>
        <w:spacing w:before="115" w:line="295" w:lineRule="auto"/>
        <w:ind w:right="33" w:firstLine="488"/>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color w:val="auto"/>
          <w:spacing w:val="-1"/>
          <w:sz w:val="21"/>
          <w:szCs w:val="21"/>
        </w:rPr>
        <w:t>1.不同投标人的投标文件由同一单位或者个人编制；</w:t>
      </w:r>
    </w:p>
    <w:p w14:paraId="5D730B58">
      <w:pPr>
        <w:spacing w:before="115" w:line="295" w:lineRule="auto"/>
        <w:ind w:right="33" w:firstLine="488"/>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color w:val="auto"/>
          <w:spacing w:val="-1"/>
          <w:sz w:val="21"/>
          <w:szCs w:val="21"/>
        </w:rPr>
        <w:t>2.不同投标人委托同一单位或者个人办理投标事宜；</w:t>
      </w:r>
    </w:p>
    <w:p w14:paraId="2D45F969">
      <w:pPr>
        <w:spacing w:before="115" w:line="295" w:lineRule="auto"/>
        <w:ind w:right="33" w:firstLine="488"/>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color w:val="auto"/>
          <w:spacing w:val="-1"/>
          <w:sz w:val="21"/>
          <w:szCs w:val="21"/>
        </w:rPr>
        <w:t>3.不同的投标人的投标文件载明的项目管理员为同一个人；</w:t>
      </w:r>
    </w:p>
    <w:p w14:paraId="53A509FF">
      <w:pPr>
        <w:spacing w:before="115" w:line="295" w:lineRule="auto"/>
        <w:ind w:right="33" w:firstLine="488"/>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color w:val="auto"/>
          <w:spacing w:val="-1"/>
          <w:sz w:val="21"/>
          <w:szCs w:val="21"/>
        </w:rPr>
        <w:t>4.不同投标人的投标文件异常一致或者投标报价呈规律性差异；</w:t>
      </w:r>
    </w:p>
    <w:p w14:paraId="22BA0862">
      <w:pPr>
        <w:spacing w:before="115" w:line="295" w:lineRule="auto"/>
        <w:ind w:right="33" w:firstLine="488"/>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color w:val="auto"/>
          <w:spacing w:val="-1"/>
          <w:sz w:val="21"/>
          <w:szCs w:val="21"/>
        </w:rPr>
        <w:t>5.不同投标人的投标文件相互混装；</w:t>
      </w:r>
    </w:p>
    <w:p w14:paraId="6E933C72">
      <w:pPr>
        <w:spacing w:before="115" w:line="295" w:lineRule="auto"/>
        <w:ind w:right="33" w:firstLine="488"/>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color w:val="auto"/>
          <w:spacing w:val="-1"/>
          <w:sz w:val="21"/>
          <w:szCs w:val="21"/>
        </w:rPr>
        <w:t>6.不同投标人的投标保证金从同一单位或者个人账户转出。</w:t>
      </w:r>
    </w:p>
    <w:p w14:paraId="3EC66768">
      <w:pPr>
        <w:spacing w:before="113" w:line="220" w:lineRule="auto"/>
        <w:ind w:left="4"/>
        <w:outlineLvl w:val="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3"/>
          <w:sz w:val="21"/>
          <w:szCs w:val="21"/>
        </w:rPr>
        <w:t>二、我方承诺无下列恶意串通的情形：</w:t>
      </w:r>
    </w:p>
    <w:p w14:paraId="114C2680">
      <w:pPr>
        <w:spacing w:before="115" w:line="295" w:lineRule="auto"/>
        <w:ind w:right="33" w:firstLine="488"/>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color w:val="auto"/>
          <w:spacing w:val="-1"/>
          <w:sz w:val="21"/>
          <w:szCs w:val="21"/>
        </w:rPr>
        <w:t>1.投标人直接或者间接从采购人或者采购代理机构处获得其他投标人的相关信息并修改其投标文件或者响应文件；</w:t>
      </w:r>
    </w:p>
    <w:p w14:paraId="46F99272">
      <w:pPr>
        <w:spacing w:before="115" w:line="295" w:lineRule="auto"/>
        <w:ind w:right="33" w:firstLine="488"/>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color w:val="auto"/>
          <w:spacing w:val="-1"/>
          <w:sz w:val="21"/>
          <w:szCs w:val="21"/>
        </w:rPr>
        <w:t>2.投标人按照采购人或者采购代理机构的授意撤换、修改投标文件或者响应文件；</w:t>
      </w:r>
    </w:p>
    <w:p w14:paraId="458A4B70">
      <w:pPr>
        <w:spacing w:before="115" w:line="295" w:lineRule="auto"/>
        <w:ind w:right="33" w:firstLine="488"/>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color w:val="auto"/>
          <w:spacing w:val="-1"/>
          <w:sz w:val="21"/>
          <w:szCs w:val="21"/>
        </w:rPr>
        <w:t>3.投标人之间协商报价、技术方案等投标文件或者响应文件的实质性内容；</w:t>
      </w:r>
    </w:p>
    <w:p w14:paraId="3E5273A0">
      <w:pPr>
        <w:spacing w:before="115" w:line="295" w:lineRule="auto"/>
        <w:ind w:right="33" w:firstLine="488"/>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color w:val="auto"/>
          <w:spacing w:val="-1"/>
          <w:sz w:val="21"/>
          <w:szCs w:val="21"/>
        </w:rPr>
        <w:t>4.属于同一集团、协会、商会等组织成员的投标人按照该组织要求协同参加政府采购活动；</w:t>
      </w:r>
    </w:p>
    <w:p w14:paraId="697E340E">
      <w:pPr>
        <w:spacing w:before="115" w:line="295" w:lineRule="auto"/>
        <w:ind w:right="33" w:firstLine="488"/>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color w:val="auto"/>
          <w:spacing w:val="-1"/>
          <w:sz w:val="21"/>
          <w:szCs w:val="21"/>
        </w:rPr>
        <w:t>5.投标人之间事先约定一致抬高或者压低投标报价，或者在招标项目中事先约定轮流以高价位或者低价位中标，或者事先约定由某一特定投标人中标，然后再参加投标；</w:t>
      </w:r>
    </w:p>
    <w:p w14:paraId="59409849">
      <w:pPr>
        <w:spacing w:before="115" w:line="295" w:lineRule="auto"/>
        <w:ind w:right="33" w:firstLine="488"/>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color w:val="auto"/>
          <w:spacing w:val="-1"/>
          <w:sz w:val="21"/>
          <w:szCs w:val="21"/>
        </w:rPr>
        <w:t>6.投标人之间商定部分投标人放弃参加政府采购活动或者放弃中标；</w:t>
      </w:r>
    </w:p>
    <w:p w14:paraId="3E1485BC">
      <w:pPr>
        <w:spacing w:before="115" w:line="295" w:lineRule="auto"/>
        <w:ind w:right="33" w:firstLine="488"/>
        <w:rPr>
          <w:rFonts w:hint="eastAsia" w:asciiTheme="minorEastAsia" w:hAnsiTheme="minorEastAsia" w:eastAsiaTheme="minorEastAsia" w:cstheme="minorEastAsia"/>
          <w:color w:val="auto"/>
          <w:spacing w:val="-1"/>
          <w:sz w:val="21"/>
          <w:szCs w:val="21"/>
        </w:rPr>
      </w:pPr>
      <w:r>
        <w:rPr>
          <w:rFonts w:hint="eastAsia" w:asciiTheme="minorEastAsia" w:hAnsiTheme="minorEastAsia" w:eastAsiaTheme="minorEastAsia" w:cstheme="minorEastAsia"/>
          <w:color w:val="auto"/>
          <w:spacing w:val="-1"/>
          <w:sz w:val="21"/>
          <w:szCs w:val="21"/>
        </w:rPr>
        <w:t>7.投标人与采购人或者采购代理机构之间、投标人相互之间，为谋求特定投标人中标或者排斥其他投标人的其他串通行为。</w:t>
      </w:r>
    </w:p>
    <w:p w14:paraId="388BAAD6">
      <w:pPr>
        <w:spacing w:before="35" w:line="293" w:lineRule="auto"/>
        <w:ind w:left="3" w:firstLine="496"/>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3"/>
          <w:sz w:val="21"/>
          <w:szCs w:val="21"/>
        </w:rPr>
        <w:t>以上情形一经核查属实，我方愿意承担一切后果，并不再寻求任何旨在减轻或者免除法律责任的辩解。</w:t>
      </w:r>
    </w:p>
    <w:p w14:paraId="37206DC8">
      <w:pPr>
        <w:spacing w:line="357" w:lineRule="auto"/>
        <w:rPr>
          <w:rFonts w:hint="eastAsia" w:asciiTheme="minorEastAsia" w:hAnsiTheme="minorEastAsia" w:eastAsiaTheme="minorEastAsia" w:cstheme="minorEastAsia"/>
          <w:color w:val="auto"/>
          <w:sz w:val="21"/>
          <w:szCs w:val="21"/>
        </w:rPr>
      </w:pPr>
    </w:p>
    <w:p w14:paraId="53097E20">
      <w:pPr>
        <w:spacing w:before="78" w:line="344" w:lineRule="auto"/>
        <w:ind w:left="4487" w:leftChars="977" w:right="1978" w:hanging="2435" w:hangingChars="1230"/>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pacing w:val="-6"/>
          <w:sz w:val="21"/>
          <w:szCs w:val="21"/>
        </w:rPr>
        <w:t>投标人名称（电子签章</w:t>
      </w:r>
      <w:r>
        <w:rPr>
          <w:rFonts w:hint="eastAsia" w:asciiTheme="minorEastAsia" w:hAnsiTheme="minorEastAsia" w:eastAsiaTheme="minorEastAsia" w:cstheme="minorEastAsia"/>
          <w:color w:val="auto"/>
          <w:spacing w:val="-2"/>
          <w:sz w:val="21"/>
          <w:szCs w:val="21"/>
        </w:rPr>
        <w:t>）：</w:t>
      </w:r>
      <w:r>
        <w:rPr>
          <w:rFonts w:hint="eastAsia" w:asciiTheme="minorEastAsia" w:hAnsiTheme="minorEastAsia" w:eastAsiaTheme="minorEastAsia" w:cstheme="minorEastAsia"/>
          <w:color w:val="auto"/>
          <w:spacing w:val="-2"/>
          <w:sz w:val="21"/>
          <w:szCs w:val="21"/>
          <w:u w:val="single"/>
          <w:lang w:val="en-US" w:eastAsia="zh-CN"/>
        </w:rPr>
        <w:t xml:space="preserve">                 </w:t>
      </w:r>
    </w:p>
    <w:p w14:paraId="573A480E">
      <w:pPr>
        <w:tabs>
          <w:tab w:val="left" w:pos="2940"/>
        </w:tabs>
        <w:spacing w:before="38" w:line="22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3"/>
          <w:sz w:val="21"/>
          <w:szCs w:val="21"/>
          <w:lang w:val="en-US" w:eastAsia="zh-CN"/>
        </w:rPr>
        <w:tab/>
      </w:r>
      <w:r>
        <w:rPr>
          <w:rFonts w:hint="eastAsia" w:asciiTheme="minorEastAsia" w:hAnsiTheme="minorEastAsia" w:eastAsiaTheme="minorEastAsia" w:cstheme="minorEastAsia"/>
          <w:color w:val="auto"/>
          <w:spacing w:val="-13"/>
          <w:sz w:val="21"/>
          <w:szCs w:val="21"/>
        </w:rPr>
        <w:t>日期：</w:t>
      </w:r>
      <w:r>
        <w:rPr>
          <w:rFonts w:hint="eastAsia" w:asciiTheme="minorEastAsia" w:hAnsiTheme="minorEastAsia" w:eastAsiaTheme="minorEastAsia" w:cstheme="minorEastAsia"/>
          <w:color w:val="auto"/>
          <w:spacing w:val="2"/>
          <w:sz w:val="21"/>
          <w:szCs w:val="21"/>
        </w:rPr>
        <w:t xml:space="preserve">    </w:t>
      </w:r>
      <w:r>
        <w:rPr>
          <w:rFonts w:hint="eastAsia" w:asciiTheme="minorEastAsia" w:hAnsiTheme="minorEastAsia" w:eastAsiaTheme="minorEastAsia" w:cstheme="minorEastAsia"/>
          <w:color w:val="auto"/>
          <w:spacing w:val="-13"/>
          <w:sz w:val="21"/>
          <w:szCs w:val="21"/>
        </w:rPr>
        <w:t>年</w:t>
      </w:r>
      <w:r>
        <w:rPr>
          <w:rFonts w:hint="eastAsia" w:asciiTheme="minorEastAsia" w:hAnsiTheme="minorEastAsia" w:eastAsiaTheme="minorEastAsia" w:cstheme="minorEastAsia"/>
          <w:color w:val="auto"/>
          <w:spacing w:val="6"/>
          <w:sz w:val="21"/>
          <w:szCs w:val="21"/>
        </w:rPr>
        <w:t xml:space="preserve">   </w:t>
      </w:r>
      <w:r>
        <w:rPr>
          <w:rFonts w:hint="eastAsia" w:asciiTheme="minorEastAsia" w:hAnsiTheme="minorEastAsia" w:eastAsiaTheme="minorEastAsia" w:cstheme="minorEastAsia"/>
          <w:color w:val="auto"/>
          <w:spacing w:val="-13"/>
          <w:sz w:val="21"/>
          <w:szCs w:val="21"/>
        </w:rPr>
        <w:t>月</w:t>
      </w:r>
      <w:r>
        <w:rPr>
          <w:rFonts w:hint="eastAsia" w:asciiTheme="minorEastAsia" w:hAnsiTheme="minorEastAsia" w:eastAsiaTheme="minorEastAsia" w:cstheme="minorEastAsia"/>
          <w:color w:val="auto"/>
          <w:spacing w:val="17"/>
          <w:sz w:val="21"/>
          <w:szCs w:val="21"/>
        </w:rPr>
        <w:t xml:space="preserve">   </w:t>
      </w:r>
      <w:r>
        <w:rPr>
          <w:rFonts w:hint="eastAsia" w:asciiTheme="minorEastAsia" w:hAnsiTheme="minorEastAsia" w:eastAsiaTheme="minorEastAsia" w:cstheme="minorEastAsia"/>
          <w:color w:val="auto"/>
          <w:spacing w:val="-13"/>
          <w:sz w:val="21"/>
          <w:szCs w:val="21"/>
        </w:rPr>
        <w:t>日</w:t>
      </w:r>
    </w:p>
    <w:p w14:paraId="691CF8D7">
      <w:pPr>
        <w:spacing w:line="220" w:lineRule="auto"/>
        <w:rPr>
          <w:rFonts w:hint="eastAsia" w:asciiTheme="minorEastAsia" w:hAnsiTheme="minorEastAsia" w:eastAsiaTheme="minorEastAsia" w:cstheme="minorEastAsia"/>
          <w:color w:val="auto"/>
          <w:sz w:val="21"/>
          <w:szCs w:val="21"/>
        </w:rPr>
        <w:sectPr>
          <w:footerReference r:id="rId28" w:type="default"/>
          <w:pgSz w:w="11905" w:h="16838"/>
          <w:pgMar w:top="1417" w:right="1417" w:bottom="1417" w:left="1417" w:header="0" w:footer="1196" w:gutter="0"/>
          <w:pgNumType w:fmt="decimal"/>
          <w:cols w:space="0" w:num="1"/>
          <w:rtlGutter w:val="0"/>
          <w:docGrid w:linePitch="0" w:charSpace="0"/>
        </w:sectPr>
      </w:pPr>
    </w:p>
    <w:p w14:paraId="00F956A0">
      <w:pPr>
        <w:spacing w:before="78" w:line="220" w:lineRule="auto"/>
        <w:ind w:left="471"/>
        <w:outlineLvl w:val="2"/>
        <w:rPr>
          <w:rFonts w:ascii="宋体" w:hAnsi="宋体" w:eastAsia="宋体" w:cs="宋体"/>
          <w:color w:val="auto"/>
          <w:sz w:val="24"/>
          <w:szCs w:val="24"/>
        </w:rPr>
      </w:pPr>
      <w:r>
        <w:rPr>
          <w:rFonts w:ascii="宋体" w:hAnsi="宋体" w:eastAsia="宋体" w:cs="宋体"/>
          <w:b/>
          <w:bCs/>
          <w:color w:val="auto"/>
          <w:spacing w:val="-3"/>
          <w:sz w:val="24"/>
          <w:szCs w:val="24"/>
        </w:rPr>
        <w:t>4.法定代表人身份证明</w:t>
      </w:r>
    </w:p>
    <w:p w14:paraId="58F72DB7">
      <w:pPr>
        <w:spacing w:line="297" w:lineRule="auto"/>
        <w:rPr>
          <w:rFonts w:ascii="Arial"/>
          <w:color w:val="auto"/>
          <w:sz w:val="21"/>
        </w:rPr>
      </w:pPr>
    </w:p>
    <w:p w14:paraId="5DBF8E5E">
      <w:pPr>
        <w:spacing w:before="185" w:line="197" w:lineRule="auto"/>
        <w:ind w:left="2538"/>
        <w:outlineLvl w:val="3"/>
        <w:rPr>
          <w:rFonts w:hint="eastAsia" w:ascii="宋体" w:hAnsi="宋体" w:eastAsia="宋体" w:cs="宋体"/>
          <w:color w:val="auto"/>
          <w:sz w:val="28"/>
          <w:szCs w:val="28"/>
        </w:rPr>
      </w:pPr>
      <w:r>
        <w:rPr>
          <w:rFonts w:hint="eastAsia" w:ascii="宋体" w:hAnsi="宋体" w:eastAsia="宋体" w:cs="宋体"/>
          <w:color w:val="auto"/>
          <w:spacing w:val="8"/>
          <w:sz w:val="28"/>
          <w:szCs w:val="28"/>
        </w:rPr>
        <w:t>法定代表人</w:t>
      </w:r>
      <w:r>
        <w:rPr>
          <w:rFonts w:hint="eastAsia" w:ascii="宋体" w:hAnsi="宋体" w:eastAsia="宋体" w:cs="宋体"/>
          <w:color w:val="auto"/>
          <w:spacing w:val="8"/>
          <w:sz w:val="28"/>
          <w:szCs w:val="28"/>
          <w:lang w:eastAsia="zh-CN"/>
        </w:rPr>
        <w:t>（负责人）</w:t>
      </w:r>
      <w:r>
        <w:rPr>
          <w:rFonts w:hint="eastAsia" w:ascii="宋体" w:hAnsi="宋体" w:eastAsia="宋体" w:cs="宋体"/>
          <w:color w:val="auto"/>
          <w:spacing w:val="8"/>
          <w:sz w:val="28"/>
          <w:szCs w:val="28"/>
        </w:rPr>
        <w:t>身份证明</w:t>
      </w:r>
    </w:p>
    <w:p w14:paraId="31133CBA">
      <w:pPr>
        <w:spacing w:before="269" w:line="375" w:lineRule="auto"/>
        <w:ind w:left="539" w:right="43" w:firstLine="2"/>
        <w:rPr>
          <w:rFonts w:ascii="宋体" w:hAnsi="宋体" w:eastAsia="宋体" w:cs="宋体"/>
          <w:color w:val="auto"/>
          <w:sz w:val="21"/>
          <w:szCs w:val="21"/>
        </w:rPr>
      </w:pPr>
      <w:r>
        <w:rPr>
          <w:rFonts w:ascii="宋体" w:hAnsi="宋体" w:eastAsia="宋体" w:cs="宋体"/>
          <w:color w:val="auto"/>
          <w:spacing w:val="-4"/>
          <w:sz w:val="21"/>
          <w:szCs w:val="21"/>
        </w:rPr>
        <w:t>投</w:t>
      </w:r>
      <w:r>
        <w:rPr>
          <w:rFonts w:ascii="宋体" w:hAnsi="宋体" w:eastAsia="宋体" w:cs="宋体"/>
          <w:color w:val="auto"/>
          <w:spacing w:val="10"/>
          <w:sz w:val="21"/>
          <w:szCs w:val="21"/>
        </w:rPr>
        <w:t xml:space="preserve"> </w:t>
      </w:r>
      <w:r>
        <w:rPr>
          <w:rFonts w:ascii="宋体" w:hAnsi="宋体" w:eastAsia="宋体" w:cs="宋体"/>
          <w:color w:val="auto"/>
          <w:spacing w:val="-4"/>
          <w:sz w:val="21"/>
          <w:szCs w:val="21"/>
        </w:rPr>
        <w:t>标</w:t>
      </w:r>
      <w:r>
        <w:rPr>
          <w:rFonts w:ascii="宋体" w:hAnsi="宋体" w:eastAsia="宋体" w:cs="宋体"/>
          <w:color w:val="auto"/>
          <w:spacing w:val="11"/>
          <w:sz w:val="21"/>
          <w:szCs w:val="21"/>
        </w:rPr>
        <w:t xml:space="preserve"> </w:t>
      </w:r>
      <w:r>
        <w:rPr>
          <w:rFonts w:ascii="宋体" w:hAnsi="宋体" w:eastAsia="宋体" w:cs="宋体"/>
          <w:color w:val="auto"/>
          <w:spacing w:val="-4"/>
          <w:sz w:val="21"/>
          <w:szCs w:val="21"/>
        </w:rPr>
        <w:t>人：</w:t>
      </w:r>
      <w:r>
        <w:rPr>
          <w:rFonts w:ascii="宋体" w:hAnsi="宋体" w:eastAsia="宋体" w:cs="宋体"/>
          <w:color w:val="auto"/>
          <w:spacing w:val="-4"/>
          <w:sz w:val="21"/>
          <w:szCs w:val="21"/>
          <w:u w:val="single" w:color="auto"/>
        </w:rPr>
        <w:t xml:space="preserve">                                 </w:t>
      </w:r>
      <w:r>
        <w:rPr>
          <w:rFonts w:ascii="宋体" w:hAnsi="宋体" w:eastAsia="宋体" w:cs="宋体"/>
          <w:color w:val="auto"/>
          <w:spacing w:val="-5"/>
          <w:sz w:val="21"/>
          <w:szCs w:val="21"/>
          <w:u w:val="single" w:color="auto"/>
        </w:rPr>
        <w:t xml:space="preserve">                         </w:t>
      </w:r>
      <w:r>
        <w:rPr>
          <w:rFonts w:ascii="宋体" w:hAnsi="宋体" w:eastAsia="宋体" w:cs="宋体"/>
          <w:color w:val="auto"/>
          <w:sz w:val="21"/>
          <w:szCs w:val="21"/>
        </w:rPr>
        <w:t xml:space="preserve"> </w:t>
      </w:r>
    </w:p>
    <w:p w14:paraId="38B4CED4">
      <w:pPr>
        <w:spacing w:before="269" w:line="375" w:lineRule="auto"/>
        <w:ind w:left="539" w:right="43" w:firstLine="2"/>
        <w:rPr>
          <w:rFonts w:ascii="宋体" w:hAnsi="宋体" w:eastAsia="宋体" w:cs="宋体"/>
          <w:color w:val="auto"/>
          <w:sz w:val="21"/>
          <w:szCs w:val="21"/>
        </w:rPr>
      </w:pPr>
      <w:r>
        <w:rPr>
          <w:rFonts w:ascii="宋体" w:hAnsi="宋体" w:eastAsia="宋体" w:cs="宋体"/>
          <w:color w:val="auto"/>
          <w:spacing w:val="-4"/>
          <w:sz w:val="21"/>
          <w:szCs w:val="21"/>
        </w:rPr>
        <w:t>地</w:t>
      </w:r>
      <w:r>
        <w:rPr>
          <w:rFonts w:ascii="宋体" w:hAnsi="宋体" w:eastAsia="宋体" w:cs="宋体"/>
          <w:color w:val="auto"/>
          <w:spacing w:val="2"/>
          <w:sz w:val="21"/>
          <w:szCs w:val="21"/>
        </w:rPr>
        <w:t xml:space="preserve">    </w:t>
      </w:r>
      <w:r>
        <w:rPr>
          <w:rFonts w:ascii="宋体" w:hAnsi="宋体" w:eastAsia="宋体" w:cs="宋体"/>
          <w:color w:val="auto"/>
          <w:spacing w:val="-4"/>
          <w:sz w:val="21"/>
          <w:szCs w:val="21"/>
        </w:rPr>
        <w:t>址：</w:t>
      </w:r>
      <w:r>
        <w:rPr>
          <w:rFonts w:ascii="宋体" w:hAnsi="宋体" w:eastAsia="宋体" w:cs="宋体"/>
          <w:color w:val="auto"/>
          <w:spacing w:val="-4"/>
          <w:sz w:val="21"/>
          <w:szCs w:val="21"/>
          <w:u w:val="single" w:color="auto"/>
        </w:rPr>
        <w:t xml:space="preserve">                                           </w:t>
      </w:r>
      <w:r>
        <w:rPr>
          <w:rFonts w:ascii="宋体" w:hAnsi="宋体" w:eastAsia="宋体" w:cs="宋体"/>
          <w:color w:val="auto"/>
          <w:spacing w:val="-5"/>
          <w:sz w:val="21"/>
          <w:szCs w:val="21"/>
          <w:u w:val="single" w:color="auto"/>
        </w:rPr>
        <w:t xml:space="preserve">               </w:t>
      </w:r>
    </w:p>
    <w:p w14:paraId="39F6870E">
      <w:pPr>
        <w:spacing w:before="21" w:line="220" w:lineRule="auto"/>
        <w:ind w:left="539"/>
        <w:rPr>
          <w:rFonts w:ascii="宋体" w:hAnsi="宋体" w:eastAsia="宋体" w:cs="宋体"/>
          <w:color w:val="auto"/>
          <w:sz w:val="21"/>
          <w:szCs w:val="21"/>
        </w:rPr>
      </w:pPr>
      <w:r>
        <w:rPr>
          <w:rFonts w:ascii="宋体" w:hAnsi="宋体" w:eastAsia="宋体" w:cs="宋体"/>
          <w:color w:val="auto"/>
          <w:spacing w:val="-8"/>
          <w:sz w:val="21"/>
          <w:szCs w:val="21"/>
        </w:rPr>
        <w:t>姓</w:t>
      </w:r>
      <w:r>
        <w:rPr>
          <w:rFonts w:ascii="宋体" w:hAnsi="宋体" w:eastAsia="宋体" w:cs="宋体"/>
          <w:color w:val="auto"/>
          <w:spacing w:val="3"/>
          <w:sz w:val="21"/>
          <w:szCs w:val="21"/>
        </w:rPr>
        <w:t xml:space="preserve">    </w:t>
      </w:r>
      <w:r>
        <w:rPr>
          <w:rFonts w:ascii="宋体" w:hAnsi="宋体" w:eastAsia="宋体" w:cs="宋体"/>
          <w:color w:val="auto"/>
          <w:spacing w:val="-8"/>
          <w:sz w:val="21"/>
          <w:szCs w:val="21"/>
        </w:rPr>
        <w:t>名：</w:t>
      </w:r>
      <w:r>
        <w:rPr>
          <w:rFonts w:ascii="宋体" w:hAnsi="宋体" w:eastAsia="宋体" w:cs="宋体"/>
          <w:color w:val="auto"/>
          <w:sz w:val="21"/>
          <w:szCs w:val="21"/>
          <w:u w:val="single" w:color="auto"/>
        </w:rPr>
        <w:t xml:space="preserve">                          </w:t>
      </w:r>
      <w:r>
        <w:rPr>
          <w:rFonts w:ascii="宋体" w:hAnsi="宋体" w:eastAsia="宋体" w:cs="宋体"/>
          <w:color w:val="auto"/>
          <w:spacing w:val="-106"/>
          <w:sz w:val="21"/>
          <w:szCs w:val="21"/>
        </w:rPr>
        <w:t xml:space="preserve"> </w:t>
      </w:r>
      <w:r>
        <w:rPr>
          <w:rFonts w:ascii="宋体" w:hAnsi="宋体" w:eastAsia="宋体" w:cs="宋体"/>
          <w:color w:val="auto"/>
          <w:spacing w:val="-8"/>
          <w:sz w:val="21"/>
          <w:szCs w:val="21"/>
        </w:rPr>
        <w:t>性</w:t>
      </w:r>
      <w:r>
        <w:rPr>
          <w:rFonts w:ascii="宋体" w:hAnsi="宋体" w:eastAsia="宋体" w:cs="宋体"/>
          <w:color w:val="auto"/>
          <w:spacing w:val="2"/>
          <w:sz w:val="21"/>
          <w:szCs w:val="21"/>
        </w:rPr>
        <w:t xml:space="preserve">      </w:t>
      </w:r>
      <w:r>
        <w:rPr>
          <w:rFonts w:ascii="宋体" w:hAnsi="宋体" w:eastAsia="宋体" w:cs="宋体"/>
          <w:color w:val="auto"/>
          <w:spacing w:val="-8"/>
          <w:sz w:val="21"/>
          <w:szCs w:val="21"/>
        </w:rPr>
        <w:t>别：</w:t>
      </w:r>
      <w:r>
        <w:rPr>
          <w:rFonts w:ascii="宋体" w:hAnsi="宋体" w:eastAsia="宋体" w:cs="宋体"/>
          <w:color w:val="auto"/>
          <w:sz w:val="21"/>
          <w:szCs w:val="21"/>
          <w:u w:val="single" w:color="auto"/>
        </w:rPr>
        <w:t xml:space="preserve">                </w:t>
      </w:r>
    </w:p>
    <w:p w14:paraId="29A5C4CC">
      <w:pPr>
        <w:spacing w:before="216" w:line="220" w:lineRule="auto"/>
        <w:ind w:left="540"/>
        <w:rPr>
          <w:rFonts w:ascii="宋体" w:hAnsi="宋体" w:eastAsia="宋体" w:cs="宋体"/>
          <w:color w:val="auto"/>
          <w:sz w:val="21"/>
          <w:szCs w:val="21"/>
        </w:rPr>
      </w:pPr>
      <w:r>
        <w:rPr>
          <w:rFonts w:ascii="宋体" w:hAnsi="宋体" w:eastAsia="宋体" w:cs="宋体"/>
          <w:color w:val="auto"/>
          <w:spacing w:val="-7"/>
          <w:sz w:val="21"/>
          <w:szCs w:val="21"/>
        </w:rPr>
        <w:t>年</w:t>
      </w:r>
      <w:r>
        <w:rPr>
          <w:rFonts w:ascii="宋体" w:hAnsi="宋体" w:eastAsia="宋体" w:cs="宋体"/>
          <w:color w:val="auto"/>
          <w:spacing w:val="2"/>
          <w:sz w:val="21"/>
          <w:szCs w:val="21"/>
        </w:rPr>
        <w:t xml:space="preserve">    </w:t>
      </w:r>
      <w:r>
        <w:rPr>
          <w:rFonts w:ascii="宋体" w:hAnsi="宋体" w:eastAsia="宋体" w:cs="宋体"/>
          <w:color w:val="auto"/>
          <w:spacing w:val="-7"/>
          <w:sz w:val="21"/>
          <w:szCs w:val="21"/>
        </w:rPr>
        <w:t>龄：</w:t>
      </w:r>
      <w:r>
        <w:rPr>
          <w:rFonts w:ascii="宋体" w:hAnsi="宋体" w:eastAsia="宋体" w:cs="宋体"/>
          <w:color w:val="auto"/>
          <w:sz w:val="21"/>
          <w:szCs w:val="21"/>
          <w:u w:val="single" w:color="auto"/>
        </w:rPr>
        <w:t xml:space="preserve">                          </w:t>
      </w:r>
      <w:r>
        <w:rPr>
          <w:rFonts w:ascii="宋体" w:hAnsi="宋体" w:eastAsia="宋体" w:cs="宋体"/>
          <w:color w:val="auto"/>
          <w:spacing w:val="-108"/>
          <w:sz w:val="21"/>
          <w:szCs w:val="21"/>
        </w:rPr>
        <w:t xml:space="preserve"> </w:t>
      </w:r>
      <w:r>
        <w:rPr>
          <w:rFonts w:ascii="宋体" w:hAnsi="宋体" w:eastAsia="宋体" w:cs="宋体"/>
          <w:color w:val="auto"/>
          <w:spacing w:val="-7"/>
          <w:sz w:val="21"/>
          <w:szCs w:val="21"/>
        </w:rPr>
        <w:t>职</w:t>
      </w:r>
      <w:r>
        <w:rPr>
          <w:rFonts w:ascii="宋体" w:hAnsi="宋体" w:eastAsia="宋体" w:cs="宋体"/>
          <w:color w:val="auto"/>
          <w:spacing w:val="2"/>
          <w:sz w:val="21"/>
          <w:szCs w:val="21"/>
        </w:rPr>
        <w:t xml:space="preserve">      </w:t>
      </w:r>
      <w:r>
        <w:rPr>
          <w:rFonts w:ascii="宋体" w:hAnsi="宋体" w:eastAsia="宋体" w:cs="宋体"/>
          <w:color w:val="auto"/>
          <w:spacing w:val="-7"/>
          <w:sz w:val="21"/>
          <w:szCs w:val="21"/>
        </w:rPr>
        <w:t>务：</w:t>
      </w:r>
      <w:r>
        <w:rPr>
          <w:rFonts w:ascii="宋体" w:hAnsi="宋体" w:eastAsia="宋体" w:cs="宋体"/>
          <w:color w:val="auto"/>
          <w:sz w:val="21"/>
          <w:szCs w:val="21"/>
          <w:u w:val="single" w:color="auto"/>
        </w:rPr>
        <w:t xml:space="preserve">                </w:t>
      </w:r>
    </w:p>
    <w:p w14:paraId="4FC0241C">
      <w:pPr>
        <w:spacing w:before="213" w:line="220" w:lineRule="auto"/>
        <w:ind w:left="546"/>
        <w:rPr>
          <w:rFonts w:ascii="宋体" w:hAnsi="宋体" w:eastAsia="宋体" w:cs="宋体"/>
          <w:color w:val="auto"/>
          <w:sz w:val="21"/>
          <w:szCs w:val="21"/>
        </w:rPr>
      </w:pPr>
      <w:r>
        <w:rPr>
          <w:rFonts w:ascii="宋体" w:hAnsi="宋体" w:eastAsia="宋体" w:cs="宋体"/>
          <w:color w:val="auto"/>
          <w:spacing w:val="-3"/>
          <w:sz w:val="21"/>
          <w:szCs w:val="21"/>
        </w:rPr>
        <w:t>身份证号码：</w:t>
      </w:r>
      <w:r>
        <w:rPr>
          <w:rFonts w:ascii="宋体" w:hAnsi="宋体" w:eastAsia="宋体" w:cs="宋体"/>
          <w:color w:val="auto"/>
          <w:sz w:val="21"/>
          <w:szCs w:val="21"/>
          <w:u w:val="single" w:color="auto"/>
        </w:rPr>
        <w:t xml:space="preserve">                                  </w:t>
      </w:r>
    </w:p>
    <w:p w14:paraId="761CC2B9">
      <w:pPr>
        <w:spacing w:before="212" w:line="373" w:lineRule="auto"/>
        <w:ind w:left="539" w:right="1278" w:firstLine="4"/>
        <w:rPr>
          <w:rFonts w:ascii="宋体" w:hAnsi="宋体" w:eastAsia="宋体" w:cs="宋体"/>
          <w:color w:val="auto"/>
          <w:sz w:val="21"/>
          <w:szCs w:val="21"/>
        </w:rPr>
      </w:pPr>
      <w:r>
        <w:rPr>
          <w:rFonts w:ascii="宋体" w:hAnsi="宋体" w:eastAsia="宋体" w:cs="宋体"/>
          <w:color w:val="auto"/>
          <w:spacing w:val="-3"/>
          <w:sz w:val="21"/>
          <w:szCs w:val="21"/>
        </w:rPr>
        <w:t>系</w:t>
      </w:r>
      <w:r>
        <w:rPr>
          <w:rFonts w:ascii="宋体" w:hAnsi="宋体" w:eastAsia="宋体" w:cs="宋体"/>
          <w:color w:val="auto"/>
          <w:spacing w:val="-3"/>
          <w:sz w:val="21"/>
          <w:szCs w:val="21"/>
          <w:u w:val="single" w:color="auto"/>
        </w:rPr>
        <w:t xml:space="preserve">            （投标人名称）</w:t>
      </w:r>
      <w:r>
        <w:rPr>
          <w:rFonts w:ascii="宋体" w:hAnsi="宋体" w:eastAsia="宋体" w:cs="宋体"/>
          <w:color w:val="auto"/>
          <w:sz w:val="21"/>
          <w:szCs w:val="21"/>
          <w:u w:val="single" w:color="auto"/>
        </w:rPr>
        <w:t xml:space="preserve">              </w:t>
      </w:r>
      <w:r>
        <w:rPr>
          <w:rFonts w:ascii="宋体" w:hAnsi="宋体" w:eastAsia="宋体" w:cs="宋体"/>
          <w:color w:val="auto"/>
          <w:spacing w:val="-88"/>
          <w:sz w:val="21"/>
          <w:szCs w:val="21"/>
        </w:rPr>
        <w:t xml:space="preserve"> </w:t>
      </w:r>
      <w:r>
        <w:rPr>
          <w:rFonts w:ascii="宋体" w:hAnsi="宋体" w:eastAsia="宋体" w:cs="宋体"/>
          <w:color w:val="auto"/>
          <w:spacing w:val="-3"/>
          <w:sz w:val="21"/>
          <w:szCs w:val="21"/>
        </w:rPr>
        <w:t>的法定代表人</w:t>
      </w:r>
      <w:r>
        <w:rPr>
          <w:rFonts w:hint="eastAsia" w:ascii="宋体" w:hAnsi="宋体" w:eastAsia="宋体" w:cs="宋体"/>
          <w:color w:val="auto"/>
          <w:spacing w:val="-3"/>
          <w:sz w:val="21"/>
          <w:szCs w:val="21"/>
          <w:lang w:eastAsia="zh-CN"/>
        </w:rPr>
        <w:t>（负责人）</w:t>
      </w:r>
      <w:r>
        <w:rPr>
          <w:rFonts w:ascii="宋体" w:hAnsi="宋体" w:eastAsia="宋体" w:cs="宋体"/>
          <w:color w:val="auto"/>
          <w:spacing w:val="-3"/>
          <w:sz w:val="21"/>
          <w:szCs w:val="21"/>
        </w:rPr>
        <w:t>。</w:t>
      </w:r>
      <w:r>
        <w:rPr>
          <w:rFonts w:ascii="宋体" w:hAnsi="宋体" w:eastAsia="宋体" w:cs="宋体"/>
          <w:color w:val="auto"/>
          <w:sz w:val="21"/>
          <w:szCs w:val="21"/>
        </w:rPr>
        <w:t xml:space="preserve"> </w:t>
      </w:r>
    </w:p>
    <w:p w14:paraId="293EE6F1">
      <w:pPr>
        <w:spacing w:before="212" w:line="373" w:lineRule="auto"/>
        <w:ind w:left="539" w:right="1278" w:firstLine="4"/>
        <w:rPr>
          <w:rFonts w:ascii="宋体" w:hAnsi="宋体" w:eastAsia="宋体" w:cs="宋体"/>
          <w:color w:val="auto"/>
          <w:sz w:val="21"/>
          <w:szCs w:val="21"/>
        </w:rPr>
      </w:pPr>
      <w:r>
        <w:rPr>
          <w:rFonts w:ascii="宋体" w:hAnsi="宋体" w:eastAsia="宋体" w:cs="宋体"/>
          <w:color w:val="auto"/>
          <w:spacing w:val="-8"/>
          <w:sz w:val="21"/>
          <w:szCs w:val="21"/>
        </w:rPr>
        <w:t>特此证明。</w:t>
      </w:r>
    </w:p>
    <w:p w14:paraId="7C5F2E60">
      <w:pPr>
        <w:spacing w:line="316" w:lineRule="auto"/>
        <w:rPr>
          <w:rFonts w:ascii="Arial"/>
          <w:color w:val="auto"/>
          <w:sz w:val="21"/>
          <w:szCs w:val="21"/>
        </w:rPr>
      </w:pPr>
    </w:p>
    <w:p w14:paraId="0D862929">
      <w:pPr>
        <w:spacing w:line="316" w:lineRule="auto"/>
        <w:rPr>
          <w:rFonts w:ascii="Arial"/>
          <w:color w:val="auto"/>
          <w:sz w:val="21"/>
          <w:szCs w:val="21"/>
        </w:rPr>
      </w:pPr>
    </w:p>
    <w:p w14:paraId="4EE10381">
      <w:pPr>
        <w:spacing w:line="316" w:lineRule="auto"/>
        <w:rPr>
          <w:rFonts w:ascii="Arial"/>
          <w:color w:val="auto"/>
          <w:sz w:val="21"/>
          <w:szCs w:val="21"/>
        </w:rPr>
      </w:pPr>
    </w:p>
    <w:p w14:paraId="6905394F">
      <w:pPr>
        <w:spacing w:before="79" w:line="219" w:lineRule="auto"/>
        <w:ind w:left="558"/>
        <w:rPr>
          <w:rFonts w:ascii="宋体" w:hAnsi="宋体" w:eastAsia="宋体" w:cs="宋体"/>
          <w:color w:val="auto"/>
          <w:sz w:val="21"/>
          <w:szCs w:val="21"/>
        </w:rPr>
      </w:pPr>
      <w:r>
        <w:rPr>
          <w:rFonts w:ascii="宋体" w:hAnsi="宋体" w:eastAsia="宋体" w:cs="宋体"/>
          <w:color w:val="auto"/>
          <w:spacing w:val="-2"/>
          <w:sz w:val="21"/>
          <w:szCs w:val="21"/>
        </w:rPr>
        <w:t>附件：法定代表人</w:t>
      </w:r>
      <w:r>
        <w:rPr>
          <w:rFonts w:hint="eastAsia" w:ascii="宋体" w:hAnsi="宋体" w:eastAsia="宋体" w:cs="宋体"/>
          <w:color w:val="auto"/>
          <w:spacing w:val="-2"/>
          <w:sz w:val="21"/>
          <w:szCs w:val="21"/>
          <w:lang w:eastAsia="zh-CN"/>
        </w:rPr>
        <w:t>（负责人）</w:t>
      </w:r>
      <w:r>
        <w:rPr>
          <w:rFonts w:ascii="宋体" w:hAnsi="宋体" w:eastAsia="宋体" w:cs="宋体"/>
          <w:color w:val="auto"/>
          <w:spacing w:val="-2"/>
          <w:sz w:val="21"/>
          <w:szCs w:val="21"/>
        </w:rPr>
        <w:t>有效身份证正反面复印件</w:t>
      </w:r>
    </w:p>
    <w:p w14:paraId="0DCF3391">
      <w:pPr>
        <w:spacing w:line="316" w:lineRule="auto"/>
        <w:rPr>
          <w:rFonts w:ascii="Arial"/>
          <w:color w:val="auto"/>
          <w:sz w:val="21"/>
          <w:szCs w:val="21"/>
        </w:rPr>
      </w:pPr>
    </w:p>
    <w:p w14:paraId="27C4164E">
      <w:pPr>
        <w:spacing w:line="316" w:lineRule="auto"/>
        <w:rPr>
          <w:rFonts w:ascii="Arial"/>
          <w:color w:val="auto"/>
          <w:sz w:val="21"/>
          <w:szCs w:val="21"/>
        </w:rPr>
      </w:pPr>
    </w:p>
    <w:p w14:paraId="168BDCC3">
      <w:pPr>
        <w:tabs>
          <w:tab w:val="left" w:pos="3780"/>
          <w:tab w:val="left" w:pos="5854"/>
        </w:tabs>
        <w:spacing w:before="79" w:line="343" w:lineRule="auto"/>
        <w:rPr>
          <w:rFonts w:hint="eastAsia" w:ascii="宋体" w:hAnsi="宋体" w:eastAsia="宋体" w:cs="宋体"/>
          <w:color w:val="auto"/>
          <w:spacing w:val="-109"/>
          <w:sz w:val="21"/>
          <w:szCs w:val="21"/>
          <w:lang w:val="en-US" w:eastAsia="zh-CN"/>
        </w:rPr>
      </w:pPr>
      <w:r>
        <w:rPr>
          <w:rFonts w:hint="eastAsia" w:ascii="宋体" w:hAnsi="宋体" w:eastAsia="宋体" w:cs="宋体"/>
          <w:color w:val="auto"/>
          <w:spacing w:val="-3"/>
          <w:sz w:val="21"/>
          <w:szCs w:val="21"/>
          <w:lang w:val="en-US" w:eastAsia="zh-CN"/>
        </w:rPr>
        <w:tab/>
      </w:r>
      <w:r>
        <w:rPr>
          <w:rFonts w:ascii="宋体" w:hAnsi="宋体" w:eastAsia="宋体" w:cs="宋体"/>
          <w:color w:val="auto"/>
          <w:spacing w:val="-3"/>
          <w:sz w:val="21"/>
          <w:szCs w:val="21"/>
        </w:rPr>
        <w:t>投标人名称（电子签章）</w:t>
      </w:r>
      <w:r>
        <w:rPr>
          <w:rFonts w:hint="eastAsia" w:ascii="宋体" w:hAnsi="宋体" w:eastAsia="宋体" w:cs="宋体"/>
          <w:color w:val="auto"/>
          <w:spacing w:val="3"/>
          <w:sz w:val="21"/>
          <w:szCs w:val="21"/>
          <w:lang w:val="en-US" w:eastAsia="zh-CN"/>
        </w:rPr>
        <w:t xml:space="preserve"> </w:t>
      </w:r>
      <w:r>
        <w:rPr>
          <w:rFonts w:hint="eastAsia" w:ascii="宋体" w:hAnsi="宋体" w:eastAsia="宋体" w:cs="宋体"/>
          <w:color w:val="auto"/>
          <w:sz w:val="21"/>
          <w:szCs w:val="21"/>
          <w:u w:val="single" w:color="auto"/>
          <w:lang w:val="en-US" w:eastAsia="zh-CN"/>
        </w:rPr>
        <w:t xml:space="preserve">                   </w:t>
      </w:r>
    </w:p>
    <w:p w14:paraId="511B800B">
      <w:pPr>
        <w:tabs>
          <w:tab w:val="left" w:pos="3780"/>
          <w:tab w:val="left" w:pos="5854"/>
        </w:tabs>
        <w:spacing w:before="79" w:line="343" w:lineRule="auto"/>
        <w:rPr>
          <w:rFonts w:hint="eastAsia" w:ascii="宋体" w:hAnsi="宋体" w:eastAsia="宋体" w:cs="宋体"/>
          <w:color w:val="auto"/>
          <w:spacing w:val="-3"/>
          <w:sz w:val="21"/>
          <w:szCs w:val="21"/>
          <w:lang w:eastAsia="zh-CN"/>
        </w:rPr>
      </w:pPr>
      <w:r>
        <w:rPr>
          <w:rFonts w:hint="eastAsia" w:ascii="宋体" w:hAnsi="宋体" w:eastAsia="宋体" w:cs="宋体"/>
          <w:color w:val="auto"/>
          <w:spacing w:val="-3"/>
          <w:sz w:val="21"/>
          <w:szCs w:val="21"/>
          <w:lang w:val="en-US" w:eastAsia="zh-CN"/>
        </w:rPr>
        <w:tab/>
      </w:r>
      <w:r>
        <w:rPr>
          <w:rFonts w:hint="eastAsia" w:ascii="宋体" w:hAnsi="宋体" w:eastAsia="宋体" w:cs="宋体"/>
          <w:color w:val="auto"/>
          <w:spacing w:val="-3"/>
          <w:sz w:val="21"/>
          <w:szCs w:val="21"/>
          <w:lang w:val="en-US" w:eastAsia="zh-CN"/>
        </w:rPr>
        <w:t>日期：</w:t>
      </w:r>
      <w:r>
        <w:rPr>
          <w:rFonts w:hint="eastAsia" w:ascii="宋体" w:hAnsi="宋体" w:eastAsia="宋体" w:cs="宋体"/>
          <w:color w:val="auto"/>
          <w:spacing w:val="-3"/>
          <w:sz w:val="21"/>
          <w:szCs w:val="21"/>
          <w:u w:val="single"/>
          <w:lang w:val="en-US" w:eastAsia="zh-CN"/>
        </w:rPr>
        <w:t xml:space="preserve">     </w:t>
      </w:r>
      <w:r>
        <w:rPr>
          <w:rFonts w:hint="eastAsia" w:ascii="宋体" w:hAnsi="宋体" w:eastAsia="宋体" w:cs="宋体"/>
          <w:color w:val="auto"/>
          <w:spacing w:val="-3"/>
          <w:sz w:val="21"/>
          <w:szCs w:val="21"/>
          <w:lang w:eastAsia="zh-CN"/>
        </w:rPr>
        <w:t>年</w:t>
      </w:r>
      <w:r>
        <w:rPr>
          <w:rFonts w:hint="eastAsia" w:ascii="宋体" w:hAnsi="宋体" w:eastAsia="宋体" w:cs="宋体"/>
          <w:color w:val="auto"/>
          <w:spacing w:val="-3"/>
          <w:sz w:val="21"/>
          <w:szCs w:val="21"/>
          <w:u w:val="single"/>
          <w:lang w:val="en-US" w:eastAsia="zh-CN"/>
        </w:rPr>
        <w:t xml:space="preserve">      </w:t>
      </w:r>
      <w:r>
        <w:rPr>
          <w:rFonts w:hint="eastAsia" w:ascii="宋体" w:hAnsi="宋体" w:eastAsia="宋体" w:cs="宋体"/>
          <w:color w:val="auto"/>
          <w:spacing w:val="-3"/>
          <w:sz w:val="21"/>
          <w:szCs w:val="21"/>
          <w:lang w:eastAsia="zh-CN"/>
        </w:rPr>
        <w:t>月</w:t>
      </w:r>
      <w:r>
        <w:rPr>
          <w:rFonts w:hint="eastAsia" w:ascii="宋体" w:hAnsi="宋体" w:eastAsia="宋体" w:cs="宋体"/>
          <w:color w:val="auto"/>
          <w:spacing w:val="-3"/>
          <w:sz w:val="21"/>
          <w:szCs w:val="21"/>
          <w:u w:val="single"/>
          <w:lang w:val="en-US" w:eastAsia="zh-CN"/>
        </w:rPr>
        <w:t xml:space="preserve">     </w:t>
      </w:r>
      <w:r>
        <w:rPr>
          <w:rFonts w:hint="eastAsia" w:ascii="宋体" w:hAnsi="宋体" w:eastAsia="宋体" w:cs="宋体"/>
          <w:color w:val="auto"/>
          <w:spacing w:val="-3"/>
          <w:sz w:val="21"/>
          <w:szCs w:val="21"/>
          <w:lang w:eastAsia="zh-CN"/>
        </w:rPr>
        <w:t>日</w:t>
      </w:r>
    </w:p>
    <w:p w14:paraId="433A49F7">
      <w:pPr>
        <w:spacing w:line="352" w:lineRule="auto"/>
        <w:rPr>
          <w:rFonts w:ascii="Arial"/>
          <w:color w:val="auto"/>
          <w:sz w:val="21"/>
          <w:szCs w:val="21"/>
        </w:rPr>
      </w:pPr>
    </w:p>
    <w:p w14:paraId="3C168EED">
      <w:pPr>
        <w:spacing w:before="78" w:line="219" w:lineRule="auto"/>
        <w:rPr>
          <w:rFonts w:ascii="宋体" w:hAnsi="宋体" w:eastAsia="宋体" w:cs="宋体"/>
          <w:color w:val="auto"/>
          <w:sz w:val="21"/>
          <w:szCs w:val="21"/>
        </w:rPr>
      </w:pPr>
      <w:r>
        <w:rPr>
          <w:rFonts w:ascii="宋体" w:hAnsi="宋体" w:eastAsia="宋体" w:cs="宋体"/>
          <w:color w:val="auto"/>
          <w:spacing w:val="-1"/>
          <w:sz w:val="21"/>
          <w:szCs w:val="21"/>
        </w:rPr>
        <w:t>注：自然人投标的无需提供</w:t>
      </w:r>
    </w:p>
    <w:p w14:paraId="7B2C2AF9">
      <w:pPr>
        <w:spacing w:line="219" w:lineRule="auto"/>
        <w:rPr>
          <w:rFonts w:ascii="宋体" w:hAnsi="宋体" w:eastAsia="宋体" w:cs="宋体"/>
          <w:color w:val="auto"/>
          <w:sz w:val="21"/>
          <w:szCs w:val="21"/>
        </w:rPr>
        <w:sectPr>
          <w:footerReference r:id="rId29" w:type="default"/>
          <w:pgSz w:w="11905" w:h="16838"/>
          <w:pgMar w:top="1417" w:right="1417" w:bottom="1417" w:left="1417" w:header="0" w:footer="1196" w:gutter="0"/>
          <w:pgNumType w:fmt="decimal"/>
          <w:cols w:space="0" w:num="1"/>
          <w:rtlGutter w:val="0"/>
          <w:docGrid w:linePitch="0" w:charSpace="0"/>
        </w:sectPr>
      </w:pPr>
    </w:p>
    <w:p w14:paraId="6BCB5875">
      <w:pPr>
        <w:spacing w:before="78" w:line="219" w:lineRule="auto"/>
        <w:ind w:left="14"/>
        <w:outlineLvl w:val="2"/>
        <w:rPr>
          <w:rFonts w:ascii="宋体" w:hAnsi="宋体" w:eastAsia="宋体" w:cs="宋体"/>
          <w:color w:val="auto"/>
          <w:sz w:val="24"/>
          <w:szCs w:val="24"/>
        </w:rPr>
      </w:pPr>
      <w:r>
        <w:rPr>
          <w:rFonts w:ascii="宋体" w:hAnsi="宋体" w:eastAsia="宋体" w:cs="宋体"/>
          <w:b/>
          <w:bCs/>
          <w:color w:val="auto"/>
          <w:spacing w:val="-4"/>
          <w:sz w:val="24"/>
          <w:szCs w:val="24"/>
        </w:rPr>
        <w:t>5.授权委托书格式</w:t>
      </w:r>
    </w:p>
    <w:p w14:paraId="206FF148">
      <w:pPr>
        <w:spacing w:line="268" w:lineRule="auto"/>
        <w:rPr>
          <w:rFonts w:ascii="Arial"/>
          <w:color w:val="auto"/>
          <w:sz w:val="21"/>
        </w:rPr>
      </w:pPr>
    </w:p>
    <w:p w14:paraId="1980E650">
      <w:pPr>
        <w:spacing w:before="185" w:line="197" w:lineRule="auto"/>
        <w:jc w:val="center"/>
        <w:outlineLvl w:val="3"/>
        <w:rPr>
          <w:rFonts w:hint="eastAsia" w:asciiTheme="minorEastAsia" w:hAnsiTheme="minorEastAsia" w:eastAsiaTheme="minorEastAsia" w:cstheme="minorEastAsia"/>
          <w:b/>
          <w:bCs/>
          <w:color w:val="auto"/>
          <w:spacing w:val="4"/>
          <w:sz w:val="28"/>
          <w:szCs w:val="28"/>
        </w:rPr>
      </w:pPr>
      <w:r>
        <w:rPr>
          <w:rFonts w:hint="eastAsia" w:asciiTheme="minorEastAsia" w:hAnsiTheme="minorEastAsia" w:eastAsiaTheme="minorEastAsia" w:cstheme="minorEastAsia"/>
          <w:color w:val="auto"/>
          <w:spacing w:val="8"/>
          <w:sz w:val="28"/>
          <w:szCs w:val="28"/>
        </w:rPr>
        <w:t>授权委托书</w:t>
      </w:r>
      <w:r>
        <w:rPr>
          <w:rFonts w:hint="eastAsia" w:asciiTheme="minorEastAsia" w:hAnsiTheme="minorEastAsia" w:eastAsiaTheme="minorEastAsia" w:cstheme="minorEastAsia"/>
          <w:b/>
          <w:bCs/>
          <w:color w:val="auto"/>
          <w:spacing w:val="4"/>
          <w:sz w:val="28"/>
          <w:szCs w:val="28"/>
        </w:rPr>
        <w:t>（非联合体投标格式）</w:t>
      </w:r>
    </w:p>
    <w:p w14:paraId="162018F8">
      <w:pPr>
        <w:spacing w:before="185" w:line="197" w:lineRule="auto"/>
        <w:ind w:left="3156"/>
        <w:outlineLvl w:val="3"/>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b/>
          <w:bCs/>
          <w:color w:val="auto"/>
          <w:sz w:val="28"/>
          <w:szCs w:val="28"/>
        </w:rPr>
        <w:t>（如有委托时）</w:t>
      </w:r>
    </w:p>
    <w:p w14:paraId="5FB4E535">
      <w:pPr>
        <w:spacing w:line="424" w:lineRule="auto"/>
        <w:rPr>
          <w:rFonts w:ascii="Arial"/>
          <w:color w:val="auto"/>
          <w:sz w:val="21"/>
          <w:szCs w:val="21"/>
        </w:rPr>
      </w:pPr>
    </w:p>
    <w:p w14:paraId="398AF181">
      <w:pPr>
        <w:spacing w:before="79" w:line="219" w:lineRule="auto"/>
        <w:ind w:left="9"/>
        <w:rPr>
          <w:rFonts w:ascii="宋体" w:hAnsi="宋体" w:eastAsia="宋体" w:cs="宋体"/>
          <w:color w:val="auto"/>
          <w:sz w:val="21"/>
          <w:szCs w:val="21"/>
        </w:rPr>
      </w:pPr>
      <w:r>
        <w:rPr>
          <w:rFonts w:ascii="宋体" w:hAnsi="宋体" w:eastAsia="宋体" w:cs="宋体"/>
          <w:color w:val="auto"/>
          <w:spacing w:val="-2"/>
          <w:sz w:val="21"/>
          <w:szCs w:val="21"/>
        </w:rPr>
        <w:t>致：</w:t>
      </w:r>
      <w:r>
        <w:rPr>
          <w:rFonts w:ascii="宋体" w:hAnsi="宋体" w:eastAsia="宋体" w:cs="宋体"/>
          <w:color w:val="auto"/>
          <w:spacing w:val="-2"/>
          <w:sz w:val="21"/>
          <w:szCs w:val="21"/>
          <w:u w:val="single" w:color="auto"/>
        </w:rPr>
        <w:t>采购人名称</w:t>
      </w:r>
      <w:r>
        <w:rPr>
          <w:rFonts w:ascii="宋体" w:hAnsi="宋体" w:eastAsia="宋体" w:cs="宋体"/>
          <w:color w:val="auto"/>
          <w:spacing w:val="-2"/>
          <w:sz w:val="21"/>
          <w:szCs w:val="21"/>
        </w:rPr>
        <w:t>：</w:t>
      </w:r>
    </w:p>
    <w:p w14:paraId="04F4400F">
      <w:pPr>
        <w:tabs>
          <w:tab w:val="left" w:pos="135"/>
        </w:tabs>
        <w:spacing w:before="183" w:line="350" w:lineRule="auto"/>
        <w:ind w:right="64" w:firstLine="577"/>
        <w:rPr>
          <w:rFonts w:ascii="宋体" w:hAnsi="宋体" w:eastAsia="宋体" w:cs="宋体"/>
          <w:color w:val="auto"/>
          <w:sz w:val="21"/>
          <w:szCs w:val="21"/>
        </w:rPr>
      </w:pPr>
      <w:r>
        <w:rPr>
          <w:rFonts w:ascii="宋体" w:hAnsi="宋体" w:eastAsia="宋体" w:cs="宋体"/>
          <w:color w:val="auto"/>
          <w:spacing w:val="7"/>
          <w:sz w:val="21"/>
          <w:szCs w:val="21"/>
        </w:rPr>
        <w:t>我</w:t>
      </w:r>
      <w:r>
        <w:rPr>
          <w:rFonts w:ascii="宋体" w:hAnsi="宋体" w:eastAsia="宋体" w:cs="宋体"/>
          <w:color w:val="auto"/>
          <w:spacing w:val="-109"/>
          <w:sz w:val="21"/>
          <w:szCs w:val="21"/>
        </w:rPr>
        <w:t xml:space="preserve"> </w:t>
      </w:r>
      <w:r>
        <w:rPr>
          <w:rFonts w:ascii="宋体" w:hAnsi="宋体" w:eastAsia="宋体" w:cs="宋体"/>
          <w:color w:val="auto"/>
          <w:spacing w:val="7"/>
          <w:sz w:val="21"/>
          <w:szCs w:val="21"/>
          <w:u w:val="single" w:color="auto"/>
        </w:rPr>
        <w:t xml:space="preserve">       </w:t>
      </w:r>
      <w:r>
        <w:rPr>
          <w:rFonts w:ascii="宋体" w:hAnsi="宋体" w:eastAsia="宋体" w:cs="宋体"/>
          <w:color w:val="auto"/>
          <w:spacing w:val="7"/>
          <w:sz w:val="21"/>
          <w:szCs w:val="21"/>
        </w:rPr>
        <w:t>（姓名）系</w:t>
      </w:r>
      <w:r>
        <w:rPr>
          <w:rFonts w:ascii="宋体" w:hAnsi="宋体" w:eastAsia="宋体" w:cs="宋体"/>
          <w:color w:val="auto"/>
          <w:spacing w:val="-107"/>
          <w:sz w:val="21"/>
          <w:szCs w:val="21"/>
        </w:rPr>
        <w:t xml:space="preserve"> </w:t>
      </w:r>
      <w:r>
        <w:rPr>
          <w:rFonts w:ascii="宋体" w:hAnsi="宋体" w:eastAsia="宋体" w:cs="宋体"/>
          <w:color w:val="auto"/>
          <w:spacing w:val="10"/>
          <w:sz w:val="21"/>
          <w:szCs w:val="21"/>
          <w:u w:val="single" w:color="auto"/>
        </w:rPr>
        <w:t xml:space="preserve">      </w:t>
      </w:r>
      <w:r>
        <w:rPr>
          <w:rFonts w:ascii="宋体" w:hAnsi="宋体" w:eastAsia="宋体" w:cs="宋体"/>
          <w:color w:val="auto"/>
          <w:spacing w:val="7"/>
          <w:sz w:val="21"/>
          <w:szCs w:val="21"/>
        </w:rPr>
        <w:t>（投标人名称）</w:t>
      </w:r>
      <w:r>
        <w:rPr>
          <w:rFonts w:ascii="宋体" w:hAnsi="宋体" w:eastAsia="宋体" w:cs="宋体"/>
          <w:color w:val="auto"/>
          <w:spacing w:val="-70"/>
          <w:sz w:val="21"/>
          <w:szCs w:val="21"/>
        </w:rPr>
        <w:t xml:space="preserve"> </w:t>
      </w:r>
      <w:r>
        <w:rPr>
          <w:rFonts w:ascii="宋体" w:hAnsi="宋体" w:eastAsia="宋体" w:cs="宋体"/>
          <w:color w:val="auto"/>
          <w:spacing w:val="7"/>
          <w:sz w:val="21"/>
          <w:szCs w:val="21"/>
        </w:rPr>
        <w:t>的</w:t>
      </w:r>
      <w:r>
        <w:rPr>
          <w:rFonts w:hint="eastAsia" w:ascii="宋体" w:hAnsi="宋体" w:eastAsia="宋体" w:cs="宋体"/>
          <w:color w:val="auto"/>
          <w:spacing w:val="7"/>
          <w:sz w:val="21"/>
          <w:szCs w:val="21"/>
          <w:lang w:eastAsia="zh-CN"/>
        </w:rPr>
        <w:t>（</w:t>
      </w:r>
      <w:r>
        <w:rPr>
          <w:rFonts w:hint="eastAsia" w:ascii="宋体" w:hAnsi="宋体" w:eastAsia="宋体" w:cs="宋体"/>
          <w:color w:val="auto"/>
          <w:spacing w:val="7"/>
          <w:sz w:val="21"/>
          <w:szCs w:val="21"/>
          <w:lang w:eastAsia="zh-CN"/>
        </w:rPr>
        <w:sym w:font="Wingdings 2" w:char="00A3"/>
      </w:r>
      <w:r>
        <w:rPr>
          <w:rFonts w:ascii="宋体" w:hAnsi="宋体" w:eastAsia="宋体" w:cs="宋体"/>
          <w:color w:val="auto"/>
          <w:spacing w:val="7"/>
          <w:sz w:val="21"/>
          <w:szCs w:val="21"/>
        </w:rPr>
        <w:t>法定代表人</w:t>
      </w:r>
      <w:r>
        <w:rPr>
          <w:rFonts w:hint="eastAsia" w:ascii="宋体" w:hAnsi="宋体" w:eastAsia="宋体" w:cs="宋体"/>
          <w:color w:val="auto"/>
          <w:spacing w:val="7"/>
          <w:sz w:val="21"/>
          <w:szCs w:val="21"/>
          <w:lang w:val="en-US" w:eastAsia="zh-CN"/>
        </w:rPr>
        <w:t>/</w:t>
      </w:r>
      <w:r>
        <w:rPr>
          <w:rFonts w:hint="eastAsia" w:ascii="宋体" w:hAnsi="宋体" w:eastAsia="宋体" w:cs="宋体"/>
          <w:color w:val="auto"/>
          <w:spacing w:val="7"/>
          <w:sz w:val="21"/>
          <w:szCs w:val="21"/>
          <w:lang w:val="en-US" w:eastAsia="zh-CN"/>
        </w:rPr>
        <w:sym w:font="Wingdings 2" w:char="00A3"/>
      </w:r>
      <w:r>
        <w:rPr>
          <w:rFonts w:hint="eastAsia" w:ascii="宋体" w:hAnsi="宋体" w:eastAsia="宋体" w:cs="宋体"/>
          <w:color w:val="auto"/>
          <w:spacing w:val="7"/>
          <w:sz w:val="21"/>
          <w:szCs w:val="21"/>
          <w:lang w:val="en-US" w:eastAsia="zh-CN"/>
        </w:rPr>
        <w:t>负责人/</w:t>
      </w:r>
      <w:r>
        <w:rPr>
          <w:rFonts w:hint="eastAsia" w:ascii="宋体" w:hAnsi="宋体" w:eastAsia="宋体" w:cs="宋体"/>
          <w:color w:val="auto"/>
          <w:spacing w:val="7"/>
          <w:sz w:val="21"/>
          <w:szCs w:val="21"/>
          <w:lang w:val="en-US" w:eastAsia="zh-CN"/>
        </w:rPr>
        <w:sym w:font="Wingdings 2" w:char="00A3"/>
      </w:r>
      <w:r>
        <w:rPr>
          <w:rFonts w:hint="eastAsia" w:ascii="宋体" w:hAnsi="宋体" w:eastAsia="宋体" w:cs="宋体"/>
          <w:color w:val="auto"/>
          <w:spacing w:val="7"/>
          <w:sz w:val="21"/>
          <w:szCs w:val="21"/>
          <w:lang w:val="en-US" w:eastAsia="zh-CN"/>
        </w:rPr>
        <w:t>自然人本人</w:t>
      </w:r>
      <w:r>
        <w:rPr>
          <w:rFonts w:hint="eastAsia" w:ascii="宋体" w:hAnsi="宋体" w:eastAsia="宋体" w:cs="宋体"/>
          <w:color w:val="auto"/>
          <w:spacing w:val="7"/>
          <w:sz w:val="21"/>
          <w:szCs w:val="21"/>
          <w:lang w:eastAsia="zh-CN"/>
        </w:rPr>
        <w:t>）</w:t>
      </w:r>
      <w:r>
        <w:rPr>
          <w:rFonts w:ascii="宋体" w:hAnsi="宋体" w:eastAsia="宋体" w:cs="宋体"/>
          <w:color w:val="auto"/>
          <w:spacing w:val="7"/>
          <w:sz w:val="21"/>
          <w:szCs w:val="21"/>
        </w:rPr>
        <w:t>，现授权委托</w:t>
      </w:r>
      <w:r>
        <w:rPr>
          <w:rFonts w:ascii="宋体" w:hAnsi="宋体" w:eastAsia="宋体" w:cs="宋体"/>
          <w:color w:val="auto"/>
          <w:sz w:val="21"/>
          <w:szCs w:val="21"/>
          <w:u w:val="single" w:color="auto"/>
        </w:rPr>
        <w:tab/>
      </w:r>
      <w:r>
        <w:rPr>
          <w:rFonts w:ascii="宋体" w:hAnsi="宋体" w:eastAsia="宋体" w:cs="宋体"/>
          <w:color w:val="auto"/>
          <w:spacing w:val="-3"/>
          <w:sz w:val="21"/>
          <w:szCs w:val="21"/>
          <w:u w:val="single" w:color="auto"/>
        </w:rPr>
        <w:t>（姓名）</w:t>
      </w:r>
      <w:r>
        <w:rPr>
          <w:rFonts w:ascii="宋体" w:hAnsi="宋体" w:eastAsia="宋体" w:cs="宋体"/>
          <w:color w:val="auto"/>
          <w:spacing w:val="-3"/>
          <w:sz w:val="21"/>
          <w:szCs w:val="21"/>
        </w:rPr>
        <w:t>以我方的名义参加</w:t>
      </w:r>
      <w:r>
        <w:rPr>
          <w:rFonts w:ascii="宋体" w:hAnsi="宋体" w:eastAsia="宋体" w:cs="宋体"/>
          <w:color w:val="auto"/>
          <w:spacing w:val="-113"/>
          <w:sz w:val="21"/>
          <w:szCs w:val="21"/>
        </w:rPr>
        <w:t xml:space="preserve"> </w:t>
      </w:r>
      <w:r>
        <w:rPr>
          <w:rFonts w:ascii="宋体" w:hAnsi="宋体" w:eastAsia="宋体" w:cs="宋体"/>
          <w:color w:val="auto"/>
          <w:spacing w:val="2"/>
          <w:sz w:val="21"/>
          <w:szCs w:val="21"/>
          <w:u w:val="single" w:color="auto"/>
        </w:rPr>
        <w:t xml:space="preserve">              </w:t>
      </w:r>
      <w:r>
        <w:rPr>
          <w:rFonts w:ascii="宋体" w:hAnsi="宋体" w:eastAsia="宋体" w:cs="宋体"/>
          <w:color w:val="auto"/>
          <w:spacing w:val="-3"/>
          <w:sz w:val="21"/>
          <w:szCs w:val="21"/>
        </w:rPr>
        <w:t>项目的投标活动，并代表我方全权办</w:t>
      </w:r>
      <w:r>
        <w:rPr>
          <w:rFonts w:ascii="宋体" w:hAnsi="宋体" w:eastAsia="宋体" w:cs="宋体"/>
          <w:color w:val="auto"/>
          <w:spacing w:val="-1"/>
          <w:sz w:val="21"/>
          <w:szCs w:val="21"/>
        </w:rPr>
        <w:t>理针对上述项目的所有采购程序和环节的具体事务和签署</w:t>
      </w:r>
      <w:r>
        <w:rPr>
          <w:rFonts w:ascii="宋体" w:hAnsi="宋体" w:eastAsia="宋体" w:cs="宋体"/>
          <w:color w:val="auto"/>
          <w:spacing w:val="-2"/>
          <w:sz w:val="21"/>
          <w:szCs w:val="21"/>
        </w:rPr>
        <w:t>相关文件。</w:t>
      </w:r>
    </w:p>
    <w:p w14:paraId="1A21D1B6">
      <w:pPr>
        <w:spacing w:before="34" w:line="220" w:lineRule="auto"/>
        <w:ind w:left="491"/>
        <w:rPr>
          <w:rFonts w:ascii="宋体" w:hAnsi="宋体" w:eastAsia="宋体" w:cs="宋体"/>
          <w:color w:val="auto"/>
          <w:sz w:val="21"/>
          <w:szCs w:val="21"/>
        </w:rPr>
      </w:pPr>
      <w:r>
        <w:rPr>
          <w:rFonts w:ascii="宋体" w:hAnsi="宋体" w:eastAsia="宋体" w:cs="宋体"/>
          <w:color w:val="auto"/>
          <w:spacing w:val="-2"/>
          <w:sz w:val="21"/>
          <w:szCs w:val="21"/>
        </w:rPr>
        <w:t>我方对委托代理人的签字或者电子签名事项负全部责任。</w:t>
      </w:r>
    </w:p>
    <w:p w14:paraId="69F1882F">
      <w:pPr>
        <w:spacing w:before="184" w:line="344" w:lineRule="auto"/>
        <w:ind w:left="15" w:right="75" w:firstLine="475"/>
        <w:rPr>
          <w:rFonts w:ascii="宋体" w:hAnsi="宋体" w:eastAsia="宋体" w:cs="宋体"/>
          <w:color w:val="auto"/>
          <w:sz w:val="21"/>
          <w:szCs w:val="21"/>
        </w:rPr>
      </w:pPr>
      <w:r>
        <w:rPr>
          <w:rFonts w:ascii="宋体" w:hAnsi="宋体" w:eastAsia="宋体" w:cs="宋体"/>
          <w:color w:val="auto"/>
          <w:spacing w:val="2"/>
          <w:sz w:val="21"/>
          <w:szCs w:val="21"/>
          <w:u w:val="single" w:color="auto"/>
        </w:rPr>
        <w:t>本授权书自签署之日起生效，在撤销授权的书面通知以前，本授权书一直有</w:t>
      </w:r>
      <w:r>
        <w:rPr>
          <w:rFonts w:ascii="宋体" w:hAnsi="宋体" w:eastAsia="宋体" w:cs="宋体"/>
          <w:color w:val="auto"/>
          <w:spacing w:val="-1"/>
          <w:sz w:val="21"/>
          <w:szCs w:val="21"/>
          <w:u w:val="single" w:color="auto"/>
        </w:rPr>
        <w:t>效。委托代理人在授权书有效期内签署的所有文件不因授权的撤销而失效。</w:t>
      </w:r>
    </w:p>
    <w:p w14:paraId="00031451">
      <w:pPr>
        <w:spacing w:before="37" w:line="220" w:lineRule="auto"/>
        <w:ind w:left="488"/>
        <w:rPr>
          <w:rFonts w:ascii="宋体" w:hAnsi="宋体" w:eastAsia="宋体" w:cs="宋体"/>
          <w:color w:val="auto"/>
          <w:sz w:val="21"/>
          <w:szCs w:val="21"/>
        </w:rPr>
      </w:pPr>
      <w:r>
        <w:rPr>
          <w:rFonts w:ascii="宋体" w:hAnsi="宋体" w:eastAsia="宋体" w:cs="宋体"/>
          <w:color w:val="auto"/>
          <w:spacing w:val="-2"/>
          <w:sz w:val="21"/>
          <w:szCs w:val="21"/>
        </w:rPr>
        <w:t>委托代理人无转委托权，特此委托。</w:t>
      </w:r>
    </w:p>
    <w:p w14:paraId="1EDD2346">
      <w:pPr>
        <w:spacing w:before="180" w:line="219" w:lineRule="auto"/>
        <w:ind w:left="508"/>
        <w:rPr>
          <w:rFonts w:ascii="宋体" w:hAnsi="宋体" w:eastAsia="宋体" w:cs="宋体"/>
          <w:color w:val="auto"/>
          <w:sz w:val="21"/>
          <w:szCs w:val="21"/>
        </w:rPr>
      </w:pPr>
      <w:r>
        <w:rPr>
          <w:rFonts w:ascii="宋体" w:hAnsi="宋体" w:eastAsia="宋体" w:cs="宋体"/>
          <w:color w:val="auto"/>
          <w:spacing w:val="-2"/>
          <w:sz w:val="21"/>
          <w:szCs w:val="21"/>
        </w:rPr>
        <w:t>附：法定代表人</w:t>
      </w:r>
      <w:r>
        <w:rPr>
          <w:rFonts w:hint="eastAsia" w:ascii="宋体" w:hAnsi="宋体" w:eastAsia="宋体" w:cs="宋体"/>
          <w:color w:val="auto"/>
          <w:spacing w:val="-2"/>
          <w:sz w:val="21"/>
          <w:szCs w:val="21"/>
          <w:lang w:eastAsia="zh-CN"/>
        </w:rPr>
        <w:t>（负责人）</w:t>
      </w:r>
      <w:r>
        <w:rPr>
          <w:rFonts w:ascii="宋体" w:hAnsi="宋体" w:eastAsia="宋体" w:cs="宋体"/>
          <w:color w:val="auto"/>
          <w:spacing w:val="-2"/>
          <w:sz w:val="21"/>
          <w:szCs w:val="21"/>
        </w:rPr>
        <w:t>身份证明及委托代理人有效身份证正反面复印件</w:t>
      </w:r>
    </w:p>
    <w:p w14:paraId="0379EA42">
      <w:pPr>
        <w:spacing w:line="339" w:lineRule="auto"/>
        <w:rPr>
          <w:rFonts w:ascii="Arial"/>
          <w:color w:val="auto"/>
          <w:sz w:val="21"/>
          <w:szCs w:val="21"/>
        </w:rPr>
      </w:pPr>
    </w:p>
    <w:p w14:paraId="6EFAC9F5">
      <w:pPr>
        <w:spacing w:line="340" w:lineRule="auto"/>
        <w:rPr>
          <w:rFonts w:ascii="Arial"/>
          <w:color w:val="auto"/>
          <w:sz w:val="21"/>
          <w:szCs w:val="21"/>
        </w:rPr>
      </w:pPr>
    </w:p>
    <w:p w14:paraId="794EAF9E">
      <w:pPr>
        <w:spacing w:before="78" w:line="220" w:lineRule="auto"/>
        <w:ind w:left="8"/>
        <w:rPr>
          <w:rFonts w:ascii="宋体" w:hAnsi="宋体" w:eastAsia="宋体" w:cs="宋体"/>
          <w:color w:val="auto"/>
          <w:sz w:val="21"/>
          <w:szCs w:val="21"/>
        </w:rPr>
      </w:pPr>
      <w:r>
        <w:rPr>
          <w:rFonts w:ascii="宋体" w:hAnsi="宋体" w:eastAsia="宋体" w:cs="宋体"/>
          <w:color w:val="auto"/>
          <w:spacing w:val="-1"/>
          <w:sz w:val="21"/>
          <w:szCs w:val="21"/>
        </w:rPr>
        <w:t>委托代理人（签字或者电子签名</w:t>
      </w:r>
      <w:r>
        <w:rPr>
          <w:rFonts w:ascii="宋体" w:hAnsi="宋体" w:eastAsia="宋体" w:cs="宋体"/>
          <w:color w:val="auto"/>
          <w:spacing w:val="2"/>
          <w:sz w:val="21"/>
          <w:szCs w:val="21"/>
        </w:rPr>
        <w:t>）：</w:t>
      </w:r>
      <w:r>
        <w:rPr>
          <w:rFonts w:ascii="宋体" w:hAnsi="宋体" w:eastAsia="宋体" w:cs="宋体"/>
          <w:color w:val="auto"/>
          <w:sz w:val="21"/>
          <w:szCs w:val="21"/>
          <w:u w:val="single" w:color="auto"/>
        </w:rPr>
        <w:t xml:space="preserve">               </w:t>
      </w:r>
    </w:p>
    <w:p w14:paraId="3713F5A2">
      <w:pPr>
        <w:spacing w:before="154" w:line="220" w:lineRule="auto"/>
        <w:ind w:left="8"/>
        <w:rPr>
          <w:rFonts w:ascii="宋体" w:hAnsi="宋体" w:eastAsia="宋体" w:cs="宋体"/>
          <w:color w:val="auto"/>
          <w:sz w:val="21"/>
          <w:szCs w:val="21"/>
        </w:rPr>
      </w:pPr>
      <w:r>
        <w:rPr>
          <w:rFonts w:ascii="宋体" w:hAnsi="宋体" w:eastAsia="宋体" w:cs="宋体"/>
          <w:color w:val="auto"/>
          <w:spacing w:val="-1"/>
          <w:sz w:val="21"/>
          <w:szCs w:val="21"/>
        </w:rPr>
        <w:t>委托代理人身份证号码：</w:t>
      </w:r>
      <w:r>
        <w:rPr>
          <w:rFonts w:ascii="宋体" w:hAnsi="宋体" w:eastAsia="宋体" w:cs="宋体"/>
          <w:color w:val="auto"/>
          <w:sz w:val="21"/>
          <w:szCs w:val="21"/>
          <w:u w:val="single" w:color="auto"/>
        </w:rPr>
        <w:t xml:space="preserve">                              </w:t>
      </w:r>
    </w:p>
    <w:p w14:paraId="30C0A0B6">
      <w:pPr>
        <w:spacing w:before="153" w:line="219" w:lineRule="auto"/>
        <w:ind w:left="10"/>
        <w:rPr>
          <w:rFonts w:ascii="宋体" w:hAnsi="宋体" w:eastAsia="宋体" w:cs="宋体"/>
          <w:color w:val="auto"/>
          <w:sz w:val="21"/>
          <w:szCs w:val="21"/>
        </w:rPr>
      </w:pPr>
      <w:r>
        <w:rPr>
          <w:rFonts w:ascii="宋体" w:hAnsi="宋体" w:eastAsia="宋体" w:cs="宋体"/>
          <w:color w:val="auto"/>
          <w:spacing w:val="-1"/>
          <w:sz w:val="21"/>
          <w:szCs w:val="21"/>
        </w:rPr>
        <w:t>法定代表人</w:t>
      </w:r>
      <w:r>
        <w:rPr>
          <w:rFonts w:hint="eastAsia" w:ascii="宋体" w:hAnsi="宋体" w:eastAsia="宋体" w:cs="宋体"/>
          <w:color w:val="auto"/>
          <w:spacing w:val="-1"/>
          <w:sz w:val="21"/>
          <w:szCs w:val="21"/>
          <w:lang w:eastAsia="zh-CN"/>
        </w:rPr>
        <w:t>（负责人）</w:t>
      </w:r>
      <w:r>
        <w:rPr>
          <w:rFonts w:ascii="宋体" w:hAnsi="宋体" w:eastAsia="宋体" w:cs="宋体"/>
          <w:color w:val="auto"/>
          <w:spacing w:val="-1"/>
          <w:sz w:val="21"/>
          <w:szCs w:val="21"/>
        </w:rPr>
        <w:t>（签字或者盖章或者电子签名</w:t>
      </w:r>
      <w:r>
        <w:rPr>
          <w:rFonts w:ascii="宋体" w:hAnsi="宋体" w:eastAsia="宋体" w:cs="宋体"/>
          <w:color w:val="auto"/>
          <w:spacing w:val="3"/>
          <w:sz w:val="21"/>
          <w:szCs w:val="21"/>
        </w:rPr>
        <w:t>）：</w:t>
      </w:r>
      <w:r>
        <w:rPr>
          <w:rFonts w:ascii="宋体" w:hAnsi="宋体" w:eastAsia="宋体" w:cs="宋体"/>
          <w:color w:val="auto"/>
          <w:sz w:val="21"/>
          <w:szCs w:val="21"/>
          <w:u w:val="single" w:color="auto"/>
        </w:rPr>
        <w:t xml:space="preserve">               </w:t>
      </w:r>
    </w:p>
    <w:p w14:paraId="4F1FED32">
      <w:pPr>
        <w:spacing w:line="256" w:lineRule="auto"/>
        <w:rPr>
          <w:rFonts w:ascii="Arial"/>
          <w:color w:val="auto"/>
          <w:sz w:val="21"/>
          <w:szCs w:val="21"/>
        </w:rPr>
      </w:pPr>
    </w:p>
    <w:p w14:paraId="04EE53A8">
      <w:pPr>
        <w:spacing w:line="257" w:lineRule="auto"/>
        <w:rPr>
          <w:rFonts w:ascii="Arial"/>
          <w:color w:val="auto"/>
          <w:sz w:val="21"/>
          <w:szCs w:val="21"/>
        </w:rPr>
      </w:pPr>
    </w:p>
    <w:p w14:paraId="1B4FB654">
      <w:pPr>
        <w:tabs>
          <w:tab w:val="left" w:pos="4620"/>
        </w:tabs>
        <w:spacing w:before="79" w:line="325" w:lineRule="auto"/>
        <w:rPr>
          <w:rFonts w:hint="default" w:ascii="宋体" w:hAnsi="宋体" w:eastAsia="宋体" w:cs="宋体"/>
          <w:color w:val="auto"/>
          <w:spacing w:val="1"/>
          <w:sz w:val="21"/>
          <w:szCs w:val="21"/>
          <w:u w:val="single"/>
          <w:lang w:val="en-US" w:eastAsia="zh-CN"/>
        </w:rPr>
      </w:pPr>
      <w:r>
        <w:rPr>
          <w:rFonts w:hint="eastAsia" w:ascii="宋体" w:hAnsi="宋体" w:eastAsia="宋体" w:cs="宋体"/>
          <w:color w:val="auto"/>
          <w:spacing w:val="-2"/>
          <w:sz w:val="21"/>
          <w:szCs w:val="21"/>
          <w:lang w:val="en-US" w:eastAsia="zh-CN"/>
        </w:rPr>
        <w:tab/>
      </w:r>
      <w:r>
        <w:rPr>
          <w:rFonts w:ascii="宋体" w:hAnsi="宋体" w:eastAsia="宋体" w:cs="宋体"/>
          <w:color w:val="auto"/>
          <w:spacing w:val="-2"/>
          <w:sz w:val="21"/>
          <w:szCs w:val="21"/>
        </w:rPr>
        <w:t>投标人名称（电子签章</w:t>
      </w:r>
      <w:r>
        <w:rPr>
          <w:rFonts w:ascii="宋体" w:hAnsi="宋体" w:eastAsia="宋体" w:cs="宋体"/>
          <w:color w:val="auto"/>
          <w:spacing w:val="-32"/>
          <w:sz w:val="21"/>
          <w:szCs w:val="21"/>
        </w:rPr>
        <w:t>）：</w:t>
      </w:r>
      <w:r>
        <w:rPr>
          <w:rFonts w:ascii="宋体" w:hAnsi="宋体" w:eastAsia="宋体" w:cs="宋体"/>
          <w:color w:val="auto"/>
          <w:spacing w:val="1"/>
          <w:sz w:val="21"/>
          <w:szCs w:val="21"/>
          <w:u w:val="single"/>
        </w:rPr>
        <w:t xml:space="preserve"> </w:t>
      </w:r>
      <w:r>
        <w:rPr>
          <w:rFonts w:hint="eastAsia" w:ascii="宋体" w:hAnsi="宋体" w:eastAsia="宋体" w:cs="宋体"/>
          <w:color w:val="auto"/>
          <w:spacing w:val="1"/>
          <w:sz w:val="21"/>
          <w:szCs w:val="21"/>
          <w:u w:val="single"/>
          <w:lang w:val="en-US" w:eastAsia="zh-CN"/>
        </w:rPr>
        <w:t xml:space="preserve">                 </w:t>
      </w:r>
    </w:p>
    <w:p w14:paraId="5B8F6893">
      <w:pPr>
        <w:spacing w:before="79" w:line="325" w:lineRule="auto"/>
        <w:ind w:left="6182" w:hanging="409"/>
        <w:rPr>
          <w:rFonts w:ascii="宋体" w:hAnsi="宋体" w:eastAsia="宋体" w:cs="宋体"/>
          <w:color w:val="auto"/>
          <w:sz w:val="21"/>
          <w:szCs w:val="21"/>
        </w:rPr>
      </w:pPr>
      <w:r>
        <w:rPr>
          <w:rFonts w:hint="eastAsia" w:ascii="宋体" w:hAnsi="宋体" w:eastAsia="宋体" w:cs="宋体"/>
          <w:color w:val="auto"/>
          <w:spacing w:val="1"/>
          <w:sz w:val="21"/>
          <w:szCs w:val="21"/>
          <w:lang w:eastAsia="zh-CN"/>
        </w:rPr>
        <w:t>日期：</w:t>
      </w:r>
      <w:r>
        <w:rPr>
          <w:rFonts w:ascii="宋体" w:hAnsi="宋体" w:eastAsia="宋体" w:cs="宋体"/>
          <w:color w:val="auto"/>
          <w:spacing w:val="-9"/>
          <w:sz w:val="21"/>
          <w:szCs w:val="21"/>
        </w:rPr>
        <w:t>年</w:t>
      </w:r>
      <w:r>
        <w:rPr>
          <w:rFonts w:ascii="宋体" w:hAnsi="宋体" w:eastAsia="宋体" w:cs="宋体"/>
          <w:color w:val="auto"/>
          <w:spacing w:val="3"/>
          <w:sz w:val="21"/>
          <w:szCs w:val="21"/>
        </w:rPr>
        <w:t xml:space="preserve">    </w:t>
      </w:r>
      <w:r>
        <w:rPr>
          <w:rFonts w:ascii="宋体" w:hAnsi="宋体" w:eastAsia="宋体" w:cs="宋体"/>
          <w:color w:val="auto"/>
          <w:spacing w:val="-9"/>
          <w:sz w:val="21"/>
          <w:szCs w:val="21"/>
        </w:rPr>
        <w:t>月</w:t>
      </w:r>
      <w:r>
        <w:rPr>
          <w:rFonts w:ascii="宋体" w:hAnsi="宋体" w:eastAsia="宋体" w:cs="宋体"/>
          <w:color w:val="auto"/>
          <w:spacing w:val="13"/>
          <w:sz w:val="21"/>
          <w:szCs w:val="21"/>
        </w:rPr>
        <w:t xml:space="preserve">    </w:t>
      </w:r>
      <w:r>
        <w:rPr>
          <w:rFonts w:ascii="宋体" w:hAnsi="宋体" w:eastAsia="宋体" w:cs="宋体"/>
          <w:color w:val="auto"/>
          <w:spacing w:val="-9"/>
          <w:sz w:val="21"/>
          <w:szCs w:val="21"/>
        </w:rPr>
        <w:t>日</w:t>
      </w:r>
    </w:p>
    <w:p w14:paraId="65CF44F1">
      <w:pPr>
        <w:spacing w:before="38" w:line="324" w:lineRule="auto"/>
        <w:ind w:left="12" w:right="78" w:hanging="3"/>
        <w:rPr>
          <w:rFonts w:ascii="宋体" w:hAnsi="宋体" w:eastAsia="宋体" w:cs="宋体"/>
          <w:color w:val="auto"/>
          <w:spacing w:val="2"/>
          <w:sz w:val="21"/>
          <w:szCs w:val="21"/>
        </w:rPr>
      </w:pPr>
      <w:r>
        <w:rPr>
          <w:rFonts w:ascii="宋体" w:hAnsi="宋体" w:eastAsia="宋体" w:cs="宋体"/>
          <w:color w:val="auto"/>
          <w:spacing w:val="2"/>
          <w:sz w:val="21"/>
          <w:szCs w:val="21"/>
        </w:rPr>
        <w:t>注：</w:t>
      </w:r>
    </w:p>
    <w:p w14:paraId="43EEEFD3">
      <w:pPr>
        <w:spacing w:before="38" w:line="324" w:lineRule="auto"/>
        <w:ind w:left="12" w:right="78" w:hanging="3"/>
        <w:rPr>
          <w:rFonts w:ascii="宋体" w:hAnsi="宋体" w:eastAsia="宋体" w:cs="宋体"/>
          <w:color w:val="auto"/>
          <w:sz w:val="21"/>
          <w:szCs w:val="21"/>
        </w:rPr>
      </w:pPr>
      <w:r>
        <w:rPr>
          <w:rFonts w:ascii="宋体" w:hAnsi="宋体" w:eastAsia="宋体" w:cs="宋体"/>
          <w:color w:val="auto"/>
          <w:spacing w:val="2"/>
          <w:sz w:val="21"/>
          <w:szCs w:val="21"/>
        </w:rPr>
        <w:t>1.法定代表人</w:t>
      </w:r>
      <w:r>
        <w:rPr>
          <w:rFonts w:hint="eastAsia" w:ascii="宋体" w:hAnsi="宋体" w:eastAsia="宋体" w:cs="宋体"/>
          <w:color w:val="auto"/>
          <w:spacing w:val="2"/>
          <w:sz w:val="21"/>
          <w:szCs w:val="21"/>
          <w:lang w:eastAsia="zh-CN"/>
        </w:rPr>
        <w:t>（负责人）</w:t>
      </w:r>
      <w:r>
        <w:rPr>
          <w:rFonts w:ascii="宋体" w:hAnsi="宋体" w:eastAsia="宋体" w:cs="宋体"/>
          <w:color w:val="auto"/>
          <w:spacing w:val="2"/>
          <w:sz w:val="21"/>
          <w:szCs w:val="21"/>
        </w:rPr>
        <w:t>必须在授权委托书上签字或者盖章或者电子签名，委托代理人</w:t>
      </w:r>
      <w:r>
        <w:rPr>
          <w:rFonts w:ascii="宋体" w:hAnsi="宋体" w:eastAsia="宋体" w:cs="宋体"/>
          <w:color w:val="auto"/>
          <w:spacing w:val="-1"/>
          <w:sz w:val="21"/>
          <w:szCs w:val="21"/>
        </w:rPr>
        <w:t>必须在授权委托书上签字或者电子签名，</w:t>
      </w:r>
      <w:r>
        <w:rPr>
          <w:rFonts w:ascii="宋体" w:hAnsi="宋体" w:eastAsia="宋体" w:cs="宋体"/>
          <w:b/>
          <w:bCs/>
          <w:color w:val="auto"/>
          <w:spacing w:val="-1"/>
          <w:sz w:val="21"/>
          <w:szCs w:val="21"/>
        </w:rPr>
        <w:t>否则按无效投标处理</w:t>
      </w:r>
      <w:r>
        <w:rPr>
          <w:rFonts w:ascii="宋体" w:hAnsi="宋体" w:eastAsia="宋体" w:cs="宋体"/>
          <w:color w:val="auto"/>
          <w:spacing w:val="-1"/>
          <w:sz w:val="21"/>
          <w:szCs w:val="21"/>
        </w:rPr>
        <w:t>；</w:t>
      </w:r>
    </w:p>
    <w:p w14:paraId="074E575E">
      <w:pPr>
        <w:spacing w:before="36" w:line="326" w:lineRule="auto"/>
        <w:ind w:right="49"/>
        <w:rPr>
          <w:rFonts w:ascii="宋体" w:hAnsi="宋体" w:eastAsia="宋体" w:cs="宋体"/>
          <w:color w:val="auto"/>
          <w:sz w:val="21"/>
          <w:szCs w:val="21"/>
        </w:rPr>
      </w:pPr>
      <w:r>
        <w:rPr>
          <w:rFonts w:ascii="宋体" w:hAnsi="宋体" w:eastAsia="宋体" w:cs="宋体"/>
          <w:color w:val="auto"/>
          <w:spacing w:val="3"/>
          <w:sz w:val="21"/>
          <w:szCs w:val="21"/>
        </w:rPr>
        <w:t>2.法人、其他组织投标时“我方”是指“我单位”，自然人投标时“我方”</w:t>
      </w:r>
      <w:r>
        <w:rPr>
          <w:rFonts w:ascii="宋体" w:hAnsi="宋体" w:eastAsia="宋体" w:cs="宋体"/>
          <w:color w:val="auto"/>
          <w:spacing w:val="-6"/>
          <w:sz w:val="21"/>
          <w:szCs w:val="21"/>
        </w:rPr>
        <w:t>是指“本人”。</w:t>
      </w:r>
    </w:p>
    <w:p w14:paraId="4E9C3B1E">
      <w:pPr>
        <w:spacing w:line="326" w:lineRule="auto"/>
        <w:rPr>
          <w:rFonts w:ascii="宋体" w:hAnsi="宋体" w:eastAsia="宋体" w:cs="宋体"/>
          <w:color w:val="auto"/>
          <w:sz w:val="21"/>
          <w:szCs w:val="21"/>
        </w:rPr>
        <w:sectPr>
          <w:footerReference r:id="rId30" w:type="default"/>
          <w:pgSz w:w="11905" w:h="16838"/>
          <w:pgMar w:top="1417" w:right="1417" w:bottom="1417" w:left="1417" w:header="0" w:footer="1196" w:gutter="0"/>
          <w:pgNumType w:fmt="decimal"/>
          <w:cols w:space="0" w:num="1"/>
          <w:rtlGutter w:val="0"/>
          <w:docGrid w:linePitch="0" w:charSpace="0"/>
        </w:sectPr>
      </w:pPr>
    </w:p>
    <w:p w14:paraId="2449ED41">
      <w:pPr>
        <w:spacing w:before="185" w:line="197" w:lineRule="auto"/>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pacing w:val="8"/>
          <w:sz w:val="28"/>
          <w:szCs w:val="28"/>
        </w:rPr>
        <w:t>授权委托书</w:t>
      </w:r>
      <w:r>
        <w:rPr>
          <w:rFonts w:hint="eastAsia" w:asciiTheme="minorEastAsia" w:hAnsiTheme="minorEastAsia" w:eastAsiaTheme="minorEastAsia" w:cstheme="minorEastAsia"/>
          <w:b/>
          <w:bCs/>
          <w:color w:val="auto"/>
          <w:spacing w:val="3"/>
          <w:sz w:val="28"/>
          <w:szCs w:val="28"/>
        </w:rPr>
        <w:t>（联合体投标格式）</w:t>
      </w:r>
    </w:p>
    <w:p w14:paraId="5DE2A522">
      <w:pPr>
        <w:spacing w:before="156" w:line="226" w:lineRule="auto"/>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b/>
          <w:bCs/>
          <w:color w:val="auto"/>
          <w:sz w:val="28"/>
          <w:szCs w:val="28"/>
        </w:rPr>
        <w:t>（如有委托时）</w:t>
      </w:r>
    </w:p>
    <w:p w14:paraId="43824E2D">
      <w:pPr>
        <w:spacing w:before="75" w:line="219" w:lineRule="auto"/>
        <w:rPr>
          <w:rFonts w:ascii="宋体" w:hAnsi="宋体" w:eastAsia="宋体" w:cs="宋体"/>
          <w:color w:val="auto"/>
          <w:sz w:val="21"/>
          <w:szCs w:val="21"/>
        </w:rPr>
      </w:pPr>
      <w:r>
        <w:rPr>
          <w:rFonts w:ascii="宋体" w:hAnsi="宋体" w:eastAsia="宋体" w:cs="宋体"/>
          <w:color w:val="auto"/>
          <w:spacing w:val="-2"/>
          <w:sz w:val="21"/>
          <w:szCs w:val="21"/>
        </w:rPr>
        <w:t>致：</w:t>
      </w:r>
      <w:r>
        <w:rPr>
          <w:rFonts w:ascii="宋体" w:hAnsi="宋体" w:eastAsia="宋体" w:cs="宋体"/>
          <w:color w:val="auto"/>
          <w:spacing w:val="-2"/>
          <w:sz w:val="21"/>
          <w:szCs w:val="21"/>
          <w:u w:val="single" w:color="auto"/>
        </w:rPr>
        <w:t>采购人名称</w:t>
      </w:r>
      <w:r>
        <w:rPr>
          <w:rFonts w:ascii="宋体" w:hAnsi="宋体" w:eastAsia="宋体" w:cs="宋体"/>
          <w:color w:val="auto"/>
          <w:spacing w:val="-2"/>
          <w:sz w:val="21"/>
          <w:szCs w:val="21"/>
        </w:rPr>
        <w:t>：</w:t>
      </w:r>
    </w:p>
    <w:p w14:paraId="069E423F">
      <w:pPr>
        <w:spacing w:before="179" w:line="353" w:lineRule="auto"/>
        <w:ind w:right="17" w:firstLine="567"/>
        <w:jc w:val="both"/>
        <w:rPr>
          <w:rFonts w:ascii="宋体" w:hAnsi="宋体" w:eastAsia="宋体" w:cs="宋体"/>
          <w:color w:val="auto"/>
          <w:sz w:val="21"/>
          <w:szCs w:val="21"/>
        </w:rPr>
      </w:pPr>
      <w:r>
        <w:rPr>
          <w:rFonts w:ascii="宋体" w:hAnsi="宋体" w:eastAsia="宋体" w:cs="宋体"/>
          <w:color w:val="auto"/>
          <w:sz w:val="21"/>
          <w:szCs w:val="21"/>
        </w:rPr>
        <w:t xml:space="preserve">根据 </w:t>
      </w:r>
      <w:r>
        <w:rPr>
          <w:rFonts w:ascii="宋体" w:hAnsi="宋体" w:eastAsia="宋体" w:cs="宋体"/>
          <w:color w:val="auto"/>
          <w:sz w:val="21"/>
          <w:szCs w:val="21"/>
          <w:u w:val="single" w:color="auto"/>
        </w:rPr>
        <w:t xml:space="preserve"> （牵头人名称）</w:t>
      </w:r>
      <w:r>
        <w:rPr>
          <w:rFonts w:ascii="宋体" w:hAnsi="宋体" w:eastAsia="宋体" w:cs="宋体"/>
          <w:color w:val="auto"/>
          <w:sz w:val="21"/>
          <w:szCs w:val="21"/>
        </w:rPr>
        <w:t>与</w:t>
      </w:r>
      <w:r>
        <w:rPr>
          <w:rFonts w:ascii="宋体" w:hAnsi="宋体" w:eastAsia="宋体" w:cs="宋体"/>
          <w:color w:val="auto"/>
          <w:sz w:val="21"/>
          <w:szCs w:val="21"/>
          <w:u w:val="single" w:color="auto"/>
        </w:rPr>
        <w:t>（联合体其他成员名称）</w:t>
      </w:r>
      <w:r>
        <w:rPr>
          <w:rFonts w:ascii="宋体" w:hAnsi="宋体" w:eastAsia="宋体" w:cs="宋体"/>
          <w:color w:val="auto"/>
          <w:sz w:val="21"/>
          <w:szCs w:val="21"/>
        </w:rPr>
        <w:t>签订的《联合体投标协议</w:t>
      </w:r>
      <w:r>
        <w:rPr>
          <w:rFonts w:ascii="宋体" w:hAnsi="宋体" w:eastAsia="宋体" w:cs="宋体"/>
          <w:color w:val="auto"/>
          <w:spacing w:val="-9"/>
          <w:sz w:val="21"/>
          <w:szCs w:val="21"/>
        </w:rPr>
        <w:t>书》的内容</w:t>
      </w:r>
      <w:r>
        <w:rPr>
          <w:rFonts w:ascii="宋体" w:hAnsi="宋体" w:eastAsia="宋体" w:cs="宋体"/>
          <w:color w:val="auto"/>
          <w:spacing w:val="4"/>
          <w:sz w:val="21"/>
          <w:szCs w:val="21"/>
        </w:rPr>
        <w:t>，</w:t>
      </w:r>
      <w:r>
        <w:rPr>
          <w:rFonts w:ascii="宋体" w:hAnsi="宋体" w:eastAsia="宋体" w:cs="宋体"/>
          <w:color w:val="auto"/>
          <w:spacing w:val="4"/>
          <w:sz w:val="21"/>
          <w:szCs w:val="21"/>
          <w:u w:val="single" w:color="auto"/>
        </w:rPr>
        <w:t>（</w:t>
      </w:r>
      <w:r>
        <w:rPr>
          <w:rFonts w:ascii="宋体" w:hAnsi="宋体" w:eastAsia="宋体" w:cs="宋体"/>
          <w:color w:val="auto"/>
          <w:spacing w:val="-9"/>
          <w:sz w:val="21"/>
          <w:szCs w:val="21"/>
          <w:u w:val="single" w:color="auto"/>
        </w:rPr>
        <w:t>牵头人名称）</w:t>
      </w:r>
      <w:r>
        <w:rPr>
          <w:rFonts w:ascii="宋体" w:hAnsi="宋体" w:eastAsia="宋体" w:cs="宋体"/>
          <w:color w:val="auto"/>
          <w:spacing w:val="-9"/>
          <w:sz w:val="21"/>
          <w:szCs w:val="21"/>
        </w:rPr>
        <w:t>的法定代表人</w:t>
      </w:r>
      <w:r>
        <w:rPr>
          <w:rFonts w:hint="eastAsia" w:ascii="宋体" w:hAnsi="宋体" w:eastAsia="宋体" w:cs="宋体"/>
          <w:color w:val="auto"/>
          <w:spacing w:val="-9"/>
          <w:sz w:val="21"/>
          <w:szCs w:val="21"/>
          <w:lang w:eastAsia="zh-CN"/>
        </w:rPr>
        <w:t>（负责人）</w:t>
      </w:r>
      <w:r>
        <w:rPr>
          <w:rFonts w:ascii="宋体" w:hAnsi="宋体" w:eastAsia="宋体" w:cs="宋体"/>
          <w:color w:val="auto"/>
          <w:spacing w:val="-9"/>
          <w:sz w:val="21"/>
          <w:szCs w:val="21"/>
          <w:u w:val="single" w:color="auto"/>
        </w:rPr>
        <w:t>（姓名</w:t>
      </w:r>
      <w:r>
        <w:rPr>
          <w:rFonts w:ascii="宋体" w:hAnsi="宋体" w:eastAsia="宋体" w:cs="宋体"/>
          <w:color w:val="auto"/>
          <w:spacing w:val="-10"/>
          <w:sz w:val="21"/>
          <w:szCs w:val="21"/>
          <w:u w:val="single" w:color="auto"/>
        </w:rPr>
        <w:t>）</w:t>
      </w:r>
      <w:r>
        <w:rPr>
          <w:rFonts w:ascii="宋体" w:hAnsi="宋体" w:eastAsia="宋体" w:cs="宋体"/>
          <w:color w:val="auto"/>
          <w:spacing w:val="-10"/>
          <w:sz w:val="21"/>
          <w:szCs w:val="21"/>
        </w:rPr>
        <w:t>现授权委托</w:t>
      </w:r>
      <w:r>
        <w:rPr>
          <w:rFonts w:ascii="宋体" w:hAnsi="宋体" w:eastAsia="宋体" w:cs="宋体"/>
          <w:color w:val="auto"/>
          <w:spacing w:val="-10"/>
          <w:sz w:val="21"/>
          <w:szCs w:val="21"/>
          <w:u w:val="single" w:color="auto"/>
        </w:rPr>
        <w:t xml:space="preserve">      （姓</w:t>
      </w:r>
      <w:r>
        <w:rPr>
          <w:rFonts w:ascii="宋体" w:hAnsi="宋体" w:eastAsia="宋体" w:cs="宋体"/>
          <w:color w:val="auto"/>
          <w:spacing w:val="1"/>
          <w:sz w:val="21"/>
          <w:szCs w:val="21"/>
          <w:u w:val="single" w:color="auto"/>
        </w:rPr>
        <w:t>名）</w:t>
      </w:r>
      <w:r>
        <w:rPr>
          <w:rFonts w:ascii="宋体" w:hAnsi="宋体" w:eastAsia="宋体" w:cs="宋体"/>
          <w:color w:val="auto"/>
          <w:spacing w:val="1"/>
          <w:sz w:val="21"/>
          <w:szCs w:val="21"/>
        </w:rPr>
        <w:t>以我方的名义参加</w:t>
      </w:r>
      <w:r>
        <w:rPr>
          <w:rFonts w:hint="eastAsia" w:ascii="宋体" w:hAnsi="宋体" w:eastAsia="宋体" w:cs="宋体"/>
          <w:color w:val="auto"/>
          <w:spacing w:val="1"/>
          <w:sz w:val="21"/>
          <w:szCs w:val="21"/>
          <w:u w:val="none"/>
          <w:lang w:val="en-US" w:eastAsia="zh-CN"/>
        </w:rPr>
        <w:t xml:space="preserve">  </w:t>
      </w:r>
      <w:r>
        <w:rPr>
          <w:rFonts w:hint="eastAsia" w:ascii="宋体" w:hAnsi="宋体" w:eastAsia="宋体" w:cs="宋体"/>
          <w:color w:val="auto"/>
          <w:spacing w:val="1"/>
          <w:sz w:val="21"/>
          <w:szCs w:val="21"/>
          <w:u w:val="single"/>
          <w:lang w:val="en-US" w:eastAsia="zh-CN"/>
        </w:rPr>
        <w:t xml:space="preserve">   </w:t>
      </w:r>
      <w:r>
        <w:rPr>
          <w:rFonts w:ascii="宋体" w:hAnsi="宋体" w:eastAsia="宋体" w:cs="宋体"/>
          <w:color w:val="auto"/>
          <w:spacing w:val="-100"/>
          <w:sz w:val="21"/>
          <w:szCs w:val="21"/>
          <w:u w:val="single"/>
        </w:rPr>
        <w:t xml:space="preserve"> </w:t>
      </w:r>
      <w:r>
        <w:rPr>
          <w:rFonts w:ascii="宋体" w:hAnsi="宋体" w:eastAsia="宋体" w:cs="宋体"/>
          <w:color w:val="auto"/>
          <w:spacing w:val="1"/>
          <w:sz w:val="21"/>
          <w:szCs w:val="21"/>
        </w:rPr>
        <w:t>项目的投标活动，并代表我方全权办理针</w:t>
      </w:r>
      <w:r>
        <w:rPr>
          <w:rFonts w:ascii="宋体" w:hAnsi="宋体" w:eastAsia="宋体" w:cs="宋体"/>
          <w:color w:val="auto"/>
          <w:spacing w:val="-2"/>
          <w:sz w:val="21"/>
          <w:szCs w:val="21"/>
        </w:rPr>
        <w:t>对上述项目的所有采购程序和环节的具体事务和签署相关文件。</w:t>
      </w:r>
    </w:p>
    <w:p w14:paraId="58EC5CF9">
      <w:pPr>
        <w:spacing w:before="146" w:line="220" w:lineRule="auto"/>
        <w:ind w:left="569"/>
        <w:rPr>
          <w:rFonts w:ascii="宋体" w:hAnsi="宋体" w:eastAsia="宋体" w:cs="宋体"/>
          <w:color w:val="auto"/>
          <w:sz w:val="21"/>
          <w:szCs w:val="21"/>
        </w:rPr>
      </w:pPr>
      <w:r>
        <w:rPr>
          <w:rFonts w:ascii="宋体" w:hAnsi="宋体" w:eastAsia="宋体" w:cs="宋体"/>
          <w:color w:val="auto"/>
          <w:spacing w:val="-2"/>
          <w:sz w:val="21"/>
          <w:szCs w:val="21"/>
        </w:rPr>
        <w:t>我方对委托代理人的签字或者电子签名事项负全部责任。</w:t>
      </w:r>
    </w:p>
    <w:p w14:paraId="594FE97F">
      <w:pPr>
        <w:spacing w:before="154" w:line="324" w:lineRule="auto"/>
        <w:ind w:left="6" w:right="19" w:firstLine="561"/>
        <w:rPr>
          <w:rFonts w:ascii="宋体" w:hAnsi="宋体" w:eastAsia="宋体" w:cs="宋体"/>
          <w:color w:val="auto"/>
          <w:sz w:val="21"/>
          <w:szCs w:val="21"/>
        </w:rPr>
      </w:pPr>
      <w:r>
        <w:rPr>
          <w:rFonts w:ascii="宋体" w:hAnsi="宋体" w:eastAsia="宋体" w:cs="宋体"/>
          <w:color w:val="auto"/>
          <w:sz w:val="21"/>
          <w:szCs w:val="21"/>
        </w:rPr>
        <w:t>本授权书自签署之日起生效，在撤销授权的书面通知以前，本授权书一直有</w:t>
      </w:r>
      <w:r>
        <w:rPr>
          <w:rFonts w:ascii="宋体" w:hAnsi="宋体" w:eastAsia="宋体" w:cs="宋体"/>
          <w:color w:val="auto"/>
          <w:spacing w:val="-2"/>
          <w:sz w:val="21"/>
          <w:szCs w:val="21"/>
        </w:rPr>
        <w:t>效。委托代理人在授权书有效期内签署的所有文件不因授权的撤销而失效。</w:t>
      </w:r>
    </w:p>
    <w:p w14:paraId="7EA3242F">
      <w:pPr>
        <w:spacing w:before="37" w:line="220" w:lineRule="auto"/>
        <w:ind w:left="566"/>
        <w:rPr>
          <w:rFonts w:ascii="宋体" w:hAnsi="宋体" w:eastAsia="宋体" w:cs="宋体"/>
          <w:color w:val="auto"/>
          <w:sz w:val="21"/>
          <w:szCs w:val="21"/>
        </w:rPr>
      </w:pPr>
      <w:r>
        <w:rPr>
          <w:rFonts w:ascii="宋体" w:hAnsi="宋体" w:eastAsia="宋体" w:cs="宋体"/>
          <w:color w:val="auto"/>
          <w:spacing w:val="-3"/>
          <w:sz w:val="21"/>
          <w:szCs w:val="21"/>
        </w:rPr>
        <w:t>委托代理人无转委托权，特此委托。</w:t>
      </w:r>
    </w:p>
    <w:p w14:paraId="0B801537">
      <w:pPr>
        <w:spacing w:before="154" w:line="219" w:lineRule="auto"/>
        <w:ind w:left="586"/>
        <w:rPr>
          <w:rFonts w:ascii="宋体" w:hAnsi="宋体" w:eastAsia="宋体" w:cs="宋体"/>
          <w:color w:val="auto"/>
          <w:sz w:val="21"/>
          <w:szCs w:val="21"/>
        </w:rPr>
      </w:pPr>
      <w:r>
        <w:rPr>
          <w:rFonts w:ascii="宋体" w:hAnsi="宋体" w:eastAsia="宋体" w:cs="宋体"/>
          <w:color w:val="auto"/>
          <w:spacing w:val="-1"/>
          <w:sz w:val="21"/>
          <w:szCs w:val="21"/>
        </w:rPr>
        <w:t>附：牵头人法定代表人</w:t>
      </w:r>
      <w:r>
        <w:rPr>
          <w:rFonts w:hint="eastAsia" w:ascii="宋体" w:hAnsi="宋体" w:eastAsia="宋体" w:cs="宋体"/>
          <w:color w:val="auto"/>
          <w:spacing w:val="-1"/>
          <w:sz w:val="21"/>
          <w:szCs w:val="21"/>
          <w:lang w:eastAsia="zh-CN"/>
        </w:rPr>
        <w:t>（负责人）</w:t>
      </w:r>
      <w:r>
        <w:rPr>
          <w:rFonts w:ascii="宋体" w:hAnsi="宋体" w:eastAsia="宋体" w:cs="宋体"/>
          <w:color w:val="auto"/>
          <w:spacing w:val="-1"/>
          <w:sz w:val="21"/>
          <w:szCs w:val="21"/>
        </w:rPr>
        <w:t>身份证明及委托代理人有效身份证正反面复印件</w:t>
      </w:r>
    </w:p>
    <w:p w14:paraId="1422CE11">
      <w:pPr>
        <w:spacing w:line="258" w:lineRule="auto"/>
        <w:rPr>
          <w:rFonts w:ascii="Arial"/>
          <w:color w:val="auto"/>
          <w:sz w:val="21"/>
          <w:szCs w:val="21"/>
        </w:rPr>
      </w:pPr>
    </w:p>
    <w:p w14:paraId="369399D4">
      <w:pPr>
        <w:spacing w:line="258" w:lineRule="auto"/>
        <w:rPr>
          <w:rFonts w:ascii="Arial"/>
          <w:color w:val="auto"/>
          <w:sz w:val="21"/>
          <w:szCs w:val="21"/>
        </w:rPr>
      </w:pPr>
    </w:p>
    <w:p w14:paraId="3D0331B0">
      <w:pPr>
        <w:spacing w:before="78" w:line="324" w:lineRule="auto"/>
        <w:ind w:left="569" w:right="2489"/>
        <w:rPr>
          <w:rFonts w:ascii="宋体" w:hAnsi="宋体" w:eastAsia="宋体" w:cs="宋体"/>
          <w:color w:val="auto"/>
          <w:spacing w:val="1"/>
          <w:sz w:val="21"/>
          <w:szCs w:val="21"/>
        </w:rPr>
      </w:pPr>
      <w:r>
        <w:rPr>
          <w:rFonts w:ascii="宋体" w:hAnsi="宋体" w:eastAsia="宋体" w:cs="宋体"/>
          <w:color w:val="auto"/>
          <w:spacing w:val="-3"/>
          <w:sz w:val="21"/>
          <w:szCs w:val="21"/>
        </w:rPr>
        <w:t>牵头人法定代表人</w:t>
      </w:r>
      <w:r>
        <w:rPr>
          <w:rFonts w:hint="eastAsia" w:ascii="宋体" w:hAnsi="宋体" w:eastAsia="宋体" w:cs="宋体"/>
          <w:color w:val="auto"/>
          <w:spacing w:val="-3"/>
          <w:sz w:val="21"/>
          <w:szCs w:val="21"/>
          <w:lang w:eastAsia="zh-CN"/>
        </w:rPr>
        <w:t>（负责人）</w:t>
      </w:r>
      <w:r>
        <w:rPr>
          <w:rFonts w:ascii="宋体" w:hAnsi="宋体" w:eastAsia="宋体" w:cs="宋体"/>
          <w:color w:val="auto"/>
          <w:spacing w:val="-3"/>
          <w:sz w:val="21"/>
          <w:szCs w:val="21"/>
        </w:rPr>
        <w:t>（签字或者盖章或者电子签名）：</w:t>
      </w:r>
      <w:r>
        <w:rPr>
          <w:rFonts w:ascii="宋体" w:hAnsi="宋体" w:eastAsia="宋体" w:cs="宋体"/>
          <w:color w:val="auto"/>
          <w:spacing w:val="1"/>
          <w:sz w:val="21"/>
          <w:szCs w:val="21"/>
        </w:rPr>
        <w:t xml:space="preserve"> </w:t>
      </w:r>
    </w:p>
    <w:p w14:paraId="67D40B2E">
      <w:pPr>
        <w:spacing w:before="78" w:line="324" w:lineRule="auto"/>
        <w:ind w:left="569" w:right="2489"/>
        <w:rPr>
          <w:rFonts w:ascii="宋体" w:hAnsi="宋体" w:eastAsia="宋体" w:cs="宋体"/>
          <w:color w:val="auto"/>
          <w:sz w:val="21"/>
          <w:szCs w:val="21"/>
        </w:rPr>
      </w:pPr>
      <w:r>
        <w:rPr>
          <w:rFonts w:ascii="宋体" w:hAnsi="宋体" w:eastAsia="宋体" w:cs="宋体"/>
          <w:color w:val="auto"/>
          <w:spacing w:val="-7"/>
          <w:sz w:val="21"/>
          <w:szCs w:val="21"/>
        </w:rPr>
        <w:t>牵头人（电子签章</w:t>
      </w:r>
      <w:r>
        <w:rPr>
          <w:rFonts w:ascii="宋体" w:hAnsi="宋体" w:eastAsia="宋体" w:cs="宋体"/>
          <w:color w:val="auto"/>
          <w:spacing w:val="-3"/>
          <w:sz w:val="21"/>
          <w:szCs w:val="21"/>
        </w:rPr>
        <w:t>）：</w:t>
      </w:r>
    </w:p>
    <w:p w14:paraId="42692F09">
      <w:pPr>
        <w:spacing w:before="35" w:line="220" w:lineRule="auto"/>
        <w:ind w:left="608"/>
        <w:rPr>
          <w:rFonts w:ascii="宋体" w:hAnsi="宋体" w:eastAsia="宋体" w:cs="宋体"/>
          <w:color w:val="auto"/>
          <w:sz w:val="21"/>
          <w:szCs w:val="21"/>
        </w:rPr>
      </w:pPr>
      <w:r>
        <w:rPr>
          <w:rFonts w:ascii="宋体" w:hAnsi="宋体" w:eastAsia="宋体" w:cs="宋体"/>
          <w:color w:val="auto"/>
          <w:spacing w:val="-13"/>
          <w:sz w:val="21"/>
          <w:szCs w:val="21"/>
        </w:rPr>
        <w:t>日期：</w:t>
      </w:r>
      <w:r>
        <w:rPr>
          <w:rFonts w:ascii="宋体" w:hAnsi="宋体" w:eastAsia="宋体" w:cs="宋体"/>
          <w:color w:val="auto"/>
          <w:spacing w:val="2"/>
          <w:sz w:val="21"/>
          <w:szCs w:val="21"/>
        </w:rPr>
        <w:t xml:space="preserve">    </w:t>
      </w:r>
      <w:r>
        <w:rPr>
          <w:rFonts w:ascii="宋体" w:hAnsi="宋体" w:eastAsia="宋体" w:cs="宋体"/>
          <w:color w:val="auto"/>
          <w:spacing w:val="-13"/>
          <w:sz w:val="21"/>
          <w:szCs w:val="21"/>
        </w:rPr>
        <w:t>年</w:t>
      </w:r>
      <w:r>
        <w:rPr>
          <w:rFonts w:ascii="宋体" w:hAnsi="宋体" w:eastAsia="宋体" w:cs="宋体"/>
          <w:color w:val="auto"/>
          <w:spacing w:val="6"/>
          <w:sz w:val="21"/>
          <w:szCs w:val="21"/>
        </w:rPr>
        <w:t xml:space="preserve">   </w:t>
      </w:r>
      <w:r>
        <w:rPr>
          <w:rFonts w:ascii="宋体" w:hAnsi="宋体" w:eastAsia="宋体" w:cs="宋体"/>
          <w:color w:val="auto"/>
          <w:spacing w:val="-13"/>
          <w:sz w:val="21"/>
          <w:szCs w:val="21"/>
        </w:rPr>
        <w:t>月</w:t>
      </w:r>
      <w:r>
        <w:rPr>
          <w:rFonts w:ascii="宋体" w:hAnsi="宋体" w:eastAsia="宋体" w:cs="宋体"/>
          <w:color w:val="auto"/>
          <w:spacing w:val="17"/>
          <w:sz w:val="21"/>
          <w:szCs w:val="21"/>
        </w:rPr>
        <w:t xml:space="preserve">   </w:t>
      </w:r>
      <w:r>
        <w:rPr>
          <w:rFonts w:ascii="宋体" w:hAnsi="宋体" w:eastAsia="宋体" w:cs="宋体"/>
          <w:color w:val="auto"/>
          <w:spacing w:val="-13"/>
          <w:sz w:val="21"/>
          <w:szCs w:val="21"/>
        </w:rPr>
        <w:t>日</w:t>
      </w:r>
    </w:p>
    <w:p w14:paraId="44CB4A08">
      <w:pPr>
        <w:spacing w:line="256" w:lineRule="auto"/>
        <w:rPr>
          <w:rFonts w:ascii="Arial"/>
          <w:color w:val="auto"/>
          <w:sz w:val="21"/>
          <w:szCs w:val="21"/>
        </w:rPr>
      </w:pPr>
    </w:p>
    <w:p w14:paraId="00F9B428">
      <w:pPr>
        <w:spacing w:line="257" w:lineRule="auto"/>
        <w:rPr>
          <w:rFonts w:ascii="Arial"/>
          <w:color w:val="auto"/>
          <w:sz w:val="21"/>
          <w:szCs w:val="21"/>
        </w:rPr>
      </w:pPr>
    </w:p>
    <w:p w14:paraId="6DFFC5E6">
      <w:pPr>
        <w:spacing w:before="78" w:line="325" w:lineRule="auto"/>
        <w:ind w:left="608" w:right="4409" w:hanging="41"/>
        <w:rPr>
          <w:rFonts w:ascii="宋体" w:hAnsi="宋体" w:eastAsia="宋体" w:cs="宋体"/>
          <w:color w:val="auto"/>
          <w:sz w:val="21"/>
          <w:szCs w:val="21"/>
        </w:rPr>
      </w:pPr>
      <w:r>
        <w:rPr>
          <w:rFonts w:ascii="宋体" w:hAnsi="宋体" w:eastAsia="宋体" w:cs="宋体"/>
          <w:color w:val="auto"/>
          <w:spacing w:val="-3"/>
          <w:sz w:val="21"/>
          <w:szCs w:val="21"/>
        </w:rPr>
        <w:t>被授权人（签字或者电子签名</w:t>
      </w:r>
      <w:r>
        <w:rPr>
          <w:rFonts w:ascii="宋体" w:hAnsi="宋体" w:eastAsia="宋体" w:cs="宋体"/>
          <w:color w:val="auto"/>
          <w:spacing w:val="-13"/>
          <w:sz w:val="21"/>
          <w:szCs w:val="21"/>
        </w:rPr>
        <w:t>）：</w:t>
      </w:r>
      <w:r>
        <w:rPr>
          <w:rFonts w:ascii="宋体" w:hAnsi="宋体" w:eastAsia="宋体" w:cs="宋体"/>
          <w:color w:val="auto"/>
          <w:sz w:val="21"/>
          <w:szCs w:val="21"/>
        </w:rPr>
        <w:t xml:space="preserve"> </w:t>
      </w:r>
    </w:p>
    <w:p w14:paraId="50F7A80D">
      <w:pPr>
        <w:spacing w:before="78" w:line="325" w:lineRule="auto"/>
        <w:ind w:left="608" w:right="4409" w:hanging="41"/>
        <w:rPr>
          <w:rFonts w:ascii="宋体" w:hAnsi="宋体" w:eastAsia="宋体" w:cs="宋体"/>
          <w:color w:val="auto"/>
          <w:sz w:val="21"/>
          <w:szCs w:val="21"/>
        </w:rPr>
      </w:pPr>
      <w:r>
        <w:rPr>
          <w:rFonts w:ascii="宋体" w:hAnsi="宋体" w:eastAsia="宋体" w:cs="宋体"/>
          <w:color w:val="auto"/>
          <w:spacing w:val="-13"/>
          <w:sz w:val="21"/>
          <w:szCs w:val="21"/>
        </w:rPr>
        <w:t>日期：</w:t>
      </w:r>
      <w:r>
        <w:rPr>
          <w:rFonts w:ascii="宋体" w:hAnsi="宋体" w:eastAsia="宋体" w:cs="宋体"/>
          <w:color w:val="auto"/>
          <w:spacing w:val="2"/>
          <w:sz w:val="21"/>
          <w:szCs w:val="21"/>
        </w:rPr>
        <w:t xml:space="preserve">    </w:t>
      </w:r>
      <w:r>
        <w:rPr>
          <w:rFonts w:ascii="宋体" w:hAnsi="宋体" w:eastAsia="宋体" w:cs="宋体"/>
          <w:color w:val="auto"/>
          <w:spacing w:val="-13"/>
          <w:sz w:val="21"/>
          <w:szCs w:val="21"/>
        </w:rPr>
        <w:t>年</w:t>
      </w:r>
      <w:r>
        <w:rPr>
          <w:rFonts w:ascii="宋体" w:hAnsi="宋体" w:eastAsia="宋体" w:cs="宋体"/>
          <w:color w:val="auto"/>
          <w:spacing w:val="6"/>
          <w:sz w:val="21"/>
          <w:szCs w:val="21"/>
        </w:rPr>
        <w:t xml:space="preserve">   </w:t>
      </w:r>
      <w:r>
        <w:rPr>
          <w:rFonts w:ascii="宋体" w:hAnsi="宋体" w:eastAsia="宋体" w:cs="宋体"/>
          <w:color w:val="auto"/>
          <w:spacing w:val="-13"/>
          <w:sz w:val="21"/>
          <w:szCs w:val="21"/>
        </w:rPr>
        <w:t>月</w:t>
      </w:r>
      <w:r>
        <w:rPr>
          <w:rFonts w:ascii="宋体" w:hAnsi="宋体" w:eastAsia="宋体" w:cs="宋体"/>
          <w:color w:val="auto"/>
          <w:spacing w:val="17"/>
          <w:sz w:val="21"/>
          <w:szCs w:val="21"/>
        </w:rPr>
        <w:t xml:space="preserve">   </w:t>
      </w:r>
      <w:r>
        <w:rPr>
          <w:rFonts w:ascii="宋体" w:hAnsi="宋体" w:eastAsia="宋体" w:cs="宋体"/>
          <w:color w:val="auto"/>
          <w:spacing w:val="-13"/>
          <w:sz w:val="21"/>
          <w:szCs w:val="21"/>
        </w:rPr>
        <w:t>日</w:t>
      </w:r>
    </w:p>
    <w:p w14:paraId="103E507E">
      <w:pPr>
        <w:spacing w:before="37" w:line="324" w:lineRule="auto"/>
        <w:ind w:left="3" w:right="27" w:hanging="3"/>
        <w:rPr>
          <w:rFonts w:ascii="宋体" w:hAnsi="宋体" w:eastAsia="宋体" w:cs="宋体"/>
          <w:color w:val="auto"/>
          <w:sz w:val="21"/>
          <w:szCs w:val="21"/>
        </w:rPr>
      </w:pPr>
      <w:r>
        <w:rPr>
          <w:rFonts w:ascii="宋体" w:hAnsi="宋体" w:eastAsia="宋体" w:cs="宋体"/>
          <w:color w:val="auto"/>
          <w:spacing w:val="2"/>
          <w:sz w:val="21"/>
          <w:szCs w:val="21"/>
        </w:rPr>
        <w:t>注：1.法定代表人</w:t>
      </w:r>
      <w:r>
        <w:rPr>
          <w:rFonts w:hint="eastAsia" w:ascii="宋体" w:hAnsi="宋体" w:eastAsia="宋体" w:cs="宋体"/>
          <w:color w:val="auto"/>
          <w:spacing w:val="2"/>
          <w:sz w:val="21"/>
          <w:szCs w:val="21"/>
          <w:lang w:eastAsia="zh-CN"/>
        </w:rPr>
        <w:t>（负责人）</w:t>
      </w:r>
      <w:r>
        <w:rPr>
          <w:rFonts w:ascii="宋体" w:hAnsi="宋体" w:eastAsia="宋体" w:cs="宋体"/>
          <w:color w:val="auto"/>
          <w:spacing w:val="2"/>
          <w:sz w:val="21"/>
          <w:szCs w:val="21"/>
        </w:rPr>
        <w:t>必须在授权委托书上签字或者盖章或者电子签名，委托代理人</w:t>
      </w:r>
      <w:r>
        <w:rPr>
          <w:rFonts w:ascii="宋体" w:hAnsi="宋体" w:eastAsia="宋体" w:cs="宋体"/>
          <w:color w:val="auto"/>
          <w:spacing w:val="-1"/>
          <w:sz w:val="21"/>
          <w:szCs w:val="21"/>
        </w:rPr>
        <w:t>必须在授权委托书上签字或者电子签名，</w:t>
      </w:r>
      <w:r>
        <w:rPr>
          <w:rFonts w:ascii="宋体" w:hAnsi="宋体" w:eastAsia="宋体" w:cs="宋体"/>
          <w:b/>
          <w:bCs/>
          <w:color w:val="auto"/>
          <w:spacing w:val="-1"/>
          <w:sz w:val="21"/>
          <w:szCs w:val="21"/>
        </w:rPr>
        <w:t>否则按无效投标处理</w:t>
      </w:r>
      <w:r>
        <w:rPr>
          <w:rFonts w:ascii="宋体" w:hAnsi="宋体" w:eastAsia="宋体" w:cs="宋体"/>
          <w:color w:val="auto"/>
          <w:spacing w:val="-1"/>
          <w:sz w:val="21"/>
          <w:szCs w:val="21"/>
        </w:rPr>
        <w:t>；</w:t>
      </w:r>
    </w:p>
    <w:p w14:paraId="4C316A0E">
      <w:pPr>
        <w:spacing w:before="37" w:line="326" w:lineRule="auto"/>
        <w:ind w:left="4" w:firstLine="478"/>
        <w:rPr>
          <w:rFonts w:ascii="宋体" w:hAnsi="宋体" w:eastAsia="宋体" w:cs="宋体"/>
          <w:color w:val="auto"/>
          <w:sz w:val="21"/>
          <w:szCs w:val="21"/>
        </w:rPr>
      </w:pPr>
      <w:r>
        <w:rPr>
          <w:rFonts w:ascii="宋体" w:hAnsi="宋体" w:eastAsia="宋体" w:cs="宋体"/>
          <w:color w:val="auto"/>
          <w:spacing w:val="2"/>
          <w:sz w:val="21"/>
          <w:szCs w:val="21"/>
        </w:rPr>
        <w:t>2.法人、其他组织投标时“我方”是指“我单位”，自然人投标时“我方”</w:t>
      </w:r>
      <w:r>
        <w:rPr>
          <w:rFonts w:ascii="宋体" w:hAnsi="宋体" w:eastAsia="宋体" w:cs="宋体"/>
          <w:color w:val="auto"/>
          <w:spacing w:val="-6"/>
          <w:sz w:val="21"/>
          <w:szCs w:val="21"/>
        </w:rPr>
        <w:t>是指“本人”。</w:t>
      </w:r>
    </w:p>
    <w:p w14:paraId="41915593">
      <w:pPr>
        <w:spacing w:line="326" w:lineRule="auto"/>
        <w:rPr>
          <w:rFonts w:ascii="宋体" w:hAnsi="宋体" w:eastAsia="宋体" w:cs="宋体"/>
          <w:color w:val="auto"/>
          <w:sz w:val="21"/>
          <w:szCs w:val="21"/>
        </w:rPr>
        <w:sectPr>
          <w:footerReference r:id="rId31" w:type="default"/>
          <w:pgSz w:w="11905" w:h="16838"/>
          <w:pgMar w:top="1417" w:right="1417" w:bottom="1417" w:left="1417" w:header="0" w:footer="1196" w:gutter="0"/>
          <w:pgNumType w:fmt="decimal"/>
          <w:cols w:space="0" w:num="1"/>
          <w:rtlGutter w:val="0"/>
          <w:docGrid w:linePitch="0" w:charSpace="0"/>
        </w:sectPr>
      </w:pPr>
    </w:p>
    <w:p w14:paraId="632C4DBF">
      <w:pPr>
        <w:spacing w:before="78" w:line="220" w:lineRule="auto"/>
        <w:ind w:left="244"/>
        <w:outlineLvl w:val="2"/>
        <w:rPr>
          <w:rFonts w:ascii="宋体" w:hAnsi="宋体" w:eastAsia="宋体" w:cs="宋体"/>
          <w:color w:val="auto"/>
          <w:sz w:val="24"/>
          <w:szCs w:val="24"/>
        </w:rPr>
      </w:pPr>
      <w:r>
        <w:rPr>
          <w:rFonts w:ascii="宋体" w:hAnsi="宋体" w:eastAsia="宋体" w:cs="宋体"/>
          <w:b/>
          <w:bCs/>
          <w:color w:val="auto"/>
          <w:spacing w:val="-3"/>
          <w:sz w:val="24"/>
          <w:szCs w:val="24"/>
        </w:rPr>
        <w:t>6.商务要求偏离表格式</w:t>
      </w:r>
    </w:p>
    <w:p w14:paraId="64576A7C">
      <w:pPr>
        <w:spacing w:line="309" w:lineRule="auto"/>
        <w:rPr>
          <w:rFonts w:ascii="Arial"/>
          <w:color w:val="auto"/>
          <w:sz w:val="21"/>
        </w:rPr>
      </w:pPr>
    </w:p>
    <w:p w14:paraId="652B17B2">
      <w:pPr>
        <w:spacing w:before="78" w:line="220" w:lineRule="auto"/>
        <w:ind w:left="242"/>
        <w:rPr>
          <w:rFonts w:ascii="宋体" w:hAnsi="宋体" w:eastAsia="宋体" w:cs="宋体"/>
          <w:color w:val="auto"/>
          <w:sz w:val="21"/>
          <w:szCs w:val="21"/>
        </w:rPr>
      </w:pPr>
      <w:r>
        <w:rPr>
          <w:rFonts w:ascii="宋体" w:hAnsi="宋体" w:eastAsia="宋体" w:cs="宋体"/>
          <w:color w:val="auto"/>
          <w:spacing w:val="-2"/>
          <w:sz w:val="21"/>
          <w:szCs w:val="21"/>
        </w:rPr>
        <w:t>所投分标：</w:t>
      </w:r>
      <w:r>
        <w:rPr>
          <w:rFonts w:ascii="宋体" w:hAnsi="宋体" w:eastAsia="宋体" w:cs="宋体"/>
          <w:color w:val="auto"/>
          <w:spacing w:val="-2"/>
          <w:sz w:val="21"/>
          <w:szCs w:val="21"/>
          <w:u w:val="single" w:color="auto"/>
        </w:rPr>
        <w:t xml:space="preserve">     </w:t>
      </w:r>
      <w:r>
        <w:rPr>
          <w:rFonts w:ascii="宋体" w:hAnsi="宋体" w:eastAsia="宋体" w:cs="宋体"/>
          <w:color w:val="auto"/>
          <w:spacing w:val="-100"/>
          <w:sz w:val="21"/>
          <w:szCs w:val="21"/>
        </w:rPr>
        <w:t xml:space="preserve"> </w:t>
      </w:r>
      <w:r>
        <w:rPr>
          <w:rFonts w:ascii="宋体" w:hAnsi="宋体" w:eastAsia="宋体" w:cs="宋体"/>
          <w:color w:val="auto"/>
          <w:spacing w:val="-2"/>
          <w:sz w:val="21"/>
          <w:szCs w:val="21"/>
        </w:rPr>
        <w:t>分标</w:t>
      </w:r>
    </w:p>
    <w:p w14:paraId="2064D580">
      <w:pPr>
        <w:spacing w:before="107"/>
        <w:rPr>
          <w:color w:val="auto"/>
          <w:sz w:val="21"/>
          <w:szCs w:val="21"/>
        </w:rPr>
      </w:pPr>
    </w:p>
    <w:tbl>
      <w:tblPr>
        <w:tblStyle w:val="24"/>
        <w:tblW w:w="864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58"/>
        <w:gridCol w:w="2993"/>
        <w:gridCol w:w="1758"/>
        <w:gridCol w:w="2039"/>
      </w:tblGrid>
      <w:tr w14:paraId="1ED1F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1858" w:type="dxa"/>
            <w:vAlign w:val="center"/>
          </w:tcPr>
          <w:p w14:paraId="171C0034">
            <w:pPr>
              <w:pStyle w:val="25"/>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b/>
                <w:bCs/>
                <w:color w:val="auto"/>
                <w:sz w:val="21"/>
                <w:szCs w:val="21"/>
                <w:highlight w:val="none"/>
              </w:rPr>
            </w:pPr>
            <w:r>
              <w:rPr>
                <w:b/>
                <w:bCs/>
                <w:color w:val="auto"/>
                <w:spacing w:val="-4"/>
                <w:sz w:val="21"/>
                <w:szCs w:val="21"/>
                <w:highlight w:val="none"/>
              </w:rPr>
              <w:t>项目</w:t>
            </w:r>
          </w:p>
        </w:tc>
        <w:tc>
          <w:tcPr>
            <w:tcW w:w="2993" w:type="dxa"/>
            <w:vAlign w:val="center"/>
          </w:tcPr>
          <w:p w14:paraId="57707163">
            <w:pPr>
              <w:pStyle w:val="25"/>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b/>
                <w:bCs/>
                <w:color w:val="auto"/>
                <w:sz w:val="21"/>
                <w:szCs w:val="21"/>
                <w:highlight w:val="none"/>
              </w:rPr>
            </w:pPr>
            <w:r>
              <w:rPr>
                <w:b/>
                <w:bCs/>
                <w:color w:val="auto"/>
                <w:spacing w:val="-2"/>
                <w:sz w:val="21"/>
                <w:szCs w:val="21"/>
                <w:highlight w:val="none"/>
              </w:rPr>
              <w:t>招标文件商务要求</w:t>
            </w:r>
          </w:p>
        </w:tc>
        <w:tc>
          <w:tcPr>
            <w:tcW w:w="1758" w:type="dxa"/>
            <w:vAlign w:val="center"/>
          </w:tcPr>
          <w:p w14:paraId="2E9B2943">
            <w:pPr>
              <w:pStyle w:val="25"/>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b/>
                <w:bCs/>
                <w:color w:val="auto"/>
                <w:sz w:val="21"/>
                <w:szCs w:val="21"/>
                <w:highlight w:val="none"/>
              </w:rPr>
            </w:pPr>
            <w:r>
              <w:rPr>
                <w:b/>
                <w:bCs/>
                <w:color w:val="auto"/>
                <w:spacing w:val="-2"/>
                <w:sz w:val="21"/>
                <w:szCs w:val="21"/>
                <w:highlight w:val="none"/>
              </w:rPr>
              <w:t>投标人的承诺</w:t>
            </w:r>
          </w:p>
        </w:tc>
        <w:tc>
          <w:tcPr>
            <w:tcW w:w="2039" w:type="dxa"/>
            <w:vAlign w:val="center"/>
          </w:tcPr>
          <w:p w14:paraId="2B3FDC10">
            <w:pPr>
              <w:pStyle w:val="25"/>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b/>
                <w:bCs/>
                <w:color w:val="auto"/>
                <w:sz w:val="21"/>
                <w:szCs w:val="21"/>
                <w:highlight w:val="none"/>
              </w:rPr>
            </w:pPr>
            <w:r>
              <w:rPr>
                <w:b/>
                <w:bCs/>
                <w:color w:val="auto"/>
                <w:spacing w:val="-2"/>
                <w:sz w:val="21"/>
                <w:szCs w:val="21"/>
                <w:highlight w:val="none"/>
              </w:rPr>
              <w:t>偏离说明</w:t>
            </w:r>
          </w:p>
        </w:tc>
      </w:tr>
      <w:tr w14:paraId="772CA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858" w:type="dxa"/>
            <w:vAlign w:val="center"/>
          </w:tcPr>
          <w:p w14:paraId="79F94AD9">
            <w:pPr>
              <w:keepNext w:val="0"/>
              <w:keepLines w:val="0"/>
              <w:pageBreakBefore w:val="0"/>
              <w:widowControl w:val="0"/>
              <w:kinsoku/>
              <w:wordWrap w:val="0"/>
              <w:overflowPunct w:val="0"/>
              <w:topLinePunct w:val="0"/>
              <w:autoSpaceDE/>
              <w:autoSpaceDN w:val="0"/>
              <w:bidi w:val="0"/>
              <w:adjustRightInd w:val="0"/>
              <w:snapToGrid w:val="0"/>
              <w:spacing w:line="360" w:lineRule="auto"/>
              <w:jc w:val="center"/>
              <w:textAlignment w:val="baseline"/>
              <w:rPr>
                <w:rFonts w:hint="eastAsia" w:ascii="宋体" w:hAnsi="宋体" w:eastAsia="宋体" w:cs="宋体"/>
                <w:color w:val="auto"/>
                <w:sz w:val="21"/>
                <w:szCs w:val="21"/>
                <w:highlight w:val="none"/>
              </w:rPr>
            </w:pPr>
            <w:r>
              <w:rPr>
                <w:rFonts w:hint="eastAsia" w:asciiTheme="minorEastAsia" w:hAnsiTheme="minorEastAsia" w:eastAsiaTheme="minorEastAsia" w:cstheme="minorEastAsia"/>
                <w:color w:val="auto"/>
                <w:sz w:val="21"/>
                <w:szCs w:val="21"/>
                <w:highlight w:val="none"/>
              </w:rPr>
              <w:t>提交服务成果时间</w:t>
            </w:r>
          </w:p>
        </w:tc>
        <w:tc>
          <w:tcPr>
            <w:tcW w:w="2993" w:type="dxa"/>
            <w:vAlign w:val="top"/>
          </w:tcPr>
          <w:p w14:paraId="25AC8951">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1758" w:type="dxa"/>
            <w:vAlign w:val="top"/>
          </w:tcPr>
          <w:p w14:paraId="44B70E52">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2039" w:type="dxa"/>
            <w:vAlign w:val="top"/>
          </w:tcPr>
          <w:p w14:paraId="043852AE">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r>
      <w:tr w14:paraId="0A440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1858" w:type="dxa"/>
            <w:vAlign w:val="center"/>
          </w:tcPr>
          <w:p w14:paraId="5B26615C">
            <w:pPr>
              <w:keepNext w:val="0"/>
              <w:keepLines w:val="0"/>
              <w:pageBreakBefore w:val="0"/>
              <w:widowControl w:val="0"/>
              <w:kinsoku/>
              <w:wordWrap w:val="0"/>
              <w:overflowPunct w:val="0"/>
              <w:topLinePunct w:val="0"/>
              <w:autoSpaceDE/>
              <w:autoSpaceDN w:val="0"/>
              <w:bidi w:val="0"/>
              <w:adjustRightInd w:val="0"/>
              <w:snapToGrid w:val="0"/>
              <w:spacing w:line="360" w:lineRule="auto"/>
              <w:jc w:val="center"/>
              <w:textAlignment w:val="baseline"/>
              <w:rPr>
                <w:rFonts w:hint="eastAsia" w:ascii="宋体" w:hAnsi="宋体" w:eastAsia="宋体" w:cs="宋体"/>
                <w:color w:val="auto"/>
                <w:sz w:val="21"/>
                <w:szCs w:val="21"/>
                <w:highlight w:val="none"/>
              </w:rPr>
            </w:pPr>
            <w:r>
              <w:rPr>
                <w:rFonts w:hint="eastAsia" w:asciiTheme="minorEastAsia" w:hAnsiTheme="minorEastAsia" w:eastAsiaTheme="minorEastAsia" w:cstheme="minorEastAsia"/>
                <w:color w:val="auto"/>
                <w:sz w:val="21"/>
                <w:szCs w:val="21"/>
                <w:highlight w:val="none"/>
              </w:rPr>
              <w:t>提交服务成果地点</w:t>
            </w:r>
          </w:p>
        </w:tc>
        <w:tc>
          <w:tcPr>
            <w:tcW w:w="2993" w:type="dxa"/>
            <w:vAlign w:val="top"/>
          </w:tcPr>
          <w:p w14:paraId="230670A3">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1758" w:type="dxa"/>
            <w:vAlign w:val="top"/>
          </w:tcPr>
          <w:p w14:paraId="5D910CE0">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2039" w:type="dxa"/>
            <w:vAlign w:val="top"/>
          </w:tcPr>
          <w:p w14:paraId="1886D90F">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r>
      <w:tr w14:paraId="3FCC6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1858" w:type="dxa"/>
            <w:vAlign w:val="center"/>
          </w:tcPr>
          <w:p w14:paraId="421CD56C">
            <w:pPr>
              <w:keepNext w:val="0"/>
              <w:keepLines w:val="0"/>
              <w:pageBreakBefore w:val="0"/>
              <w:widowControl w:val="0"/>
              <w:kinsoku/>
              <w:wordWrap w:val="0"/>
              <w:overflowPunct w:val="0"/>
              <w:topLinePunct w:val="0"/>
              <w:autoSpaceDE/>
              <w:autoSpaceDN w:val="0"/>
              <w:bidi w:val="0"/>
              <w:adjustRightInd w:val="0"/>
              <w:snapToGrid w:val="0"/>
              <w:spacing w:line="360" w:lineRule="auto"/>
              <w:jc w:val="center"/>
              <w:textAlignment w:val="baseline"/>
              <w:rPr>
                <w:rFonts w:hint="eastAsia" w:ascii="宋体" w:hAnsi="宋体" w:eastAsia="宋体" w:cs="宋体"/>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合同签订</w:t>
            </w:r>
          </w:p>
        </w:tc>
        <w:tc>
          <w:tcPr>
            <w:tcW w:w="2993" w:type="dxa"/>
            <w:vAlign w:val="top"/>
          </w:tcPr>
          <w:p w14:paraId="4C374BEC">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1758" w:type="dxa"/>
            <w:vAlign w:val="top"/>
          </w:tcPr>
          <w:p w14:paraId="152AE444">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2039" w:type="dxa"/>
            <w:vAlign w:val="top"/>
          </w:tcPr>
          <w:p w14:paraId="24A00EA8">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r>
      <w:tr w14:paraId="2CABB2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6" w:hRule="atLeast"/>
        </w:trPr>
        <w:tc>
          <w:tcPr>
            <w:tcW w:w="1858" w:type="dxa"/>
            <w:vAlign w:val="center"/>
          </w:tcPr>
          <w:p w14:paraId="5964BA4F">
            <w:pPr>
              <w:keepNext w:val="0"/>
              <w:keepLines w:val="0"/>
              <w:pageBreakBefore w:val="0"/>
              <w:widowControl w:val="0"/>
              <w:kinsoku/>
              <w:wordWrap w:val="0"/>
              <w:overflowPunct w:val="0"/>
              <w:topLinePunct w:val="0"/>
              <w:autoSpaceDE/>
              <w:autoSpaceDN w:val="0"/>
              <w:bidi w:val="0"/>
              <w:adjustRightInd w:val="0"/>
              <w:snapToGrid w:val="0"/>
              <w:spacing w:line="360" w:lineRule="auto"/>
              <w:jc w:val="center"/>
              <w:textAlignment w:val="baseline"/>
              <w:rPr>
                <w:rFonts w:hint="eastAsia" w:ascii="宋体" w:hAnsi="宋体" w:eastAsia="宋体" w:cs="宋体"/>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售后服务要求</w:t>
            </w:r>
          </w:p>
        </w:tc>
        <w:tc>
          <w:tcPr>
            <w:tcW w:w="2993" w:type="dxa"/>
            <w:vAlign w:val="top"/>
          </w:tcPr>
          <w:p w14:paraId="01F526ED">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1758" w:type="dxa"/>
            <w:vAlign w:val="top"/>
          </w:tcPr>
          <w:p w14:paraId="4C7F5BFA">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2039" w:type="dxa"/>
            <w:vAlign w:val="top"/>
          </w:tcPr>
          <w:p w14:paraId="59D4A3F4">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r>
      <w:tr w14:paraId="063C2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6" w:hRule="atLeast"/>
        </w:trPr>
        <w:tc>
          <w:tcPr>
            <w:tcW w:w="1858" w:type="dxa"/>
            <w:vAlign w:val="center"/>
          </w:tcPr>
          <w:p w14:paraId="13BA3CFB">
            <w:pPr>
              <w:keepNext w:val="0"/>
              <w:keepLines w:val="0"/>
              <w:pageBreakBefore w:val="0"/>
              <w:widowControl w:val="0"/>
              <w:kinsoku/>
              <w:wordWrap w:val="0"/>
              <w:overflowPunct w:val="0"/>
              <w:topLinePunct w:val="0"/>
              <w:autoSpaceDE/>
              <w:autoSpaceDN w:val="0"/>
              <w:bidi w:val="0"/>
              <w:adjustRightInd w:val="0"/>
              <w:snapToGrid w:val="0"/>
              <w:spacing w:line="360" w:lineRule="auto"/>
              <w:jc w:val="center"/>
              <w:textAlignment w:val="baseline"/>
              <w:rPr>
                <w:rFonts w:hint="eastAsia" w:ascii="宋体" w:hAnsi="宋体" w:eastAsia="宋体" w:cs="宋体"/>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付款条件（进度和方式）</w:t>
            </w:r>
          </w:p>
        </w:tc>
        <w:tc>
          <w:tcPr>
            <w:tcW w:w="2993" w:type="dxa"/>
            <w:vAlign w:val="top"/>
          </w:tcPr>
          <w:p w14:paraId="1411B97F">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1758" w:type="dxa"/>
            <w:vAlign w:val="top"/>
          </w:tcPr>
          <w:p w14:paraId="381D9C6D">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2039" w:type="dxa"/>
            <w:vAlign w:val="top"/>
          </w:tcPr>
          <w:p w14:paraId="11CDC4FF">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r>
      <w:tr w14:paraId="7101C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6" w:hRule="atLeast"/>
        </w:trPr>
        <w:tc>
          <w:tcPr>
            <w:tcW w:w="1858" w:type="dxa"/>
            <w:vAlign w:val="center"/>
          </w:tcPr>
          <w:p w14:paraId="4A8DA1BE">
            <w:pPr>
              <w:keepNext w:val="0"/>
              <w:keepLines w:val="0"/>
              <w:pageBreakBefore w:val="0"/>
              <w:widowControl w:val="0"/>
              <w:kinsoku w:val="0"/>
              <w:wordWrap w:val="0"/>
              <w:overflowPunct w:val="0"/>
              <w:topLinePunct w:val="0"/>
              <w:autoSpaceDE/>
              <w:autoSpaceDN w:val="0"/>
              <w:bidi w:val="0"/>
              <w:adjustRightInd w:val="0"/>
              <w:snapToGrid w:val="0"/>
              <w:spacing w:line="360" w:lineRule="auto"/>
              <w:jc w:val="center"/>
              <w:textAlignment w:val="baseline"/>
              <w:rPr>
                <w:rFonts w:hint="eastAsia" w:ascii="宋体" w:hAnsi="宋体" w:eastAsia="宋体" w:cs="宋体"/>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投标报价</w:t>
            </w:r>
          </w:p>
        </w:tc>
        <w:tc>
          <w:tcPr>
            <w:tcW w:w="2993" w:type="dxa"/>
            <w:vAlign w:val="top"/>
          </w:tcPr>
          <w:p w14:paraId="2B4C6A42">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1758" w:type="dxa"/>
            <w:vAlign w:val="top"/>
          </w:tcPr>
          <w:p w14:paraId="23FEB05F">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2039" w:type="dxa"/>
            <w:vAlign w:val="top"/>
          </w:tcPr>
          <w:p w14:paraId="76D3312A">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r>
      <w:tr w14:paraId="2E4AE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6" w:hRule="atLeast"/>
        </w:trPr>
        <w:tc>
          <w:tcPr>
            <w:tcW w:w="1858" w:type="dxa"/>
            <w:vAlign w:val="center"/>
          </w:tcPr>
          <w:p w14:paraId="2FAEE981">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default" w:ascii="宋体" w:hAnsi="宋体" w:eastAsia="宋体" w:cs="宋体"/>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验收标准、规范</w:t>
            </w:r>
          </w:p>
        </w:tc>
        <w:tc>
          <w:tcPr>
            <w:tcW w:w="2993" w:type="dxa"/>
            <w:vAlign w:val="top"/>
          </w:tcPr>
          <w:p w14:paraId="3BB4F6B1">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1758" w:type="dxa"/>
            <w:vAlign w:val="top"/>
          </w:tcPr>
          <w:p w14:paraId="262391ED">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2039" w:type="dxa"/>
            <w:vAlign w:val="top"/>
          </w:tcPr>
          <w:p w14:paraId="2184F6A3">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r>
      <w:tr w14:paraId="3FEE9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6" w:hRule="atLeast"/>
        </w:trPr>
        <w:tc>
          <w:tcPr>
            <w:tcW w:w="1858" w:type="dxa"/>
            <w:vAlign w:val="center"/>
          </w:tcPr>
          <w:p w14:paraId="688BB959">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w:t>
            </w:r>
          </w:p>
        </w:tc>
        <w:tc>
          <w:tcPr>
            <w:tcW w:w="2993" w:type="dxa"/>
            <w:vAlign w:val="top"/>
          </w:tcPr>
          <w:p w14:paraId="29365D9A">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1758" w:type="dxa"/>
            <w:vAlign w:val="top"/>
          </w:tcPr>
          <w:p w14:paraId="35C5BB83">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c>
          <w:tcPr>
            <w:tcW w:w="2039" w:type="dxa"/>
            <w:vAlign w:val="top"/>
          </w:tcPr>
          <w:p w14:paraId="0C8731F3">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ascii="Arial"/>
                <w:color w:val="auto"/>
                <w:sz w:val="21"/>
                <w:szCs w:val="21"/>
                <w:highlight w:val="none"/>
              </w:rPr>
            </w:pPr>
          </w:p>
        </w:tc>
      </w:tr>
    </w:tbl>
    <w:p w14:paraId="6D7B9F95">
      <w:pPr>
        <w:spacing w:before="194" w:line="224" w:lineRule="auto"/>
        <w:ind w:left="242"/>
        <w:rPr>
          <w:rFonts w:ascii="宋体" w:hAnsi="宋体" w:eastAsia="宋体" w:cs="宋体"/>
          <w:color w:val="auto"/>
          <w:sz w:val="21"/>
          <w:szCs w:val="21"/>
        </w:rPr>
      </w:pPr>
      <w:r>
        <w:rPr>
          <w:rFonts w:ascii="宋体" w:hAnsi="宋体" w:eastAsia="宋体" w:cs="宋体"/>
          <w:b/>
          <w:bCs/>
          <w:color w:val="auto"/>
          <w:spacing w:val="-19"/>
          <w:sz w:val="21"/>
          <w:szCs w:val="21"/>
        </w:rPr>
        <w:t>注：</w:t>
      </w:r>
    </w:p>
    <w:p w14:paraId="15E2125B">
      <w:pPr>
        <w:spacing w:before="226" w:line="385" w:lineRule="auto"/>
        <w:ind w:left="254" w:right="106" w:firstLine="5"/>
        <w:rPr>
          <w:rFonts w:ascii="宋体" w:hAnsi="宋体" w:eastAsia="宋体" w:cs="宋体"/>
          <w:color w:val="auto"/>
          <w:sz w:val="21"/>
          <w:szCs w:val="21"/>
        </w:rPr>
      </w:pPr>
      <w:r>
        <w:rPr>
          <w:rFonts w:ascii="宋体" w:hAnsi="宋体" w:eastAsia="宋体" w:cs="宋体"/>
          <w:color w:val="auto"/>
          <w:spacing w:val="-3"/>
          <w:sz w:val="21"/>
          <w:szCs w:val="21"/>
        </w:rPr>
        <w:t>1. 说明：应对照招标文件“第二章 采购需求”中的商务要求逐条作明确</w:t>
      </w:r>
      <w:r>
        <w:rPr>
          <w:rFonts w:ascii="宋体" w:hAnsi="宋体" w:eastAsia="宋体" w:cs="宋体"/>
          <w:color w:val="auto"/>
          <w:spacing w:val="-4"/>
          <w:sz w:val="21"/>
          <w:szCs w:val="21"/>
        </w:rPr>
        <w:t>的投标</w:t>
      </w:r>
      <w:r>
        <w:rPr>
          <w:rFonts w:ascii="宋体" w:hAnsi="宋体" w:eastAsia="宋体" w:cs="宋体"/>
          <w:color w:val="auto"/>
          <w:spacing w:val="-5"/>
          <w:sz w:val="21"/>
          <w:szCs w:val="21"/>
        </w:rPr>
        <w:t>响应，并作出偏离说明。</w:t>
      </w:r>
    </w:p>
    <w:p w14:paraId="1B50DB41">
      <w:pPr>
        <w:spacing w:before="21" w:line="376" w:lineRule="auto"/>
        <w:ind w:left="225" w:right="18" w:firstLine="19"/>
        <w:jc w:val="both"/>
        <w:rPr>
          <w:rFonts w:ascii="宋体" w:hAnsi="宋体" w:eastAsia="宋体" w:cs="宋体"/>
          <w:color w:val="auto"/>
          <w:sz w:val="21"/>
          <w:szCs w:val="21"/>
        </w:rPr>
      </w:pPr>
      <w:r>
        <w:rPr>
          <w:rFonts w:ascii="宋体" w:hAnsi="宋体" w:eastAsia="宋体" w:cs="宋体"/>
          <w:color w:val="auto"/>
          <w:spacing w:val="-14"/>
          <w:sz w:val="21"/>
          <w:szCs w:val="21"/>
        </w:rPr>
        <w:t>2.投标人应根据自身的承诺，对照招标文件要求在“偏离说明”中注明“</w:t>
      </w:r>
      <w:r>
        <w:rPr>
          <w:rFonts w:ascii="宋体" w:hAnsi="宋体" w:eastAsia="宋体" w:cs="宋体"/>
          <w:b/>
          <w:bCs/>
          <w:color w:val="auto"/>
          <w:spacing w:val="-14"/>
          <w:sz w:val="21"/>
          <w:szCs w:val="21"/>
        </w:rPr>
        <w:t>正偏离</w:t>
      </w:r>
      <w:r>
        <w:rPr>
          <w:rFonts w:ascii="宋体" w:hAnsi="宋体" w:eastAsia="宋体" w:cs="宋体"/>
          <w:color w:val="auto"/>
          <w:spacing w:val="-86"/>
          <w:sz w:val="21"/>
          <w:szCs w:val="21"/>
        </w:rPr>
        <w:t xml:space="preserve"> </w:t>
      </w:r>
      <w:r>
        <w:rPr>
          <w:rFonts w:ascii="宋体" w:hAnsi="宋体" w:eastAsia="宋体" w:cs="宋体"/>
          <w:color w:val="auto"/>
          <w:spacing w:val="-14"/>
          <w:sz w:val="21"/>
          <w:szCs w:val="21"/>
        </w:rPr>
        <w:t>”、</w:t>
      </w:r>
      <w:r>
        <w:rPr>
          <w:rFonts w:ascii="宋体" w:hAnsi="宋体" w:eastAsia="宋体" w:cs="宋体"/>
          <w:color w:val="auto"/>
          <w:spacing w:val="-4"/>
          <w:sz w:val="21"/>
          <w:szCs w:val="21"/>
        </w:rPr>
        <w:t>“</w:t>
      </w:r>
      <w:r>
        <w:rPr>
          <w:rFonts w:ascii="宋体" w:hAnsi="宋体" w:eastAsia="宋体" w:cs="宋体"/>
          <w:b/>
          <w:bCs/>
          <w:color w:val="auto"/>
          <w:spacing w:val="-4"/>
          <w:sz w:val="21"/>
          <w:szCs w:val="21"/>
        </w:rPr>
        <w:t>负偏离</w:t>
      </w:r>
      <w:r>
        <w:rPr>
          <w:rFonts w:ascii="宋体" w:hAnsi="宋体" w:eastAsia="宋体" w:cs="宋体"/>
          <w:color w:val="auto"/>
          <w:spacing w:val="-4"/>
          <w:sz w:val="21"/>
          <w:szCs w:val="21"/>
        </w:rPr>
        <w:t>”或者“</w:t>
      </w:r>
      <w:r>
        <w:rPr>
          <w:rFonts w:ascii="宋体" w:hAnsi="宋体" w:eastAsia="宋体" w:cs="宋体"/>
          <w:b/>
          <w:bCs/>
          <w:color w:val="auto"/>
          <w:spacing w:val="-4"/>
          <w:sz w:val="21"/>
          <w:szCs w:val="21"/>
        </w:rPr>
        <w:t>无偏离</w:t>
      </w:r>
      <w:r>
        <w:rPr>
          <w:rFonts w:ascii="宋体" w:hAnsi="宋体" w:eastAsia="宋体" w:cs="宋体"/>
          <w:color w:val="auto"/>
          <w:spacing w:val="-4"/>
          <w:sz w:val="21"/>
          <w:szCs w:val="21"/>
        </w:rPr>
        <w:t>”。既不属于“</w:t>
      </w:r>
      <w:r>
        <w:rPr>
          <w:rFonts w:ascii="宋体" w:hAnsi="宋体" w:eastAsia="宋体" w:cs="宋体"/>
          <w:b/>
          <w:bCs/>
          <w:color w:val="auto"/>
          <w:spacing w:val="-4"/>
          <w:sz w:val="21"/>
          <w:szCs w:val="21"/>
        </w:rPr>
        <w:t>正偏离</w:t>
      </w:r>
      <w:r>
        <w:rPr>
          <w:rFonts w:ascii="宋体" w:hAnsi="宋体" w:eastAsia="宋体" w:cs="宋体"/>
          <w:color w:val="auto"/>
          <w:spacing w:val="-86"/>
          <w:sz w:val="21"/>
          <w:szCs w:val="21"/>
        </w:rPr>
        <w:t xml:space="preserve"> </w:t>
      </w:r>
      <w:r>
        <w:rPr>
          <w:rFonts w:ascii="宋体" w:hAnsi="宋体" w:eastAsia="宋体" w:cs="宋体"/>
          <w:color w:val="auto"/>
          <w:spacing w:val="-4"/>
          <w:sz w:val="21"/>
          <w:szCs w:val="21"/>
        </w:rPr>
        <w:t>”也不</w:t>
      </w:r>
      <w:r>
        <w:rPr>
          <w:rFonts w:ascii="宋体" w:hAnsi="宋体" w:eastAsia="宋体" w:cs="宋体"/>
          <w:color w:val="auto"/>
          <w:spacing w:val="-5"/>
          <w:sz w:val="21"/>
          <w:szCs w:val="21"/>
        </w:rPr>
        <w:t>属于“</w:t>
      </w:r>
      <w:r>
        <w:rPr>
          <w:rFonts w:ascii="宋体" w:hAnsi="宋体" w:eastAsia="宋体" w:cs="宋体"/>
          <w:b/>
          <w:bCs/>
          <w:color w:val="auto"/>
          <w:spacing w:val="-5"/>
          <w:sz w:val="21"/>
          <w:szCs w:val="21"/>
        </w:rPr>
        <w:t>负偏离</w:t>
      </w:r>
      <w:r>
        <w:rPr>
          <w:rFonts w:ascii="宋体" w:hAnsi="宋体" w:eastAsia="宋体" w:cs="宋体"/>
          <w:color w:val="auto"/>
          <w:spacing w:val="-5"/>
          <w:sz w:val="21"/>
          <w:szCs w:val="21"/>
        </w:rPr>
        <w:t>”即为“</w:t>
      </w:r>
      <w:r>
        <w:rPr>
          <w:rFonts w:ascii="宋体" w:hAnsi="宋体" w:eastAsia="宋体" w:cs="宋体"/>
          <w:b/>
          <w:bCs/>
          <w:color w:val="auto"/>
          <w:spacing w:val="-5"/>
          <w:sz w:val="21"/>
          <w:szCs w:val="21"/>
        </w:rPr>
        <w:t>无</w:t>
      </w:r>
      <w:r>
        <w:rPr>
          <w:rFonts w:ascii="宋体" w:hAnsi="宋体" w:eastAsia="宋体" w:cs="宋体"/>
          <w:b/>
          <w:bCs/>
          <w:color w:val="auto"/>
          <w:spacing w:val="-3"/>
          <w:sz w:val="21"/>
          <w:szCs w:val="21"/>
        </w:rPr>
        <w:t>偏离</w:t>
      </w:r>
      <w:r>
        <w:rPr>
          <w:rFonts w:ascii="宋体" w:hAnsi="宋体" w:eastAsia="宋体" w:cs="宋体"/>
          <w:color w:val="auto"/>
          <w:spacing w:val="-3"/>
          <w:sz w:val="21"/>
          <w:szCs w:val="21"/>
        </w:rPr>
        <w:t>”。</w:t>
      </w:r>
    </w:p>
    <w:p w14:paraId="54E3B2DE">
      <w:pPr>
        <w:spacing w:line="283" w:lineRule="auto"/>
        <w:rPr>
          <w:rFonts w:ascii="Arial"/>
          <w:color w:val="auto"/>
          <w:sz w:val="21"/>
          <w:szCs w:val="21"/>
        </w:rPr>
      </w:pPr>
    </w:p>
    <w:p w14:paraId="640468BA">
      <w:pPr>
        <w:spacing w:before="78" w:line="319" w:lineRule="auto"/>
        <w:ind w:left="244" w:right="1178" w:hanging="1"/>
        <w:rPr>
          <w:rFonts w:ascii="宋体" w:hAnsi="宋体" w:eastAsia="宋体" w:cs="宋体"/>
          <w:color w:val="auto"/>
          <w:sz w:val="21"/>
          <w:szCs w:val="21"/>
        </w:rPr>
      </w:pPr>
      <w:r>
        <w:rPr>
          <w:rFonts w:ascii="宋体" w:hAnsi="宋体" w:eastAsia="宋体" w:cs="宋体"/>
          <w:color w:val="auto"/>
          <w:spacing w:val="34"/>
          <w:sz w:val="21"/>
          <w:szCs w:val="21"/>
        </w:rPr>
        <w:t>投标人名称（电子签章</w:t>
      </w:r>
      <w:r>
        <w:rPr>
          <w:rFonts w:ascii="宋体" w:hAnsi="宋体" w:eastAsia="宋体" w:cs="宋体"/>
          <w:color w:val="auto"/>
          <w:spacing w:val="-32"/>
          <w:sz w:val="21"/>
          <w:szCs w:val="21"/>
        </w:rPr>
        <w:t>）</w:t>
      </w:r>
      <w:r>
        <w:rPr>
          <w:rFonts w:ascii="宋体" w:hAnsi="宋体" w:eastAsia="宋体" w:cs="宋体"/>
          <w:color w:val="auto"/>
          <w:spacing w:val="-49"/>
          <w:sz w:val="21"/>
          <w:szCs w:val="21"/>
        </w:rPr>
        <w:t xml:space="preserve"> </w:t>
      </w:r>
      <w:r>
        <w:rPr>
          <w:rFonts w:ascii="宋体" w:hAnsi="宋体" w:eastAsia="宋体" w:cs="宋体"/>
          <w:color w:val="auto"/>
          <w:spacing w:val="-32"/>
          <w:sz w:val="21"/>
          <w:szCs w:val="21"/>
        </w:rPr>
        <w:t>：</w:t>
      </w:r>
      <w:r>
        <w:rPr>
          <w:rFonts w:ascii="宋体" w:hAnsi="宋体" w:eastAsia="宋体" w:cs="宋体"/>
          <w:color w:val="auto"/>
          <w:spacing w:val="-79"/>
          <w:sz w:val="21"/>
          <w:szCs w:val="21"/>
        </w:rPr>
        <w:t xml:space="preserve"> </w:t>
      </w:r>
      <w:r>
        <w:rPr>
          <w:rFonts w:ascii="宋体" w:hAnsi="宋体" w:eastAsia="宋体" w:cs="宋体"/>
          <w:color w:val="auto"/>
          <w:sz w:val="21"/>
          <w:szCs w:val="21"/>
          <w:u w:val="single" w:color="auto"/>
        </w:rPr>
        <w:t xml:space="preserve">                 </w:t>
      </w:r>
    </w:p>
    <w:p w14:paraId="1D155E99">
      <w:pPr>
        <w:spacing w:before="35" w:line="220" w:lineRule="auto"/>
        <w:ind w:left="123" w:firstLine="192" w:firstLineChars="1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9"/>
          <w:sz w:val="21"/>
          <w:szCs w:val="21"/>
          <w:lang w:eastAsia="zh-CN"/>
        </w:rPr>
        <w:t>日期：</w:t>
      </w:r>
      <w:r>
        <w:rPr>
          <w:rFonts w:hint="eastAsia" w:asciiTheme="minorEastAsia" w:hAnsiTheme="minorEastAsia" w:eastAsiaTheme="minorEastAsia" w:cstheme="minorEastAsia"/>
          <w:color w:val="auto"/>
          <w:spacing w:val="-9"/>
          <w:sz w:val="21"/>
          <w:szCs w:val="21"/>
          <w:lang w:val="en-US" w:eastAsia="zh-CN"/>
        </w:rPr>
        <w:t xml:space="preserve">   </w:t>
      </w:r>
      <w:r>
        <w:rPr>
          <w:rFonts w:hint="eastAsia" w:asciiTheme="minorEastAsia" w:hAnsiTheme="minorEastAsia" w:eastAsiaTheme="minorEastAsia" w:cstheme="minorEastAsia"/>
          <w:color w:val="auto"/>
          <w:spacing w:val="-9"/>
          <w:sz w:val="21"/>
          <w:szCs w:val="21"/>
        </w:rPr>
        <w:t>年</w:t>
      </w:r>
      <w:r>
        <w:rPr>
          <w:rFonts w:hint="eastAsia" w:asciiTheme="minorEastAsia" w:hAnsiTheme="minorEastAsia" w:eastAsiaTheme="minorEastAsia" w:cstheme="minorEastAsia"/>
          <w:color w:val="auto"/>
          <w:spacing w:val="3"/>
          <w:sz w:val="21"/>
          <w:szCs w:val="21"/>
        </w:rPr>
        <w:t xml:space="preserve">    </w:t>
      </w:r>
      <w:r>
        <w:rPr>
          <w:rFonts w:hint="eastAsia" w:asciiTheme="minorEastAsia" w:hAnsiTheme="minorEastAsia" w:eastAsiaTheme="minorEastAsia" w:cstheme="minorEastAsia"/>
          <w:color w:val="auto"/>
          <w:spacing w:val="-9"/>
          <w:sz w:val="21"/>
          <w:szCs w:val="21"/>
        </w:rPr>
        <w:t>月</w:t>
      </w:r>
      <w:r>
        <w:rPr>
          <w:rFonts w:hint="eastAsia" w:asciiTheme="minorEastAsia" w:hAnsiTheme="minorEastAsia" w:eastAsiaTheme="minorEastAsia" w:cstheme="minorEastAsia"/>
          <w:color w:val="auto"/>
          <w:spacing w:val="13"/>
          <w:sz w:val="21"/>
          <w:szCs w:val="21"/>
        </w:rPr>
        <w:t xml:space="preserve">    </w:t>
      </w:r>
      <w:r>
        <w:rPr>
          <w:rFonts w:hint="eastAsia" w:asciiTheme="minorEastAsia" w:hAnsiTheme="minorEastAsia" w:eastAsiaTheme="minorEastAsia" w:cstheme="minorEastAsia"/>
          <w:color w:val="auto"/>
          <w:spacing w:val="-9"/>
          <w:sz w:val="21"/>
          <w:szCs w:val="21"/>
        </w:rPr>
        <w:t>日</w:t>
      </w:r>
    </w:p>
    <w:p w14:paraId="140B6BC2">
      <w:pPr>
        <w:spacing w:line="220" w:lineRule="auto"/>
        <w:rPr>
          <w:rFonts w:ascii="宋体" w:hAnsi="宋体" w:eastAsia="宋体" w:cs="宋体"/>
          <w:color w:val="auto"/>
          <w:sz w:val="21"/>
          <w:szCs w:val="21"/>
        </w:rPr>
        <w:sectPr>
          <w:footerReference r:id="rId32" w:type="default"/>
          <w:pgSz w:w="11905" w:h="16838"/>
          <w:pgMar w:top="1417" w:right="1417" w:bottom="1417" w:left="1417" w:header="0" w:footer="1196" w:gutter="0"/>
          <w:pgNumType w:fmt="decimal"/>
          <w:cols w:space="0" w:num="1"/>
          <w:rtlGutter w:val="0"/>
          <w:docGrid w:linePitch="0" w:charSpace="0"/>
        </w:sectPr>
      </w:pPr>
    </w:p>
    <w:p w14:paraId="3B8E6B57">
      <w:pPr>
        <w:spacing w:before="78" w:line="219" w:lineRule="auto"/>
        <w:ind w:left="127"/>
        <w:outlineLvl w:val="2"/>
        <w:rPr>
          <w:rFonts w:ascii="宋体" w:hAnsi="宋体" w:eastAsia="宋体" w:cs="宋体"/>
          <w:color w:val="auto"/>
          <w:sz w:val="24"/>
          <w:szCs w:val="24"/>
        </w:rPr>
      </w:pPr>
      <w:r>
        <w:rPr>
          <w:rFonts w:ascii="宋体" w:hAnsi="宋体" w:eastAsia="宋体" w:cs="宋体"/>
          <w:b/>
          <w:bCs/>
          <w:color w:val="auto"/>
          <w:spacing w:val="-4"/>
          <w:sz w:val="24"/>
          <w:szCs w:val="24"/>
        </w:rPr>
        <w:t>7.投标人业绩证明材料</w:t>
      </w:r>
    </w:p>
    <w:p w14:paraId="253EB616">
      <w:pPr>
        <w:spacing w:line="308" w:lineRule="auto"/>
        <w:rPr>
          <w:rFonts w:ascii="Arial"/>
          <w:color w:val="auto"/>
          <w:sz w:val="21"/>
        </w:rPr>
      </w:pPr>
    </w:p>
    <w:p w14:paraId="25D75EC2">
      <w:pPr>
        <w:spacing w:before="78" w:line="212" w:lineRule="auto"/>
        <w:ind w:left="125"/>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5"/>
          <w:sz w:val="21"/>
          <w:szCs w:val="21"/>
        </w:rPr>
        <w:t>投标人业绩情况一览表格式：</w:t>
      </w:r>
    </w:p>
    <w:tbl>
      <w:tblPr>
        <w:tblStyle w:val="24"/>
        <w:tblW w:w="853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7"/>
        <w:gridCol w:w="1768"/>
        <w:gridCol w:w="1770"/>
        <w:gridCol w:w="2858"/>
      </w:tblGrid>
      <w:tr w14:paraId="34C51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2" w:hRule="atLeast"/>
        </w:trPr>
        <w:tc>
          <w:tcPr>
            <w:tcW w:w="2137" w:type="dxa"/>
            <w:vAlign w:val="top"/>
          </w:tcPr>
          <w:p w14:paraId="333094BE">
            <w:pPr>
              <w:spacing w:line="456" w:lineRule="auto"/>
              <w:rPr>
                <w:rFonts w:hint="eastAsia" w:asciiTheme="minorEastAsia" w:hAnsiTheme="minorEastAsia" w:eastAsiaTheme="minorEastAsia" w:cstheme="minorEastAsia"/>
                <w:color w:val="auto"/>
                <w:sz w:val="21"/>
                <w:szCs w:val="21"/>
              </w:rPr>
            </w:pPr>
          </w:p>
          <w:p w14:paraId="2E2AE1FC">
            <w:pPr>
              <w:pStyle w:val="25"/>
              <w:spacing w:before="78" w:line="219" w:lineRule="auto"/>
              <w:ind w:left="473"/>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采购人名称</w:t>
            </w:r>
          </w:p>
        </w:tc>
        <w:tc>
          <w:tcPr>
            <w:tcW w:w="1768" w:type="dxa"/>
            <w:vAlign w:val="top"/>
          </w:tcPr>
          <w:p w14:paraId="1901C4C8">
            <w:pPr>
              <w:spacing w:line="457" w:lineRule="auto"/>
              <w:rPr>
                <w:rFonts w:hint="eastAsia" w:asciiTheme="minorEastAsia" w:hAnsiTheme="minorEastAsia" w:eastAsiaTheme="minorEastAsia" w:cstheme="minorEastAsia"/>
                <w:color w:val="auto"/>
                <w:sz w:val="21"/>
                <w:szCs w:val="21"/>
              </w:rPr>
            </w:pPr>
          </w:p>
          <w:p w14:paraId="7454DEB0">
            <w:pPr>
              <w:pStyle w:val="25"/>
              <w:spacing w:before="78" w:line="220" w:lineRule="auto"/>
              <w:ind w:left="413"/>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3"/>
                <w:sz w:val="21"/>
                <w:szCs w:val="21"/>
              </w:rPr>
              <w:t>项目名称</w:t>
            </w:r>
          </w:p>
        </w:tc>
        <w:tc>
          <w:tcPr>
            <w:tcW w:w="1770" w:type="dxa"/>
            <w:vAlign w:val="top"/>
          </w:tcPr>
          <w:p w14:paraId="7CC5BB71">
            <w:pPr>
              <w:spacing w:line="338" w:lineRule="auto"/>
              <w:rPr>
                <w:rFonts w:hint="eastAsia" w:asciiTheme="minorEastAsia" w:hAnsiTheme="minorEastAsia" w:eastAsiaTheme="minorEastAsia" w:cstheme="minorEastAsia"/>
                <w:color w:val="auto"/>
                <w:sz w:val="21"/>
                <w:szCs w:val="21"/>
              </w:rPr>
            </w:pPr>
          </w:p>
          <w:p w14:paraId="3EB3BAAA">
            <w:pPr>
              <w:pStyle w:val="25"/>
              <w:spacing w:before="78" w:line="202" w:lineRule="auto"/>
              <w:ind w:left="416" w:right="403" w:hanging="5"/>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3"/>
                <w:sz w:val="21"/>
                <w:szCs w:val="21"/>
              </w:rPr>
              <w:t>合同金额</w:t>
            </w:r>
            <w:r>
              <w:rPr>
                <w:rFonts w:hint="eastAsia" w:asciiTheme="minorEastAsia" w:hAnsiTheme="minorEastAsia" w:eastAsiaTheme="minorEastAsia" w:cstheme="minorEastAsia"/>
                <w:color w:val="auto"/>
                <w:sz w:val="21"/>
                <w:szCs w:val="21"/>
              </w:rPr>
              <w:t xml:space="preserve"> </w:t>
            </w:r>
            <w:r>
              <w:rPr>
                <w:rFonts w:hint="eastAsia" w:asciiTheme="minorEastAsia" w:hAnsiTheme="minorEastAsia" w:eastAsiaTheme="minorEastAsia" w:cstheme="minorEastAsia"/>
                <w:color w:val="auto"/>
                <w:spacing w:val="-6"/>
                <w:sz w:val="21"/>
                <w:szCs w:val="21"/>
              </w:rPr>
              <w:t>（万元）</w:t>
            </w:r>
          </w:p>
        </w:tc>
        <w:tc>
          <w:tcPr>
            <w:tcW w:w="2858" w:type="dxa"/>
            <w:vAlign w:val="top"/>
          </w:tcPr>
          <w:p w14:paraId="08CAC6E9">
            <w:pPr>
              <w:spacing w:line="337" w:lineRule="auto"/>
              <w:rPr>
                <w:rFonts w:hint="eastAsia" w:asciiTheme="minorEastAsia" w:hAnsiTheme="minorEastAsia" w:eastAsiaTheme="minorEastAsia" w:cstheme="minorEastAsia"/>
                <w:color w:val="auto"/>
                <w:sz w:val="21"/>
                <w:szCs w:val="21"/>
              </w:rPr>
            </w:pPr>
          </w:p>
          <w:p w14:paraId="299206A9">
            <w:pPr>
              <w:pStyle w:val="25"/>
              <w:spacing w:before="78" w:line="203" w:lineRule="auto"/>
              <w:ind w:left="957" w:right="585" w:hanging="36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采购人联系人及</w:t>
            </w:r>
            <w:r>
              <w:rPr>
                <w:rFonts w:hint="eastAsia" w:asciiTheme="minorEastAsia" w:hAnsiTheme="minorEastAsia" w:eastAsiaTheme="minorEastAsia" w:cstheme="minorEastAsia"/>
                <w:color w:val="auto"/>
                <w:spacing w:val="4"/>
                <w:sz w:val="21"/>
                <w:szCs w:val="21"/>
              </w:rPr>
              <w:t xml:space="preserve"> </w:t>
            </w:r>
            <w:r>
              <w:rPr>
                <w:rFonts w:hint="eastAsia" w:asciiTheme="minorEastAsia" w:hAnsiTheme="minorEastAsia" w:eastAsiaTheme="minorEastAsia" w:cstheme="minorEastAsia"/>
                <w:color w:val="auto"/>
                <w:spacing w:val="-2"/>
                <w:sz w:val="21"/>
                <w:szCs w:val="21"/>
              </w:rPr>
              <w:t>联系电话</w:t>
            </w:r>
          </w:p>
        </w:tc>
      </w:tr>
      <w:tr w14:paraId="1D379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2137" w:type="dxa"/>
            <w:vAlign w:val="top"/>
          </w:tcPr>
          <w:p w14:paraId="7DE9F0F1">
            <w:pPr>
              <w:rPr>
                <w:rFonts w:hint="eastAsia" w:asciiTheme="minorEastAsia" w:hAnsiTheme="minorEastAsia" w:eastAsiaTheme="minorEastAsia" w:cstheme="minorEastAsia"/>
                <w:color w:val="auto"/>
                <w:sz w:val="21"/>
                <w:szCs w:val="21"/>
              </w:rPr>
            </w:pPr>
          </w:p>
        </w:tc>
        <w:tc>
          <w:tcPr>
            <w:tcW w:w="1768" w:type="dxa"/>
            <w:vAlign w:val="top"/>
          </w:tcPr>
          <w:p w14:paraId="4259C93C">
            <w:pPr>
              <w:rPr>
                <w:rFonts w:hint="eastAsia" w:asciiTheme="minorEastAsia" w:hAnsiTheme="minorEastAsia" w:eastAsiaTheme="minorEastAsia" w:cstheme="minorEastAsia"/>
                <w:color w:val="auto"/>
                <w:sz w:val="21"/>
                <w:szCs w:val="21"/>
              </w:rPr>
            </w:pPr>
          </w:p>
        </w:tc>
        <w:tc>
          <w:tcPr>
            <w:tcW w:w="1770" w:type="dxa"/>
            <w:vAlign w:val="top"/>
          </w:tcPr>
          <w:p w14:paraId="4B85B1BD">
            <w:pPr>
              <w:rPr>
                <w:rFonts w:hint="eastAsia" w:asciiTheme="minorEastAsia" w:hAnsiTheme="minorEastAsia" w:eastAsiaTheme="minorEastAsia" w:cstheme="minorEastAsia"/>
                <w:color w:val="auto"/>
                <w:sz w:val="21"/>
                <w:szCs w:val="21"/>
              </w:rPr>
            </w:pPr>
          </w:p>
        </w:tc>
        <w:tc>
          <w:tcPr>
            <w:tcW w:w="2858" w:type="dxa"/>
            <w:vAlign w:val="top"/>
          </w:tcPr>
          <w:p w14:paraId="507F2920">
            <w:pPr>
              <w:rPr>
                <w:rFonts w:hint="eastAsia" w:asciiTheme="minorEastAsia" w:hAnsiTheme="minorEastAsia" w:eastAsiaTheme="minorEastAsia" w:cstheme="minorEastAsia"/>
                <w:color w:val="auto"/>
                <w:sz w:val="21"/>
                <w:szCs w:val="21"/>
              </w:rPr>
            </w:pPr>
          </w:p>
        </w:tc>
      </w:tr>
      <w:tr w14:paraId="61C03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137" w:type="dxa"/>
            <w:vAlign w:val="top"/>
          </w:tcPr>
          <w:p w14:paraId="559406B8">
            <w:pPr>
              <w:rPr>
                <w:rFonts w:hint="eastAsia" w:asciiTheme="minorEastAsia" w:hAnsiTheme="minorEastAsia" w:eastAsiaTheme="minorEastAsia" w:cstheme="minorEastAsia"/>
                <w:color w:val="auto"/>
                <w:sz w:val="21"/>
                <w:szCs w:val="21"/>
              </w:rPr>
            </w:pPr>
          </w:p>
        </w:tc>
        <w:tc>
          <w:tcPr>
            <w:tcW w:w="1768" w:type="dxa"/>
            <w:vAlign w:val="top"/>
          </w:tcPr>
          <w:p w14:paraId="6D6D7D16">
            <w:pPr>
              <w:rPr>
                <w:rFonts w:hint="eastAsia" w:asciiTheme="minorEastAsia" w:hAnsiTheme="minorEastAsia" w:eastAsiaTheme="minorEastAsia" w:cstheme="minorEastAsia"/>
                <w:color w:val="auto"/>
                <w:sz w:val="21"/>
                <w:szCs w:val="21"/>
              </w:rPr>
            </w:pPr>
          </w:p>
        </w:tc>
        <w:tc>
          <w:tcPr>
            <w:tcW w:w="1770" w:type="dxa"/>
            <w:vAlign w:val="top"/>
          </w:tcPr>
          <w:p w14:paraId="7050C5D8">
            <w:pPr>
              <w:rPr>
                <w:rFonts w:hint="eastAsia" w:asciiTheme="minorEastAsia" w:hAnsiTheme="minorEastAsia" w:eastAsiaTheme="minorEastAsia" w:cstheme="minorEastAsia"/>
                <w:color w:val="auto"/>
                <w:sz w:val="21"/>
                <w:szCs w:val="21"/>
              </w:rPr>
            </w:pPr>
          </w:p>
        </w:tc>
        <w:tc>
          <w:tcPr>
            <w:tcW w:w="2858" w:type="dxa"/>
            <w:vAlign w:val="top"/>
          </w:tcPr>
          <w:p w14:paraId="6CAFECF0">
            <w:pPr>
              <w:rPr>
                <w:rFonts w:hint="eastAsia" w:asciiTheme="minorEastAsia" w:hAnsiTheme="minorEastAsia" w:eastAsiaTheme="minorEastAsia" w:cstheme="minorEastAsia"/>
                <w:color w:val="auto"/>
                <w:sz w:val="21"/>
                <w:szCs w:val="21"/>
              </w:rPr>
            </w:pPr>
          </w:p>
        </w:tc>
      </w:tr>
      <w:tr w14:paraId="3A85B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2137" w:type="dxa"/>
            <w:vAlign w:val="top"/>
          </w:tcPr>
          <w:p w14:paraId="66B90D87">
            <w:pPr>
              <w:rPr>
                <w:rFonts w:hint="eastAsia" w:asciiTheme="minorEastAsia" w:hAnsiTheme="minorEastAsia" w:eastAsiaTheme="minorEastAsia" w:cstheme="minorEastAsia"/>
                <w:color w:val="auto"/>
                <w:sz w:val="21"/>
                <w:szCs w:val="21"/>
              </w:rPr>
            </w:pPr>
          </w:p>
        </w:tc>
        <w:tc>
          <w:tcPr>
            <w:tcW w:w="1768" w:type="dxa"/>
            <w:vAlign w:val="top"/>
          </w:tcPr>
          <w:p w14:paraId="6ACD9EEE">
            <w:pPr>
              <w:rPr>
                <w:rFonts w:hint="eastAsia" w:asciiTheme="minorEastAsia" w:hAnsiTheme="minorEastAsia" w:eastAsiaTheme="minorEastAsia" w:cstheme="minorEastAsia"/>
                <w:color w:val="auto"/>
                <w:sz w:val="21"/>
                <w:szCs w:val="21"/>
              </w:rPr>
            </w:pPr>
          </w:p>
        </w:tc>
        <w:tc>
          <w:tcPr>
            <w:tcW w:w="1770" w:type="dxa"/>
            <w:vAlign w:val="top"/>
          </w:tcPr>
          <w:p w14:paraId="039D84B8">
            <w:pPr>
              <w:rPr>
                <w:rFonts w:hint="eastAsia" w:asciiTheme="minorEastAsia" w:hAnsiTheme="minorEastAsia" w:eastAsiaTheme="minorEastAsia" w:cstheme="minorEastAsia"/>
                <w:color w:val="auto"/>
                <w:sz w:val="21"/>
                <w:szCs w:val="21"/>
              </w:rPr>
            </w:pPr>
          </w:p>
        </w:tc>
        <w:tc>
          <w:tcPr>
            <w:tcW w:w="2858" w:type="dxa"/>
            <w:vAlign w:val="top"/>
          </w:tcPr>
          <w:p w14:paraId="680E14A7">
            <w:pPr>
              <w:rPr>
                <w:rFonts w:hint="eastAsia" w:asciiTheme="minorEastAsia" w:hAnsiTheme="minorEastAsia" w:eastAsiaTheme="minorEastAsia" w:cstheme="minorEastAsia"/>
                <w:color w:val="auto"/>
                <w:sz w:val="21"/>
                <w:szCs w:val="21"/>
              </w:rPr>
            </w:pPr>
          </w:p>
        </w:tc>
      </w:tr>
      <w:tr w14:paraId="4B4D73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137" w:type="dxa"/>
            <w:vAlign w:val="top"/>
          </w:tcPr>
          <w:p w14:paraId="4AD33E8F">
            <w:pPr>
              <w:rPr>
                <w:rFonts w:hint="eastAsia" w:asciiTheme="minorEastAsia" w:hAnsiTheme="minorEastAsia" w:eastAsiaTheme="minorEastAsia" w:cstheme="minorEastAsia"/>
                <w:color w:val="auto"/>
                <w:sz w:val="21"/>
                <w:szCs w:val="21"/>
              </w:rPr>
            </w:pPr>
          </w:p>
        </w:tc>
        <w:tc>
          <w:tcPr>
            <w:tcW w:w="1768" w:type="dxa"/>
            <w:vAlign w:val="top"/>
          </w:tcPr>
          <w:p w14:paraId="4ADDDDB8">
            <w:pPr>
              <w:rPr>
                <w:rFonts w:hint="eastAsia" w:asciiTheme="minorEastAsia" w:hAnsiTheme="minorEastAsia" w:eastAsiaTheme="minorEastAsia" w:cstheme="minorEastAsia"/>
                <w:color w:val="auto"/>
                <w:sz w:val="21"/>
                <w:szCs w:val="21"/>
              </w:rPr>
            </w:pPr>
          </w:p>
        </w:tc>
        <w:tc>
          <w:tcPr>
            <w:tcW w:w="1770" w:type="dxa"/>
            <w:vAlign w:val="top"/>
          </w:tcPr>
          <w:p w14:paraId="4094B931">
            <w:pPr>
              <w:rPr>
                <w:rFonts w:hint="eastAsia" w:asciiTheme="minorEastAsia" w:hAnsiTheme="minorEastAsia" w:eastAsiaTheme="minorEastAsia" w:cstheme="minorEastAsia"/>
                <w:color w:val="auto"/>
                <w:sz w:val="21"/>
                <w:szCs w:val="21"/>
              </w:rPr>
            </w:pPr>
          </w:p>
        </w:tc>
        <w:tc>
          <w:tcPr>
            <w:tcW w:w="2858" w:type="dxa"/>
            <w:vAlign w:val="top"/>
          </w:tcPr>
          <w:p w14:paraId="600A9201">
            <w:pPr>
              <w:rPr>
                <w:rFonts w:hint="eastAsia" w:asciiTheme="minorEastAsia" w:hAnsiTheme="minorEastAsia" w:eastAsiaTheme="minorEastAsia" w:cstheme="minorEastAsia"/>
                <w:color w:val="auto"/>
                <w:sz w:val="21"/>
                <w:szCs w:val="21"/>
              </w:rPr>
            </w:pPr>
          </w:p>
        </w:tc>
      </w:tr>
      <w:tr w14:paraId="30EFE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2137" w:type="dxa"/>
            <w:vAlign w:val="top"/>
          </w:tcPr>
          <w:p w14:paraId="75707103">
            <w:pPr>
              <w:rPr>
                <w:rFonts w:hint="eastAsia" w:asciiTheme="minorEastAsia" w:hAnsiTheme="minorEastAsia" w:eastAsiaTheme="minorEastAsia" w:cstheme="minorEastAsia"/>
                <w:color w:val="auto"/>
                <w:sz w:val="21"/>
                <w:szCs w:val="21"/>
              </w:rPr>
            </w:pPr>
          </w:p>
        </w:tc>
        <w:tc>
          <w:tcPr>
            <w:tcW w:w="1768" w:type="dxa"/>
            <w:vAlign w:val="top"/>
          </w:tcPr>
          <w:p w14:paraId="0F4C25C5">
            <w:pPr>
              <w:rPr>
                <w:rFonts w:hint="eastAsia" w:asciiTheme="minorEastAsia" w:hAnsiTheme="minorEastAsia" w:eastAsiaTheme="minorEastAsia" w:cstheme="minorEastAsia"/>
                <w:color w:val="auto"/>
                <w:sz w:val="21"/>
                <w:szCs w:val="21"/>
              </w:rPr>
            </w:pPr>
          </w:p>
        </w:tc>
        <w:tc>
          <w:tcPr>
            <w:tcW w:w="1770" w:type="dxa"/>
            <w:vAlign w:val="top"/>
          </w:tcPr>
          <w:p w14:paraId="7D7BCDFD">
            <w:pPr>
              <w:rPr>
                <w:rFonts w:hint="eastAsia" w:asciiTheme="minorEastAsia" w:hAnsiTheme="minorEastAsia" w:eastAsiaTheme="minorEastAsia" w:cstheme="minorEastAsia"/>
                <w:color w:val="auto"/>
                <w:sz w:val="21"/>
                <w:szCs w:val="21"/>
              </w:rPr>
            </w:pPr>
          </w:p>
        </w:tc>
        <w:tc>
          <w:tcPr>
            <w:tcW w:w="2858" w:type="dxa"/>
            <w:vAlign w:val="top"/>
          </w:tcPr>
          <w:p w14:paraId="2BDB6F9F">
            <w:pPr>
              <w:rPr>
                <w:rFonts w:hint="eastAsia" w:asciiTheme="minorEastAsia" w:hAnsiTheme="minorEastAsia" w:eastAsiaTheme="minorEastAsia" w:cstheme="minorEastAsia"/>
                <w:color w:val="auto"/>
                <w:sz w:val="21"/>
                <w:szCs w:val="21"/>
              </w:rPr>
            </w:pPr>
          </w:p>
        </w:tc>
      </w:tr>
    </w:tbl>
    <w:p w14:paraId="22ADF056">
      <w:pPr>
        <w:spacing w:line="423" w:lineRule="auto"/>
        <w:rPr>
          <w:rFonts w:hint="eastAsia" w:asciiTheme="minorEastAsia" w:hAnsiTheme="minorEastAsia" w:eastAsiaTheme="minorEastAsia" w:cstheme="minorEastAsia"/>
          <w:color w:val="auto"/>
          <w:sz w:val="21"/>
          <w:szCs w:val="21"/>
        </w:rPr>
      </w:pPr>
    </w:p>
    <w:p w14:paraId="1B2C0B9A">
      <w:pPr>
        <w:spacing w:before="78" w:line="218" w:lineRule="auto"/>
        <w:ind w:left="12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注：投标人根据评标标准具体要求附业绩证明材料。</w:t>
      </w:r>
    </w:p>
    <w:p w14:paraId="6ABABE79">
      <w:pPr>
        <w:spacing w:before="182" w:line="346" w:lineRule="auto"/>
        <w:ind w:left="124" w:right="1704" w:hanging="1"/>
        <w:rPr>
          <w:rFonts w:hint="eastAsia" w:asciiTheme="minorEastAsia" w:hAnsiTheme="minorEastAsia" w:eastAsiaTheme="minorEastAsia" w:cstheme="minorEastAsia"/>
          <w:color w:val="auto"/>
          <w:spacing w:val="-2"/>
          <w:sz w:val="21"/>
          <w:szCs w:val="21"/>
        </w:rPr>
      </w:pPr>
    </w:p>
    <w:p w14:paraId="3CDD47D4">
      <w:pPr>
        <w:spacing w:before="182" w:line="346" w:lineRule="auto"/>
        <w:ind w:left="124" w:right="1704" w:hanging="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投标人名称（电子签章</w:t>
      </w:r>
      <w:r>
        <w:rPr>
          <w:rFonts w:hint="eastAsia" w:asciiTheme="minorEastAsia" w:hAnsiTheme="minorEastAsia" w:eastAsiaTheme="minorEastAsia" w:cstheme="minorEastAsia"/>
          <w:color w:val="auto"/>
          <w:spacing w:val="3"/>
          <w:sz w:val="21"/>
          <w:szCs w:val="21"/>
        </w:rPr>
        <w:t>）：</w:t>
      </w:r>
      <w:r>
        <w:rPr>
          <w:rFonts w:hint="eastAsia" w:asciiTheme="minorEastAsia" w:hAnsiTheme="minorEastAsia" w:eastAsiaTheme="minorEastAsia" w:cstheme="minorEastAsia"/>
          <w:color w:val="auto"/>
          <w:spacing w:val="1"/>
          <w:sz w:val="21"/>
          <w:szCs w:val="21"/>
        </w:rPr>
        <w:t xml:space="preserve"> </w:t>
      </w:r>
      <w:r>
        <w:rPr>
          <w:rFonts w:hint="eastAsia" w:asciiTheme="minorEastAsia" w:hAnsiTheme="minorEastAsia" w:eastAsiaTheme="minorEastAsia" w:cstheme="minorEastAsia"/>
          <w:color w:val="auto"/>
          <w:sz w:val="21"/>
          <w:szCs w:val="21"/>
          <w:u w:val="single" w:color="auto"/>
        </w:rPr>
        <w:t xml:space="preserve">                 </w:t>
      </w:r>
    </w:p>
    <w:p w14:paraId="458E02EB">
      <w:pPr>
        <w:spacing w:before="35" w:line="220" w:lineRule="auto"/>
        <w:ind w:left="123"/>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9"/>
          <w:sz w:val="21"/>
          <w:szCs w:val="21"/>
          <w:lang w:eastAsia="zh-CN"/>
        </w:rPr>
        <w:t>日期：</w:t>
      </w:r>
      <w:r>
        <w:rPr>
          <w:rFonts w:hint="eastAsia" w:asciiTheme="minorEastAsia" w:hAnsiTheme="minorEastAsia" w:eastAsiaTheme="minorEastAsia" w:cstheme="minorEastAsia"/>
          <w:color w:val="auto"/>
          <w:spacing w:val="-9"/>
          <w:sz w:val="21"/>
          <w:szCs w:val="21"/>
          <w:lang w:val="en-US" w:eastAsia="zh-CN"/>
        </w:rPr>
        <w:t xml:space="preserve">   </w:t>
      </w:r>
      <w:r>
        <w:rPr>
          <w:rFonts w:hint="eastAsia" w:asciiTheme="minorEastAsia" w:hAnsiTheme="minorEastAsia" w:eastAsiaTheme="minorEastAsia" w:cstheme="minorEastAsia"/>
          <w:color w:val="auto"/>
          <w:spacing w:val="-9"/>
          <w:sz w:val="21"/>
          <w:szCs w:val="21"/>
        </w:rPr>
        <w:t>年</w:t>
      </w:r>
      <w:r>
        <w:rPr>
          <w:rFonts w:hint="eastAsia" w:asciiTheme="minorEastAsia" w:hAnsiTheme="minorEastAsia" w:eastAsiaTheme="minorEastAsia" w:cstheme="minorEastAsia"/>
          <w:color w:val="auto"/>
          <w:spacing w:val="3"/>
          <w:sz w:val="21"/>
          <w:szCs w:val="21"/>
        </w:rPr>
        <w:t xml:space="preserve">    </w:t>
      </w:r>
      <w:r>
        <w:rPr>
          <w:rFonts w:hint="eastAsia" w:asciiTheme="minorEastAsia" w:hAnsiTheme="minorEastAsia" w:eastAsiaTheme="minorEastAsia" w:cstheme="minorEastAsia"/>
          <w:color w:val="auto"/>
          <w:spacing w:val="-9"/>
          <w:sz w:val="21"/>
          <w:szCs w:val="21"/>
        </w:rPr>
        <w:t>月</w:t>
      </w:r>
      <w:r>
        <w:rPr>
          <w:rFonts w:hint="eastAsia" w:asciiTheme="minorEastAsia" w:hAnsiTheme="minorEastAsia" w:eastAsiaTheme="minorEastAsia" w:cstheme="minorEastAsia"/>
          <w:color w:val="auto"/>
          <w:spacing w:val="13"/>
          <w:sz w:val="21"/>
          <w:szCs w:val="21"/>
        </w:rPr>
        <w:t xml:space="preserve">    </w:t>
      </w:r>
      <w:r>
        <w:rPr>
          <w:rFonts w:hint="eastAsia" w:asciiTheme="minorEastAsia" w:hAnsiTheme="minorEastAsia" w:eastAsiaTheme="minorEastAsia" w:cstheme="minorEastAsia"/>
          <w:color w:val="auto"/>
          <w:spacing w:val="-9"/>
          <w:sz w:val="21"/>
          <w:szCs w:val="21"/>
        </w:rPr>
        <w:t>日</w:t>
      </w:r>
    </w:p>
    <w:p w14:paraId="21E9EE6F">
      <w:pPr>
        <w:spacing w:line="220" w:lineRule="auto"/>
        <w:rPr>
          <w:rFonts w:hint="eastAsia" w:asciiTheme="minorEastAsia" w:hAnsiTheme="minorEastAsia" w:eastAsiaTheme="minorEastAsia" w:cstheme="minorEastAsia"/>
          <w:color w:val="auto"/>
          <w:sz w:val="21"/>
          <w:szCs w:val="21"/>
        </w:rPr>
      </w:pPr>
    </w:p>
    <w:p w14:paraId="4B36497B">
      <w:pPr>
        <w:pStyle w:val="6"/>
        <w:rPr>
          <w:rFonts w:hint="eastAsia" w:asciiTheme="minorEastAsia" w:hAnsiTheme="minorEastAsia" w:eastAsiaTheme="minorEastAsia" w:cstheme="minorEastAsia"/>
          <w:color w:val="auto"/>
          <w:sz w:val="21"/>
          <w:szCs w:val="21"/>
        </w:rPr>
        <w:sectPr>
          <w:footerReference r:id="rId33" w:type="default"/>
          <w:pgSz w:w="11905" w:h="16838"/>
          <w:pgMar w:top="1417" w:right="1417" w:bottom="1417" w:left="1417" w:header="0" w:footer="1196" w:gutter="0"/>
          <w:pgNumType w:fmt="decimal"/>
          <w:cols w:space="0" w:num="1"/>
          <w:rtlGutter w:val="0"/>
          <w:docGrid w:linePitch="0" w:charSpace="0"/>
        </w:sectPr>
      </w:pPr>
    </w:p>
    <w:p w14:paraId="03F25E31">
      <w:pPr>
        <w:spacing w:before="91" w:line="220" w:lineRule="auto"/>
        <w:outlineLvl w:val="1"/>
        <w:rPr>
          <w:rFonts w:ascii="宋体" w:hAnsi="宋体" w:eastAsia="宋体" w:cs="宋体"/>
          <w:color w:val="auto"/>
          <w:sz w:val="28"/>
          <w:szCs w:val="28"/>
        </w:rPr>
      </w:pPr>
      <w:r>
        <w:rPr>
          <w:rFonts w:ascii="宋体" w:hAnsi="宋体" w:eastAsia="宋体" w:cs="宋体"/>
          <w:b/>
          <w:bCs/>
          <w:color w:val="auto"/>
          <w:spacing w:val="-7"/>
          <w:sz w:val="28"/>
          <w:szCs w:val="28"/>
        </w:rPr>
        <w:t>四、技术文件格式</w:t>
      </w:r>
    </w:p>
    <w:p w14:paraId="01692E36">
      <w:pPr>
        <w:spacing w:before="147" w:line="220" w:lineRule="auto"/>
        <w:ind w:left="131"/>
        <w:outlineLvl w:val="2"/>
        <w:rPr>
          <w:rFonts w:ascii="宋体" w:hAnsi="宋体" w:eastAsia="宋体" w:cs="宋体"/>
          <w:color w:val="auto"/>
          <w:sz w:val="24"/>
          <w:szCs w:val="24"/>
        </w:rPr>
      </w:pPr>
      <w:r>
        <w:rPr>
          <w:rFonts w:ascii="宋体" w:hAnsi="宋体" w:eastAsia="宋体" w:cs="宋体"/>
          <w:b/>
          <w:bCs/>
          <w:color w:val="auto"/>
          <w:spacing w:val="-7"/>
          <w:sz w:val="24"/>
          <w:szCs w:val="24"/>
        </w:rPr>
        <w:t>1.</w:t>
      </w:r>
      <w:r>
        <w:rPr>
          <w:rFonts w:ascii="宋体" w:hAnsi="宋体" w:eastAsia="宋体" w:cs="宋体"/>
          <w:color w:val="auto"/>
          <w:spacing w:val="-7"/>
          <w:sz w:val="24"/>
          <w:szCs w:val="24"/>
        </w:rPr>
        <w:t xml:space="preserve"> </w:t>
      </w:r>
      <w:r>
        <w:rPr>
          <w:rFonts w:ascii="宋体" w:hAnsi="宋体" w:eastAsia="宋体" w:cs="宋体"/>
          <w:b/>
          <w:bCs/>
          <w:color w:val="auto"/>
          <w:spacing w:val="-7"/>
          <w:sz w:val="24"/>
          <w:szCs w:val="24"/>
        </w:rPr>
        <w:t>技术文件封面格式：</w:t>
      </w:r>
    </w:p>
    <w:p w14:paraId="26497182">
      <w:pPr>
        <w:spacing w:before="322" w:line="195" w:lineRule="auto"/>
        <w:ind w:left="3442"/>
        <w:outlineLvl w:val="3"/>
        <w:rPr>
          <w:rFonts w:ascii="微软雅黑" w:hAnsi="微软雅黑" w:eastAsia="微软雅黑" w:cs="微软雅黑"/>
          <w:color w:val="auto"/>
          <w:sz w:val="48"/>
          <w:szCs w:val="48"/>
        </w:rPr>
      </w:pPr>
      <w:r>
        <w:rPr>
          <w:rFonts w:ascii="微软雅黑" w:hAnsi="微软雅黑" w:eastAsia="微软雅黑" w:cs="微软雅黑"/>
          <w:color w:val="auto"/>
          <w:spacing w:val="-5"/>
          <w:sz w:val="48"/>
          <w:szCs w:val="48"/>
        </w:rPr>
        <w:t>电子投标文件</w:t>
      </w:r>
    </w:p>
    <w:p w14:paraId="7E88514F">
      <w:pPr>
        <w:spacing w:line="416" w:lineRule="auto"/>
        <w:rPr>
          <w:rFonts w:ascii="Arial"/>
          <w:color w:val="auto"/>
          <w:sz w:val="21"/>
        </w:rPr>
      </w:pPr>
    </w:p>
    <w:p w14:paraId="42894DE0">
      <w:pPr>
        <w:spacing w:before="100" w:line="225" w:lineRule="auto"/>
        <w:ind w:left="4152"/>
        <w:rPr>
          <w:rFonts w:ascii="宋体" w:hAnsi="宋体" w:eastAsia="宋体" w:cs="宋体"/>
          <w:color w:val="auto"/>
          <w:sz w:val="31"/>
          <w:szCs w:val="31"/>
        </w:rPr>
      </w:pPr>
      <w:r>
        <w:rPr>
          <w:rFonts w:ascii="宋体" w:hAnsi="宋体" w:eastAsia="宋体" w:cs="宋体"/>
          <w:b/>
          <w:bCs/>
          <w:color w:val="auto"/>
          <w:spacing w:val="4"/>
          <w:sz w:val="31"/>
          <w:szCs w:val="31"/>
        </w:rPr>
        <w:t>技术文件</w:t>
      </w:r>
    </w:p>
    <w:p w14:paraId="7287CF4A">
      <w:pPr>
        <w:spacing w:line="288" w:lineRule="auto"/>
        <w:rPr>
          <w:rFonts w:ascii="Arial"/>
          <w:color w:val="auto"/>
          <w:sz w:val="21"/>
        </w:rPr>
      </w:pPr>
    </w:p>
    <w:p w14:paraId="2AAC2A6C">
      <w:pPr>
        <w:spacing w:line="288" w:lineRule="auto"/>
        <w:rPr>
          <w:rFonts w:ascii="Arial"/>
          <w:color w:val="auto"/>
          <w:sz w:val="21"/>
        </w:rPr>
      </w:pPr>
    </w:p>
    <w:p w14:paraId="1B96B5CC">
      <w:pPr>
        <w:spacing w:before="78" w:line="220" w:lineRule="auto"/>
        <w:ind w:left="335"/>
        <w:rPr>
          <w:rFonts w:ascii="宋体" w:hAnsi="宋体" w:eastAsia="宋体" w:cs="宋体"/>
          <w:color w:val="auto"/>
          <w:sz w:val="24"/>
          <w:szCs w:val="24"/>
        </w:rPr>
      </w:pPr>
      <w:r>
        <w:rPr>
          <w:rFonts w:ascii="宋体" w:hAnsi="宋体" w:eastAsia="宋体" w:cs="宋体"/>
          <w:color w:val="auto"/>
          <w:spacing w:val="-11"/>
          <w:sz w:val="24"/>
          <w:szCs w:val="24"/>
        </w:rPr>
        <w:t>项目名称：</w:t>
      </w:r>
    </w:p>
    <w:p w14:paraId="772F2908">
      <w:pPr>
        <w:spacing w:before="232" w:line="220" w:lineRule="auto"/>
        <w:ind w:left="335"/>
        <w:rPr>
          <w:rFonts w:ascii="宋体" w:hAnsi="宋体" w:eastAsia="宋体" w:cs="宋体"/>
          <w:color w:val="auto"/>
          <w:sz w:val="24"/>
          <w:szCs w:val="24"/>
        </w:rPr>
      </w:pPr>
      <w:r>
        <w:rPr>
          <w:rFonts w:ascii="宋体" w:hAnsi="宋体" w:eastAsia="宋体" w:cs="宋体"/>
          <w:color w:val="auto"/>
          <w:spacing w:val="-11"/>
          <w:sz w:val="24"/>
          <w:szCs w:val="24"/>
        </w:rPr>
        <w:t>项目编号：</w:t>
      </w:r>
    </w:p>
    <w:p w14:paraId="648E7EED">
      <w:pPr>
        <w:spacing w:before="236" w:line="220" w:lineRule="auto"/>
        <w:ind w:left="332"/>
        <w:rPr>
          <w:rFonts w:ascii="宋体" w:hAnsi="宋体" w:eastAsia="宋体" w:cs="宋体"/>
          <w:color w:val="auto"/>
          <w:sz w:val="24"/>
          <w:szCs w:val="24"/>
        </w:rPr>
      </w:pPr>
      <w:r>
        <w:rPr>
          <w:rFonts w:ascii="宋体" w:hAnsi="宋体" w:eastAsia="宋体" w:cs="宋体"/>
          <w:color w:val="auto"/>
          <w:spacing w:val="-11"/>
          <w:sz w:val="24"/>
          <w:szCs w:val="24"/>
        </w:rPr>
        <w:t>所投分标：</w:t>
      </w:r>
    </w:p>
    <w:p w14:paraId="417EB11E">
      <w:pPr>
        <w:spacing w:before="235" w:line="369" w:lineRule="auto"/>
        <w:ind w:left="334" w:right="7242"/>
        <w:rPr>
          <w:rFonts w:ascii="宋体" w:hAnsi="宋体" w:eastAsia="宋体" w:cs="宋体"/>
          <w:color w:val="auto"/>
          <w:sz w:val="24"/>
          <w:szCs w:val="24"/>
        </w:rPr>
      </w:pPr>
      <w:r>
        <w:rPr>
          <w:rFonts w:ascii="宋体" w:hAnsi="宋体" w:eastAsia="宋体" w:cs="宋体"/>
          <w:color w:val="auto"/>
          <w:spacing w:val="-12"/>
          <w:sz w:val="24"/>
          <w:szCs w:val="24"/>
        </w:rPr>
        <w:t>投标人名称：</w:t>
      </w:r>
      <w:r>
        <w:rPr>
          <w:rFonts w:ascii="宋体" w:hAnsi="宋体" w:eastAsia="宋体" w:cs="宋体"/>
          <w:color w:val="auto"/>
          <w:spacing w:val="3"/>
          <w:sz w:val="24"/>
          <w:szCs w:val="24"/>
        </w:rPr>
        <w:t xml:space="preserve"> </w:t>
      </w:r>
      <w:r>
        <w:rPr>
          <w:rFonts w:ascii="宋体" w:hAnsi="宋体" w:eastAsia="宋体" w:cs="宋体"/>
          <w:color w:val="auto"/>
          <w:spacing w:val="-12"/>
          <w:sz w:val="24"/>
          <w:szCs w:val="24"/>
        </w:rPr>
        <w:t>投标人地址：</w:t>
      </w:r>
    </w:p>
    <w:p w14:paraId="71FC139D">
      <w:pPr>
        <w:spacing w:before="1" w:line="219" w:lineRule="auto"/>
        <w:ind w:left="5714"/>
        <w:rPr>
          <w:rFonts w:ascii="宋体" w:hAnsi="宋体" w:eastAsia="宋体" w:cs="宋体"/>
          <w:color w:val="auto"/>
          <w:sz w:val="24"/>
          <w:szCs w:val="24"/>
        </w:rPr>
      </w:pPr>
      <w:r>
        <w:rPr>
          <w:rFonts w:ascii="宋体" w:hAnsi="宋体" w:eastAsia="宋体" w:cs="宋体"/>
          <w:color w:val="auto"/>
          <w:spacing w:val="-9"/>
          <w:sz w:val="24"/>
          <w:szCs w:val="24"/>
        </w:rPr>
        <w:t>年</w:t>
      </w:r>
      <w:r>
        <w:rPr>
          <w:rFonts w:ascii="宋体" w:hAnsi="宋体" w:eastAsia="宋体" w:cs="宋体"/>
          <w:color w:val="auto"/>
          <w:spacing w:val="3"/>
          <w:sz w:val="24"/>
          <w:szCs w:val="24"/>
        </w:rPr>
        <w:t xml:space="preserve">    </w:t>
      </w:r>
      <w:r>
        <w:rPr>
          <w:rFonts w:ascii="宋体" w:hAnsi="宋体" w:eastAsia="宋体" w:cs="宋体"/>
          <w:color w:val="auto"/>
          <w:spacing w:val="-9"/>
          <w:sz w:val="24"/>
          <w:szCs w:val="24"/>
        </w:rPr>
        <w:t>月</w:t>
      </w:r>
      <w:r>
        <w:rPr>
          <w:rFonts w:ascii="宋体" w:hAnsi="宋体" w:eastAsia="宋体" w:cs="宋体"/>
          <w:color w:val="auto"/>
          <w:spacing w:val="13"/>
          <w:sz w:val="24"/>
          <w:szCs w:val="24"/>
        </w:rPr>
        <w:t xml:space="preserve">    </w:t>
      </w:r>
      <w:r>
        <w:rPr>
          <w:rFonts w:ascii="宋体" w:hAnsi="宋体" w:eastAsia="宋体" w:cs="宋体"/>
          <w:color w:val="auto"/>
          <w:spacing w:val="-9"/>
          <w:sz w:val="24"/>
          <w:szCs w:val="24"/>
        </w:rPr>
        <w:t>日</w:t>
      </w:r>
    </w:p>
    <w:p w14:paraId="7510E91C">
      <w:pPr>
        <w:spacing w:line="219" w:lineRule="auto"/>
        <w:rPr>
          <w:rFonts w:ascii="宋体" w:hAnsi="宋体" w:eastAsia="宋体" w:cs="宋体"/>
          <w:color w:val="auto"/>
          <w:sz w:val="24"/>
          <w:szCs w:val="24"/>
        </w:rPr>
        <w:sectPr>
          <w:footerReference r:id="rId34" w:type="default"/>
          <w:pgSz w:w="11905" w:h="16838"/>
          <w:pgMar w:top="1417" w:right="1417" w:bottom="1417" w:left="1417" w:header="0" w:footer="1196" w:gutter="0"/>
          <w:pgNumType w:fmt="decimal"/>
          <w:cols w:space="0" w:num="1"/>
          <w:rtlGutter w:val="0"/>
          <w:docGrid w:linePitch="0" w:charSpace="0"/>
        </w:sectPr>
      </w:pPr>
    </w:p>
    <w:p w14:paraId="29805543">
      <w:pPr>
        <w:spacing w:before="78" w:line="220" w:lineRule="auto"/>
        <w:outlineLvl w:val="2"/>
        <w:rPr>
          <w:rFonts w:ascii="宋体" w:hAnsi="宋体" w:eastAsia="宋体" w:cs="宋体"/>
          <w:color w:val="auto"/>
          <w:sz w:val="24"/>
          <w:szCs w:val="24"/>
        </w:rPr>
      </w:pPr>
      <w:r>
        <w:rPr>
          <w:rFonts w:ascii="宋体" w:hAnsi="宋体" w:eastAsia="宋体" w:cs="宋体"/>
          <w:b/>
          <w:bCs/>
          <w:color w:val="auto"/>
          <w:spacing w:val="-4"/>
          <w:sz w:val="24"/>
          <w:szCs w:val="24"/>
        </w:rPr>
        <w:t>2.技术文件目录</w:t>
      </w:r>
    </w:p>
    <w:p w14:paraId="469E155F">
      <w:pPr>
        <w:spacing w:before="85" w:line="220" w:lineRule="auto"/>
        <w:ind w:left="137"/>
        <w:rPr>
          <w:rFonts w:ascii="宋体" w:hAnsi="宋体" w:eastAsia="宋体" w:cs="宋体"/>
          <w:color w:val="auto"/>
          <w:sz w:val="21"/>
          <w:szCs w:val="21"/>
        </w:rPr>
      </w:pPr>
      <w:r>
        <w:rPr>
          <w:rFonts w:ascii="宋体" w:hAnsi="宋体" w:eastAsia="宋体" w:cs="宋体"/>
          <w:color w:val="auto"/>
          <w:spacing w:val="-1"/>
          <w:sz w:val="21"/>
          <w:szCs w:val="21"/>
        </w:rPr>
        <w:t>根据招标文件规定及投标人提供的材料自行编写目录。</w:t>
      </w:r>
    </w:p>
    <w:p w14:paraId="55D94490">
      <w:pPr>
        <w:spacing w:line="220" w:lineRule="auto"/>
        <w:rPr>
          <w:rFonts w:ascii="宋体" w:hAnsi="宋体" w:eastAsia="宋体" w:cs="宋体"/>
          <w:color w:val="auto"/>
          <w:sz w:val="21"/>
          <w:szCs w:val="21"/>
        </w:rPr>
        <w:sectPr>
          <w:footerReference r:id="rId35" w:type="default"/>
          <w:pgSz w:w="11905" w:h="16838"/>
          <w:pgMar w:top="1417" w:right="1417" w:bottom="1417" w:left="1417" w:header="0" w:footer="1196" w:gutter="0"/>
          <w:pgNumType w:fmt="decimal"/>
          <w:cols w:space="0" w:num="1"/>
          <w:rtlGutter w:val="0"/>
          <w:docGrid w:linePitch="0" w:charSpace="0"/>
        </w:sectPr>
      </w:pPr>
    </w:p>
    <w:p w14:paraId="03E0DA4F">
      <w:pPr>
        <w:spacing w:before="78" w:line="220" w:lineRule="auto"/>
        <w:ind w:left="146"/>
        <w:outlineLvl w:val="2"/>
        <w:rPr>
          <w:rFonts w:ascii="宋体" w:hAnsi="宋体" w:eastAsia="宋体" w:cs="宋体"/>
          <w:color w:val="auto"/>
          <w:sz w:val="24"/>
          <w:szCs w:val="24"/>
        </w:rPr>
      </w:pPr>
      <w:r>
        <w:rPr>
          <w:rFonts w:ascii="宋体" w:hAnsi="宋体" w:eastAsia="宋体" w:cs="宋体"/>
          <w:b/>
          <w:bCs/>
          <w:color w:val="auto"/>
          <w:spacing w:val="-4"/>
          <w:sz w:val="24"/>
          <w:szCs w:val="24"/>
        </w:rPr>
        <w:t>3.技术要求偏离表格式</w:t>
      </w:r>
    </w:p>
    <w:p w14:paraId="7B9615F9">
      <w:pPr>
        <w:spacing w:line="243" w:lineRule="auto"/>
        <w:rPr>
          <w:rFonts w:ascii="Arial"/>
          <w:color w:val="auto"/>
          <w:sz w:val="21"/>
        </w:rPr>
      </w:pPr>
    </w:p>
    <w:p w14:paraId="061835FB">
      <w:pPr>
        <w:spacing w:line="243" w:lineRule="auto"/>
        <w:rPr>
          <w:rFonts w:ascii="Arial"/>
          <w:color w:val="auto"/>
          <w:sz w:val="21"/>
        </w:rPr>
      </w:pPr>
    </w:p>
    <w:p w14:paraId="2DB5E091">
      <w:pPr>
        <w:spacing w:before="101" w:line="225" w:lineRule="auto"/>
        <w:ind w:left="3770"/>
        <w:rPr>
          <w:rFonts w:ascii="宋体" w:hAnsi="宋体" w:eastAsia="宋体" w:cs="宋体"/>
          <w:color w:val="auto"/>
          <w:sz w:val="28"/>
          <w:szCs w:val="28"/>
        </w:rPr>
      </w:pPr>
      <w:r>
        <w:rPr>
          <w:rFonts w:ascii="宋体" w:hAnsi="宋体" w:eastAsia="宋体" w:cs="宋体"/>
          <w:b/>
          <w:bCs/>
          <w:color w:val="auto"/>
          <w:spacing w:val="6"/>
          <w:sz w:val="28"/>
          <w:szCs w:val="28"/>
        </w:rPr>
        <w:t>技术要求偏离表</w:t>
      </w:r>
    </w:p>
    <w:p w14:paraId="6ABE0E60">
      <w:pPr>
        <w:spacing w:before="74" w:line="212"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所投分标：</w:t>
      </w:r>
      <w:r>
        <w:rPr>
          <w:rFonts w:hint="eastAsia" w:asciiTheme="minorEastAsia" w:hAnsiTheme="minorEastAsia" w:eastAsiaTheme="minorEastAsia" w:cstheme="minorEastAsia"/>
          <w:color w:val="auto"/>
          <w:spacing w:val="-2"/>
          <w:sz w:val="21"/>
          <w:szCs w:val="21"/>
          <w:u w:val="single" w:color="auto"/>
        </w:rPr>
        <w:t xml:space="preserve">     </w:t>
      </w:r>
      <w:r>
        <w:rPr>
          <w:rFonts w:hint="eastAsia" w:asciiTheme="minorEastAsia" w:hAnsiTheme="minorEastAsia" w:eastAsiaTheme="minorEastAsia" w:cstheme="minorEastAsia"/>
          <w:color w:val="auto"/>
          <w:spacing w:val="-101"/>
          <w:sz w:val="21"/>
          <w:szCs w:val="21"/>
        </w:rPr>
        <w:t xml:space="preserve"> </w:t>
      </w:r>
      <w:r>
        <w:rPr>
          <w:rFonts w:hint="eastAsia" w:asciiTheme="minorEastAsia" w:hAnsiTheme="minorEastAsia" w:eastAsiaTheme="minorEastAsia" w:cstheme="minorEastAsia"/>
          <w:color w:val="auto"/>
          <w:spacing w:val="-2"/>
          <w:sz w:val="21"/>
          <w:szCs w:val="21"/>
        </w:rPr>
        <w:t>分标</w:t>
      </w:r>
    </w:p>
    <w:tbl>
      <w:tblPr>
        <w:tblStyle w:val="24"/>
        <w:tblW w:w="8948" w:type="dxa"/>
        <w:tblInd w:w="3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6"/>
        <w:gridCol w:w="2143"/>
        <w:gridCol w:w="1833"/>
        <w:gridCol w:w="2178"/>
        <w:gridCol w:w="1938"/>
      </w:tblGrid>
      <w:tr w14:paraId="52612C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856" w:type="dxa"/>
            <w:vAlign w:val="top"/>
          </w:tcPr>
          <w:p w14:paraId="76573157">
            <w:pPr>
              <w:pStyle w:val="25"/>
              <w:spacing w:before="242" w:line="220" w:lineRule="auto"/>
              <w:ind w:left="197"/>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4"/>
                <w:sz w:val="21"/>
                <w:szCs w:val="21"/>
              </w:rPr>
              <w:t>项号</w:t>
            </w:r>
          </w:p>
        </w:tc>
        <w:tc>
          <w:tcPr>
            <w:tcW w:w="2143" w:type="dxa"/>
            <w:vAlign w:val="top"/>
          </w:tcPr>
          <w:p w14:paraId="0B2DDB20">
            <w:pPr>
              <w:pStyle w:val="25"/>
              <w:spacing w:before="242" w:line="220" w:lineRule="auto"/>
              <w:ind w:left="476"/>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标的的名称</w:t>
            </w:r>
          </w:p>
        </w:tc>
        <w:tc>
          <w:tcPr>
            <w:tcW w:w="1833" w:type="dxa"/>
            <w:vAlign w:val="top"/>
          </w:tcPr>
          <w:p w14:paraId="3B0048B4">
            <w:pPr>
              <w:pStyle w:val="25"/>
              <w:spacing w:before="241" w:line="220" w:lineRule="auto"/>
              <w:ind w:left="443"/>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技术要求</w:t>
            </w:r>
          </w:p>
        </w:tc>
        <w:tc>
          <w:tcPr>
            <w:tcW w:w="2178" w:type="dxa"/>
            <w:vAlign w:val="top"/>
          </w:tcPr>
          <w:p w14:paraId="322D67F1">
            <w:pPr>
              <w:pStyle w:val="25"/>
              <w:spacing w:before="242" w:line="220" w:lineRule="auto"/>
              <w:ind w:left="619"/>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3"/>
                <w:sz w:val="21"/>
                <w:szCs w:val="21"/>
              </w:rPr>
              <w:t>投标响应</w:t>
            </w:r>
          </w:p>
        </w:tc>
        <w:tc>
          <w:tcPr>
            <w:tcW w:w="1938" w:type="dxa"/>
            <w:vAlign w:val="top"/>
          </w:tcPr>
          <w:p w14:paraId="0314A719">
            <w:pPr>
              <w:pStyle w:val="25"/>
              <w:spacing w:before="241" w:line="220" w:lineRule="auto"/>
              <w:ind w:left="498"/>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偏离说明</w:t>
            </w:r>
          </w:p>
        </w:tc>
      </w:tr>
      <w:tr w14:paraId="55F10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856" w:type="dxa"/>
            <w:vAlign w:val="top"/>
          </w:tcPr>
          <w:p w14:paraId="55394B06">
            <w:pPr>
              <w:rPr>
                <w:rFonts w:hint="eastAsia" w:asciiTheme="minorEastAsia" w:hAnsiTheme="minorEastAsia" w:eastAsiaTheme="minorEastAsia" w:cstheme="minorEastAsia"/>
                <w:color w:val="auto"/>
                <w:sz w:val="21"/>
                <w:szCs w:val="21"/>
              </w:rPr>
            </w:pPr>
          </w:p>
        </w:tc>
        <w:tc>
          <w:tcPr>
            <w:tcW w:w="2143" w:type="dxa"/>
            <w:vAlign w:val="top"/>
          </w:tcPr>
          <w:p w14:paraId="12A0A794">
            <w:pPr>
              <w:rPr>
                <w:rFonts w:hint="eastAsia" w:asciiTheme="minorEastAsia" w:hAnsiTheme="minorEastAsia" w:eastAsiaTheme="minorEastAsia" w:cstheme="minorEastAsia"/>
                <w:color w:val="auto"/>
                <w:sz w:val="21"/>
                <w:szCs w:val="21"/>
              </w:rPr>
            </w:pPr>
          </w:p>
        </w:tc>
        <w:tc>
          <w:tcPr>
            <w:tcW w:w="1833" w:type="dxa"/>
            <w:vAlign w:val="top"/>
          </w:tcPr>
          <w:p w14:paraId="15C10907">
            <w:pPr>
              <w:rPr>
                <w:rFonts w:hint="eastAsia" w:asciiTheme="minorEastAsia" w:hAnsiTheme="minorEastAsia" w:eastAsiaTheme="minorEastAsia" w:cstheme="minorEastAsia"/>
                <w:color w:val="auto"/>
                <w:sz w:val="21"/>
                <w:szCs w:val="21"/>
              </w:rPr>
            </w:pPr>
          </w:p>
        </w:tc>
        <w:tc>
          <w:tcPr>
            <w:tcW w:w="2178" w:type="dxa"/>
            <w:vAlign w:val="top"/>
          </w:tcPr>
          <w:p w14:paraId="15FC256A">
            <w:pPr>
              <w:rPr>
                <w:rFonts w:hint="eastAsia" w:asciiTheme="minorEastAsia" w:hAnsiTheme="minorEastAsia" w:eastAsiaTheme="minorEastAsia" w:cstheme="minorEastAsia"/>
                <w:color w:val="auto"/>
                <w:sz w:val="21"/>
                <w:szCs w:val="21"/>
              </w:rPr>
            </w:pPr>
          </w:p>
        </w:tc>
        <w:tc>
          <w:tcPr>
            <w:tcW w:w="1938" w:type="dxa"/>
            <w:vAlign w:val="top"/>
          </w:tcPr>
          <w:p w14:paraId="0E427C2E">
            <w:pPr>
              <w:rPr>
                <w:rFonts w:hint="eastAsia" w:asciiTheme="minorEastAsia" w:hAnsiTheme="minorEastAsia" w:eastAsiaTheme="minorEastAsia" w:cstheme="minorEastAsia"/>
                <w:color w:val="auto"/>
                <w:sz w:val="21"/>
                <w:szCs w:val="21"/>
              </w:rPr>
            </w:pPr>
          </w:p>
        </w:tc>
      </w:tr>
      <w:tr w14:paraId="1F41F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856" w:type="dxa"/>
            <w:vAlign w:val="top"/>
          </w:tcPr>
          <w:p w14:paraId="2ED06A1F">
            <w:pPr>
              <w:rPr>
                <w:rFonts w:hint="eastAsia" w:asciiTheme="minorEastAsia" w:hAnsiTheme="minorEastAsia" w:eastAsiaTheme="minorEastAsia" w:cstheme="minorEastAsia"/>
                <w:color w:val="auto"/>
                <w:sz w:val="21"/>
                <w:szCs w:val="21"/>
              </w:rPr>
            </w:pPr>
          </w:p>
        </w:tc>
        <w:tc>
          <w:tcPr>
            <w:tcW w:w="2143" w:type="dxa"/>
            <w:vAlign w:val="top"/>
          </w:tcPr>
          <w:p w14:paraId="08F51090">
            <w:pPr>
              <w:rPr>
                <w:rFonts w:hint="eastAsia" w:asciiTheme="minorEastAsia" w:hAnsiTheme="minorEastAsia" w:eastAsiaTheme="minorEastAsia" w:cstheme="minorEastAsia"/>
                <w:color w:val="auto"/>
                <w:sz w:val="21"/>
                <w:szCs w:val="21"/>
              </w:rPr>
            </w:pPr>
          </w:p>
        </w:tc>
        <w:tc>
          <w:tcPr>
            <w:tcW w:w="1833" w:type="dxa"/>
            <w:vAlign w:val="top"/>
          </w:tcPr>
          <w:p w14:paraId="37339D4A">
            <w:pPr>
              <w:rPr>
                <w:rFonts w:hint="eastAsia" w:asciiTheme="minorEastAsia" w:hAnsiTheme="minorEastAsia" w:eastAsiaTheme="minorEastAsia" w:cstheme="minorEastAsia"/>
                <w:color w:val="auto"/>
                <w:sz w:val="21"/>
                <w:szCs w:val="21"/>
              </w:rPr>
            </w:pPr>
          </w:p>
        </w:tc>
        <w:tc>
          <w:tcPr>
            <w:tcW w:w="2178" w:type="dxa"/>
            <w:vAlign w:val="top"/>
          </w:tcPr>
          <w:p w14:paraId="4FA1EA89">
            <w:pPr>
              <w:rPr>
                <w:rFonts w:hint="eastAsia" w:asciiTheme="minorEastAsia" w:hAnsiTheme="minorEastAsia" w:eastAsiaTheme="minorEastAsia" w:cstheme="minorEastAsia"/>
                <w:color w:val="auto"/>
                <w:sz w:val="21"/>
                <w:szCs w:val="21"/>
              </w:rPr>
            </w:pPr>
          </w:p>
        </w:tc>
        <w:tc>
          <w:tcPr>
            <w:tcW w:w="1938" w:type="dxa"/>
            <w:vAlign w:val="top"/>
          </w:tcPr>
          <w:p w14:paraId="46FEE8E4">
            <w:pPr>
              <w:rPr>
                <w:rFonts w:hint="eastAsia" w:asciiTheme="minorEastAsia" w:hAnsiTheme="minorEastAsia" w:eastAsiaTheme="minorEastAsia" w:cstheme="minorEastAsia"/>
                <w:color w:val="auto"/>
                <w:sz w:val="21"/>
                <w:szCs w:val="21"/>
              </w:rPr>
            </w:pPr>
          </w:p>
        </w:tc>
      </w:tr>
      <w:tr w14:paraId="205FB9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56" w:type="dxa"/>
            <w:vAlign w:val="top"/>
          </w:tcPr>
          <w:p w14:paraId="157EA33C">
            <w:pPr>
              <w:rPr>
                <w:rFonts w:hint="eastAsia" w:asciiTheme="minorEastAsia" w:hAnsiTheme="minorEastAsia" w:eastAsiaTheme="minorEastAsia" w:cstheme="minorEastAsia"/>
                <w:color w:val="auto"/>
                <w:sz w:val="21"/>
                <w:szCs w:val="21"/>
              </w:rPr>
            </w:pPr>
          </w:p>
        </w:tc>
        <w:tc>
          <w:tcPr>
            <w:tcW w:w="2143" w:type="dxa"/>
            <w:vAlign w:val="top"/>
          </w:tcPr>
          <w:p w14:paraId="09AA3D5B">
            <w:pPr>
              <w:rPr>
                <w:rFonts w:hint="eastAsia" w:asciiTheme="minorEastAsia" w:hAnsiTheme="minorEastAsia" w:eastAsiaTheme="minorEastAsia" w:cstheme="minorEastAsia"/>
                <w:color w:val="auto"/>
                <w:sz w:val="21"/>
                <w:szCs w:val="21"/>
              </w:rPr>
            </w:pPr>
          </w:p>
        </w:tc>
        <w:tc>
          <w:tcPr>
            <w:tcW w:w="1833" w:type="dxa"/>
            <w:vAlign w:val="top"/>
          </w:tcPr>
          <w:p w14:paraId="02386948">
            <w:pPr>
              <w:rPr>
                <w:rFonts w:hint="eastAsia" w:asciiTheme="minorEastAsia" w:hAnsiTheme="minorEastAsia" w:eastAsiaTheme="minorEastAsia" w:cstheme="minorEastAsia"/>
                <w:color w:val="auto"/>
                <w:sz w:val="21"/>
                <w:szCs w:val="21"/>
              </w:rPr>
            </w:pPr>
          </w:p>
        </w:tc>
        <w:tc>
          <w:tcPr>
            <w:tcW w:w="2178" w:type="dxa"/>
            <w:vAlign w:val="top"/>
          </w:tcPr>
          <w:p w14:paraId="44A70F32">
            <w:pPr>
              <w:rPr>
                <w:rFonts w:hint="eastAsia" w:asciiTheme="minorEastAsia" w:hAnsiTheme="minorEastAsia" w:eastAsiaTheme="minorEastAsia" w:cstheme="minorEastAsia"/>
                <w:color w:val="auto"/>
                <w:sz w:val="21"/>
                <w:szCs w:val="21"/>
              </w:rPr>
            </w:pPr>
          </w:p>
        </w:tc>
        <w:tc>
          <w:tcPr>
            <w:tcW w:w="1938" w:type="dxa"/>
            <w:vAlign w:val="top"/>
          </w:tcPr>
          <w:p w14:paraId="1D041D5C">
            <w:pPr>
              <w:rPr>
                <w:rFonts w:hint="eastAsia" w:asciiTheme="minorEastAsia" w:hAnsiTheme="minorEastAsia" w:eastAsiaTheme="minorEastAsia" w:cstheme="minorEastAsia"/>
                <w:color w:val="auto"/>
                <w:sz w:val="21"/>
                <w:szCs w:val="21"/>
              </w:rPr>
            </w:pPr>
          </w:p>
        </w:tc>
      </w:tr>
      <w:tr w14:paraId="062713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856" w:type="dxa"/>
            <w:vAlign w:val="top"/>
          </w:tcPr>
          <w:p w14:paraId="0761EFEC">
            <w:pPr>
              <w:rPr>
                <w:rFonts w:hint="eastAsia" w:asciiTheme="minorEastAsia" w:hAnsiTheme="minorEastAsia" w:eastAsiaTheme="minorEastAsia" w:cstheme="minorEastAsia"/>
                <w:color w:val="auto"/>
                <w:sz w:val="21"/>
                <w:szCs w:val="21"/>
              </w:rPr>
            </w:pPr>
          </w:p>
        </w:tc>
        <w:tc>
          <w:tcPr>
            <w:tcW w:w="2143" w:type="dxa"/>
            <w:vAlign w:val="top"/>
          </w:tcPr>
          <w:p w14:paraId="3DE384B0">
            <w:pPr>
              <w:rPr>
                <w:rFonts w:hint="eastAsia" w:asciiTheme="minorEastAsia" w:hAnsiTheme="minorEastAsia" w:eastAsiaTheme="minorEastAsia" w:cstheme="minorEastAsia"/>
                <w:color w:val="auto"/>
                <w:sz w:val="21"/>
                <w:szCs w:val="21"/>
              </w:rPr>
            </w:pPr>
          </w:p>
        </w:tc>
        <w:tc>
          <w:tcPr>
            <w:tcW w:w="1833" w:type="dxa"/>
            <w:vAlign w:val="top"/>
          </w:tcPr>
          <w:p w14:paraId="5EF2EDE0">
            <w:pPr>
              <w:rPr>
                <w:rFonts w:hint="eastAsia" w:asciiTheme="minorEastAsia" w:hAnsiTheme="minorEastAsia" w:eastAsiaTheme="minorEastAsia" w:cstheme="minorEastAsia"/>
                <w:color w:val="auto"/>
                <w:sz w:val="21"/>
                <w:szCs w:val="21"/>
              </w:rPr>
            </w:pPr>
          </w:p>
        </w:tc>
        <w:tc>
          <w:tcPr>
            <w:tcW w:w="2178" w:type="dxa"/>
            <w:vAlign w:val="top"/>
          </w:tcPr>
          <w:p w14:paraId="0077FB45">
            <w:pPr>
              <w:rPr>
                <w:rFonts w:hint="eastAsia" w:asciiTheme="minorEastAsia" w:hAnsiTheme="minorEastAsia" w:eastAsiaTheme="minorEastAsia" w:cstheme="minorEastAsia"/>
                <w:color w:val="auto"/>
                <w:sz w:val="21"/>
                <w:szCs w:val="21"/>
              </w:rPr>
            </w:pPr>
          </w:p>
        </w:tc>
        <w:tc>
          <w:tcPr>
            <w:tcW w:w="1938" w:type="dxa"/>
            <w:vAlign w:val="top"/>
          </w:tcPr>
          <w:p w14:paraId="54C860AC">
            <w:pPr>
              <w:rPr>
                <w:rFonts w:hint="eastAsia" w:asciiTheme="minorEastAsia" w:hAnsiTheme="minorEastAsia" w:eastAsiaTheme="minorEastAsia" w:cstheme="minorEastAsia"/>
                <w:color w:val="auto"/>
                <w:sz w:val="21"/>
                <w:szCs w:val="21"/>
              </w:rPr>
            </w:pPr>
          </w:p>
        </w:tc>
      </w:tr>
      <w:tr w14:paraId="1C644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856" w:type="dxa"/>
            <w:vAlign w:val="top"/>
          </w:tcPr>
          <w:p w14:paraId="3AB7E302">
            <w:pPr>
              <w:rPr>
                <w:rFonts w:hint="eastAsia" w:asciiTheme="minorEastAsia" w:hAnsiTheme="minorEastAsia" w:eastAsiaTheme="minorEastAsia" w:cstheme="minorEastAsia"/>
                <w:color w:val="auto"/>
                <w:sz w:val="21"/>
                <w:szCs w:val="21"/>
              </w:rPr>
            </w:pPr>
          </w:p>
        </w:tc>
        <w:tc>
          <w:tcPr>
            <w:tcW w:w="2143" w:type="dxa"/>
            <w:vAlign w:val="top"/>
          </w:tcPr>
          <w:p w14:paraId="0923688E">
            <w:pPr>
              <w:rPr>
                <w:rFonts w:hint="eastAsia" w:asciiTheme="minorEastAsia" w:hAnsiTheme="minorEastAsia" w:eastAsiaTheme="minorEastAsia" w:cstheme="minorEastAsia"/>
                <w:color w:val="auto"/>
                <w:sz w:val="21"/>
                <w:szCs w:val="21"/>
              </w:rPr>
            </w:pPr>
          </w:p>
        </w:tc>
        <w:tc>
          <w:tcPr>
            <w:tcW w:w="1833" w:type="dxa"/>
            <w:vAlign w:val="top"/>
          </w:tcPr>
          <w:p w14:paraId="2A805B50">
            <w:pPr>
              <w:rPr>
                <w:rFonts w:hint="eastAsia" w:asciiTheme="minorEastAsia" w:hAnsiTheme="minorEastAsia" w:eastAsiaTheme="minorEastAsia" w:cstheme="minorEastAsia"/>
                <w:color w:val="auto"/>
                <w:sz w:val="21"/>
                <w:szCs w:val="21"/>
              </w:rPr>
            </w:pPr>
          </w:p>
        </w:tc>
        <w:tc>
          <w:tcPr>
            <w:tcW w:w="2178" w:type="dxa"/>
            <w:vAlign w:val="top"/>
          </w:tcPr>
          <w:p w14:paraId="2719316A">
            <w:pPr>
              <w:rPr>
                <w:rFonts w:hint="eastAsia" w:asciiTheme="minorEastAsia" w:hAnsiTheme="minorEastAsia" w:eastAsiaTheme="minorEastAsia" w:cstheme="minorEastAsia"/>
                <w:color w:val="auto"/>
                <w:sz w:val="21"/>
                <w:szCs w:val="21"/>
              </w:rPr>
            </w:pPr>
          </w:p>
        </w:tc>
        <w:tc>
          <w:tcPr>
            <w:tcW w:w="1938" w:type="dxa"/>
            <w:vAlign w:val="top"/>
          </w:tcPr>
          <w:p w14:paraId="13FB6A48">
            <w:pPr>
              <w:rPr>
                <w:rFonts w:hint="eastAsia" w:asciiTheme="minorEastAsia" w:hAnsiTheme="minorEastAsia" w:eastAsiaTheme="minorEastAsia" w:cstheme="minorEastAsia"/>
                <w:color w:val="auto"/>
                <w:sz w:val="21"/>
                <w:szCs w:val="21"/>
              </w:rPr>
            </w:pPr>
          </w:p>
        </w:tc>
      </w:tr>
      <w:tr w14:paraId="3856DD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856" w:type="dxa"/>
            <w:vAlign w:val="top"/>
          </w:tcPr>
          <w:p w14:paraId="05ED84A9">
            <w:pPr>
              <w:rPr>
                <w:rFonts w:hint="eastAsia" w:asciiTheme="minorEastAsia" w:hAnsiTheme="minorEastAsia" w:eastAsiaTheme="minorEastAsia" w:cstheme="minorEastAsia"/>
                <w:color w:val="auto"/>
                <w:sz w:val="21"/>
                <w:szCs w:val="21"/>
              </w:rPr>
            </w:pPr>
          </w:p>
        </w:tc>
        <w:tc>
          <w:tcPr>
            <w:tcW w:w="2143" w:type="dxa"/>
            <w:vAlign w:val="top"/>
          </w:tcPr>
          <w:p w14:paraId="5E578EE8">
            <w:pPr>
              <w:rPr>
                <w:rFonts w:hint="eastAsia" w:asciiTheme="minorEastAsia" w:hAnsiTheme="minorEastAsia" w:eastAsiaTheme="minorEastAsia" w:cstheme="minorEastAsia"/>
                <w:color w:val="auto"/>
                <w:sz w:val="21"/>
                <w:szCs w:val="21"/>
              </w:rPr>
            </w:pPr>
          </w:p>
        </w:tc>
        <w:tc>
          <w:tcPr>
            <w:tcW w:w="1833" w:type="dxa"/>
            <w:vAlign w:val="top"/>
          </w:tcPr>
          <w:p w14:paraId="0D4E27E4">
            <w:pPr>
              <w:rPr>
                <w:rFonts w:hint="eastAsia" w:asciiTheme="minorEastAsia" w:hAnsiTheme="minorEastAsia" w:eastAsiaTheme="minorEastAsia" w:cstheme="minorEastAsia"/>
                <w:color w:val="auto"/>
                <w:sz w:val="21"/>
                <w:szCs w:val="21"/>
              </w:rPr>
            </w:pPr>
          </w:p>
        </w:tc>
        <w:tc>
          <w:tcPr>
            <w:tcW w:w="2178" w:type="dxa"/>
            <w:vAlign w:val="top"/>
          </w:tcPr>
          <w:p w14:paraId="40814BFD">
            <w:pPr>
              <w:rPr>
                <w:rFonts w:hint="eastAsia" w:asciiTheme="minorEastAsia" w:hAnsiTheme="minorEastAsia" w:eastAsiaTheme="minorEastAsia" w:cstheme="minorEastAsia"/>
                <w:color w:val="auto"/>
                <w:sz w:val="21"/>
                <w:szCs w:val="21"/>
              </w:rPr>
            </w:pPr>
          </w:p>
        </w:tc>
        <w:tc>
          <w:tcPr>
            <w:tcW w:w="1938" w:type="dxa"/>
            <w:vAlign w:val="top"/>
          </w:tcPr>
          <w:p w14:paraId="4AB8B86D">
            <w:pPr>
              <w:rPr>
                <w:rFonts w:hint="eastAsia" w:asciiTheme="minorEastAsia" w:hAnsiTheme="minorEastAsia" w:eastAsiaTheme="minorEastAsia" w:cstheme="minorEastAsia"/>
                <w:color w:val="auto"/>
                <w:sz w:val="21"/>
                <w:szCs w:val="21"/>
              </w:rPr>
            </w:pPr>
          </w:p>
        </w:tc>
      </w:tr>
      <w:tr w14:paraId="18C97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856" w:type="dxa"/>
            <w:vAlign w:val="top"/>
          </w:tcPr>
          <w:p w14:paraId="03B0874C">
            <w:pPr>
              <w:rPr>
                <w:rFonts w:hint="eastAsia" w:asciiTheme="minorEastAsia" w:hAnsiTheme="minorEastAsia" w:eastAsiaTheme="minorEastAsia" w:cstheme="minorEastAsia"/>
                <w:color w:val="auto"/>
                <w:sz w:val="21"/>
                <w:szCs w:val="21"/>
              </w:rPr>
            </w:pPr>
          </w:p>
        </w:tc>
        <w:tc>
          <w:tcPr>
            <w:tcW w:w="2143" w:type="dxa"/>
            <w:vAlign w:val="top"/>
          </w:tcPr>
          <w:p w14:paraId="0ACF418F">
            <w:pPr>
              <w:rPr>
                <w:rFonts w:hint="eastAsia" w:asciiTheme="minorEastAsia" w:hAnsiTheme="minorEastAsia" w:eastAsiaTheme="minorEastAsia" w:cstheme="minorEastAsia"/>
                <w:color w:val="auto"/>
                <w:sz w:val="21"/>
                <w:szCs w:val="21"/>
              </w:rPr>
            </w:pPr>
          </w:p>
        </w:tc>
        <w:tc>
          <w:tcPr>
            <w:tcW w:w="1833" w:type="dxa"/>
            <w:vAlign w:val="top"/>
          </w:tcPr>
          <w:p w14:paraId="467E4E80">
            <w:pPr>
              <w:rPr>
                <w:rFonts w:hint="eastAsia" w:asciiTheme="minorEastAsia" w:hAnsiTheme="minorEastAsia" w:eastAsiaTheme="minorEastAsia" w:cstheme="minorEastAsia"/>
                <w:color w:val="auto"/>
                <w:sz w:val="21"/>
                <w:szCs w:val="21"/>
              </w:rPr>
            </w:pPr>
          </w:p>
        </w:tc>
        <w:tc>
          <w:tcPr>
            <w:tcW w:w="2178" w:type="dxa"/>
            <w:vAlign w:val="top"/>
          </w:tcPr>
          <w:p w14:paraId="7067EA96">
            <w:pPr>
              <w:rPr>
                <w:rFonts w:hint="eastAsia" w:asciiTheme="minorEastAsia" w:hAnsiTheme="minorEastAsia" w:eastAsiaTheme="minorEastAsia" w:cstheme="minorEastAsia"/>
                <w:color w:val="auto"/>
                <w:sz w:val="21"/>
                <w:szCs w:val="21"/>
              </w:rPr>
            </w:pPr>
          </w:p>
        </w:tc>
        <w:tc>
          <w:tcPr>
            <w:tcW w:w="1938" w:type="dxa"/>
            <w:vAlign w:val="top"/>
          </w:tcPr>
          <w:p w14:paraId="4BBD8988">
            <w:pPr>
              <w:rPr>
                <w:rFonts w:hint="eastAsia" w:asciiTheme="minorEastAsia" w:hAnsiTheme="minorEastAsia" w:eastAsiaTheme="minorEastAsia" w:cstheme="minorEastAsia"/>
                <w:color w:val="auto"/>
                <w:sz w:val="21"/>
                <w:szCs w:val="21"/>
              </w:rPr>
            </w:pPr>
          </w:p>
        </w:tc>
      </w:tr>
    </w:tbl>
    <w:p w14:paraId="65DE46E8">
      <w:pPr>
        <w:spacing w:before="36" w:line="224"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19"/>
          <w:sz w:val="21"/>
          <w:szCs w:val="21"/>
        </w:rPr>
        <w:t>注：</w:t>
      </w:r>
    </w:p>
    <w:p w14:paraId="452121DD">
      <w:pPr>
        <w:spacing w:before="174" w:line="347" w:lineRule="auto"/>
        <w:ind w:left="19" w:right="3" w:hanging="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1.说明：应对照招标文件“第二章 采购需求”中的技术要求逐条作明确的投标响应，并作</w:t>
      </w:r>
      <w:r>
        <w:rPr>
          <w:rFonts w:hint="eastAsia" w:asciiTheme="minorEastAsia" w:hAnsiTheme="minorEastAsia" w:eastAsiaTheme="minorEastAsia" w:cstheme="minorEastAsia"/>
          <w:color w:val="auto"/>
          <w:spacing w:val="-9"/>
          <w:sz w:val="21"/>
          <w:szCs w:val="21"/>
        </w:rPr>
        <w:t>出偏离说明。</w:t>
      </w:r>
    </w:p>
    <w:p w14:paraId="730B938C">
      <w:pPr>
        <w:spacing w:before="31" w:line="347" w:lineRule="auto"/>
        <w:ind w:firstLine="2"/>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z w:val="21"/>
          <w:szCs w:val="21"/>
        </w:rPr>
        <w:t>2.投标人应根据自身的承诺，对照招标文</w:t>
      </w:r>
      <w:r>
        <w:rPr>
          <w:rFonts w:hint="eastAsia" w:asciiTheme="minorEastAsia" w:hAnsiTheme="minorEastAsia" w:eastAsiaTheme="minorEastAsia" w:cstheme="minorEastAsia"/>
          <w:color w:val="auto"/>
          <w:spacing w:val="-1"/>
          <w:sz w:val="21"/>
          <w:szCs w:val="21"/>
        </w:rPr>
        <w:t>件要求，在“偏离说明”中注明“</w:t>
      </w:r>
      <w:r>
        <w:rPr>
          <w:rFonts w:hint="eastAsia" w:asciiTheme="minorEastAsia" w:hAnsiTheme="minorEastAsia" w:eastAsiaTheme="minorEastAsia" w:cstheme="minorEastAsia"/>
          <w:b/>
          <w:bCs/>
          <w:color w:val="auto"/>
          <w:spacing w:val="-1"/>
          <w:sz w:val="21"/>
          <w:szCs w:val="21"/>
        </w:rPr>
        <w:t>正偏离</w:t>
      </w:r>
      <w:r>
        <w:rPr>
          <w:rFonts w:hint="eastAsia" w:asciiTheme="minorEastAsia" w:hAnsiTheme="minorEastAsia" w:eastAsiaTheme="minorEastAsia" w:cstheme="minorEastAsia"/>
          <w:color w:val="auto"/>
          <w:spacing w:val="-1"/>
          <w:sz w:val="21"/>
          <w:szCs w:val="21"/>
        </w:rPr>
        <w:t>”、“</w:t>
      </w:r>
      <w:r>
        <w:rPr>
          <w:rFonts w:hint="eastAsia" w:asciiTheme="minorEastAsia" w:hAnsiTheme="minorEastAsia" w:eastAsiaTheme="minorEastAsia" w:cstheme="minorEastAsia"/>
          <w:b/>
          <w:bCs/>
          <w:color w:val="auto"/>
          <w:spacing w:val="-1"/>
          <w:sz w:val="21"/>
          <w:szCs w:val="21"/>
        </w:rPr>
        <w:t>负偏离</w:t>
      </w:r>
      <w:r>
        <w:rPr>
          <w:rFonts w:hint="eastAsia" w:asciiTheme="minorEastAsia" w:hAnsiTheme="minorEastAsia" w:eastAsiaTheme="minorEastAsia" w:cstheme="minorEastAsia"/>
          <w:color w:val="auto"/>
          <w:spacing w:val="-1"/>
          <w:sz w:val="21"/>
          <w:szCs w:val="21"/>
        </w:rPr>
        <w:t>”或者“</w:t>
      </w:r>
      <w:r>
        <w:rPr>
          <w:rFonts w:hint="eastAsia" w:asciiTheme="minorEastAsia" w:hAnsiTheme="minorEastAsia" w:eastAsiaTheme="minorEastAsia" w:cstheme="minorEastAsia"/>
          <w:b/>
          <w:bCs/>
          <w:color w:val="auto"/>
          <w:spacing w:val="-1"/>
          <w:sz w:val="21"/>
          <w:szCs w:val="21"/>
        </w:rPr>
        <w:t>无偏离</w:t>
      </w:r>
      <w:r>
        <w:rPr>
          <w:rFonts w:hint="eastAsia" w:asciiTheme="minorEastAsia" w:hAnsiTheme="minorEastAsia" w:eastAsiaTheme="minorEastAsia" w:cstheme="minorEastAsia"/>
          <w:color w:val="auto"/>
          <w:spacing w:val="-1"/>
          <w:sz w:val="21"/>
          <w:szCs w:val="21"/>
        </w:rPr>
        <w:t>”。既不属于“</w:t>
      </w:r>
      <w:r>
        <w:rPr>
          <w:rFonts w:hint="eastAsia" w:asciiTheme="minorEastAsia" w:hAnsiTheme="minorEastAsia" w:eastAsiaTheme="minorEastAsia" w:cstheme="minorEastAsia"/>
          <w:b/>
          <w:bCs/>
          <w:color w:val="auto"/>
          <w:spacing w:val="-1"/>
          <w:sz w:val="21"/>
          <w:szCs w:val="21"/>
        </w:rPr>
        <w:t>正偏离</w:t>
      </w:r>
      <w:r>
        <w:rPr>
          <w:rFonts w:hint="eastAsia" w:asciiTheme="minorEastAsia" w:hAnsiTheme="minorEastAsia" w:eastAsiaTheme="minorEastAsia" w:cstheme="minorEastAsia"/>
          <w:color w:val="auto"/>
          <w:spacing w:val="-1"/>
          <w:sz w:val="21"/>
          <w:szCs w:val="21"/>
        </w:rPr>
        <w:t>”也不属于“</w:t>
      </w:r>
      <w:r>
        <w:rPr>
          <w:rFonts w:hint="eastAsia" w:asciiTheme="minorEastAsia" w:hAnsiTheme="minorEastAsia" w:eastAsiaTheme="minorEastAsia" w:cstheme="minorEastAsia"/>
          <w:b/>
          <w:bCs/>
          <w:color w:val="auto"/>
          <w:spacing w:val="-2"/>
          <w:sz w:val="21"/>
          <w:szCs w:val="21"/>
        </w:rPr>
        <w:t>负偏离</w:t>
      </w:r>
      <w:r>
        <w:rPr>
          <w:rFonts w:hint="eastAsia" w:asciiTheme="minorEastAsia" w:hAnsiTheme="minorEastAsia" w:eastAsiaTheme="minorEastAsia" w:cstheme="minorEastAsia"/>
          <w:color w:val="auto"/>
          <w:spacing w:val="-2"/>
          <w:sz w:val="21"/>
          <w:szCs w:val="21"/>
        </w:rPr>
        <w:t>”即为“</w:t>
      </w:r>
      <w:r>
        <w:rPr>
          <w:rFonts w:hint="eastAsia" w:asciiTheme="minorEastAsia" w:hAnsiTheme="minorEastAsia" w:eastAsiaTheme="minorEastAsia" w:cstheme="minorEastAsia"/>
          <w:b/>
          <w:bCs/>
          <w:color w:val="auto"/>
          <w:spacing w:val="-2"/>
          <w:sz w:val="21"/>
          <w:szCs w:val="21"/>
        </w:rPr>
        <w:t>无偏离</w:t>
      </w:r>
      <w:r>
        <w:rPr>
          <w:rFonts w:hint="eastAsia" w:asciiTheme="minorEastAsia" w:hAnsiTheme="minorEastAsia" w:eastAsiaTheme="minorEastAsia" w:cstheme="minorEastAsia"/>
          <w:color w:val="auto"/>
          <w:spacing w:val="-2"/>
          <w:sz w:val="21"/>
          <w:szCs w:val="21"/>
        </w:rPr>
        <w:t>”。</w:t>
      </w:r>
    </w:p>
    <w:p w14:paraId="582B30FC">
      <w:pPr>
        <w:pStyle w:val="6"/>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pacing w:val="-2"/>
          <w:sz w:val="21"/>
          <w:szCs w:val="21"/>
          <w:lang w:val="en-US" w:eastAsia="zh-CN"/>
        </w:rPr>
        <w:t>3.本表格可自行开展。</w:t>
      </w:r>
    </w:p>
    <w:p w14:paraId="3A9463A0">
      <w:pPr>
        <w:spacing w:line="420" w:lineRule="auto"/>
        <w:rPr>
          <w:rFonts w:hint="eastAsia" w:asciiTheme="minorEastAsia" w:hAnsiTheme="minorEastAsia" w:eastAsiaTheme="minorEastAsia" w:cstheme="minorEastAsia"/>
          <w:color w:val="auto"/>
          <w:sz w:val="21"/>
          <w:szCs w:val="21"/>
        </w:rPr>
      </w:pPr>
    </w:p>
    <w:p w14:paraId="2122A7D2">
      <w:pPr>
        <w:spacing w:before="78" w:line="346" w:lineRule="auto"/>
        <w:ind w:left="1" w:right="2398" w:hanging="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4"/>
          <w:sz w:val="21"/>
          <w:szCs w:val="21"/>
        </w:rPr>
        <w:t>投标人名称（电子签章</w:t>
      </w:r>
      <w:r>
        <w:rPr>
          <w:rFonts w:hint="eastAsia" w:asciiTheme="minorEastAsia" w:hAnsiTheme="minorEastAsia" w:eastAsiaTheme="minorEastAsia" w:cstheme="minorEastAsia"/>
          <w:color w:val="auto"/>
          <w:spacing w:val="2"/>
          <w:sz w:val="21"/>
          <w:szCs w:val="21"/>
        </w:rPr>
        <w:t>）：</w:t>
      </w:r>
      <w:r>
        <w:rPr>
          <w:rFonts w:hint="eastAsia" w:asciiTheme="minorEastAsia" w:hAnsiTheme="minorEastAsia" w:eastAsiaTheme="minorEastAsia" w:cstheme="minorEastAsia"/>
          <w:color w:val="auto"/>
          <w:spacing w:val="-18"/>
          <w:sz w:val="21"/>
          <w:szCs w:val="21"/>
        </w:rPr>
        <w:t xml:space="preserve"> </w:t>
      </w:r>
      <w:r>
        <w:rPr>
          <w:rFonts w:hint="eastAsia" w:asciiTheme="minorEastAsia" w:hAnsiTheme="minorEastAsia" w:eastAsiaTheme="minorEastAsia" w:cstheme="minorEastAsia"/>
          <w:color w:val="auto"/>
          <w:sz w:val="21"/>
          <w:szCs w:val="21"/>
          <w:u w:val="single" w:color="auto"/>
        </w:rPr>
        <w:t xml:space="preserve">                 </w:t>
      </w:r>
    </w:p>
    <w:p w14:paraId="5545F3E2">
      <w:pPr>
        <w:spacing w:before="33" w:line="220" w:lineRule="auto"/>
        <w:ind w:left="4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7"/>
          <w:sz w:val="21"/>
          <w:szCs w:val="21"/>
        </w:rPr>
        <w:t>日</w:t>
      </w:r>
      <w:r>
        <w:rPr>
          <w:rFonts w:hint="eastAsia" w:asciiTheme="minorEastAsia" w:hAnsiTheme="minorEastAsia" w:eastAsiaTheme="minorEastAsia" w:cstheme="minorEastAsia"/>
          <w:color w:val="auto"/>
          <w:spacing w:val="4"/>
          <w:sz w:val="21"/>
          <w:szCs w:val="21"/>
        </w:rPr>
        <w:t xml:space="preserve">   </w:t>
      </w:r>
      <w:r>
        <w:rPr>
          <w:rFonts w:hint="eastAsia" w:asciiTheme="minorEastAsia" w:hAnsiTheme="minorEastAsia" w:eastAsiaTheme="minorEastAsia" w:cstheme="minorEastAsia"/>
          <w:color w:val="auto"/>
          <w:spacing w:val="-17"/>
          <w:sz w:val="21"/>
          <w:szCs w:val="21"/>
        </w:rPr>
        <w:t>期：</w:t>
      </w:r>
      <w:r>
        <w:rPr>
          <w:rFonts w:hint="eastAsia" w:asciiTheme="minorEastAsia" w:hAnsiTheme="minorEastAsia" w:eastAsiaTheme="minorEastAsia" w:cstheme="minorEastAsia"/>
          <w:color w:val="auto"/>
          <w:spacing w:val="-54"/>
          <w:sz w:val="21"/>
          <w:szCs w:val="21"/>
        </w:rPr>
        <w:t xml:space="preserve"> </w:t>
      </w:r>
      <w:r>
        <w:rPr>
          <w:rFonts w:hint="eastAsia" w:asciiTheme="minorEastAsia" w:hAnsiTheme="minorEastAsia" w:eastAsiaTheme="minorEastAsia" w:cstheme="minorEastAsia"/>
          <w:color w:val="auto"/>
          <w:sz w:val="21"/>
          <w:szCs w:val="21"/>
          <w:u w:val="single" w:color="auto"/>
        </w:rPr>
        <w:t xml:space="preserve">              </w:t>
      </w:r>
    </w:p>
    <w:p w14:paraId="0F20F58F">
      <w:pPr>
        <w:spacing w:line="220" w:lineRule="auto"/>
        <w:rPr>
          <w:rFonts w:hint="eastAsia" w:asciiTheme="minorEastAsia" w:hAnsiTheme="minorEastAsia" w:eastAsiaTheme="minorEastAsia" w:cstheme="minorEastAsia"/>
          <w:color w:val="auto"/>
          <w:sz w:val="21"/>
          <w:szCs w:val="21"/>
        </w:rPr>
        <w:sectPr>
          <w:footerReference r:id="rId36" w:type="default"/>
          <w:pgSz w:w="11905" w:h="16838"/>
          <w:pgMar w:top="1417" w:right="1417" w:bottom="1417" w:left="1417" w:header="0" w:footer="1196" w:gutter="0"/>
          <w:pgNumType w:fmt="decimal"/>
          <w:cols w:space="0" w:num="1"/>
          <w:rtlGutter w:val="0"/>
          <w:docGrid w:linePitch="0" w:charSpace="0"/>
        </w:sectPr>
      </w:pPr>
    </w:p>
    <w:p w14:paraId="668893D0">
      <w:pPr>
        <w:spacing w:before="78" w:line="220" w:lineRule="auto"/>
        <w:ind w:left="263"/>
        <w:outlineLvl w:val="2"/>
        <w:rPr>
          <w:rFonts w:ascii="宋体" w:hAnsi="宋体" w:eastAsia="宋体" w:cs="宋体"/>
          <w:color w:val="auto"/>
          <w:sz w:val="24"/>
          <w:szCs w:val="24"/>
        </w:rPr>
      </w:pPr>
      <w:r>
        <w:rPr>
          <w:rFonts w:ascii="宋体" w:hAnsi="宋体" w:eastAsia="宋体" w:cs="宋体"/>
          <w:b/>
          <w:bCs/>
          <w:color w:val="auto"/>
          <w:spacing w:val="-3"/>
          <w:sz w:val="24"/>
          <w:szCs w:val="24"/>
        </w:rPr>
        <w:t>4.项目实施人员一览表格式</w:t>
      </w:r>
    </w:p>
    <w:p w14:paraId="1342A236">
      <w:pPr>
        <w:spacing w:line="242" w:lineRule="auto"/>
        <w:rPr>
          <w:rFonts w:ascii="Arial"/>
          <w:color w:val="auto"/>
          <w:sz w:val="21"/>
        </w:rPr>
      </w:pPr>
    </w:p>
    <w:p w14:paraId="1D716717">
      <w:pPr>
        <w:spacing w:line="243" w:lineRule="auto"/>
        <w:rPr>
          <w:rFonts w:ascii="Arial"/>
          <w:color w:val="auto"/>
          <w:sz w:val="21"/>
        </w:rPr>
      </w:pPr>
    </w:p>
    <w:p w14:paraId="26BFF84A">
      <w:pPr>
        <w:spacing w:before="101" w:line="226" w:lineRule="auto"/>
        <w:ind w:left="3575"/>
        <w:rPr>
          <w:rFonts w:ascii="宋体" w:hAnsi="宋体" w:eastAsia="宋体" w:cs="宋体"/>
          <w:color w:val="auto"/>
          <w:sz w:val="28"/>
          <w:szCs w:val="28"/>
        </w:rPr>
      </w:pPr>
      <w:r>
        <w:rPr>
          <w:rFonts w:ascii="宋体" w:hAnsi="宋体" w:eastAsia="宋体" w:cs="宋体"/>
          <w:b/>
          <w:bCs/>
          <w:color w:val="auto"/>
          <w:spacing w:val="5"/>
          <w:sz w:val="28"/>
          <w:szCs w:val="28"/>
        </w:rPr>
        <w:t>项目实施人员一览表</w:t>
      </w:r>
    </w:p>
    <w:p w14:paraId="3298ECEB">
      <w:pPr>
        <w:spacing w:before="73" w:line="212" w:lineRule="auto"/>
        <w:ind w:left="122"/>
        <w:rPr>
          <w:rFonts w:ascii="宋体" w:hAnsi="宋体" w:eastAsia="宋体" w:cs="宋体"/>
          <w:color w:val="auto"/>
          <w:sz w:val="21"/>
          <w:szCs w:val="21"/>
        </w:rPr>
      </w:pPr>
      <w:r>
        <w:rPr>
          <w:rFonts w:ascii="宋体" w:hAnsi="宋体" w:eastAsia="宋体" w:cs="宋体"/>
          <w:color w:val="auto"/>
          <w:spacing w:val="-2"/>
          <w:sz w:val="21"/>
          <w:szCs w:val="21"/>
        </w:rPr>
        <w:t>所投分标：</w:t>
      </w:r>
      <w:r>
        <w:rPr>
          <w:rFonts w:ascii="宋体" w:hAnsi="宋体" w:eastAsia="宋体" w:cs="宋体"/>
          <w:color w:val="auto"/>
          <w:spacing w:val="-2"/>
          <w:sz w:val="21"/>
          <w:szCs w:val="21"/>
          <w:u w:val="single" w:color="auto"/>
        </w:rPr>
        <w:t xml:space="preserve">     </w:t>
      </w:r>
      <w:r>
        <w:rPr>
          <w:rFonts w:ascii="宋体" w:hAnsi="宋体" w:eastAsia="宋体" w:cs="宋体"/>
          <w:color w:val="auto"/>
          <w:spacing w:val="-101"/>
          <w:sz w:val="21"/>
          <w:szCs w:val="21"/>
        </w:rPr>
        <w:t xml:space="preserve"> </w:t>
      </w:r>
      <w:r>
        <w:rPr>
          <w:rFonts w:ascii="宋体" w:hAnsi="宋体" w:eastAsia="宋体" w:cs="宋体"/>
          <w:color w:val="auto"/>
          <w:spacing w:val="-2"/>
          <w:sz w:val="21"/>
          <w:szCs w:val="21"/>
        </w:rPr>
        <w:t>分标</w:t>
      </w:r>
    </w:p>
    <w:tbl>
      <w:tblPr>
        <w:tblStyle w:val="24"/>
        <w:tblW w:w="94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5"/>
        <w:gridCol w:w="817"/>
        <w:gridCol w:w="1959"/>
        <w:gridCol w:w="1633"/>
        <w:gridCol w:w="1955"/>
        <w:gridCol w:w="2127"/>
      </w:tblGrid>
      <w:tr w14:paraId="10D51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6" w:hRule="atLeast"/>
        </w:trPr>
        <w:tc>
          <w:tcPr>
            <w:tcW w:w="945" w:type="dxa"/>
            <w:vAlign w:val="center"/>
          </w:tcPr>
          <w:p w14:paraId="5528FF6A">
            <w:pPr>
              <w:pStyle w:val="25"/>
              <w:spacing w:before="78" w:line="220" w:lineRule="auto"/>
              <w:ind w:left="177"/>
              <w:jc w:val="center"/>
              <w:rPr>
                <w:color w:val="auto"/>
                <w:sz w:val="21"/>
                <w:szCs w:val="21"/>
              </w:rPr>
            </w:pPr>
            <w:r>
              <w:rPr>
                <w:color w:val="auto"/>
                <w:spacing w:val="-3"/>
                <w:sz w:val="21"/>
                <w:szCs w:val="21"/>
              </w:rPr>
              <w:t>姓名</w:t>
            </w:r>
          </w:p>
        </w:tc>
        <w:tc>
          <w:tcPr>
            <w:tcW w:w="817" w:type="dxa"/>
            <w:vAlign w:val="center"/>
          </w:tcPr>
          <w:p w14:paraId="2F33EDAE">
            <w:pPr>
              <w:pStyle w:val="25"/>
              <w:spacing w:before="78" w:line="220" w:lineRule="auto"/>
              <w:ind w:left="120"/>
              <w:jc w:val="center"/>
              <w:rPr>
                <w:color w:val="auto"/>
                <w:sz w:val="21"/>
                <w:szCs w:val="21"/>
              </w:rPr>
            </w:pPr>
            <w:r>
              <w:rPr>
                <w:color w:val="auto"/>
                <w:spacing w:val="-3"/>
                <w:sz w:val="21"/>
                <w:szCs w:val="21"/>
              </w:rPr>
              <w:t>职务</w:t>
            </w:r>
          </w:p>
        </w:tc>
        <w:tc>
          <w:tcPr>
            <w:tcW w:w="1959" w:type="dxa"/>
            <w:vAlign w:val="center"/>
          </w:tcPr>
          <w:p w14:paraId="39169A86">
            <w:pPr>
              <w:pStyle w:val="25"/>
              <w:spacing w:before="90" w:line="220" w:lineRule="auto"/>
              <w:ind w:left="135"/>
              <w:jc w:val="center"/>
              <w:rPr>
                <w:color w:val="auto"/>
                <w:sz w:val="21"/>
                <w:szCs w:val="21"/>
              </w:rPr>
            </w:pPr>
            <w:r>
              <w:rPr>
                <w:color w:val="auto"/>
                <w:spacing w:val="-2"/>
                <w:sz w:val="21"/>
                <w:szCs w:val="21"/>
              </w:rPr>
              <w:t>专业技术资格</w:t>
            </w:r>
            <w:r>
              <w:rPr>
                <w:color w:val="auto"/>
                <w:spacing w:val="-4"/>
                <w:sz w:val="21"/>
                <w:szCs w:val="21"/>
              </w:rPr>
              <w:t>（职称）或者</w:t>
            </w:r>
            <w:r>
              <w:rPr>
                <w:color w:val="auto"/>
                <w:spacing w:val="-2"/>
                <w:sz w:val="21"/>
                <w:szCs w:val="21"/>
              </w:rPr>
              <w:t>职业资格或者执业资格证或</w:t>
            </w:r>
          </w:p>
          <w:p w14:paraId="51A6245B">
            <w:pPr>
              <w:pStyle w:val="25"/>
              <w:spacing w:before="26" w:line="219" w:lineRule="auto"/>
              <w:ind w:left="256"/>
              <w:jc w:val="center"/>
              <w:rPr>
                <w:color w:val="auto"/>
                <w:sz w:val="21"/>
                <w:szCs w:val="21"/>
              </w:rPr>
            </w:pPr>
            <w:r>
              <w:rPr>
                <w:color w:val="auto"/>
                <w:spacing w:val="-2"/>
                <w:sz w:val="21"/>
                <w:szCs w:val="21"/>
              </w:rPr>
              <w:t>者其他证书</w:t>
            </w:r>
          </w:p>
        </w:tc>
        <w:tc>
          <w:tcPr>
            <w:tcW w:w="1633" w:type="dxa"/>
            <w:vAlign w:val="center"/>
          </w:tcPr>
          <w:p w14:paraId="1EB8C8F9">
            <w:pPr>
              <w:pStyle w:val="25"/>
              <w:spacing w:before="78" w:line="219" w:lineRule="auto"/>
              <w:jc w:val="center"/>
              <w:rPr>
                <w:color w:val="auto"/>
                <w:sz w:val="21"/>
                <w:szCs w:val="21"/>
              </w:rPr>
            </w:pPr>
            <w:r>
              <w:rPr>
                <w:color w:val="auto"/>
                <w:spacing w:val="-2"/>
                <w:sz w:val="21"/>
                <w:szCs w:val="21"/>
              </w:rPr>
              <w:t>证书编号</w:t>
            </w:r>
          </w:p>
        </w:tc>
        <w:tc>
          <w:tcPr>
            <w:tcW w:w="1955" w:type="dxa"/>
            <w:vAlign w:val="center"/>
          </w:tcPr>
          <w:p w14:paraId="6823DAD8">
            <w:pPr>
              <w:pStyle w:val="25"/>
              <w:spacing w:before="78" w:line="319" w:lineRule="auto"/>
              <w:ind w:left="380" w:right="243" w:hanging="120"/>
              <w:jc w:val="center"/>
              <w:rPr>
                <w:color w:val="auto"/>
                <w:sz w:val="21"/>
                <w:szCs w:val="21"/>
              </w:rPr>
            </w:pPr>
            <w:r>
              <w:rPr>
                <w:color w:val="auto"/>
                <w:spacing w:val="-3"/>
                <w:sz w:val="21"/>
                <w:szCs w:val="21"/>
              </w:rPr>
              <w:t>参加本单位工作时间</w:t>
            </w:r>
          </w:p>
        </w:tc>
        <w:tc>
          <w:tcPr>
            <w:tcW w:w="2127" w:type="dxa"/>
            <w:vAlign w:val="center"/>
          </w:tcPr>
          <w:p w14:paraId="151790DC">
            <w:pPr>
              <w:pStyle w:val="25"/>
              <w:spacing w:before="78" w:line="220" w:lineRule="auto"/>
              <w:jc w:val="center"/>
              <w:rPr>
                <w:color w:val="auto"/>
                <w:sz w:val="21"/>
                <w:szCs w:val="21"/>
              </w:rPr>
            </w:pPr>
            <w:r>
              <w:rPr>
                <w:color w:val="auto"/>
                <w:spacing w:val="-3"/>
                <w:sz w:val="21"/>
                <w:szCs w:val="21"/>
              </w:rPr>
              <w:t>劳动合同编号</w:t>
            </w:r>
          </w:p>
        </w:tc>
      </w:tr>
      <w:tr w14:paraId="4B6C6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945" w:type="dxa"/>
            <w:vAlign w:val="center"/>
          </w:tcPr>
          <w:p w14:paraId="0C150BE8">
            <w:pPr>
              <w:jc w:val="center"/>
              <w:rPr>
                <w:rFonts w:ascii="Arial"/>
                <w:color w:val="auto"/>
                <w:sz w:val="21"/>
                <w:szCs w:val="21"/>
              </w:rPr>
            </w:pPr>
          </w:p>
        </w:tc>
        <w:tc>
          <w:tcPr>
            <w:tcW w:w="817" w:type="dxa"/>
            <w:vAlign w:val="center"/>
          </w:tcPr>
          <w:p w14:paraId="5FF5505C">
            <w:pPr>
              <w:jc w:val="center"/>
              <w:rPr>
                <w:rFonts w:ascii="Arial"/>
                <w:color w:val="auto"/>
                <w:sz w:val="21"/>
                <w:szCs w:val="21"/>
              </w:rPr>
            </w:pPr>
          </w:p>
        </w:tc>
        <w:tc>
          <w:tcPr>
            <w:tcW w:w="1959" w:type="dxa"/>
            <w:vAlign w:val="center"/>
          </w:tcPr>
          <w:p w14:paraId="798E72E7">
            <w:pPr>
              <w:jc w:val="center"/>
              <w:rPr>
                <w:rFonts w:ascii="Arial"/>
                <w:color w:val="auto"/>
                <w:sz w:val="21"/>
                <w:szCs w:val="21"/>
              </w:rPr>
            </w:pPr>
          </w:p>
        </w:tc>
        <w:tc>
          <w:tcPr>
            <w:tcW w:w="1633" w:type="dxa"/>
            <w:vAlign w:val="center"/>
          </w:tcPr>
          <w:p w14:paraId="6FDD45BA">
            <w:pPr>
              <w:jc w:val="center"/>
              <w:rPr>
                <w:rFonts w:ascii="Arial"/>
                <w:color w:val="auto"/>
                <w:sz w:val="21"/>
                <w:szCs w:val="21"/>
              </w:rPr>
            </w:pPr>
          </w:p>
        </w:tc>
        <w:tc>
          <w:tcPr>
            <w:tcW w:w="1955" w:type="dxa"/>
            <w:vAlign w:val="center"/>
          </w:tcPr>
          <w:p w14:paraId="25E7BC39">
            <w:pPr>
              <w:jc w:val="center"/>
              <w:rPr>
                <w:rFonts w:ascii="Arial"/>
                <w:color w:val="auto"/>
                <w:sz w:val="21"/>
                <w:szCs w:val="21"/>
              </w:rPr>
            </w:pPr>
          </w:p>
        </w:tc>
        <w:tc>
          <w:tcPr>
            <w:tcW w:w="2127" w:type="dxa"/>
            <w:vAlign w:val="center"/>
          </w:tcPr>
          <w:p w14:paraId="33C86E1D">
            <w:pPr>
              <w:jc w:val="center"/>
              <w:rPr>
                <w:rFonts w:ascii="Arial"/>
                <w:color w:val="auto"/>
                <w:sz w:val="21"/>
                <w:szCs w:val="21"/>
              </w:rPr>
            </w:pPr>
          </w:p>
        </w:tc>
      </w:tr>
      <w:tr w14:paraId="1D46E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945" w:type="dxa"/>
            <w:vAlign w:val="center"/>
          </w:tcPr>
          <w:p w14:paraId="0A4F3208">
            <w:pPr>
              <w:jc w:val="center"/>
              <w:rPr>
                <w:rFonts w:ascii="Arial"/>
                <w:color w:val="auto"/>
                <w:sz w:val="21"/>
                <w:szCs w:val="21"/>
              </w:rPr>
            </w:pPr>
          </w:p>
        </w:tc>
        <w:tc>
          <w:tcPr>
            <w:tcW w:w="817" w:type="dxa"/>
            <w:vAlign w:val="center"/>
          </w:tcPr>
          <w:p w14:paraId="021250CB">
            <w:pPr>
              <w:jc w:val="center"/>
              <w:rPr>
                <w:rFonts w:ascii="Arial"/>
                <w:color w:val="auto"/>
                <w:sz w:val="21"/>
                <w:szCs w:val="21"/>
              </w:rPr>
            </w:pPr>
          </w:p>
        </w:tc>
        <w:tc>
          <w:tcPr>
            <w:tcW w:w="1959" w:type="dxa"/>
            <w:vAlign w:val="center"/>
          </w:tcPr>
          <w:p w14:paraId="481BAF30">
            <w:pPr>
              <w:jc w:val="center"/>
              <w:rPr>
                <w:rFonts w:ascii="Arial"/>
                <w:color w:val="auto"/>
                <w:sz w:val="21"/>
                <w:szCs w:val="21"/>
              </w:rPr>
            </w:pPr>
          </w:p>
        </w:tc>
        <w:tc>
          <w:tcPr>
            <w:tcW w:w="1633" w:type="dxa"/>
            <w:vAlign w:val="center"/>
          </w:tcPr>
          <w:p w14:paraId="52B5E001">
            <w:pPr>
              <w:jc w:val="center"/>
              <w:rPr>
                <w:rFonts w:ascii="Arial"/>
                <w:color w:val="auto"/>
                <w:sz w:val="21"/>
                <w:szCs w:val="21"/>
              </w:rPr>
            </w:pPr>
          </w:p>
        </w:tc>
        <w:tc>
          <w:tcPr>
            <w:tcW w:w="1955" w:type="dxa"/>
            <w:vAlign w:val="center"/>
          </w:tcPr>
          <w:p w14:paraId="7F5D14E2">
            <w:pPr>
              <w:jc w:val="center"/>
              <w:rPr>
                <w:rFonts w:ascii="Arial"/>
                <w:color w:val="auto"/>
                <w:sz w:val="21"/>
                <w:szCs w:val="21"/>
              </w:rPr>
            </w:pPr>
          </w:p>
        </w:tc>
        <w:tc>
          <w:tcPr>
            <w:tcW w:w="2127" w:type="dxa"/>
            <w:vAlign w:val="center"/>
          </w:tcPr>
          <w:p w14:paraId="106414A3">
            <w:pPr>
              <w:jc w:val="center"/>
              <w:rPr>
                <w:rFonts w:ascii="Arial"/>
                <w:color w:val="auto"/>
                <w:sz w:val="21"/>
                <w:szCs w:val="21"/>
              </w:rPr>
            </w:pPr>
          </w:p>
        </w:tc>
      </w:tr>
      <w:tr w14:paraId="21408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945" w:type="dxa"/>
            <w:vAlign w:val="center"/>
          </w:tcPr>
          <w:p w14:paraId="2781DD64">
            <w:pPr>
              <w:jc w:val="center"/>
              <w:rPr>
                <w:rFonts w:ascii="Arial"/>
                <w:color w:val="auto"/>
                <w:sz w:val="21"/>
                <w:szCs w:val="21"/>
              </w:rPr>
            </w:pPr>
          </w:p>
        </w:tc>
        <w:tc>
          <w:tcPr>
            <w:tcW w:w="817" w:type="dxa"/>
            <w:vAlign w:val="center"/>
          </w:tcPr>
          <w:p w14:paraId="692EF684">
            <w:pPr>
              <w:jc w:val="center"/>
              <w:rPr>
                <w:rFonts w:ascii="Arial"/>
                <w:color w:val="auto"/>
                <w:sz w:val="21"/>
                <w:szCs w:val="21"/>
              </w:rPr>
            </w:pPr>
          </w:p>
        </w:tc>
        <w:tc>
          <w:tcPr>
            <w:tcW w:w="1959" w:type="dxa"/>
            <w:vAlign w:val="center"/>
          </w:tcPr>
          <w:p w14:paraId="14D546C1">
            <w:pPr>
              <w:jc w:val="center"/>
              <w:rPr>
                <w:rFonts w:ascii="Arial"/>
                <w:color w:val="auto"/>
                <w:sz w:val="21"/>
                <w:szCs w:val="21"/>
              </w:rPr>
            </w:pPr>
          </w:p>
        </w:tc>
        <w:tc>
          <w:tcPr>
            <w:tcW w:w="1633" w:type="dxa"/>
            <w:vAlign w:val="center"/>
          </w:tcPr>
          <w:p w14:paraId="6277735F">
            <w:pPr>
              <w:jc w:val="center"/>
              <w:rPr>
                <w:rFonts w:ascii="Arial"/>
                <w:color w:val="auto"/>
                <w:sz w:val="21"/>
                <w:szCs w:val="21"/>
              </w:rPr>
            </w:pPr>
          </w:p>
        </w:tc>
        <w:tc>
          <w:tcPr>
            <w:tcW w:w="1955" w:type="dxa"/>
            <w:vAlign w:val="center"/>
          </w:tcPr>
          <w:p w14:paraId="68A96118">
            <w:pPr>
              <w:jc w:val="center"/>
              <w:rPr>
                <w:rFonts w:ascii="Arial"/>
                <w:color w:val="auto"/>
                <w:sz w:val="21"/>
                <w:szCs w:val="21"/>
              </w:rPr>
            </w:pPr>
          </w:p>
        </w:tc>
        <w:tc>
          <w:tcPr>
            <w:tcW w:w="2127" w:type="dxa"/>
            <w:vAlign w:val="center"/>
          </w:tcPr>
          <w:p w14:paraId="49FF15AA">
            <w:pPr>
              <w:jc w:val="center"/>
              <w:rPr>
                <w:rFonts w:ascii="Arial"/>
                <w:color w:val="auto"/>
                <w:sz w:val="21"/>
                <w:szCs w:val="21"/>
              </w:rPr>
            </w:pPr>
          </w:p>
        </w:tc>
      </w:tr>
    </w:tbl>
    <w:p w14:paraId="454CBE6A">
      <w:pPr>
        <w:spacing w:line="435" w:lineRule="auto"/>
        <w:rPr>
          <w:rFonts w:ascii="Arial"/>
          <w:color w:val="auto"/>
          <w:sz w:val="21"/>
          <w:szCs w:val="21"/>
        </w:rPr>
      </w:pPr>
    </w:p>
    <w:p w14:paraId="3DA91C1A">
      <w:pPr>
        <w:keepNext w:val="0"/>
        <w:keepLines w:val="0"/>
        <w:pageBreakBefore w:val="0"/>
        <w:widowControl/>
        <w:kinsoku w:val="0"/>
        <w:wordWrap w:val="0"/>
        <w:overflowPunct w:val="0"/>
        <w:topLinePunct w:val="0"/>
        <w:autoSpaceDE/>
        <w:autoSpaceDN/>
        <w:bidi w:val="0"/>
        <w:adjustRightInd w:val="0"/>
        <w:snapToGrid w:val="0"/>
        <w:spacing w:before="78" w:line="224" w:lineRule="auto"/>
        <w:ind w:left="0" w:right="0"/>
        <w:textAlignment w:val="baseline"/>
        <w:rPr>
          <w:rFonts w:ascii="宋体" w:hAnsi="宋体" w:eastAsia="宋体" w:cs="宋体"/>
          <w:color w:val="auto"/>
          <w:sz w:val="21"/>
          <w:szCs w:val="21"/>
        </w:rPr>
      </w:pPr>
      <w:r>
        <w:rPr>
          <w:rFonts w:ascii="宋体" w:hAnsi="宋体" w:eastAsia="宋体" w:cs="宋体"/>
          <w:color w:val="auto"/>
          <w:spacing w:val="-17"/>
          <w:sz w:val="21"/>
          <w:szCs w:val="21"/>
        </w:rPr>
        <w:t>注：</w:t>
      </w:r>
    </w:p>
    <w:p w14:paraId="6BE03F4B">
      <w:pPr>
        <w:keepNext w:val="0"/>
        <w:keepLines w:val="0"/>
        <w:pageBreakBefore w:val="0"/>
        <w:widowControl/>
        <w:kinsoku w:val="0"/>
        <w:wordWrap w:val="0"/>
        <w:overflowPunct w:val="0"/>
        <w:topLinePunct w:val="0"/>
        <w:autoSpaceDE/>
        <w:autoSpaceDN/>
        <w:bidi w:val="0"/>
        <w:adjustRightInd w:val="0"/>
        <w:snapToGrid w:val="0"/>
        <w:spacing w:before="32" w:line="347" w:lineRule="auto"/>
        <w:ind w:left="0" w:right="0" w:hanging="1"/>
        <w:textAlignment w:val="baseline"/>
        <w:rPr>
          <w:rFonts w:ascii="宋体" w:hAnsi="宋体" w:eastAsia="宋体" w:cs="宋体"/>
          <w:color w:val="auto"/>
          <w:spacing w:val="-2"/>
          <w:sz w:val="21"/>
          <w:szCs w:val="21"/>
        </w:rPr>
      </w:pPr>
      <w:r>
        <w:rPr>
          <w:rFonts w:hint="eastAsia" w:ascii="宋体" w:hAnsi="宋体" w:eastAsia="宋体" w:cs="宋体"/>
          <w:color w:val="auto"/>
          <w:spacing w:val="-2"/>
          <w:sz w:val="21"/>
          <w:szCs w:val="21"/>
          <w:lang w:val="en-US" w:eastAsia="zh-CN"/>
        </w:rPr>
        <w:t>1.</w:t>
      </w:r>
      <w:r>
        <w:rPr>
          <w:rFonts w:ascii="宋体" w:hAnsi="宋体" w:eastAsia="宋体" w:cs="宋体"/>
          <w:color w:val="auto"/>
          <w:spacing w:val="-2"/>
          <w:sz w:val="21"/>
          <w:szCs w:val="21"/>
        </w:rPr>
        <w:t>在填写时，如本表格不适合投标单位的实际情况，可根据本表格式自行制表填写。</w:t>
      </w:r>
    </w:p>
    <w:p w14:paraId="5AEEF687">
      <w:pPr>
        <w:keepNext w:val="0"/>
        <w:keepLines w:val="0"/>
        <w:pageBreakBefore w:val="0"/>
        <w:widowControl/>
        <w:kinsoku w:val="0"/>
        <w:wordWrap w:val="0"/>
        <w:overflowPunct w:val="0"/>
        <w:topLinePunct w:val="0"/>
        <w:autoSpaceDE/>
        <w:autoSpaceDN/>
        <w:bidi w:val="0"/>
        <w:adjustRightInd w:val="0"/>
        <w:snapToGrid w:val="0"/>
        <w:spacing w:before="32" w:line="347" w:lineRule="auto"/>
        <w:ind w:left="0" w:right="0" w:hanging="1"/>
        <w:textAlignment w:val="baseline"/>
        <w:rPr>
          <w:rFonts w:ascii="宋体" w:hAnsi="宋体" w:eastAsia="宋体" w:cs="宋体"/>
          <w:color w:val="auto"/>
          <w:spacing w:val="-2"/>
          <w:sz w:val="21"/>
          <w:szCs w:val="21"/>
        </w:rPr>
      </w:pPr>
      <w:r>
        <w:rPr>
          <w:rFonts w:ascii="宋体" w:hAnsi="宋体" w:eastAsia="宋体" w:cs="宋体"/>
          <w:color w:val="auto"/>
          <w:spacing w:val="-2"/>
          <w:sz w:val="21"/>
          <w:szCs w:val="21"/>
        </w:rPr>
        <w:t>2.投标人应当附本表所列证书的复印件并加盖投标人电子签章。</w:t>
      </w:r>
    </w:p>
    <w:p w14:paraId="1550EE0B">
      <w:pPr>
        <w:spacing w:before="32" w:line="347" w:lineRule="auto"/>
        <w:ind w:left="124" w:right="1744" w:hanging="1"/>
        <w:rPr>
          <w:rFonts w:ascii="宋体" w:hAnsi="宋体" w:eastAsia="宋体" w:cs="宋体"/>
          <w:color w:val="auto"/>
          <w:spacing w:val="-2"/>
          <w:sz w:val="21"/>
          <w:szCs w:val="21"/>
        </w:rPr>
      </w:pPr>
    </w:p>
    <w:p w14:paraId="38B03FB3">
      <w:pPr>
        <w:spacing w:before="32" w:line="347" w:lineRule="auto"/>
        <w:ind w:left="124" w:right="1744" w:hanging="1"/>
        <w:rPr>
          <w:rFonts w:ascii="宋体" w:hAnsi="宋体" w:eastAsia="宋体" w:cs="宋体"/>
          <w:color w:val="auto"/>
          <w:sz w:val="21"/>
          <w:szCs w:val="21"/>
        </w:rPr>
      </w:pPr>
      <w:r>
        <w:rPr>
          <w:rFonts w:ascii="宋体" w:hAnsi="宋体" w:eastAsia="宋体" w:cs="宋体"/>
          <w:color w:val="auto"/>
          <w:spacing w:val="20"/>
          <w:sz w:val="21"/>
          <w:szCs w:val="21"/>
        </w:rPr>
        <w:t>投标人名称（电子签章</w:t>
      </w:r>
      <w:r>
        <w:rPr>
          <w:rFonts w:ascii="宋体" w:hAnsi="宋体" w:eastAsia="宋体" w:cs="宋体"/>
          <w:color w:val="auto"/>
          <w:spacing w:val="-31"/>
          <w:sz w:val="21"/>
          <w:szCs w:val="21"/>
        </w:rPr>
        <w:t>）：</w:t>
      </w:r>
      <w:r>
        <w:rPr>
          <w:rFonts w:ascii="宋体" w:hAnsi="宋体" w:eastAsia="宋体" w:cs="宋体"/>
          <w:color w:val="auto"/>
          <w:spacing w:val="-80"/>
          <w:sz w:val="21"/>
          <w:szCs w:val="21"/>
        </w:rPr>
        <w:t xml:space="preserve"> </w:t>
      </w:r>
      <w:r>
        <w:rPr>
          <w:rFonts w:ascii="宋体" w:hAnsi="宋体" w:eastAsia="宋体" w:cs="宋体"/>
          <w:color w:val="auto"/>
          <w:sz w:val="21"/>
          <w:szCs w:val="21"/>
          <w:u w:val="single" w:color="auto"/>
        </w:rPr>
        <w:t xml:space="preserve">                 </w:t>
      </w:r>
    </w:p>
    <w:p w14:paraId="45F0F064">
      <w:pPr>
        <w:spacing w:before="33" w:line="220" w:lineRule="auto"/>
        <w:ind w:left="163"/>
        <w:rPr>
          <w:rFonts w:ascii="宋体" w:hAnsi="宋体" w:eastAsia="宋体" w:cs="宋体"/>
          <w:color w:val="auto"/>
          <w:sz w:val="21"/>
          <w:szCs w:val="21"/>
        </w:rPr>
      </w:pPr>
      <w:r>
        <w:rPr>
          <w:rFonts w:ascii="宋体" w:hAnsi="宋体" w:eastAsia="宋体" w:cs="宋体"/>
          <w:color w:val="auto"/>
          <w:spacing w:val="-17"/>
          <w:sz w:val="21"/>
          <w:szCs w:val="21"/>
        </w:rPr>
        <w:t>日</w:t>
      </w:r>
      <w:r>
        <w:rPr>
          <w:rFonts w:ascii="宋体" w:hAnsi="宋体" w:eastAsia="宋体" w:cs="宋体"/>
          <w:color w:val="auto"/>
          <w:spacing w:val="91"/>
          <w:sz w:val="21"/>
          <w:szCs w:val="21"/>
        </w:rPr>
        <w:t xml:space="preserve"> </w:t>
      </w:r>
      <w:r>
        <w:rPr>
          <w:rFonts w:ascii="宋体" w:hAnsi="宋体" w:eastAsia="宋体" w:cs="宋体"/>
          <w:color w:val="auto"/>
          <w:spacing w:val="-17"/>
          <w:sz w:val="21"/>
          <w:szCs w:val="21"/>
        </w:rPr>
        <w:t>期：</w:t>
      </w:r>
      <w:r>
        <w:rPr>
          <w:rFonts w:ascii="宋体" w:hAnsi="宋体" w:eastAsia="宋体" w:cs="宋体"/>
          <w:color w:val="auto"/>
          <w:spacing w:val="-54"/>
          <w:sz w:val="21"/>
          <w:szCs w:val="21"/>
        </w:rPr>
        <w:t xml:space="preserve"> </w:t>
      </w:r>
      <w:r>
        <w:rPr>
          <w:rFonts w:ascii="宋体" w:hAnsi="宋体" w:eastAsia="宋体" w:cs="宋体"/>
          <w:color w:val="auto"/>
          <w:sz w:val="21"/>
          <w:szCs w:val="21"/>
          <w:u w:val="single" w:color="auto"/>
        </w:rPr>
        <w:t xml:space="preserve">             </w:t>
      </w:r>
    </w:p>
    <w:p w14:paraId="5ED4BFC6">
      <w:pPr>
        <w:spacing w:line="220" w:lineRule="auto"/>
        <w:rPr>
          <w:rFonts w:ascii="宋体" w:hAnsi="宋体" w:eastAsia="宋体" w:cs="宋体"/>
          <w:color w:val="auto"/>
          <w:sz w:val="21"/>
          <w:szCs w:val="21"/>
        </w:rPr>
        <w:sectPr>
          <w:footerReference r:id="rId37" w:type="default"/>
          <w:pgSz w:w="11905" w:h="16838"/>
          <w:pgMar w:top="1417" w:right="1417" w:bottom="1417" w:left="1417" w:header="0" w:footer="1196" w:gutter="0"/>
          <w:pgNumType w:fmt="decimal"/>
          <w:cols w:space="0" w:num="1"/>
          <w:rtlGutter w:val="0"/>
          <w:docGrid w:linePitch="0" w:charSpace="0"/>
        </w:sectPr>
      </w:pPr>
    </w:p>
    <w:p w14:paraId="3403CC1E">
      <w:pPr>
        <w:spacing w:before="91" w:line="219" w:lineRule="auto"/>
        <w:ind w:left="7"/>
        <w:outlineLvl w:val="1"/>
        <w:rPr>
          <w:rFonts w:ascii="宋体" w:hAnsi="宋体" w:eastAsia="宋体" w:cs="宋体"/>
          <w:color w:val="auto"/>
          <w:sz w:val="28"/>
          <w:szCs w:val="28"/>
        </w:rPr>
      </w:pPr>
      <w:r>
        <w:rPr>
          <w:rFonts w:ascii="宋体" w:hAnsi="宋体" w:eastAsia="宋体" w:cs="宋体"/>
          <w:b/>
          <w:bCs/>
          <w:color w:val="auto"/>
          <w:spacing w:val="-4"/>
          <w:sz w:val="28"/>
          <w:szCs w:val="28"/>
        </w:rPr>
        <w:t>五、其他文书、文件格式</w:t>
      </w:r>
    </w:p>
    <w:p w14:paraId="542A2B6B">
      <w:pPr>
        <w:pStyle w:val="4"/>
        <w:keepNext w:val="0"/>
        <w:keepLines w:val="0"/>
        <w:pageBreakBefore w:val="0"/>
        <w:widowControl w:val="0"/>
        <w:kinsoku/>
        <w:wordWrap/>
        <w:overflowPunct/>
        <w:topLinePunct w:val="0"/>
        <w:autoSpaceDE/>
        <w:autoSpaceDN/>
        <w:bidi w:val="0"/>
        <w:adjustRightInd/>
        <w:snapToGrid/>
        <w:spacing w:before="313" w:beforeLines="100" w:after="313" w:afterLines="100" w:line="360" w:lineRule="auto"/>
        <w:ind w:left="0" w:leftChars="0" w:firstLine="0" w:firstLineChars="0"/>
        <w:jc w:val="left"/>
        <w:textAlignment w:val="auto"/>
        <w:rPr>
          <w:rFonts w:hint="eastAsia" w:ascii="宋体" w:hAnsi="宋体" w:eastAsia="宋体" w:cs="宋体"/>
          <w:b/>
          <w:bCs/>
          <w:color w:val="auto"/>
          <w:kern w:val="0"/>
          <w:sz w:val="28"/>
          <w:szCs w:val="28"/>
          <w:lang w:val="en-US" w:eastAsia="zh-CN"/>
        </w:rPr>
      </w:pPr>
      <w:r>
        <w:rPr>
          <w:rFonts w:hint="eastAsia" w:ascii="宋体" w:hAnsi="宋体" w:eastAsia="宋体" w:cs="宋体"/>
          <w:b/>
          <w:bCs/>
          <w:color w:val="auto"/>
          <w:spacing w:val="-4"/>
          <w:sz w:val="24"/>
          <w:szCs w:val="24"/>
          <w:lang w:val="en-US" w:eastAsia="zh-CN"/>
        </w:rPr>
        <w:t>1.</w:t>
      </w:r>
      <w:r>
        <w:rPr>
          <w:rFonts w:hint="eastAsia" w:ascii="宋体" w:hAnsi="宋体" w:eastAsia="宋体" w:cs="宋体"/>
          <w:b/>
          <w:bCs/>
          <w:color w:val="auto"/>
          <w:kern w:val="0"/>
          <w:sz w:val="28"/>
          <w:szCs w:val="28"/>
          <w:lang w:val="en-US" w:eastAsia="zh-CN"/>
        </w:rPr>
        <w:t>百色市政府采购供应商信用承诺函（格式）</w:t>
      </w:r>
    </w:p>
    <w:p w14:paraId="61330D89">
      <w:pPr>
        <w:pStyle w:val="4"/>
        <w:keepNext w:val="0"/>
        <w:keepLines w:val="0"/>
        <w:pageBreakBefore w:val="0"/>
        <w:widowControl w:val="0"/>
        <w:kinsoku/>
        <w:wordWrap/>
        <w:overflowPunct/>
        <w:topLinePunct w:val="0"/>
        <w:autoSpaceDE/>
        <w:autoSpaceDN/>
        <w:bidi w:val="0"/>
        <w:adjustRightInd/>
        <w:snapToGrid/>
        <w:spacing w:before="313" w:beforeLines="100" w:after="313" w:afterLines="100" w:line="360" w:lineRule="auto"/>
        <w:ind w:left="0" w:leftChars="0" w:firstLine="0" w:firstLineChars="0"/>
        <w:jc w:val="center"/>
        <w:textAlignment w:val="auto"/>
        <w:rPr>
          <w:rFonts w:hint="default" w:ascii="宋体" w:hAnsi="宋体" w:eastAsia="宋体" w:cs="宋体"/>
          <w:b/>
          <w:bCs/>
          <w:color w:val="auto"/>
          <w:kern w:val="0"/>
          <w:sz w:val="28"/>
          <w:szCs w:val="28"/>
          <w:lang w:val="en-US" w:eastAsia="zh-CN"/>
        </w:rPr>
      </w:pPr>
      <w:r>
        <w:rPr>
          <w:rFonts w:hint="eastAsia" w:ascii="宋体" w:hAnsi="宋体" w:eastAsia="宋体" w:cs="宋体"/>
          <w:b/>
          <w:bCs/>
          <w:color w:val="auto"/>
          <w:kern w:val="0"/>
          <w:sz w:val="28"/>
          <w:szCs w:val="28"/>
          <w:lang w:val="en-US" w:eastAsia="zh-CN"/>
        </w:rPr>
        <w:t>百色市政府采购供应商信用承诺函</w:t>
      </w:r>
    </w:p>
    <w:p w14:paraId="28FE481E">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致</w:t>
      </w:r>
      <w:r>
        <w:rPr>
          <w:rFonts w:hint="eastAsia" w:ascii="宋体" w:hAnsi="宋体" w:eastAsia="宋体" w:cs="宋体"/>
          <w:b w:val="0"/>
          <w:bCs w:val="0"/>
          <w:color w:val="auto"/>
          <w:kern w:val="0"/>
          <w:sz w:val="21"/>
          <w:szCs w:val="21"/>
          <w:u w:val="single"/>
          <w:lang w:val="en-US" w:eastAsia="zh-CN"/>
        </w:rPr>
        <w:t>（采购人或采购代理机构）</w:t>
      </w:r>
      <w:r>
        <w:rPr>
          <w:rFonts w:hint="eastAsia" w:ascii="宋体" w:hAnsi="宋体" w:eastAsia="宋体" w:cs="宋体"/>
          <w:b w:val="0"/>
          <w:bCs w:val="0"/>
          <w:color w:val="auto"/>
          <w:kern w:val="0"/>
          <w:sz w:val="21"/>
          <w:szCs w:val="21"/>
          <w:lang w:val="en-US" w:eastAsia="zh-CN"/>
        </w:rPr>
        <w:t>：</w:t>
      </w:r>
    </w:p>
    <w:p w14:paraId="4EF36164">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供应商名称：</w:t>
      </w:r>
    </w:p>
    <w:p w14:paraId="567E5249">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统一社会信用代码：</w:t>
      </w:r>
    </w:p>
    <w:p w14:paraId="5E142CFC">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供应商地址：</w:t>
      </w:r>
    </w:p>
    <w:p w14:paraId="54FC00EE">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我方自愿参加</w:t>
      </w:r>
      <w:r>
        <w:rPr>
          <w:rFonts w:hint="eastAsia" w:ascii="宋体" w:hAnsi="宋体" w:eastAsia="宋体" w:cs="宋体"/>
          <w:b w:val="0"/>
          <w:bCs w:val="0"/>
          <w:color w:val="auto"/>
          <w:kern w:val="0"/>
          <w:sz w:val="21"/>
          <w:szCs w:val="21"/>
          <w:u w:val="single"/>
          <w:lang w:val="en-US" w:eastAsia="zh-CN"/>
        </w:rPr>
        <w:t>_(项目名称）</w:t>
      </w:r>
      <w:r>
        <w:rPr>
          <w:rFonts w:hint="eastAsia" w:ascii="宋体" w:hAnsi="宋体" w:eastAsia="宋体" w:cs="宋体"/>
          <w:b w:val="0"/>
          <w:bCs w:val="0"/>
          <w:color w:val="auto"/>
          <w:kern w:val="0"/>
          <w:sz w:val="21"/>
          <w:szCs w:val="21"/>
          <w:lang w:val="en-US" w:eastAsia="zh-CN"/>
        </w:rPr>
        <w:t>_项目(项目编号:</w:t>
      </w:r>
      <w:r>
        <w:rPr>
          <w:rFonts w:hint="eastAsia" w:ascii="宋体" w:hAnsi="宋体" w:eastAsia="宋体" w:cs="宋体"/>
          <w:b w:val="0"/>
          <w:bCs w:val="0"/>
          <w:color w:val="auto"/>
          <w:kern w:val="0"/>
          <w:sz w:val="21"/>
          <w:szCs w:val="21"/>
          <w:u w:val="single"/>
          <w:lang w:val="en-US" w:eastAsia="zh-CN"/>
        </w:rPr>
        <w:t xml:space="preserve">     </w:t>
      </w:r>
      <w:r>
        <w:rPr>
          <w:rFonts w:hint="eastAsia" w:ascii="宋体" w:hAnsi="宋体" w:eastAsia="宋体" w:cs="宋体"/>
          <w:b w:val="0"/>
          <w:bCs w:val="0"/>
          <w:color w:val="auto"/>
          <w:kern w:val="0"/>
          <w:sz w:val="21"/>
          <w:szCs w:val="21"/>
          <w:lang w:val="en-US" w:eastAsia="zh-CN"/>
        </w:rPr>
        <w:t>)的政府采购活动，严格遵守《中华人民共和国政府采购法》及相关法律法规，依法诚信经营，无条件遵守本次政府采购活动的各项规定。并郑重承诺，我方符合《中华人民共和国政府采购法》第二十二条规定的条件:</w:t>
      </w:r>
    </w:p>
    <w:p w14:paraId="697353AB">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1.具有独立承担民事责任的能力。</w:t>
      </w:r>
    </w:p>
    <w:p w14:paraId="0F10DBC1">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2.具有符合采购文件资格要求的财务状况报告。</w:t>
      </w:r>
    </w:p>
    <w:p w14:paraId="239165F9">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3.具有符合采购文件资格要求的依法缴纳税收和社会保障记录的良好记录。</w:t>
      </w:r>
    </w:p>
    <w:p w14:paraId="6DF8BBE8">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4.具有符合采购文件资格要求履行合同所必需的设备和专业技术能力。</w:t>
      </w:r>
    </w:p>
    <w:p w14:paraId="5C744027">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5.参加政府采购活动前三年内，在经营活动中没有重大违法记录。</w:t>
      </w:r>
    </w:p>
    <w:p w14:paraId="7BA71E94">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6.法律、行政法规规定的其他条件。</w:t>
      </w:r>
    </w:p>
    <w:p w14:paraId="702DBC62">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若我方保证上述承诺事项的真实性。如有虚假，将依法承担相应的法律责任。</w:t>
      </w:r>
    </w:p>
    <w:p w14:paraId="25BB6269">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val="0"/>
          <w:color w:val="auto"/>
          <w:kern w:val="0"/>
          <w:sz w:val="21"/>
          <w:szCs w:val="21"/>
          <w:lang w:val="en-US" w:eastAsia="zh-CN"/>
        </w:rPr>
      </w:pPr>
    </w:p>
    <w:p w14:paraId="40452A9B">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val="0"/>
          <w:color w:val="auto"/>
          <w:kern w:val="0"/>
          <w:sz w:val="21"/>
          <w:szCs w:val="21"/>
          <w:lang w:val="en-US" w:eastAsia="zh-CN"/>
        </w:rPr>
      </w:pPr>
    </w:p>
    <w:p w14:paraId="3B34D4D0">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供应商名称（</w:t>
      </w:r>
      <w:r>
        <w:rPr>
          <w:rFonts w:ascii="宋体" w:hAnsi="宋体" w:eastAsia="宋体" w:cs="宋体"/>
          <w:color w:val="auto"/>
          <w:spacing w:val="-3"/>
          <w:sz w:val="21"/>
          <w:szCs w:val="21"/>
        </w:rPr>
        <w:t>电子签章</w:t>
      </w:r>
      <w:r>
        <w:rPr>
          <w:rFonts w:hint="eastAsia" w:ascii="宋体" w:hAnsi="宋体" w:eastAsia="宋体" w:cs="宋体"/>
          <w:b w:val="0"/>
          <w:bCs w:val="0"/>
          <w:color w:val="auto"/>
          <w:kern w:val="0"/>
          <w:sz w:val="21"/>
          <w:szCs w:val="21"/>
          <w:lang w:val="en-US" w:eastAsia="zh-CN"/>
        </w:rPr>
        <w:t>):</w:t>
      </w:r>
    </w:p>
    <w:p w14:paraId="76E484B8">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法定代表人（负责人）或授权代表(签名或盖章):</w:t>
      </w:r>
    </w:p>
    <w:p w14:paraId="160A4039">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日期:   年  月  日</w:t>
      </w:r>
    </w:p>
    <w:p w14:paraId="57C3F55A">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val="0"/>
          <w:bCs w:val="0"/>
          <w:color w:val="auto"/>
          <w:kern w:val="0"/>
          <w:sz w:val="21"/>
          <w:szCs w:val="21"/>
          <w:lang w:val="en-US" w:eastAsia="zh-CN"/>
        </w:rPr>
      </w:pPr>
    </w:p>
    <w:p w14:paraId="7C6C10D9">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val="0"/>
          <w:bCs w:val="0"/>
          <w:color w:val="auto"/>
          <w:kern w:val="0"/>
          <w:sz w:val="21"/>
          <w:szCs w:val="21"/>
          <w:lang w:val="en-US" w:eastAsia="zh-CN"/>
        </w:rPr>
      </w:pPr>
    </w:p>
    <w:p w14:paraId="61A77B53">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0" w:firstLineChars="0"/>
        <w:contextualSpacing/>
        <w:jc w:val="left"/>
        <w:textAlignment w:val="baseline"/>
        <w:rPr>
          <w:rFonts w:ascii="宋体" w:hAnsi="宋体"/>
          <w:b/>
          <w:bCs/>
          <w:color w:val="auto"/>
          <w:sz w:val="32"/>
          <w:szCs w:val="32"/>
        </w:rPr>
      </w:pPr>
      <w:r>
        <w:rPr>
          <w:rFonts w:hint="eastAsia" w:ascii="宋体" w:hAnsi="宋体" w:eastAsia="宋体" w:cs="宋体"/>
          <w:b w:val="0"/>
          <w:bCs w:val="0"/>
          <w:color w:val="auto"/>
          <w:kern w:val="0"/>
          <w:sz w:val="21"/>
          <w:szCs w:val="21"/>
          <w:lang w:val="en-US" w:eastAsia="zh-CN"/>
        </w:rPr>
        <w:t>注:供应商的法定代表人(其他组织的为负责人)或者授权代表的签名或盖章应真实、有效，如由授权代表签名或盖章的，应提供“法定代表人授权书。</w:t>
      </w:r>
    </w:p>
    <w:p w14:paraId="2E806B88">
      <w:pPr>
        <w:pStyle w:val="6"/>
        <w:rPr>
          <w:rFonts w:ascii="宋体" w:hAnsi="宋体" w:eastAsia="宋体" w:cs="宋体"/>
          <w:color w:val="auto"/>
          <w:sz w:val="24"/>
          <w:szCs w:val="24"/>
        </w:rPr>
        <w:sectPr>
          <w:footerReference r:id="rId38" w:type="default"/>
          <w:pgSz w:w="11905" w:h="16838"/>
          <w:pgMar w:top="1417" w:right="1417" w:bottom="1417" w:left="1417" w:header="0" w:footer="1196" w:gutter="0"/>
          <w:pgNumType w:fmt="decimal"/>
          <w:cols w:space="0" w:num="1"/>
          <w:rtlGutter w:val="0"/>
          <w:docGrid w:linePitch="0" w:charSpace="0"/>
        </w:sectPr>
      </w:pPr>
    </w:p>
    <w:p w14:paraId="6D1A98C7">
      <w:pPr>
        <w:spacing w:before="303" w:line="220" w:lineRule="auto"/>
        <w:jc w:val="left"/>
        <w:outlineLvl w:val="2"/>
        <w:rPr>
          <w:rFonts w:hint="eastAsia" w:ascii="宋体" w:hAnsi="宋体" w:eastAsia="宋体" w:cs="宋体"/>
          <w:b/>
          <w:bCs/>
          <w:color w:val="auto"/>
          <w:spacing w:val="-4"/>
          <w:sz w:val="28"/>
          <w:szCs w:val="28"/>
          <w:lang w:val="en-US" w:eastAsia="zh-CN"/>
        </w:rPr>
      </w:pPr>
      <w:r>
        <w:rPr>
          <w:rFonts w:hint="eastAsia" w:ascii="宋体" w:hAnsi="宋体" w:eastAsia="宋体" w:cs="宋体"/>
          <w:b/>
          <w:bCs/>
          <w:color w:val="auto"/>
          <w:spacing w:val="-4"/>
          <w:sz w:val="28"/>
          <w:szCs w:val="28"/>
          <w:lang w:val="en-US" w:eastAsia="zh-CN"/>
        </w:rPr>
        <w:t>2.联合投标协议书格式</w:t>
      </w:r>
    </w:p>
    <w:p w14:paraId="782A5EB6">
      <w:pPr>
        <w:spacing w:before="303" w:line="220" w:lineRule="auto"/>
        <w:jc w:val="center"/>
        <w:outlineLvl w:val="2"/>
        <w:rPr>
          <w:rFonts w:hint="eastAsia" w:ascii="宋体" w:hAnsi="宋体" w:eastAsia="宋体" w:cs="宋体"/>
          <w:b w:val="0"/>
          <w:bCs w:val="0"/>
          <w:color w:val="auto"/>
          <w:spacing w:val="-4"/>
          <w:sz w:val="21"/>
          <w:szCs w:val="21"/>
          <w:u w:val="single"/>
          <w:lang w:val="en-US" w:eastAsia="zh-CN"/>
        </w:rPr>
      </w:pPr>
      <w:r>
        <w:rPr>
          <w:rFonts w:hint="eastAsia" w:ascii="宋体" w:hAnsi="宋体" w:eastAsia="宋体" w:cs="宋体"/>
          <w:b/>
          <w:bCs/>
          <w:color w:val="auto"/>
          <w:spacing w:val="-4"/>
          <w:sz w:val="28"/>
          <w:szCs w:val="28"/>
          <w:lang w:val="en-US" w:eastAsia="zh-CN"/>
        </w:rPr>
        <w:t>联合体协议书</w:t>
      </w:r>
    </w:p>
    <w:p w14:paraId="7B932BC9">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u w:val="single"/>
          <w:lang w:val="en-US" w:eastAsia="zh-CN"/>
        </w:rPr>
      </w:pPr>
    </w:p>
    <w:p w14:paraId="2DD26148">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lang w:val="en-US" w:eastAsia="zh-CN"/>
        </w:rPr>
      </w:pPr>
      <w:r>
        <w:rPr>
          <w:rFonts w:hint="eastAsia" w:ascii="宋体" w:hAnsi="宋体" w:eastAsia="宋体" w:cs="宋体"/>
          <w:b w:val="0"/>
          <w:bCs w:val="0"/>
          <w:color w:val="auto"/>
          <w:spacing w:val="-4"/>
          <w:sz w:val="21"/>
          <w:szCs w:val="21"/>
          <w:u w:val="single"/>
          <w:lang w:val="en-US" w:eastAsia="zh-CN"/>
        </w:rPr>
        <w:t xml:space="preserve">         </w:t>
      </w:r>
      <w:r>
        <w:rPr>
          <w:rFonts w:hint="eastAsia" w:ascii="宋体" w:hAnsi="宋体" w:eastAsia="宋体" w:cs="宋体"/>
          <w:b w:val="0"/>
          <w:bCs w:val="0"/>
          <w:color w:val="auto"/>
          <w:spacing w:val="-4"/>
          <w:sz w:val="21"/>
          <w:szCs w:val="21"/>
          <w:lang w:val="en-US" w:eastAsia="zh-CN"/>
        </w:rPr>
        <w:t>（所有成员单位名称）自愿组成</w:t>
      </w:r>
      <w:r>
        <w:rPr>
          <w:rFonts w:hint="eastAsia" w:ascii="宋体" w:hAnsi="宋体" w:eastAsia="宋体" w:cs="宋体"/>
          <w:b w:val="0"/>
          <w:bCs w:val="0"/>
          <w:color w:val="auto"/>
          <w:spacing w:val="-4"/>
          <w:sz w:val="21"/>
          <w:szCs w:val="21"/>
          <w:u w:val="single"/>
          <w:lang w:val="en-US" w:eastAsia="zh-CN"/>
        </w:rPr>
        <w:t xml:space="preserve">         </w:t>
      </w:r>
      <w:r>
        <w:rPr>
          <w:rFonts w:hint="eastAsia" w:ascii="宋体" w:hAnsi="宋体" w:eastAsia="宋体" w:cs="宋体"/>
          <w:b w:val="0"/>
          <w:bCs w:val="0"/>
          <w:color w:val="auto"/>
          <w:spacing w:val="-4"/>
          <w:sz w:val="21"/>
          <w:szCs w:val="21"/>
          <w:lang w:val="en-US" w:eastAsia="zh-CN"/>
        </w:rPr>
        <w:t>（联合体名称）联合体，共同参加</w:t>
      </w:r>
      <w:r>
        <w:rPr>
          <w:rFonts w:hint="eastAsia" w:ascii="宋体" w:hAnsi="宋体" w:eastAsia="宋体" w:cs="宋体"/>
          <w:b w:val="0"/>
          <w:bCs w:val="0"/>
          <w:color w:val="auto"/>
          <w:spacing w:val="-4"/>
          <w:sz w:val="21"/>
          <w:szCs w:val="21"/>
          <w:u w:val="single"/>
          <w:lang w:val="en-US" w:eastAsia="zh-CN"/>
        </w:rPr>
        <w:t xml:space="preserve">         （项目名称）</w:t>
      </w:r>
      <w:r>
        <w:rPr>
          <w:rFonts w:hint="eastAsia" w:ascii="宋体" w:hAnsi="宋体" w:eastAsia="宋体" w:cs="宋体"/>
          <w:b w:val="0"/>
          <w:bCs w:val="0"/>
          <w:color w:val="auto"/>
          <w:spacing w:val="-4"/>
          <w:sz w:val="21"/>
          <w:szCs w:val="21"/>
          <w:lang w:val="en-US" w:eastAsia="zh-CN"/>
        </w:rPr>
        <w:t>采购招标项目投标。现就联合体投标事宜订立如下协议。</w:t>
      </w:r>
    </w:p>
    <w:p w14:paraId="683ED014">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lang w:val="en-US" w:eastAsia="zh-CN"/>
        </w:rPr>
      </w:pPr>
      <w:r>
        <w:rPr>
          <w:rFonts w:hint="eastAsia" w:ascii="宋体" w:hAnsi="宋体" w:eastAsia="宋体" w:cs="宋体"/>
          <w:b w:val="0"/>
          <w:bCs w:val="0"/>
          <w:color w:val="auto"/>
          <w:spacing w:val="-4"/>
          <w:sz w:val="21"/>
          <w:szCs w:val="21"/>
          <w:lang w:val="en-US" w:eastAsia="zh-CN"/>
        </w:rPr>
        <w:t>1.</w:t>
      </w:r>
      <w:r>
        <w:rPr>
          <w:rFonts w:hint="eastAsia" w:ascii="宋体" w:hAnsi="宋体" w:eastAsia="宋体" w:cs="宋体"/>
          <w:b w:val="0"/>
          <w:bCs w:val="0"/>
          <w:color w:val="auto"/>
          <w:spacing w:val="-4"/>
          <w:sz w:val="21"/>
          <w:szCs w:val="21"/>
          <w:u w:val="single"/>
          <w:lang w:val="en-US" w:eastAsia="zh-CN"/>
        </w:rPr>
        <w:t xml:space="preserve">         </w:t>
      </w:r>
      <w:r>
        <w:rPr>
          <w:rFonts w:hint="eastAsia" w:ascii="宋体" w:hAnsi="宋体" w:eastAsia="宋体" w:cs="宋体"/>
          <w:b w:val="0"/>
          <w:bCs w:val="0"/>
          <w:color w:val="auto"/>
          <w:spacing w:val="-4"/>
          <w:sz w:val="21"/>
          <w:szCs w:val="21"/>
          <w:lang w:val="en-US" w:eastAsia="zh-CN"/>
        </w:rPr>
        <w:t>（某成员单位名称）为</w:t>
      </w:r>
      <w:r>
        <w:rPr>
          <w:rFonts w:hint="eastAsia" w:ascii="宋体" w:hAnsi="宋体" w:eastAsia="宋体" w:cs="宋体"/>
          <w:b w:val="0"/>
          <w:bCs w:val="0"/>
          <w:color w:val="auto"/>
          <w:spacing w:val="-4"/>
          <w:sz w:val="21"/>
          <w:szCs w:val="21"/>
          <w:u w:val="single"/>
          <w:lang w:val="en-US" w:eastAsia="zh-CN"/>
        </w:rPr>
        <w:t xml:space="preserve">         </w:t>
      </w:r>
      <w:r>
        <w:rPr>
          <w:rFonts w:hint="eastAsia" w:ascii="宋体" w:hAnsi="宋体" w:eastAsia="宋体" w:cs="宋体"/>
          <w:b w:val="0"/>
          <w:bCs w:val="0"/>
          <w:color w:val="auto"/>
          <w:spacing w:val="-4"/>
          <w:sz w:val="21"/>
          <w:szCs w:val="21"/>
          <w:lang w:val="en-US" w:eastAsia="zh-CN"/>
        </w:rPr>
        <w:t>（联合体名称）牵头人。</w:t>
      </w:r>
    </w:p>
    <w:p w14:paraId="576E5C72">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jc w:val="both"/>
        <w:textAlignment w:val="baseline"/>
        <w:outlineLvl w:val="2"/>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2.联合体各成员授权牵头人代表联合体参加投标活动，签署文件及对文件的盖章，提交和接收相关的资料、信息及指示，进行合同谈判活动，负责合同实施阶段的组织和协调工作，以及处理与本招标项目有关的一切事宜。</w:t>
      </w:r>
    </w:p>
    <w:p w14:paraId="602A2BCF">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lang w:val="en-US" w:eastAsia="zh-CN"/>
        </w:rPr>
      </w:pPr>
      <w:r>
        <w:rPr>
          <w:rFonts w:hint="eastAsia" w:ascii="宋体" w:hAnsi="宋体" w:eastAsia="宋体" w:cs="宋体"/>
          <w:b w:val="0"/>
          <w:bCs w:val="0"/>
          <w:color w:val="auto"/>
          <w:spacing w:val="-4"/>
          <w:sz w:val="21"/>
          <w:szCs w:val="21"/>
          <w:lang w:val="en-US" w:eastAsia="zh-CN"/>
        </w:rPr>
        <w:t>3.联合体牵头人在本项目中签署和盖章的一切文件和处理的一切事宜,联合体各成员均予以承认。联合体各成员将严格按照招标文件、投标文件和合同的要求全面履行义务，并向招标人承担连带责任。</w:t>
      </w:r>
    </w:p>
    <w:p w14:paraId="6FBEA722">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lang w:val="en-US" w:eastAsia="zh-CN"/>
        </w:rPr>
      </w:pPr>
      <w:r>
        <w:rPr>
          <w:rFonts w:hint="eastAsia" w:ascii="宋体" w:hAnsi="宋体" w:eastAsia="宋体" w:cs="宋体"/>
          <w:b w:val="0"/>
          <w:bCs w:val="0"/>
          <w:color w:val="auto"/>
          <w:spacing w:val="-4"/>
          <w:sz w:val="21"/>
          <w:szCs w:val="21"/>
          <w:lang w:val="en-US" w:eastAsia="zh-CN"/>
        </w:rPr>
        <w:t>4.联合体各成员单位内部的职责分工如下：</w:t>
      </w:r>
      <w:r>
        <w:rPr>
          <w:rFonts w:hint="eastAsia" w:ascii="宋体" w:hAnsi="宋体" w:eastAsia="宋体" w:cs="宋体"/>
          <w:b w:val="0"/>
          <w:bCs w:val="0"/>
          <w:color w:val="auto"/>
          <w:spacing w:val="-4"/>
          <w:sz w:val="21"/>
          <w:szCs w:val="21"/>
          <w:u w:val="single"/>
          <w:lang w:val="en-US" w:eastAsia="zh-CN"/>
        </w:rPr>
        <w:t xml:space="preserve">         </w:t>
      </w:r>
      <w:r>
        <w:rPr>
          <w:rFonts w:hint="eastAsia" w:ascii="宋体" w:hAnsi="宋体" w:eastAsia="宋体" w:cs="宋体"/>
          <w:b w:val="0"/>
          <w:bCs w:val="0"/>
          <w:color w:val="auto"/>
          <w:spacing w:val="-4"/>
          <w:sz w:val="21"/>
          <w:szCs w:val="21"/>
          <w:lang w:val="en-US" w:eastAsia="zh-CN"/>
        </w:rPr>
        <w:t>。</w:t>
      </w:r>
    </w:p>
    <w:p w14:paraId="1CDD2588">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lang w:val="en-US" w:eastAsia="zh-CN"/>
        </w:rPr>
      </w:pPr>
      <w:r>
        <w:rPr>
          <w:rFonts w:hint="eastAsia" w:ascii="宋体" w:hAnsi="宋体" w:eastAsia="宋体" w:cs="宋体"/>
          <w:b w:val="0"/>
          <w:bCs w:val="0"/>
          <w:color w:val="auto"/>
          <w:spacing w:val="-4"/>
          <w:sz w:val="21"/>
          <w:szCs w:val="21"/>
          <w:lang w:val="en-US" w:eastAsia="zh-CN"/>
        </w:rPr>
        <w:t>5.本联合体中，</w:t>
      </w:r>
      <w:r>
        <w:rPr>
          <w:rFonts w:hint="eastAsia" w:ascii="宋体" w:hAnsi="宋体" w:eastAsia="宋体" w:cs="宋体"/>
          <w:b w:val="0"/>
          <w:bCs w:val="0"/>
          <w:color w:val="auto"/>
          <w:spacing w:val="-4"/>
          <w:sz w:val="21"/>
          <w:szCs w:val="21"/>
          <w:u w:val="single"/>
          <w:lang w:val="en-US" w:eastAsia="zh-CN"/>
        </w:rPr>
        <w:t xml:space="preserve">         </w:t>
      </w:r>
      <w:r>
        <w:rPr>
          <w:rFonts w:hint="eastAsia" w:ascii="宋体" w:hAnsi="宋体" w:eastAsia="宋体" w:cs="宋体"/>
          <w:b w:val="0"/>
          <w:bCs w:val="0"/>
          <w:color w:val="auto"/>
          <w:spacing w:val="-4"/>
          <w:sz w:val="21"/>
          <w:szCs w:val="21"/>
          <w:lang w:val="en-US" w:eastAsia="zh-CN"/>
        </w:rPr>
        <w:t>（某成员单位名称）为</w:t>
      </w:r>
      <w:r>
        <w:rPr>
          <w:rFonts w:hint="eastAsia" w:ascii="宋体" w:hAnsi="宋体" w:eastAsia="宋体" w:cs="宋体"/>
          <w:b w:val="0"/>
          <w:bCs w:val="0"/>
          <w:color w:val="auto"/>
          <w:spacing w:val="-4"/>
          <w:sz w:val="21"/>
          <w:szCs w:val="21"/>
          <w:u w:val="single"/>
          <w:lang w:val="en-US" w:eastAsia="zh-CN"/>
        </w:rPr>
        <w:t xml:space="preserve">        </w:t>
      </w:r>
      <w:r>
        <w:rPr>
          <w:rFonts w:hint="eastAsia" w:ascii="宋体" w:hAnsi="宋体" w:eastAsia="宋体" w:cs="宋体"/>
          <w:b w:val="0"/>
          <w:bCs w:val="0"/>
          <w:color w:val="auto"/>
          <w:spacing w:val="-4"/>
          <w:sz w:val="21"/>
          <w:szCs w:val="21"/>
          <w:lang w:val="en-US" w:eastAsia="zh-CN"/>
        </w:rPr>
        <w:t>（请填写：中型、小型、微型）企业，其协议合同金额占联合体协议合同总金额的</w:t>
      </w:r>
      <w:r>
        <w:rPr>
          <w:rFonts w:hint="eastAsia" w:ascii="宋体" w:hAnsi="宋体" w:eastAsia="宋体" w:cs="宋体"/>
          <w:b w:val="0"/>
          <w:bCs w:val="0"/>
          <w:color w:val="auto"/>
          <w:spacing w:val="-4"/>
          <w:sz w:val="21"/>
          <w:szCs w:val="21"/>
          <w:u w:val="single"/>
          <w:lang w:val="en-US" w:eastAsia="zh-CN"/>
        </w:rPr>
        <w:t xml:space="preserve">        </w:t>
      </w:r>
      <w:r>
        <w:rPr>
          <w:rFonts w:hint="eastAsia" w:ascii="宋体" w:hAnsi="宋体" w:eastAsia="宋体" w:cs="宋体"/>
          <w:b w:val="0"/>
          <w:bCs w:val="0"/>
          <w:color w:val="auto"/>
          <w:spacing w:val="-4"/>
          <w:sz w:val="21"/>
          <w:szCs w:val="21"/>
          <w:u w:val="none"/>
          <w:lang w:val="en-US" w:eastAsia="zh-CN"/>
        </w:rPr>
        <w:t xml:space="preserve"> %。【如联合体成员中有小型、微型企业的，请填写此条，否则无需填写；如联合体成员中有多个小型、微型企业的，请逐一列出。】</w:t>
      </w:r>
    </w:p>
    <w:p w14:paraId="638307EB">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lang w:val="en-US" w:eastAsia="zh-CN"/>
        </w:rPr>
      </w:pPr>
      <w:r>
        <w:rPr>
          <w:rFonts w:hint="eastAsia" w:ascii="宋体" w:hAnsi="宋体" w:eastAsia="宋体" w:cs="宋体"/>
          <w:b w:val="0"/>
          <w:bCs w:val="0"/>
          <w:color w:val="auto"/>
          <w:spacing w:val="-4"/>
          <w:sz w:val="21"/>
          <w:szCs w:val="21"/>
          <w:lang w:val="en-US" w:eastAsia="zh-CN"/>
        </w:rPr>
        <w:t>6.本协议书自所有成员单位法定代表人（负责人）或者其委托代理人签字(或者电子签名)或者盖公章之日起生效，合同履行完毕后自动失效。</w:t>
      </w:r>
    </w:p>
    <w:p w14:paraId="0FD8E2D0">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lang w:val="en-US" w:eastAsia="zh-CN"/>
        </w:rPr>
      </w:pPr>
      <w:r>
        <w:rPr>
          <w:rFonts w:hint="eastAsia" w:ascii="宋体" w:hAnsi="宋体" w:eastAsia="宋体" w:cs="宋体"/>
          <w:b w:val="0"/>
          <w:bCs w:val="0"/>
          <w:color w:val="auto"/>
          <w:spacing w:val="-4"/>
          <w:sz w:val="21"/>
          <w:szCs w:val="21"/>
          <w:lang w:val="en-US" w:eastAsia="zh-CN"/>
        </w:rPr>
        <w:t>7.本协议书一式。</w:t>
      </w:r>
      <w:r>
        <w:rPr>
          <w:rFonts w:hint="eastAsia" w:ascii="宋体" w:hAnsi="宋体" w:eastAsia="宋体" w:cs="宋体"/>
          <w:b w:val="0"/>
          <w:bCs w:val="0"/>
          <w:color w:val="auto"/>
          <w:spacing w:val="-4"/>
          <w:sz w:val="21"/>
          <w:szCs w:val="21"/>
          <w:u w:val="single"/>
          <w:lang w:val="en-US" w:eastAsia="zh-CN"/>
        </w:rPr>
        <w:t xml:space="preserve">         </w:t>
      </w:r>
      <w:r>
        <w:rPr>
          <w:rFonts w:hint="eastAsia" w:ascii="宋体" w:hAnsi="宋体" w:eastAsia="宋体" w:cs="宋体"/>
          <w:b w:val="0"/>
          <w:bCs w:val="0"/>
          <w:color w:val="auto"/>
          <w:spacing w:val="-4"/>
          <w:sz w:val="21"/>
          <w:szCs w:val="21"/>
          <w:lang w:val="en-US" w:eastAsia="zh-CN"/>
        </w:rPr>
        <w:t>份，联合体成员和招标人各执一份。</w:t>
      </w:r>
    </w:p>
    <w:p w14:paraId="43288706">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lang w:val="en-US" w:eastAsia="zh-CN"/>
        </w:rPr>
      </w:pPr>
      <w:r>
        <w:rPr>
          <w:rFonts w:hint="eastAsia" w:ascii="宋体" w:hAnsi="宋体" w:eastAsia="宋体" w:cs="宋体"/>
          <w:b w:val="0"/>
          <w:bCs w:val="0"/>
          <w:color w:val="auto"/>
          <w:spacing w:val="-4"/>
          <w:sz w:val="21"/>
          <w:szCs w:val="21"/>
          <w:lang w:val="en-US" w:eastAsia="zh-CN"/>
        </w:rPr>
        <w:t>注：本协议书应附法定代表人（负责人）身份证明；有委托代理的，应附授权委托书。</w:t>
      </w:r>
    </w:p>
    <w:p w14:paraId="42DFA4CF">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lang w:val="en-US" w:eastAsia="zh-CN"/>
        </w:rPr>
      </w:pPr>
    </w:p>
    <w:p w14:paraId="1E33AAB0">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default" w:ascii="宋体" w:hAnsi="宋体" w:eastAsia="宋体" w:cs="宋体"/>
          <w:b w:val="0"/>
          <w:bCs w:val="0"/>
          <w:color w:val="auto"/>
          <w:spacing w:val="-4"/>
          <w:sz w:val="21"/>
          <w:szCs w:val="21"/>
          <w:u w:val="single"/>
          <w:lang w:val="en-US" w:eastAsia="zh-CN"/>
        </w:rPr>
      </w:pPr>
      <w:r>
        <w:rPr>
          <w:rFonts w:hint="eastAsia" w:ascii="宋体" w:hAnsi="宋体" w:eastAsia="宋体" w:cs="宋体"/>
          <w:b w:val="0"/>
          <w:bCs w:val="0"/>
          <w:color w:val="auto"/>
          <w:spacing w:val="-4"/>
          <w:sz w:val="21"/>
          <w:szCs w:val="21"/>
          <w:lang w:val="en-US" w:eastAsia="zh-CN"/>
        </w:rPr>
        <w:t>联合体牵头人名称（电子签章）：</w:t>
      </w:r>
      <w:r>
        <w:rPr>
          <w:rFonts w:hint="eastAsia" w:ascii="宋体" w:hAnsi="宋体" w:eastAsia="宋体" w:cs="宋体"/>
          <w:b w:val="0"/>
          <w:bCs w:val="0"/>
          <w:color w:val="auto"/>
          <w:spacing w:val="-4"/>
          <w:sz w:val="21"/>
          <w:szCs w:val="21"/>
          <w:u w:val="single"/>
          <w:lang w:val="en-US" w:eastAsia="zh-CN"/>
        </w:rPr>
        <w:t xml:space="preserve">              </w:t>
      </w:r>
    </w:p>
    <w:p w14:paraId="7A1B37FE">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lang w:val="en-US" w:eastAsia="zh-CN"/>
        </w:rPr>
      </w:pPr>
      <w:r>
        <w:rPr>
          <w:rFonts w:hint="eastAsia" w:ascii="宋体" w:hAnsi="宋体" w:eastAsia="宋体" w:cs="宋体"/>
          <w:b w:val="0"/>
          <w:bCs w:val="0"/>
          <w:color w:val="auto"/>
          <w:spacing w:val="-4"/>
          <w:sz w:val="21"/>
          <w:szCs w:val="21"/>
          <w:lang w:val="en-US" w:eastAsia="zh-CN"/>
        </w:rPr>
        <w:t>法定代表人（负责人）或者其委托代理人：</w:t>
      </w:r>
      <w:r>
        <w:rPr>
          <w:rFonts w:hint="eastAsia" w:ascii="宋体" w:hAnsi="宋体" w:eastAsia="宋体" w:cs="宋体"/>
          <w:b w:val="0"/>
          <w:bCs w:val="0"/>
          <w:color w:val="auto"/>
          <w:spacing w:val="-4"/>
          <w:sz w:val="21"/>
          <w:szCs w:val="21"/>
          <w:u w:val="single"/>
          <w:lang w:val="en-US" w:eastAsia="zh-CN"/>
        </w:rPr>
        <w:t xml:space="preserve">         </w:t>
      </w:r>
      <w:r>
        <w:rPr>
          <w:rFonts w:hint="eastAsia" w:ascii="宋体" w:hAnsi="宋体" w:eastAsia="宋体" w:cs="宋体"/>
          <w:b w:val="0"/>
          <w:bCs w:val="0"/>
          <w:color w:val="auto"/>
          <w:spacing w:val="-4"/>
          <w:sz w:val="21"/>
          <w:szCs w:val="21"/>
          <w:lang w:val="en-US" w:eastAsia="zh-CN"/>
        </w:rPr>
        <w:t>（签字或者电子签名）</w:t>
      </w:r>
    </w:p>
    <w:p w14:paraId="612D8337">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lang w:val="en-US" w:eastAsia="zh-CN"/>
        </w:rPr>
      </w:pPr>
    </w:p>
    <w:p w14:paraId="4AAFB922">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u w:val="single"/>
          <w:lang w:val="en-US" w:eastAsia="zh-CN"/>
        </w:rPr>
      </w:pPr>
      <w:r>
        <w:rPr>
          <w:rFonts w:hint="eastAsia" w:ascii="宋体" w:hAnsi="宋体" w:eastAsia="宋体" w:cs="宋体"/>
          <w:b w:val="0"/>
          <w:bCs w:val="0"/>
          <w:color w:val="auto"/>
          <w:spacing w:val="-4"/>
          <w:sz w:val="21"/>
          <w:szCs w:val="21"/>
          <w:lang w:val="en-US" w:eastAsia="zh-CN"/>
        </w:rPr>
        <w:t>联合体成员一名称（盖公章或者电子签章）：</w:t>
      </w:r>
      <w:r>
        <w:rPr>
          <w:rFonts w:hint="eastAsia" w:ascii="宋体" w:hAnsi="宋体" w:eastAsia="宋体" w:cs="宋体"/>
          <w:b w:val="0"/>
          <w:bCs w:val="0"/>
          <w:color w:val="auto"/>
          <w:spacing w:val="-4"/>
          <w:sz w:val="21"/>
          <w:szCs w:val="21"/>
          <w:u w:val="single"/>
          <w:lang w:val="en-US" w:eastAsia="zh-CN"/>
        </w:rPr>
        <w:t xml:space="preserve">              </w:t>
      </w:r>
    </w:p>
    <w:p w14:paraId="7BCF7D5C">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lang w:val="en-US" w:eastAsia="zh-CN"/>
        </w:rPr>
      </w:pPr>
      <w:r>
        <w:rPr>
          <w:rFonts w:hint="eastAsia" w:ascii="宋体" w:hAnsi="宋体" w:eastAsia="宋体" w:cs="宋体"/>
          <w:b w:val="0"/>
          <w:bCs w:val="0"/>
          <w:color w:val="auto"/>
          <w:spacing w:val="-4"/>
          <w:sz w:val="21"/>
          <w:szCs w:val="21"/>
          <w:lang w:val="en-US" w:eastAsia="zh-CN"/>
        </w:rPr>
        <w:t>法定代表人（负责人）或者其委托代理人：</w:t>
      </w:r>
      <w:r>
        <w:rPr>
          <w:rFonts w:hint="eastAsia" w:ascii="宋体" w:hAnsi="宋体" w:eastAsia="宋体" w:cs="宋体"/>
          <w:b w:val="0"/>
          <w:bCs w:val="0"/>
          <w:color w:val="auto"/>
          <w:spacing w:val="-4"/>
          <w:sz w:val="21"/>
          <w:szCs w:val="21"/>
          <w:u w:val="single"/>
          <w:lang w:val="en-US" w:eastAsia="zh-CN"/>
        </w:rPr>
        <w:t xml:space="preserve">           </w:t>
      </w:r>
      <w:r>
        <w:rPr>
          <w:rFonts w:hint="eastAsia" w:ascii="宋体" w:hAnsi="宋体" w:eastAsia="宋体" w:cs="宋体"/>
          <w:b w:val="0"/>
          <w:bCs w:val="0"/>
          <w:color w:val="auto"/>
          <w:spacing w:val="-4"/>
          <w:sz w:val="21"/>
          <w:szCs w:val="21"/>
          <w:lang w:val="en-US" w:eastAsia="zh-CN"/>
        </w:rPr>
        <w:t>（签字或者电子签名）</w:t>
      </w:r>
    </w:p>
    <w:p w14:paraId="1C326239">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lang w:val="en-US" w:eastAsia="zh-CN"/>
        </w:rPr>
      </w:pPr>
    </w:p>
    <w:p w14:paraId="55282A95">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u w:val="single"/>
          <w:lang w:val="en-US" w:eastAsia="zh-CN"/>
        </w:rPr>
      </w:pPr>
      <w:r>
        <w:rPr>
          <w:rFonts w:hint="eastAsia" w:ascii="宋体" w:hAnsi="宋体" w:eastAsia="宋体" w:cs="宋体"/>
          <w:b w:val="0"/>
          <w:bCs w:val="0"/>
          <w:color w:val="auto"/>
          <w:spacing w:val="-4"/>
          <w:sz w:val="21"/>
          <w:szCs w:val="21"/>
          <w:lang w:val="en-US" w:eastAsia="zh-CN"/>
        </w:rPr>
        <w:t>联合体成员二名称（盖公章或者电子签章）：</w:t>
      </w:r>
      <w:r>
        <w:rPr>
          <w:rFonts w:hint="eastAsia" w:ascii="宋体" w:hAnsi="宋体" w:eastAsia="宋体" w:cs="宋体"/>
          <w:b w:val="0"/>
          <w:bCs w:val="0"/>
          <w:color w:val="auto"/>
          <w:spacing w:val="-4"/>
          <w:sz w:val="21"/>
          <w:szCs w:val="21"/>
          <w:u w:val="single"/>
          <w:lang w:val="en-US" w:eastAsia="zh-CN"/>
        </w:rPr>
        <w:t xml:space="preserve">              </w:t>
      </w:r>
    </w:p>
    <w:p w14:paraId="16D40A33">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eastAsia" w:ascii="宋体" w:hAnsi="宋体" w:eastAsia="宋体" w:cs="宋体"/>
          <w:b w:val="0"/>
          <w:bCs w:val="0"/>
          <w:color w:val="auto"/>
          <w:spacing w:val="-4"/>
          <w:sz w:val="21"/>
          <w:szCs w:val="21"/>
          <w:lang w:val="en-US" w:eastAsia="zh-CN"/>
        </w:rPr>
      </w:pPr>
      <w:r>
        <w:rPr>
          <w:rFonts w:hint="eastAsia" w:ascii="宋体" w:hAnsi="宋体" w:eastAsia="宋体" w:cs="宋体"/>
          <w:b w:val="0"/>
          <w:bCs w:val="0"/>
          <w:color w:val="auto"/>
          <w:spacing w:val="-4"/>
          <w:sz w:val="21"/>
          <w:szCs w:val="21"/>
          <w:lang w:val="en-US" w:eastAsia="zh-CN"/>
        </w:rPr>
        <w:t>法定代表人（负责人）或者其委托代理人：</w:t>
      </w:r>
      <w:r>
        <w:rPr>
          <w:rFonts w:hint="eastAsia" w:ascii="宋体" w:hAnsi="宋体" w:eastAsia="宋体" w:cs="宋体"/>
          <w:b w:val="0"/>
          <w:bCs w:val="0"/>
          <w:color w:val="auto"/>
          <w:spacing w:val="-4"/>
          <w:sz w:val="21"/>
          <w:szCs w:val="21"/>
          <w:u w:val="single"/>
          <w:lang w:val="en-US" w:eastAsia="zh-CN"/>
        </w:rPr>
        <w:t xml:space="preserve">           </w:t>
      </w:r>
      <w:r>
        <w:rPr>
          <w:rFonts w:hint="eastAsia" w:ascii="宋体" w:hAnsi="宋体" w:eastAsia="宋体" w:cs="宋体"/>
          <w:b w:val="0"/>
          <w:bCs w:val="0"/>
          <w:color w:val="auto"/>
          <w:spacing w:val="-4"/>
          <w:sz w:val="21"/>
          <w:szCs w:val="21"/>
          <w:lang w:val="en-US" w:eastAsia="zh-CN"/>
        </w:rPr>
        <w:t>（签字或者电子签名）</w:t>
      </w:r>
    </w:p>
    <w:p w14:paraId="2C62707D">
      <w:pPr>
        <w:keepNext w:val="0"/>
        <w:keepLines w:val="0"/>
        <w:pageBreakBefore w:val="0"/>
        <w:widowControl/>
        <w:kinsoku w:val="0"/>
        <w:wordWrap/>
        <w:overflowPunct/>
        <w:topLinePunct w:val="0"/>
        <w:autoSpaceDE w:val="0"/>
        <w:autoSpaceDN w:val="0"/>
        <w:bidi w:val="0"/>
        <w:adjustRightInd w:val="0"/>
        <w:snapToGrid w:val="0"/>
        <w:spacing w:line="360" w:lineRule="auto"/>
        <w:ind w:firstLine="404" w:firstLineChars="200"/>
        <w:jc w:val="left"/>
        <w:textAlignment w:val="baseline"/>
        <w:outlineLvl w:val="2"/>
        <w:rPr>
          <w:rFonts w:hint="default" w:ascii="宋体" w:hAnsi="宋体" w:eastAsia="宋体" w:cs="宋体"/>
          <w:b w:val="0"/>
          <w:bCs w:val="0"/>
          <w:color w:val="auto"/>
          <w:spacing w:val="-4"/>
          <w:sz w:val="21"/>
          <w:szCs w:val="21"/>
          <w:lang w:val="en-US" w:eastAsia="zh-CN"/>
        </w:rPr>
      </w:pPr>
      <w:r>
        <w:rPr>
          <w:rFonts w:hint="eastAsia" w:ascii="宋体" w:hAnsi="宋体" w:eastAsia="宋体" w:cs="宋体"/>
          <w:b w:val="0"/>
          <w:bCs w:val="0"/>
          <w:color w:val="auto"/>
          <w:spacing w:val="-4"/>
          <w:sz w:val="21"/>
          <w:szCs w:val="21"/>
          <w:lang w:val="en-US" w:eastAsia="zh-CN"/>
        </w:rPr>
        <w:t>.....</w:t>
      </w:r>
    </w:p>
    <w:p w14:paraId="43865B43">
      <w:pPr>
        <w:tabs>
          <w:tab w:val="left" w:pos="5460"/>
        </w:tabs>
        <w:spacing w:before="303" w:line="360" w:lineRule="auto"/>
        <w:jc w:val="both"/>
        <w:outlineLvl w:val="2"/>
        <w:rPr>
          <w:rFonts w:hint="default" w:ascii="宋体" w:hAnsi="宋体" w:eastAsia="宋体" w:cs="宋体"/>
          <w:b w:val="0"/>
          <w:bCs w:val="0"/>
          <w:color w:val="auto"/>
          <w:spacing w:val="-4"/>
          <w:sz w:val="21"/>
          <w:szCs w:val="21"/>
          <w:lang w:val="en-US" w:eastAsia="zh-CN"/>
        </w:rPr>
      </w:pPr>
      <w:r>
        <w:rPr>
          <w:rFonts w:hint="eastAsia" w:ascii="宋体" w:hAnsi="宋体" w:eastAsia="宋体" w:cs="宋体"/>
          <w:b w:val="0"/>
          <w:bCs w:val="0"/>
          <w:color w:val="auto"/>
          <w:spacing w:val="-4"/>
          <w:sz w:val="21"/>
          <w:szCs w:val="21"/>
          <w:lang w:val="en-US" w:eastAsia="zh-CN"/>
        </w:rPr>
        <w:tab/>
      </w:r>
      <w:r>
        <w:rPr>
          <w:rFonts w:hint="eastAsia" w:ascii="宋体" w:hAnsi="宋体" w:eastAsia="宋体" w:cs="宋体"/>
          <w:b w:val="0"/>
          <w:bCs w:val="0"/>
          <w:color w:val="auto"/>
          <w:spacing w:val="-4"/>
          <w:sz w:val="21"/>
          <w:szCs w:val="21"/>
          <w:lang w:val="en-US" w:eastAsia="zh-CN"/>
        </w:rPr>
        <w:t>日期：   年    月    日</w:t>
      </w:r>
    </w:p>
    <w:p w14:paraId="3195FC94">
      <w:pPr>
        <w:rPr>
          <w:rFonts w:hint="eastAsia" w:ascii="宋体" w:hAnsi="宋体" w:eastAsia="宋体" w:cs="宋体"/>
          <w:b/>
          <w:bCs/>
          <w:color w:val="auto"/>
          <w:spacing w:val="-4"/>
          <w:sz w:val="28"/>
          <w:szCs w:val="28"/>
          <w:lang w:val="en-US" w:eastAsia="zh-CN"/>
        </w:rPr>
      </w:pPr>
      <w:r>
        <w:rPr>
          <w:rFonts w:hint="eastAsia" w:ascii="宋体" w:hAnsi="宋体" w:eastAsia="宋体" w:cs="宋体"/>
          <w:b/>
          <w:bCs/>
          <w:color w:val="auto"/>
          <w:spacing w:val="-4"/>
          <w:sz w:val="28"/>
          <w:szCs w:val="28"/>
          <w:lang w:val="en-US" w:eastAsia="zh-CN"/>
        </w:rPr>
        <w:br w:type="page"/>
      </w:r>
    </w:p>
    <w:p w14:paraId="367161B6">
      <w:pPr>
        <w:spacing w:before="303" w:line="220" w:lineRule="auto"/>
        <w:jc w:val="left"/>
        <w:outlineLvl w:val="2"/>
        <w:rPr>
          <w:rFonts w:ascii="宋体" w:hAnsi="宋体" w:eastAsia="宋体" w:cs="宋体"/>
          <w:color w:val="auto"/>
          <w:sz w:val="28"/>
          <w:szCs w:val="28"/>
        </w:rPr>
      </w:pPr>
      <w:r>
        <w:rPr>
          <w:rFonts w:hint="eastAsia" w:ascii="宋体" w:hAnsi="宋体" w:eastAsia="宋体" w:cs="宋体"/>
          <w:b/>
          <w:bCs/>
          <w:color w:val="auto"/>
          <w:spacing w:val="-4"/>
          <w:sz w:val="28"/>
          <w:szCs w:val="28"/>
          <w:lang w:val="en-US" w:eastAsia="zh-CN"/>
        </w:rPr>
        <w:t>3.</w:t>
      </w:r>
      <w:r>
        <w:rPr>
          <w:rFonts w:ascii="宋体" w:hAnsi="宋体" w:eastAsia="宋体" w:cs="宋体"/>
          <w:b/>
          <w:bCs/>
          <w:color w:val="auto"/>
          <w:spacing w:val="-4"/>
          <w:sz w:val="28"/>
          <w:szCs w:val="28"/>
        </w:rPr>
        <w:t>中小企业声明函格式</w:t>
      </w:r>
    </w:p>
    <w:p w14:paraId="735EA1BB">
      <w:pPr>
        <w:spacing w:line="247" w:lineRule="auto"/>
        <w:rPr>
          <w:rFonts w:ascii="Arial"/>
          <w:color w:val="auto"/>
          <w:sz w:val="21"/>
        </w:rPr>
      </w:pPr>
    </w:p>
    <w:p w14:paraId="4158E7D7">
      <w:pPr>
        <w:spacing w:before="185" w:line="192" w:lineRule="auto"/>
        <w:ind w:left="2425"/>
        <w:outlineLvl w:val="3"/>
        <w:rPr>
          <w:rFonts w:hint="eastAsia" w:ascii="宋体" w:hAnsi="宋体" w:eastAsia="宋体" w:cs="宋体"/>
          <w:color w:val="auto"/>
          <w:sz w:val="28"/>
          <w:szCs w:val="28"/>
        </w:rPr>
      </w:pPr>
      <w:r>
        <w:rPr>
          <w:rFonts w:hint="eastAsia" w:ascii="宋体" w:hAnsi="宋体" w:eastAsia="宋体" w:cs="宋体"/>
          <w:color w:val="auto"/>
          <w:spacing w:val="5"/>
          <w:sz w:val="28"/>
          <w:szCs w:val="28"/>
        </w:rPr>
        <w:t>中小企业声明函（服务）</w:t>
      </w:r>
    </w:p>
    <w:p w14:paraId="5B056AEB">
      <w:pPr>
        <w:spacing w:line="292" w:lineRule="auto"/>
        <w:rPr>
          <w:rFonts w:ascii="Arial"/>
          <w:color w:val="auto"/>
          <w:sz w:val="21"/>
        </w:rPr>
      </w:pPr>
    </w:p>
    <w:p w14:paraId="24820AB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1"/>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14"/>
          <w:sz w:val="21"/>
          <w:szCs w:val="21"/>
        </w:rPr>
        <w:t>本公司（联合体）郑重声明，根据《政府采购促进中小企业发展管理办法》（财库</w:t>
      </w:r>
      <w:r>
        <w:rPr>
          <w:rFonts w:hint="eastAsia" w:ascii="宋体" w:hAnsi="宋体" w:eastAsia="宋体" w:cs="宋体"/>
          <w:color w:val="auto"/>
          <w:spacing w:val="-15"/>
          <w:sz w:val="21"/>
          <w:szCs w:val="21"/>
        </w:rPr>
        <w:t>﹝2020﹞</w:t>
      </w:r>
      <w:r>
        <w:rPr>
          <w:rFonts w:hint="eastAsia" w:ascii="宋体" w:hAnsi="宋体" w:eastAsia="宋体" w:cs="宋体"/>
          <w:color w:val="auto"/>
          <w:sz w:val="21"/>
          <w:szCs w:val="21"/>
        </w:rPr>
        <w:t>46号）的规定，本公司（联合体）参加</w:t>
      </w:r>
      <w:r>
        <w:rPr>
          <w:rFonts w:hint="eastAsia" w:ascii="宋体" w:hAnsi="宋体" w:eastAsia="宋体" w:cs="宋体"/>
          <w:color w:val="auto"/>
          <w:sz w:val="21"/>
          <w:szCs w:val="21"/>
          <w:u w:val="single" w:color="auto"/>
        </w:rPr>
        <w:t>（单位名称）</w:t>
      </w:r>
      <w:r>
        <w:rPr>
          <w:rFonts w:hint="eastAsia" w:ascii="宋体" w:hAnsi="宋体" w:eastAsia="宋体" w:cs="宋体"/>
          <w:color w:val="auto"/>
          <w:sz w:val="21"/>
          <w:szCs w:val="21"/>
        </w:rPr>
        <w:t>的</w:t>
      </w:r>
      <w:r>
        <w:rPr>
          <w:rFonts w:hint="eastAsia" w:ascii="宋体" w:hAnsi="宋体" w:eastAsia="宋体" w:cs="宋体"/>
          <w:color w:val="auto"/>
          <w:sz w:val="21"/>
          <w:szCs w:val="21"/>
          <w:u w:val="single" w:color="auto"/>
        </w:rPr>
        <w:t>（项目名称）</w:t>
      </w:r>
      <w:r>
        <w:rPr>
          <w:rFonts w:hint="eastAsia" w:ascii="宋体" w:hAnsi="宋体" w:eastAsia="宋体" w:cs="宋体"/>
          <w:color w:val="auto"/>
          <w:sz w:val="21"/>
          <w:szCs w:val="21"/>
        </w:rPr>
        <w:t>采购活动，服务全部</w:t>
      </w:r>
      <w:r>
        <w:rPr>
          <w:rFonts w:hint="eastAsia" w:ascii="宋体" w:hAnsi="宋体" w:eastAsia="宋体" w:cs="宋体"/>
          <w:color w:val="auto"/>
          <w:spacing w:val="-3"/>
          <w:sz w:val="21"/>
          <w:szCs w:val="21"/>
        </w:rPr>
        <w:t>由符合政策要求的中小企业承接。相关企业（含联合体中的中小企业、签订分包意向协议的</w:t>
      </w:r>
      <w:r>
        <w:rPr>
          <w:rFonts w:hint="eastAsia" w:ascii="宋体" w:hAnsi="宋体" w:eastAsia="宋体" w:cs="宋体"/>
          <w:color w:val="auto"/>
          <w:spacing w:val="-5"/>
          <w:sz w:val="21"/>
          <w:szCs w:val="21"/>
        </w:rPr>
        <w:t>中小企业）的具体情况如下：</w:t>
      </w:r>
    </w:p>
    <w:p w14:paraId="5978A16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701"/>
        <w:jc w:val="both"/>
        <w:textAlignment w:val="baseline"/>
        <w:rPr>
          <w:rFonts w:hint="eastAsia" w:ascii="宋体" w:hAnsi="宋体" w:eastAsia="宋体" w:cs="宋体"/>
          <w:color w:val="auto"/>
          <w:sz w:val="21"/>
          <w:szCs w:val="21"/>
        </w:rPr>
      </w:pPr>
      <w:r>
        <w:rPr>
          <w:rFonts w:hint="eastAsia" w:ascii="宋体" w:hAnsi="宋体" w:eastAsia="宋体" w:cs="宋体"/>
          <w:color w:val="auto"/>
          <w:spacing w:val="-2"/>
          <w:sz w:val="21"/>
          <w:szCs w:val="21"/>
        </w:rPr>
        <w:t>1.</w:t>
      </w:r>
      <w:r>
        <w:rPr>
          <w:rFonts w:hint="eastAsia" w:ascii="宋体" w:hAnsi="宋体" w:eastAsia="宋体" w:cs="宋体"/>
          <w:color w:val="auto"/>
          <w:spacing w:val="-2"/>
          <w:sz w:val="21"/>
          <w:szCs w:val="21"/>
          <w:u w:val="single" w:color="auto"/>
        </w:rPr>
        <w:t>（标的名称</w:t>
      </w:r>
      <w:r>
        <w:rPr>
          <w:rFonts w:hint="eastAsia" w:ascii="宋体" w:hAnsi="宋体" w:eastAsia="宋体" w:cs="宋体"/>
          <w:color w:val="auto"/>
          <w:spacing w:val="-3"/>
          <w:sz w:val="21"/>
          <w:szCs w:val="21"/>
          <w:u w:val="single" w:color="auto"/>
        </w:rPr>
        <w:t>）</w:t>
      </w:r>
      <w:r>
        <w:rPr>
          <w:rFonts w:hint="eastAsia" w:ascii="宋体" w:hAnsi="宋体" w:eastAsia="宋体" w:cs="宋体"/>
          <w:color w:val="auto"/>
          <w:spacing w:val="-3"/>
          <w:sz w:val="21"/>
          <w:szCs w:val="21"/>
        </w:rPr>
        <w:t>，</w:t>
      </w:r>
      <w:r>
        <w:rPr>
          <w:rFonts w:hint="eastAsia" w:ascii="宋体" w:hAnsi="宋体" w:eastAsia="宋体" w:cs="宋体"/>
          <w:color w:val="auto"/>
          <w:spacing w:val="-2"/>
          <w:sz w:val="21"/>
          <w:szCs w:val="21"/>
        </w:rPr>
        <w:t>属于</w:t>
      </w:r>
      <w:r>
        <w:rPr>
          <w:rFonts w:hint="eastAsia" w:ascii="宋体" w:hAnsi="宋体" w:eastAsia="宋体" w:cs="宋体"/>
          <w:color w:val="auto"/>
          <w:spacing w:val="-2"/>
          <w:sz w:val="21"/>
          <w:szCs w:val="21"/>
          <w:u w:val="single" w:color="auto"/>
        </w:rPr>
        <w:t>（采购文件中明确的所属行业</w:t>
      </w:r>
      <w:r>
        <w:rPr>
          <w:rFonts w:hint="eastAsia" w:ascii="宋体" w:hAnsi="宋体" w:eastAsia="宋体" w:cs="宋体"/>
          <w:color w:val="auto"/>
          <w:spacing w:val="-3"/>
          <w:sz w:val="21"/>
          <w:szCs w:val="21"/>
          <w:u w:val="single" w:color="auto"/>
        </w:rPr>
        <w:t>）</w:t>
      </w:r>
      <w:r>
        <w:rPr>
          <w:rFonts w:hint="eastAsia" w:ascii="宋体" w:hAnsi="宋体" w:eastAsia="宋体" w:cs="宋体"/>
          <w:color w:val="auto"/>
          <w:spacing w:val="-3"/>
          <w:sz w:val="21"/>
          <w:szCs w:val="21"/>
        </w:rPr>
        <w:t>；</w:t>
      </w:r>
      <w:r>
        <w:rPr>
          <w:rFonts w:hint="eastAsia" w:ascii="宋体" w:hAnsi="宋体" w:eastAsia="宋体" w:cs="宋体"/>
          <w:color w:val="auto"/>
          <w:spacing w:val="-2"/>
          <w:sz w:val="21"/>
          <w:szCs w:val="21"/>
        </w:rPr>
        <w:t>承接企业为</w:t>
      </w:r>
      <w:r>
        <w:rPr>
          <w:rFonts w:hint="eastAsia" w:ascii="宋体" w:hAnsi="宋体" w:eastAsia="宋体" w:cs="宋体"/>
          <w:color w:val="auto"/>
          <w:spacing w:val="-2"/>
          <w:sz w:val="21"/>
          <w:szCs w:val="21"/>
          <w:u w:val="single" w:color="auto"/>
        </w:rPr>
        <w:t>（企</w:t>
      </w:r>
      <w:r>
        <w:rPr>
          <w:rFonts w:hint="eastAsia" w:ascii="宋体" w:hAnsi="宋体" w:eastAsia="宋体" w:cs="宋体"/>
          <w:color w:val="auto"/>
          <w:spacing w:val="-3"/>
          <w:sz w:val="21"/>
          <w:szCs w:val="21"/>
          <w:u w:val="single" w:color="auto"/>
        </w:rPr>
        <w:t>业名称）</w:t>
      </w:r>
      <w:r>
        <w:rPr>
          <w:rFonts w:hint="eastAsia" w:ascii="宋体" w:hAnsi="宋体" w:eastAsia="宋体" w:cs="宋体"/>
          <w:color w:val="auto"/>
          <w:spacing w:val="-3"/>
          <w:sz w:val="21"/>
          <w:szCs w:val="21"/>
        </w:rPr>
        <w:t>，</w:t>
      </w:r>
      <w:r>
        <w:rPr>
          <w:rFonts w:hint="eastAsia" w:ascii="宋体" w:hAnsi="宋体" w:eastAsia="宋体" w:cs="宋体"/>
          <w:color w:val="auto"/>
          <w:spacing w:val="-4"/>
          <w:sz w:val="21"/>
          <w:szCs w:val="21"/>
        </w:rPr>
        <w:t>从业人员</w:t>
      </w:r>
      <w:r>
        <w:rPr>
          <w:rFonts w:hint="eastAsia" w:ascii="宋体" w:hAnsi="宋体" w:eastAsia="宋体" w:cs="宋体"/>
          <w:color w:val="auto"/>
          <w:spacing w:val="-4"/>
          <w:sz w:val="21"/>
          <w:szCs w:val="21"/>
          <w:u w:val="single" w:color="auto"/>
        </w:rPr>
        <w:t xml:space="preserve">      </w:t>
      </w:r>
      <w:r>
        <w:rPr>
          <w:rFonts w:hint="eastAsia" w:ascii="宋体" w:hAnsi="宋体" w:eastAsia="宋体" w:cs="宋体"/>
          <w:color w:val="auto"/>
          <w:spacing w:val="-4"/>
          <w:sz w:val="21"/>
          <w:szCs w:val="21"/>
        </w:rPr>
        <w:t>人，营业收入为</w:t>
      </w:r>
      <w:r>
        <w:rPr>
          <w:rFonts w:hint="eastAsia" w:ascii="宋体" w:hAnsi="宋体" w:eastAsia="宋体" w:cs="宋体"/>
          <w:color w:val="auto"/>
          <w:spacing w:val="-119"/>
          <w:sz w:val="21"/>
          <w:szCs w:val="21"/>
        </w:rPr>
        <w:t xml:space="preserve"> </w:t>
      </w:r>
      <w:r>
        <w:rPr>
          <w:rFonts w:hint="eastAsia" w:ascii="宋体" w:hAnsi="宋体" w:eastAsia="宋体" w:cs="宋体"/>
          <w:color w:val="auto"/>
          <w:spacing w:val="24"/>
          <w:sz w:val="21"/>
          <w:szCs w:val="21"/>
          <w:u w:val="single" w:color="auto"/>
        </w:rPr>
        <w:t xml:space="preserve">     </w:t>
      </w:r>
      <w:r>
        <w:rPr>
          <w:rFonts w:hint="eastAsia" w:ascii="宋体" w:hAnsi="宋体" w:eastAsia="宋体" w:cs="宋体"/>
          <w:color w:val="auto"/>
          <w:spacing w:val="-4"/>
          <w:sz w:val="21"/>
          <w:szCs w:val="21"/>
        </w:rPr>
        <w:t>万元，资产</w:t>
      </w:r>
      <w:r>
        <w:rPr>
          <w:rFonts w:hint="eastAsia" w:ascii="宋体" w:hAnsi="宋体" w:eastAsia="宋体" w:cs="宋体"/>
          <w:color w:val="auto"/>
          <w:spacing w:val="-5"/>
          <w:sz w:val="21"/>
          <w:szCs w:val="21"/>
        </w:rPr>
        <w:t>总额为</w:t>
      </w:r>
      <w:r>
        <w:rPr>
          <w:rFonts w:hint="eastAsia" w:ascii="宋体" w:hAnsi="宋体" w:eastAsia="宋体" w:cs="宋体"/>
          <w:color w:val="auto"/>
          <w:spacing w:val="-120"/>
          <w:sz w:val="21"/>
          <w:szCs w:val="21"/>
        </w:rPr>
        <w:t xml:space="preserve"> </w:t>
      </w:r>
      <w:r>
        <w:rPr>
          <w:rFonts w:hint="eastAsia" w:ascii="宋体" w:hAnsi="宋体" w:eastAsia="宋体" w:cs="宋体"/>
          <w:color w:val="auto"/>
          <w:sz w:val="21"/>
          <w:szCs w:val="21"/>
          <w:u w:val="single" w:color="auto"/>
        </w:rPr>
        <w:t xml:space="preserve">      </w:t>
      </w:r>
      <w:r>
        <w:rPr>
          <w:rFonts w:hint="eastAsia" w:ascii="宋体" w:hAnsi="宋体" w:eastAsia="宋体" w:cs="宋体"/>
          <w:color w:val="auto"/>
          <w:spacing w:val="-5"/>
          <w:sz w:val="21"/>
          <w:szCs w:val="21"/>
        </w:rPr>
        <w:t>万元，属于</w:t>
      </w:r>
      <w:r>
        <w:rPr>
          <w:rFonts w:hint="eastAsia" w:ascii="宋体" w:hAnsi="宋体" w:eastAsia="宋体" w:cs="宋体"/>
          <w:color w:val="auto"/>
          <w:spacing w:val="-5"/>
          <w:sz w:val="21"/>
          <w:szCs w:val="21"/>
          <w:u w:val="single" w:color="auto"/>
        </w:rPr>
        <w:t>（中型企业、小</w:t>
      </w:r>
      <w:r>
        <w:rPr>
          <w:rFonts w:hint="eastAsia" w:ascii="宋体" w:hAnsi="宋体" w:eastAsia="宋体" w:cs="宋体"/>
          <w:color w:val="auto"/>
          <w:spacing w:val="-2"/>
          <w:sz w:val="21"/>
          <w:szCs w:val="21"/>
          <w:u w:val="single" w:color="auto"/>
        </w:rPr>
        <w:t>型企业、微型企业</w:t>
      </w:r>
      <w:r>
        <w:rPr>
          <w:rFonts w:hint="eastAsia" w:ascii="宋体" w:hAnsi="宋体" w:eastAsia="宋体" w:cs="宋体"/>
          <w:color w:val="auto"/>
          <w:spacing w:val="1"/>
          <w:sz w:val="21"/>
          <w:szCs w:val="21"/>
          <w:u w:val="single" w:color="auto"/>
        </w:rPr>
        <w:t>）</w:t>
      </w:r>
      <w:r>
        <w:rPr>
          <w:rFonts w:hint="eastAsia" w:ascii="宋体" w:hAnsi="宋体" w:eastAsia="宋体" w:cs="宋体"/>
          <w:color w:val="auto"/>
          <w:spacing w:val="1"/>
          <w:sz w:val="21"/>
          <w:szCs w:val="21"/>
        </w:rPr>
        <w:t>；</w:t>
      </w:r>
    </w:p>
    <w:p w14:paraId="226D53B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86"/>
        <w:textAlignment w:val="baseline"/>
        <w:rPr>
          <w:rFonts w:hint="eastAsia" w:ascii="宋体" w:hAnsi="宋体" w:eastAsia="宋体" w:cs="宋体"/>
          <w:color w:val="auto"/>
          <w:sz w:val="21"/>
          <w:szCs w:val="21"/>
        </w:rPr>
      </w:pPr>
      <w:r>
        <w:rPr>
          <w:rFonts w:hint="eastAsia" w:ascii="宋体" w:hAnsi="宋体" w:eastAsia="宋体" w:cs="宋体"/>
          <w:color w:val="auto"/>
          <w:spacing w:val="-1"/>
          <w:sz w:val="21"/>
          <w:szCs w:val="21"/>
        </w:rPr>
        <w:t>2.</w:t>
      </w:r>
      <w:r>
        <w:rPr>
          <w:rFonts w:hint="eastAsia" w:ascii="宋体" w:hAnsi="宋体" w:eastAsia="宋体" w:cs="宋体"/>
          <w:color w:val="auto"/>
          <w:spacing w:val="-1"/>
          <w:sz w:val="21"/>
          <w:szCs w:val="21"/>
          <w:u w:val="single" w:color="auto"/>
        </w:rPr>
        <w:t>（标的名称</w:t>
      </w:r>
      <w:r>
        <w:rPr>
          <w:rFonts w:hint="eastAsia" w:ascii="宋体" w:hAnsi="宋体" w:eastAsia="宋体" w:cs="宋体"/>
          <w:color w:val="auto"/>
          <w:spacing w:val="1"/>
          <w:sz w:val="21"/>
          <w:szCs w:val="21"/>
          <w:u w:val="single" w:color="auto"/>
        </w:rPr>
        <w:t>）</w:t>
      </w:r>
      <w:r>
        <w:rPr>
          <w:rFonts w:hint="eastAsia" w:ascii="宋体" w:hAnsi="宋体" w:eastAsia="宋体" w:cs="宋体"/>
          <w:color w:val="auto"/>
          <w:spacing w:val="1"/>
          <w:sz w:val="21"/>
          <w:szCs w:val="21"/>
        </w:rPr>
        <w:t>，</w:t>
      </w:r>
      <w:r>
        <w:rPr>
          <w:rFonts w:hint="eastAsia" w:ascii="宋体" w:hAnsi="宋体" w:eastAsia="宋体" w:cs="宋体"/>
          <w:color w:val="auto"/>
          <w:spacing w:val="-1"/>
          <w:sz w:val="21"/>
          <w:szCs w:val="21"/>
        </w:rPr>
        <w:t>属于</w:t>
      </w:r>
      <w:r>
        <w:rPr>
          <w:rFonts w:hint="eastAsia" w:ascii="宋体" w:hAnsi="宋体" w:eastAsia="宋体" w:cs="宋体"/>
          <w:color w:val="auto"/>
          <w:spacing w:val="-1"/>
          <w:sz w:val="21"/>
          <w:szCs w:val="21"/>
          <w:u w:val="single" w:color="auto"/>
        </w:rPr>
        <w:t>（采购文件中明确的所属行业</w:t>
      </w:r>
      <w:r>
        <w:rPr>
          <w:rFonts w:hint="eastAsia" w:ascii="宋体" w:hAnsi="宋体" w:eastAsia="宋体" w:cs="宋体"/>
          <w:color w:val="auto"/>
          <w:spacing w:val="1"/>
          <w:sz w:val="21"/>
          <w:szCs w:val="21"/>
          <w:u w:val="single" w:color="auto"/>
        </w:rPr>
        <w:t>）</w:t>
      </w:r>
      <w:r>
        <w:rPr>
          <w:rFonts w:hint="eastAsia" w:ascii="宋体" w:hAnsi="宋体" w:eastAsia="宋体" w:cs="宋体"/>
          <w:color w:val="auto"/>
          <w:spacing w:val="1"/>
          <w:sz w:val="21"/>
          <w:szCs w:val="21"/>
        </w:rPr>
        <w:t>；</w:t>
      </w:r>
      <w:r>
        <w:rPr>
          <w:rFonts w:hint="eastAsia" w:ascii="宋体" w:hAnsi="宋体" w:eastAsia="宋体" w:cs="宋体"/>
          <w:color w:val="auto"/>
          <w:spacing w:val="-1"/>
          <w:sz w:val="21"/>
          <w:szCs w:val="21"/>
        </w:rPr>
        <w:t>承接企业为</w:t>
      </w:r>
      <w:r>
        <w:rPr>
          <w:rFonts w:hint="eastAsia" w:ascii="宋体" w:hAnsi="宋体" w:eastAsia="宋体" w:cs="宋体"/>
          <w:color w:val="auto"/>
          <w:spacing w:val="-1"/>
          <w:sz w:val="21"/>
          <w:szCs w:val="21"/>
          <w:u w:val="single" w:color="auto"/>
        </w:rPr>
        <w:t>（企业名称</w:t>
      </w:r>
      <w:r>
        <w:rPr>
          <w:rFonts w:hint="eastAsia" w:ascii="宋体" w:hAnsi="宋体" w:eastAsia="宋体" w:cs="宋体"/>
          <w:color w:val="auto"/>
          <w:spacing w:val="1"/>
          <w:sz w:val="21"/>
          <w:szCs w:val="21"/>
          <w:u w:val="single" w:color="auto"/>
        </w:rPr>
        <w:t>）</w:t>
      </w:r>
      <w:r>
        <w:rPr>
          <w:rFonts w:hint="eastAsia" w:ascii="宋体" w:hAnsi="宋体" w:eastAsia="宋体" w:cs="宋体"/>
          <w:color w:val="auto"/>
          <w:spacing w:val="1"/>
          <w:sz w:val="21"/>
          <w:szCs w:val="21"/>
        </w:rPr>
        <w:t>，</w:t>
      </w:r>
      <w:r>
        <w:rPr>
          <w:rFonts w:hint="eastAsia" w:ascii="宋体" w:hAnsi="宋体" w:eastAsia="宋体" w:cs="宋体"/>
          <w:color w:val="auto"/>
          <w:spacing w:val="-3"/>
          <w:sz w:val="21"/>
          <w:szCs w:val="21"/>
        </w:rPr>
        <w:t>从业人员</w:t>
      </w:r>
      <w:r>
        <w:rPr>
          <w:rFonts w:hint="eastAsia" w:ascii="宋体" w:hAnsi="宋体" w:eastAsia="宋体" w:cs="宋体"/>
          <w:color w:val="auto"/>
          <w:spacing w:val="-3"/>
          <w:sz w:val="21"/>
          <w:szCs w:val="21"/>
          <w:u w:val="single" w:color="auto"/>
        </w:rPr>
        <w:t xml:space="preserve">      </w:t>
      </w:r>
      <w:r>
        <w:rPr>
          <w:rFonts w:hint="eastAsia" w:ascii="宋体" w:hAnsi="宋体" w:eastAsia="宋体" w:cs="宋体"/>
          <w:color w:val="auto"/>
          <w:spacing w:val="-3"/>
          <w:sz w:val="21"/>
          <w:szCs w:val="21"/>
        </w:rPr>
        <w:t>人，营业收入为</w:t>
      </w:r>
      <w:r>
        <w:rPr>
          <w:rFonts w:hint="eastAsia" w:ascii="宋体" w:hAnsi="宋体" w:eastAsia="宋体" w:cs="宋体"/>
          <w:color w:val="auto"/>
          <w:spacing w:val="-119"/>
          <w:sz w:val="21"/>
          <w:szCs w:val="21"/>
        </w:rPr>
        <w:t xml:space="preserve"> </w:t>
      </w:r>
      <w:r>
        <w:rPr>
          <w:rFonts w:hint="eastAsia" w:ascii="宋体" w:hAnsi="宋体" w:eastAsia="宋体" w:cs="宋体"/>
          <w:color w:val="auto"/>
          <w:sz w:val="21"/>
          <w:szCs w:val="21"/>
          <w:u w:val="single" w:color="auto"/>
        </w:rPr>
        <w:t xml:space="preserve">      </w:t>
      </w:r>
      <w:r>
        <w:rPr>
          <w:rFonts w:hint="eastAsia" w:ascii="宋体" w:hAnsi="宋体" w:eastAsia="宋体" w:cs="宋体"/>
          <w:color w:val="auto"/>
          <w:spacing w:val="-3"/>
          <w:sz w:val="21"/>
          <w:szCs w:val="21"/>
        </w:rPr>
        <w:t>万元，资产总额为</w:t>
      </w:r>
      <w:r>
        <w:rPr>
          <w:rFonts w:hint="eastAsia" w:ascii="宋体" w:hAnsi="宋体" w:eastAsia="宋体" w:cs="宋体"/>
          <w:color w:val="auto"/>
          <w:spacing w:val="-120"/>
          <w:sz w:val="21"/>
          <w:szCs w:val="21"/>
        </w:rPr>
        <w:t xml:space="preserve"> </w:t>
      </w:r>
      <w:r>
        <w:rPr>
          <w:rFonts w:hint="eastAsia" w:ascii="宋体" w:hAnsi="宋体" w:eastAsia="宋体" w:cs="宋体"/>
          <w:color w:val="auto"/>
          <w:sz w:val="21"/>
          <w:szCs w:val="21"/>
          <w:u w:val="single" w:color="auto"/>
        </w:rPr>
        <w:t xml:space="preserve">      </w:t>
      </w:r>
      <w:r>
        <w:rPr>
          <w:rFonts w:hint="eastAsia" w:ascii="宋体" w:hAnsi="宋体" w:eastAsia="宋体" w:cs="宋体"/>
          <w:color w:val="auto"/>
          <w:spacing w:val="-3"/>
          <w:sz w:val="21"/>
          <w:szCs w:val="21"/>
        </w:rPr>
        <w:t>万元，属于</w:t>
      </w:r>
      <w:r>
        <w:rPr>
          <w:rFonts w:hint="eastAsia" w:ascii="宋体" w:hAnsi="宋体" w:eastAsia="宋体" w:cs="宋体"/>
          <w:color w:val="auto"/>
          <w:spacing w:val="-3"/>
          <w:sz w:val="21"/>
          <w:szCs w:val="21"/>
          <w:u w:val="single" w:color="auto"/>
        </w:rPr>
        <w:t>（中型企业、小</w:t>
      </w:r>
      <w:r>
        <w:rPr>
          <w:rFonts w:hint="eastAsia" w:ascii="宋体" w:hAnsi="宋体" w:eastAsia="宋体" w:cs="宋体"/>
          <w:color w:val="auto"/>
          <w:spacing w:val="-2"/>
          <w:sz w:val="21"/>
          <w:szCs w:val="21"/>
          <w:u w:val="single" w:color="auto"/>
        </w:rPr>
        <w:t>型企业、微型企业</w:t>
      </w:r>
      <w:r>
        <w:rPr>
          <w:rFonts w:hint="eastAsia" w:ascii="宋体" w:hAnsi="宋体" w:eastAsia="宋体" w:cs="宋体"/>
          <w:color w:val="auto"/>
          <w:spacing w:val="1"/>
          <w:sz w:val="21"/>
          <w:szCs w:val="21"/>
          <w:u w:val="single" w:color="auto"/>
        </w:rPr>
        <w:t>）</w:t>
      </w:r>
      <w:r>
        <w:rPr>
          <w:rFonts w:hint="eastAsia" w:ascii="宋体" w:hAnsi="宋体" w:eastAsia="宋体" w:cs="宋体"/>
          <w:color w:val="auto"/>
          <w:spacing w:val="1"/>
          <w:sz w:val="21"/>
          <w:szCs w:val="21"/>
        </w:rPr>
        <w:t>；</w:t>
      </w:r>
    </w:p>
    <w:p w14:paraId="272B485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color w:val="auto"/>
          <w:sz w:val="21"/>
          <w:szCs w:val="21"/>
        </w:rPr>
      </w:pPr>
      <w:r>
        <w:rPr>
          <w:rFonts w:hint="eastAsia" w:ascii="宋体" w:hAnsi="宋体" w:eastAsia="宋体" w:cs="宋体"/>
          <w:color w:val="auto"/>
          <w:spacing w:val="-7"/>
          <w:position w:val="3"/>
          <w:sz w:val="21"/>
          <w:szCs w:val="21"/>
        </w:rPr>
        <w:t>……</w:t>
      </w:r>
    </w:p>
    <w:p w14:paraId="2FF29B2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3"/>
        <w:textAlignment w:val="baseline"/>
        <w:rPr>
          <w:rFonts w:hint="eastAsia" w:ascii="宋体" w:hAnsi="宋体" w:eastAsia="宋体" w:cs="宋体"/>
          <w:color w:val="auto"/>
          <w:sz w:val="21"/>
          <w:szCs w:val="21"/>
        </w:rPr>
      </w:pPr>
      <w:r>
        <w:rPr>
          <w:rFonts w:hint="eastAsia" w:ascii="宋体" w:hAnsi="宋体" w:eastAsia="宋体" w:cs="宋体"/>
          <w:color w:val="auto"/>
          <w:spacing w:val="-4"/>
          <w:sz w:val="21"/>
          <w:szCs w:val="21"/>
        </w:rPr>
        <w:t>以上企业，不属于大企业的分支机构，不存在控股股东为大企业的情形，也不存在与大</w:t>
      </w:r>
      <w:r>
        <w:rPr>
          <w:rFonts w:hint="eastAsia" w:ascii="宋体" w:hAnsi="宋体" w:eastAsia="宋体" w:cs="宋体"/>
          <w:color w:val="auto"/>
          <w:spacing w:val="-3"/>
          <w:sz w:val="21"/>
          <w:szCs w:val="21"/>
        </w:rPr>
        <w:t>企业的负责人为同一人的情形。</w:t>
      </w:r>
    </w:p>
    <w:p w14:paraId="72F3814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eastAsia="宋体" w:cs="宋体"/>
          <w:color w:val="auto"/>
          <w:spacing w:val="-2"/>
          <w:sz w:val="21"/>
          <w:szCs w:val="21"/>
        </w:rPr>
      </w:pPr>
      <w:r>
        <w:rPr>
          <w:rFonts w:hint="eastAsia" w:ascii="宋体" w:hAnsi="宋体" w:eastAsia="宋体" w:cs="宋体"/>
          <w:color w:val="auto"/>
          <w:spacing w:val="-1"/>
          <w:sz w:val="21"/>
          <w:szCs w:val="21"/>
        </w:rPr>
        <w:t>本企业对上述声明内容的真实性负责。如有</w:t>
      </w:r>
      <w:r>
        <w:rPr>
          <w:rFonts w:hint="eastAsia" w:ascii="宋体" w:hAnsi="宋体" w:eastAsia="宋体" w:cs="宋体"/>
          <w:color w:val="auto"/>
          <w:spacing w:val="-2"/>
          <w:sz w:val="21"/>
          <w:szCs w:val="21"/>
        </w:rPr>
        <w:t>虚假，将依法承担相应责任。</w:t>
      </w:r>
    </w:p>
    <w:p w14:paraId="334210B6">
      <w:pPr>
        <w:pStyle w:val="6"/>
        <w:rPr>
          <w:rFonts w:hint="eastAsia"/>
          <w:color w:val="auto"/>
        </w:rPr>
      </w:pPr>
    </w:p>
    <w:p w14:paraId="4049DAC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right"/>
        <w:textAlignment w:val="baseline"/>
        <w:rPr>
          <w:rFonts w:hint="eastAsia" w:ascii="宋体" w:hAnsi="宋体" w:eastAsia="宋体" w:cs="宋体"/>
          <w:color w:val="auto"/>
          <w:spacing w:val="1"/>
          <w:sz w:val="21"/>
          <w:szCs w:val="21"/>
        </w:rPr>
      </w:pPr>
      <w:r>
        <w:rPr>
          <w:rFonts w:hint="eastAsia" w:ascii="宋体" w:hAnsi="宋体" w:eastAsia="宋体" w:cs="宋体"/>
          <w:color w:val="auto"/>
          <w:spacing w:val="-2"/>
          <w:sz w:val="21"/>
          <w:szCs w:val="21"/>
        </w:rPr>
        <w:t>企业名称（电子签章</w:t>
      </w:r>
      <w:r>
        <w:rPr>
          <w:rFonts w:hint="eastAsia" w:ascii="宋体" w:hAnsi="宋体" w:eastAsia="宋体" w:cs="宋体"/>
          <w:color w:val="auto"/>
          <w:spacing w:val="-26"/>
          <w:sz w:val="21"/>
          <w:szCs w:val="21"/>
        </w:rPr>
        <w:t>）：</w:t>
      </w:r>
    </w:p>
    <w:p w14:paraId="541583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right"/>
        <w:textAlignment w:val="baseline"/>
        <w:rPr>
          <w:rFonts w:hint="eastAsia" w:ascii="宋体" w:hAnsi="宋体" w:eastAsia="宋体" w:cs="宋体"/>
          <w:color w:val="auto"/>
          <w:spacing w:val="-29"/>
          <w:sz w:val="21"/>
          <w:szCs w:val="21"/>
          <w:lang w:eastAsia="zh-CN"/>
        </w:rPr>
      </w:pPr>
      <w:r>
        <w:rPr>
          <w:rFonts w:hint="eastAsia" w:ascii="宋体" w:hAnsi="宋体" w:eastAsia="宋体" w:cs="宋体"/>
          <w:color w:val="auto"/>
          <w:spacing w:val="-29"/>
          <w:sz w:val="21"/>
          <w:szCs w:val="21"/>
        </w:rPr>
        <w:t>日</w:t>
      </w:r>
      <w:r>
        <w:rPr>
          <w:rFonts w:hint="eastAsia" w:ascii="宋体" w:hAnsi="宋体" w:eastAsia="宋体" w:cs="宋体"/>
          <w:color w:val="auto"/>
          <w:spacing w:val="13"/>
          <w:sz w:val="21"/>
          <w:szCs w:val="21"/>
        </w:rPr>
        <w:t xml:space="preserve"> </w:t>
      </w:r>
      <w:r>
        <w:rPr>
          <w:rFonts w:hint="eastAsia" w:ascii="宋体" w:hAnsi="宋体" w:eastAsia="宋体" w:cs="宋体"/>
          <w:color w:val="auto"/>
          <w:spacing w:val="-29"/>
          <w:sz w:val="21"/>
          <w:szCs w:val="21"/>
        </w:rPr>
        <w:t>期：</w:t>
      </w:r>
      <w:r>
        <w:rPr>
          <w:rFonts w:hint="eastAsia" w:ascii="宋体" w:hAnsi="宋体" w:eastAsia="宋体" w:cs="宋体"/>
          <w:color w:val="auto"/>
          <w:spacing w:val="-29"/>
          <w:sz w:val="21"/>
          <w:szCs w:val="21"/>
          <w:lang w:val="en-US" w:eastAsia="zh-CN"/>
        </w:rPr>
        <w:t xml:space="preserve">    </w:t>
      </w:r>
      <w:r>
        <w:rPr>
          <w:rFonts w:hint="eastAsia" w:ascii="宋体" w:hAnsi="宋体" w:eastAsia="宋体" w:cs="宋体"/>
          <w:color w:val="auto"/>
          <w:spacing w:val="-29"/>
          <w:sz w:val="21"/>
          <w:szCs w:val="21"/>
          <w:lang w:eastAsia="zh-CN"/>
        </w:rPr>
        <w:t>年</w:t>
      </w:r>
      <w:r>
        <w:rPr>
          <w:rFonts w:hint="eastAsia" w:ascii="宋体" w:hAnsi="宋体" w:eastAsia="宋体" w:cs="宋体"/>
          <w:color w:val="auto"/>
          <w:spacing w:val="-29"/>
          <w:sz w:val="21"/>
          <w:szCs w:val="21"/>
          <w:lang w:val="en-US" w:eastAsia="zh-CN"/>
        </w:rPr>
        <w:t xml:space="preserve">   </w:t>
      </w:r>
      <w:r>
        <w:rPr>
          <w:rFonts w:hint="eastAsia" w:ascii="宋体" w:hAnsi="宋体" w:eastAsia="宋体" w:cs="宋体"/>
          <w:color w:val="auto"/>
          <w:spacing w:val="-29"/>
          <w:sz w:val="21"/>
          <w:szCs w:val="21"/>
          <w:lang w:eastAsia="zh-CN"/>
        </w:rPr>
        <w:t>月</w:t>
      </w:r>
      <w:r>
        <w:rPr>
          <w:rFonts w:hint="eastAsia" w:ascii="宋体" w:hAnsi="宋体" w:eastAsia="宋体" w:cs="宋体"/>
          <w:color w:val="auto"/>
          <w:spacing w:val="-29"/>
          <w:sz w:val="21"/>
          <w:szCs w:val="21"/>
          <w:lang w:val="en-US" w:eastAsia="zh-CN"/>
        </w:rPr>
        <w:t xml:space="preserve">    </w:t>
      </w:r>
      <w:r>
        <w:rPr>
          <w:rFonts w:hint="eastAsia" w:ascii="宋体" w:hAnsi="宋体" w:eastAsia="宋体" w:cs="宋体"/>
          <w:color w:val="auto"/>
          <w:spacing w:val="-29"/>
          <w:sz w:val="21"/>
          <w:szCs w:val="21"/>
          <w:lang w:eastAsia="zh-CN"/>
        </w:rPr>
        <w:t>日</w:t>
      </w:r>
    </w:p>
    <w:p w14:paraId="0A260FEF">
      <w:pPr>
        <w:pStyle w:val="6"/>
        <w:rPr>
          <w:rFonts w:hint="eastAsia"/>
          <w:color w:val="auto"/>
        </w:rPr>
      </w:pPr>
    </w:p>
    <w:p w14:paraId="7524B562">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16" w:firstLineChars="200"/>
        <w:textAlignment w:val="baseline"/>
        <w:rPr>
          <w:rFonts w:ascii="宋体" w:hAnsi="宋体" w:eastAsia="宋体" w:cs="宋体"/>
          <w:color w:val="auto"/>
          <w:sz w:val="21"/>
          <w:szCs w:val="21"/>
        </w:rPr>
      </w:pPr>
      <w:r>
        <w:rPr>
          <w:rFonts w:ascii="宋体" w:hAnsi="宋体" w:eastAsia="宋体" w:cs="宋体"/>
          <w:color w:val="auto"/>
          <w:spacing w:val="-1"/>
          <w:sz w:val="21"/>
          <w:szCs w:val="21"/>
        </w:rPr>
        <w:t>注：</w:t>
      </w:r>
      <w:r>
        <w:rPr>
          <w:rFonts w:hint="eastAsia" w:ascii="宋体" w:hAnsi="宋体" w:eastAsia="宋体" w:cs="宋体"/>
          <w:color w:val="auto"/>
          <w:spacing w:val="-1"/>
          <w:sz w:val="21"/>
          <w:szCs w:val="21"/>
          <w:lang w:val="en-US" w:eastAsia="zh-CN"/>
        </w:rPr>
        <w:t>1.</w:t>
      </w:r>
      <w:r>
        <w:rPr>
          <w:rFonts w:ascii="宋体" w:hAnsi="宋体" w:eastAsia="宋体" w:cs="宋体"/>
          <w:color w:val="auto"/>
          <w:spacing w:val="-1"/>
          <w:sz w:val="21"/>
          <w:szCs w:val="21"/>
        </w:rPr>
        <w:t>享受《政府采购促进中小企业发展管理办法》（财库〔2020〕46号）规定的中小企业扶</w:t>
      </w:r>
      <w:r>
        <w:rPr>
          <w:rFonts w:ascii="宋体" w:hAnsi="宋体" w:eastAsia="宋体" w:cs="宋体"/>
          <w:color w:val="auto"/>
          <w:sz w:val="21"/>
          <w:szCs w:val="21"/>
        </w:rPr>
        <w:t>持政策的，采购人、采购代理机构应当随中标结果公开中标供应</w:t>
      </w:r>
      <w:r>
        <w:rPr>
          <w:rFonts w:ascii="宋体" w:hAnsi="宋体" w:eastAsia="宋体" w:cs="宋体"/>
          <w:color w:val="auto"/>
          <w:spacing w:val="-1"/>
          <w:sz w:val="21"/>
          <w:szCs w:val="21"/>
        </w:rPr>
        <w:t>商的《中小企业声明函》。</w:t>
      </w:r>
      <w:r>
        <w:rPr>
          <w:rFonts w:ascii="宋体" w:hAnsi="宋体" w:eastAsia="宋体" w:cs="宋体"/>
          <w:color w:val="auto"/>
          <w:spacing w:val="-3"/>
          <w:sz w:val="21"/>
          <w:szCs w:val="21"/>
        </w:rPr>
        <w:t>从业人员、营业收入、资产总额填报上一年度数据，无上一年度数据的新成立企业</w:t>
      </w:r>
      <w:r>
        <w:rPr>
          <w:rFonts w:ascii="宋体" w:hAnsi="宋体" w:eastAsia="宋体" w:cs="宋体"/>
          <w:color w:val="auto"/>
          <w:spacing w:val="-4"/>
          <w:sz w:val="21"/>
          <w:szCs w:val="21"/>
        </w:rPr>
        <w:t>可不填报。</w:t>
      </w:r>
    </w:p>
    <w:p w14:paraId="2CDFD232">
      <w:pPr>
        <w:rPr>
          <w:rFonts w:hint="eastAsia" w:ascii="宋体" w:hAnsi="宋体" w:eastAsia="宋体" w:cs="宋体"/>
          <w:b/>
          <w:bCs/>
          <w:color w:val="auto"/>
          <w:spacing w:val="-3"/>
          <w:sz w:val="24"/>
          <w:szCs w:val="24"/>
          <w:lang w:val="en-US" w:eastAsia="zh-CN"/>
        </w:rPr>
      </w:pPr>
      <w:r>
        <w:rPr>
          <w:rFonts w:hint="eastAsia" w:ascii="宋体" w:hAnsi="宋体" w:eastAsia="宋体" w:cs="宋体"/>
          <w:b/>
          <w:bCs/>
          <w:color w:val="auto"/>
          <w:spacing w:val="-3"/>
          <w:sz w:val="24"/>
          <w:szCs w:val="24"/>
          <w:lang w:val="en-US" w:eastAsia="zh-CN"/>
        </w:rPr>
        <w:br w:type="page"/>
      </w:r>
    </w:p>
    <w:p w14:paraId="31C1B5F4">
      <w:pPr>
        <w:spacing w:before="78" w:line="220" w:lineRule="auto"/>
        <w:ind w:left="5"/>
        <w:outlineLvl w:val="2"/>
        <w:rPr>
          <w:rFonts w:ascii="宋体" w:hAnsi="宋体" w:eastAsia="宋体" w:cs="宋体"/>
          <w:color w:val="auto"/>
          <w:sz w:val="28"/>
          <w:szCs w:val="28"/>
        </w:rPr>
      </w:pPr>
      <w:r>
        <w:rPr>
          <w:rFonts w:hint="eastAsia" w:ascii="宋体" w:hAnsi="宋体" w:eastAsia="宋体" w:cs="宋体"/>
          <w:b/>
          <w:bCs/>
          <w:color w:val="auto"/>
          <w:spacing w:val="-3"/>
          <w:sz w:val="28"/>
          <w:szCs w:val="28"/>
          <w:lang w:val="en-US" w:eastAsia="zh-CN"/>
        </w:rPr>
        <w:t>4.</w:t>
      </w:r>
      <w:r>
        <w:rPr>
          <w:rFonts w:ascii="宋体" w:hAnsi="宋体" w:eastAsia="宋体" w:cs="宋体"/>
          <w:b/>
          <w:bCs/>
          <w:color w:val="auto"/>
          <w:spacing w:val="-3"/>
          <w:sz w:val="28"/>
          <w:szCs w:val="28"/>
        </w:rPr>
        <w:t>残疾人福利性单位声明函格式</w:t>
      </w:r>
    </w:p>
    <w:p w14:paraId="1F7D49DE">
      <w:pPr>
        <w:spacing w:line="253" w:lineRule="auto"/>
        <w:rPr>
          <w:rFonts w:ascii="Arial"/>
          <w:color w:val="auto"/>
          <w:sz w:val="21"/>
        </w:rPr>
      </w:pPr>
    </w:p>
    <w:p w14:paraId="676353B6">
      <w:pPr>
        <w:spacing w:line="253" w:lineRule="auto"/>
        <w:rPr>
          <w:rFonts w:ascii="Arial"/>
          <w:color w:val="auto"/>
          <w:sz w:val="21"/>
        </w:rPr>
      </w:pPr>
    </w:p>
    <w:p w14:paraId="07140999">
      <w:pPr>
        <w:spacing w:before="184" w:line="197" w:lineRule="auto"/>
        <w:jc w:val="center"/>
        <w:outlineLvl w:val="3"/>
        <w:rPr>
          <w:rFonts w:hint="eastAsia" w:ascii="宋体" w:hAnsi="宋体" w:eastAsia="宋体" w:cs="宋体"/>
          <w:color w:val="auto"/>
          <w:sz w:val="28"/>
          <w:szCs w:val="28"/>
        </w:rPr>
      </w:pPr>
      <w:r>
        <w:rPr>
          <w:rFonts w:hint="eastAsia" w:ascii="宋体" w:hAnsi="宋体" w:eastAsia="宋体" w:cs="宋体"/>
          <w:color w:val="auto"/>
          <w:spacing w:val="19"/>
          <w:sz w:val="28"/>
          <w:szCs w:val="28"/>
        </w:rPr>
        <w:t>残疾人福利性单位声明函</w:t>
      </w:r>
    </w:p>
    <w:p w14:paraId="6741BAC5">
      <w:pPr>
        <w:spacing w:line="409" w:lineRule="auto"/>
        <w:rPr>
          <w:rFonts w:ascii="Arial"/>
          <w:color w:val="auto"/>
          <w:sz w:val="21"/>
        </w:rPr>
      </w:pPr>
    </w:p>
    <w:p w14:paraId="01085CE0">
      <w:pPr>
        <w:spacing w:before="78" w:line="354" w:lineRule="auto"/>
        <w:ind w:right="53" w:firstLine="505"/>
        <w:jc w:val="both"/>
        <w:rPr>
          <w:rFonts w:ascii="宋体" w:hAnsi="宋体" w:eastAsia="宋体" w:cs="宋体"/>
          <w:color w:val="auto"/>
          <w:sz w:val="21"/>
          <w:szCs w:val="21"/>
        </w:rPr>
      </w:pPr>
      <w:r>
        <w:rPr>
          <w:rFonts w:ascii="宋体" w:hAnsi="宋体" w:eastAsia="宋体" w:cs="宋体"/>
          <w:color w:val="auto"/>
          <w:spacing w:val="10"/>
          <w:sz w:val="21"/>
          <w:szCs w:val="21"/>
        </w:rPr>
        <w:t>本单位郑重声明，根据《财政部民政部中国残疾人联合会关于促进残疾人就业政</w:t>
      </w:r>
      <w:r>
        <w:rPr>
          <w:rFonts w:ascii="宋体" w:hAnsi="宋体" w:eastAsia="宋体" w:cs="宋体"/>
          <w:color w:val="auto"/>
          <w:spacing w:val="8"/>
          <w:sz w:val="21"/>
          <w:szCs w:val="21"/>
        </w:rPr>
        <w:t>府采购政策的通知》（财库〔2017〕</w:t>
      </w:r>
      <w:r>
        <w:rPr>
          <w:rFonts w:ascii="宋体" w:hAnsi="宋体" w:eastAsia="宋体" w:cs="宋体"/>
          <w:color w:val="auto"/>
          <w:spacing w:val="7"/>
          <w:sz w:val="21"/>
          <w:szCs w:val="21"/>
        </w:rPr>
        <w:t>141号）</w:t>
      </w:r>
      <w:r>
        <w:rPr>
          <w:rFonts w:ascii="宋体" w:hAnsi="宋体" w:eastAsia="宋体" w:cs="宋体"/>
          <w:color w:val="auto"/>
          <w:spacing w:val="-65"/>
          <w:sz w:val="21"/>
          <w:szCs w:val="21"/>
        </w:rPr>
        <w:t xml:space="preserve"> </w:t>
      </w:r>
      <w:r>
        <w:rPr>
          <w:rFonts w:ascii="宋体" w:hAnsi="宋体" w:eastAsia="宋体" w:cs="宋体"/>
          <w:color w:val="auto"/>
          <w:spacing w:val="7"/>
          <w:sz w:val="21"/>
          <w:szCs w:val="21"/>
        </w:rPr>
        <w:t>的规定，本单位为符合条件的残疾人福利</w:t>
      </w:r>
      <w:r>
        <w:rPr>
          <w:rFonts w:ascii="宋体" w:hAnsi="宋体" w:eastAsia="宋体" w:cs="宋体"/>
          <w:color w:val="auto"/>
          <w:spacing w:val="10"/>
          <w:sz w:val="21"/>
          <w:szCs w:val="21"/>
        </w:rPr>
        <w:t>性单位，且本单位参加</w:t>
      </w:r>
      <w:r>
        <w:rPr>
          <w:rFonts w:ascii="宋体" w:hAnsi="宋体" w:eastAsia="宋体" w:cs="宋体"/>
          <w:color w:val="auto"/>
          <w:spacing w:val="-104"/>
          <w:sz w:val="21"/>
          <w:szCs w:val="21"/>
        </w:rPr>
        <w:t xml:space="preserve"> </w:t>
      </w:r>
      <w:r>
        <w:rPr>
          <w:rFonts w:ascii="宋体" w:hAnsi="宋体" w:eastAsia="宋体" w:cs="宋体"/>
          <w:color w:val="auto"/>
          <w:spacing w:val="5"/>
          <w:sz w:val="21"/>
          <w:szCs w:val="21"/>
          <w:u w:val="single" w:color="auto"/>
        </w:rPr>
        <w:t xml:space="preserve">      </w:t>
      </w:r>
      <w:r>
        <w:rPr>
          <w:rFonts w:ascii="宋体" w:hAnsi="宋体" w:eastAsia="宋体" w:cs="宋体"/>
          <w:color w:val="auto"/>
          <w:spacing w:val="-100"/>
          <w:sz w:val="21"/>
          <w:szCs w:val="21"/>
        </w:rPr>
        <w:t xml:space="preserve"> </w:t>
      </w:r>
      <w:r>
        <w:rPr>
          <w:rFonts w:ascii="宋体" w:hAnsi="宋体" w:eastAsia="宋体" w:cs="宋体"/>
          <w:color w:val="auto"/>
          <w:spacing w:val="10"/>
          <w:sz w:val="21"/>
          <w:szCs w:val="21"/>
        </w:rPr>
        <w:t>单位的</w:t>
      </w:r>
      <w:r>
        <w:rPr>
          <w:rFonts w:ascii="宋体" w:hAnsi="宋体" w:eastAsia="宋体" w:cs="宋体"/>
          <w:color w:val="auto"/>
          <w:spacing w:val="-106"/>
          <w:sz w:val="21"/>
          <w:szCs w:val="21"/>
        </w:rPr>
        <w:t xml:space="preserve"> </w:t>
      </w:r>
      <w:r>
        <w:rPr>
          <w:rFonts w:ascii="宋体" w:hAnsi="宋体" w:eastAsia="宋体" w:cs="宋体"/>
          <w:color w:val="auto"/>
          <w:spacing w:val="4"/>
          <w:sz w:val="21"/>
          <w:szCs w:val="21"/>
          <w:u w:val="single" w:color="auto"/>
        </w:rPr>
        <w:t xml:space="preserve">      </w:t>
      </w:r>
      <w:r>
        <w:rPr>
          <w:rFonts w:ascii="宋体" w:hAnsi="宋体" w:eastAsia="宋体" w:cs="宋体"/>
          <w:color w:val="auto"/>
          <w:spacing w:val="-94"/>
          <w:sz w:val="21"/>
          <w:szCs w:val="21"/>
        </w:rPr>
        <w:t xml:space="preserve"> </w:t>
      </w:r>
      <w:r>
        <w:rPr>
          <w:rFonts w:ascii="宋体" w:hAnsi="宋体" w:eastAsia="宋体" w:cs="宋体"/>
          <w:color w:val="auto"/>
          <w:spacing w:val="10"/>
          <w:sz w:val="21"/>
          <w:szCs w:val="21"/>
        </w:rPr>
        <w:t>项目采购活动提供本单</w:t>
      </w:r>
      <w:r>
        <w:rPr>
          <w:rFonts w:ascii="宋体" w:hAnsi="宋体" w:eastAsia="宋体" w:cs="宋体"/>
          <w:color w:val="auto"/>
          <w:spacing w:val="9"/>
          <w:sz w:val="21"/>
          <w:szCs w:val="21"/>
        </w:rPr>
        <w:t>位制造的货物（由本</w:t>
      </w:r>
      <w:r>
        <w:rPr>
          <w:rFonts w:ascii="宋体" w:hAnsi="宋体" w:eastAsia="宋体" w:cs="宋体"/>
          <w:color w:val="auto"/>
          <w:spacing w:val="-2"/>
          <w:sz w:val="21"/>
          <w:szCs w:val="21"/>
        </w:rPr>
        <w:t>单位承担工程/提供服务</w:t>
      </w:r>
      <w:r>
        <w:rPr>
          <w:rFonts w:ascii="宋体" w:hAnsi="宋体" w:eastAsia="宋体" w:cs="宋体"/>
          <w:color w:val="auto"/>
          <w:spacing w:val="1"/>
          <w:sz w:val="21"/>
          <w:szCs w:val="21"/>
        </w:rPr>
        <w:t>），</w:t>
      </w:r>
      <w:r>
        <w:rPr>
          <w:rFonts w:ascii="宋体" w:hAnsi="宋体" w:eastAsia="宋体" w:cs="宋体"/>
          <w:color w:val="auto"/>
          <w:spacing w:val="-2"/>
          <w:sz w:val="21"/>
          <w:szCs w:val="21"/>
        </w:rPr>
        <w:t>或者提供其他残疾人福利性单位制造的货物（不包括使用非残疾</w:t>
      </w:r>
      <w:r>
        <w:rPr>
          <w:rFonts w:ascii="宋体" w:hAnsi="宋体" w:eastAsia="宋体" w:cs="宋体"/>
          <w:color w:val="auto"/>
          <w:spacing w:val="-13"/>
          <w:sz w:val="21"/>
          <w:szCs w:val="21"/>
        </w:rPr>
        <w:t>人福利性单位注册商标的货物）。</w:t>
      </w:r>
    </w:p>
    <w:p w14:paraId="347BB83D">
      <w:pPr>
        <w:spacing w:before="36" w:line="219" w:lineRule="auto"/>
        <w:ind w:left="505"/>
        <w:rPr>
          <w:rFonts w:ascii="宋体" w:hAnsi="宋体" w:eastAsia="宋体" w:cs="宋体"/>
          <w:color w:val="auto"/>
          <w:sz w:val="21"/>
          <w:szCs w:val="21"/>
        </w:rPr>
      </w:pPr>
      <w:r>
        <w:rPr>
          <w:rFonts w:ascii="宋体" w:hAnsi="宋体" w:eastAsia="宋体" w:cs="宋体"/>
          <w:color w:val="auto"/>
          <w:spacing w:val="10"/>
          <w:sz w:val="21"/>
          <w:szCs w:val="21"/>
        </w:rPr>
        <w:t>本单位对上述声明的真实性负责。如有虚假，将依法承担相应责任。</w:t>
      </w:r>
    </w:p>
    <w:p w14:paraId="75680A91">
      <w:pPr>
        <w:spacing w:line="257" w:lineRule="auto"/>
        <w:rPr>
          <w:rFonts w:ascii="Arial"/>
          <w:color w:val="auto"/>
          <w:sz w:val="21"/>
          <w:szCs w:val="21"/>
        </w:rPr>
      </w:pPr>
    </w:p>
    <w:p w14:paraId="6B8F0EB1">
      <w:pPr>
        <w:spacing w:line="257" w:lineRule="auto"/>
        <w:rPr>
          <w:rFonts w:ascii="Arial"/>
          <w:color w:val="auto"/>
          <w:sz w:val="21"/>
          <w:szCs w:val="21"/>
        </w:rPr>
      </w:pPr>
    </w:p>
    <w:p w14:paraId="3A79426A">
      <w:pPr>
        <w:spacing w:line="258" w:lineRule="auto"/>
        <w:rPr>
          <w:rFonts w:ascii="Arial"/>
          <w:color w:val="auto"/>
          <w:sz w:val="21"/>
          <w:szCs w:val="21"/>
        </w:rPr>
      </w:pPr>
    </w:p>
    <w:p w14:paraId="13E9CA47">
      <w:pPr>
        <w:spacing w:line="258" w:lineRule="auto"/>
        <w:rPr>
          <w:rFonts w:ascii="Arial"/>
          <w:color w:val="auto"/>
          <w:sz w:val="21"/>
          <w:szCs w:val="21"/>
        </w:rPr>
      </w:pPr>
    </w:p>
    <w:p w14:paraId="7F04C0E1">
      <w:pPr>
        <w:spacing w:before="78" w:line="219" w:lineRule="auto"/>
        <w:ind w:left="2907"/>
        <w:rPr>
          <w:rFonts w:ascii="宋体" w:hAnsi="宋体" w:eastAsia="宋体" w:cs="宋体"/>
          <w:color w:val="auto"/>
          <w:sz w:val="21"/>
          <w:szCs w:val="21"/>
        </w:rPr>
      </w:pPr>
      <w:r>
        <w:rPr>
          <w:rFonts w:ascii="宋体" w:hAnsi="宋体" w:eastAsia="宋体" w:cs="宋体"/>
          <w:color w:val="auto"/>
          <w:spacing w:val="4"/>
          <w:sz w:val="21"/>
          <w:szCs w:val="21"/>
        </w:rPr>
        <w:t>单位名称（电子签章</w:t>
      </w:r>
      <w:r>
        <w:rPr>
          <w:rFonts w:ascii="宋体" w:hAnsi="宋体" w:eastAsia="宋体" w:cs="宋体"/>
          <w:color w:val="auto"/>
          <w:spacing w:val="8"/>
          <w:sz w:val="21"/>
          <w:szCs w:val="21"/>
        </w:rPr>
        <w:t>）：</w:t>
      </w:r>
    </w:p>
    <w:p w14:paraId="31D7C13E">
      <w:pPr>
        <w:spacing w:before="183" w:line="220" w:lineRule="auto"/>
        <w:ind w:left="3822"/>
        <w:rPr>
          <w:rFonts w:hint="eastAsia" w:ascii="宋体" w:hAnsi="宋体" w:eastAsia="宋体" w:cs="宋体"/>
          <w:color w:val="auto"/>
          <w:sz w:val="21"/>
          <w:szCs w:val="21"/>
          <w:lang w:val="en-US" w:eastAsia="zh-CN"/>
        </w:rPr>
      </w:pPr>
      <w:r>
        <w:rPr>
          <w:rFonts w:ascii="宋体" w:hAnsi="宋体" w:eastAsia="宋体" w:cs="宋体"/>
          <w:color w:val="auto"/>
          <w:spacing w:val="-27"/>
          <w:sz w:val="21"/>
          <w:szCs w:val="21"/>
        </w:rPr>
        <w:t>日</w:t>
      </w:r>
      <w:r>
        <w:rPr>
          <w:rFonts w:ascii="宋体" w:hAnsi="宋体" w:eastAsia="宋体" w:cs="宋体"/>
          <w:color w:val="auto"/>
          <w:spacing w:val="24"/>
          <w:sz w:val="21"/>
          <w:szCs w:val="21"/>
        </w:rPr>
        <w:t xml:space="preserve">  </w:t>
      </w:r>
      <w:r>
        <w:rPr>
          <w:rFonts w:ascii="宋体" w:hAnsi="宋体" w:eastAsia="宋体" w:cs="宋体"/>
          <w:color w:val="auto"/>
          <w:spacing w:val="-27"/>
          <w:sz w:val="21"/>
          <w:szCs w:val="21"/>
        </w:rPr>
        <w:t>期：</w:t>
      </w:r>
      <w:r>
        <w:rPr>
          <w:rFonts w:hint="eastAsia" w:ascii="宋体" w:hAnsi="宋体" w:eastAsia="宋体" w:cs="宋体"/>
          <w:color w:val="auto"/>
          <w:spacing w:val="-27"/>
          <w:sz w:val="21"/>
          <w:szCs w:val="21"/>
          <w:lang w:val="en-US" w:eastAsia="zh-CN"/>
        </w:rPr>
        <w:t xml:space="preserve">    </w:t>
      </w:r>
      <w:r>
        <w:rPr>
          <w:rFonts w:hint="eastAsia" w:ascii="宋体" w:hAnsi="宋体" w:eastAsia="宋体" w:cs="宋体"/>
          <w:color w:val="auto"/>
          <w:spacing w:val="-27"/>
          <w:sz w:val="21"/>
          <w:szCs w:val="21"/>
          <w:lang w:eastAsia="zh-CN"/>
        </w:rPr>
        <w:t>年</w:t>
      </w:r>
      <w:r>
        <w:rPr>
          <w:rFonts w:hint="eastAsia" w:ascii="宋体" w:hAnsi="宋体" w:eastAsia="宋体" w:cs="宋体"/>
          <w:color w:val="auto"/>
          <w:spacing w:val="-27"/>
          <w:sz w:val="21"/>
          <w:szCs w:val="21"/>
          <w:lang w:val="en-US" w:eastAsia="zh-CN"/>
        </w:rPr>
        <w:t xml:space="preserve">    </w:t>
      </w:r>
      <w:r>
        <w:rPr>
          <w:rFonts w:hint="eastAsia" w:ascii="宋体" w:hAnsi="宋体" w:eastAsia="宋体" w:cs="宋体"/>
          <w:color w:val="auto"/>
          <w:spacing w:val="-27"/>
          <w:sz w:val="21"/>
          <w:szCs w:val="21"/>
          <w:lang w:eastAsia="zh-CN"/>
        </w:rPr>
        <w:t>月</w:t>
      </w:r>
      <w:r>
        <w:rPr>
          <w:rFonts w:hint="eastAsia" w:ascii="宋体" w:hAnsi="宋体" w:eastAsia="宋体" w:cs="宋体"/>
          <w:color w:val="auto"/>
          <w:spacing w:val="-27"/>
          <w:sz w:val="21"/>
          <w:szCs w:val="21"/>
          <w:lang w:val="en-US" w:eastAsia="zh-CN"/>
        </w:rPr>
        <w:t xml:space="preserve">    </w:t>
      </w:r>
      <w:r>
        <w:rPr>
          <w:rFonts w:hint="eastAsia" w:ascii="宋体" w:hAnsi="宋体" w:eastAsia="宋体" w:cs="宋体"/>
          <w:color w:val="auto"/>
          <w:spacing w:val="-27"/>
          <w:sz w:val="21"/>
          <w:szCs w:val="21"/>
          <w:lang w:eastAsia="zh-CN"/>
        </w:rPr>
        <w:t>日</w:t>
      </w:r>
    </w:p>
    <w:p w14:paraId="5C1C689A">
      <w:pPr>
        <w:spacing w:line="248" w:lineRule="auto"/>
        <w:rPr>
          <w:rFonts w:ascii="Arial"/>
          <w:color w:val="auto"/>
          <w:sz w:val="21"/>
          <w:szCs w:val="21"/>
        </w:rPr>
      </w:pPr>
    </w:p>
    <w:p w14:paraId="3AC97CD7">
      <w:pPr>
        <w:spacing w:line="249" w:lineRule="auto"/>
        <w:rPr>
          <w:rFonts w:ascii="Arial"/>
          <w:color w:val="auto"/>
          <w:sz w:val="21"/>
          <w:szCs w:val="21"/>
        </w:rPr>
      </w:pPr>
    </w:p>
    <w:p w14:paraId="5A7B8A2A">
      <w:pPr>
        <w:spacing w:line="249" w:lineRule="auto"/>
        <w:rPr>
          <w:rFonts w:ascii="Arial"/>
          <w:color w:val="auto"/>
          <w:sz w:val="21"/>
          <w:szCs w:val="21"/>
        </w:rPr>
      </w:pPr>
    </w:p>
    <w:p w14:paraId="07DBC739">
      <w:pPr>
        <w:spacing w:line="249" w:lineRule="auto"/>
        <w:rPr>
          <w:rFonts w:ascii="Arial"/>
          <w:color w:val="auto"/>
          <w:sz w:val="21"/>
          <w:szCs w:val="21"/>
        </w:rPr>
      </w:pPr>
    </w:p>
    <w:p w14:paraId="49F03783">
      <w:pPr>
        <w:spacing w:line="249" w:lineRule="auto"/>
        <w:rPr>
          <w:rFonts w:ascii="Arial"/>
          <w:color w:val="auto"/>
          <w:sz w:val="21"/>
          <w:szCs w:val="21"/>
        </w:rPr>
      </w:pPr>
    </w:p>
    <w:p w14:paraId="4730FBF1">
      <w:pPr>
        <w:spacing w:line="249" w:lineRule="auto"/>
        <w:rPr>
          <w:rFonts w:ascii="Arial"/>
          <w:color w:val="auto"/>
          <w:sz w:val="21"/>
          <w:szCs w:val="21"/>
        </w:rPr>
      </w:pPr>
    </w:p>
    <w:p w14:paraId="68BE7CF4">
      <w:pPr>
        <w:spacing w:before="79" w:line="350" w:lineRule="auto"/>
        <w:jc w:val="both"/>
        <w:rPr>
          <w:rFonts w:ascii="宋体" w:hAnsi="宋体" w:eastAsia="宋体" w:cs="宋体"/>
          <w:color w:val="auto"/>
          <w:sz w:val="21"/>
          <w:szCs w:val="21"/>
        </w:rPr>
      </w:pPr>
      <w:r>
        <w:rPr>
          <w:rFonts w:ascii="宋体" w:hAnsi="宋体" w:eastAsia="宋体" w:cs="宋体"/>
          <w:color w:val="auto"/>
          <w:spacing w:val="1"/>
          <w:sz w:val="21"/>
          <w:szCs w:val="21"/>
        </w:rPr>
        <w:t>注：请根据自己的真实情况出具《残疾人福利性单位声明函</w:t>
      </w:r>
      <w:r>
        <w:rPr>
          <w:rFonts w:ascii="宋体" w:hAnsi="宋体" w:eastAsia="宋体" w:cs="宋体"/>
          <w:color w:val="auto"/>
          <w:sz w:val="21"/>
          <w:szCs w:val="21"/>
        </w:rPr>
        <w:t>》。依法享受中小企业优惠政策</w:t>
      </w:r>
      <w:r>
        <w:rPr>
          <w:rFonts w:ascii="宋体" w:hAnsi="宋体" w:eastAsia="宋体" w:cs="宋体"/>
          <w:color w:val="auto"/>
          <w:spacing w:val="-3"/>
          <w:sz w:val="21"/>
          <w:szCs w:val="21"/>
        </w:rPr>
        <w:t>的，采购人或者采购代理机构在公告中标结果时</w:t>
      </w:r>
      <w:r>
        <w:rPr>
          <w:rFonts w:ascii="宋体" w:hAnsi="宋体" w:eastAsia="宋体" w:cs="宋体"/>
          <w:color w:val="auto"/>
          <w:spacing w:val="-4"/>
          <w:sz w:val="21"/>
          <w:szCs w:val="21"/>
        </w:rPr>
        <w:t>，同时公告其《残疾人福利性单位声明函》，</w:t>
      </w:r>
      <w:r>
        <w:rPr>
          <w:rFonts w:ascii="宋体" w:hAnsi="宋体" w:eastAsia="宋体" w:cs="宋体"/>
          <w:color w:val="auto"/>
          <w:spacing w:val="-6"/>
          <w:sz w:val="21"/>
          <w:szCs w:val="21"/>
        </w:rPr>
        <w:t>接受社会监督。</w:t>
      </w:r>
    </w:p>
    <w:p w14:paraId="32510C6F">
      <w:pPr>
        <w:spacing w:line="350" w:lineRule="auto"/>
        <w:rPr>
          <w:rFonts w:ascii="宋体" w:hAnsi="宋体" w:eastAsia="宋体" w:cs="宋体"/>
          <w:color w:val="auto"/>
          <w:sz w:val="21"/>
          <w:szCs w:val="21"/>
        </w:rPr>
        <w:sectPr>
          <w:footerReference r:id="rId39" w:type="default"/>
          <w:pgSz w:w="11905" w:h="16838"/>
          <w:pgMar w:top="1417" w:right="1417" w:bottom="1417" w:left="1417" w:header="0" w:footer="1196" w:gutter="0"/>
          <w:pgNumType w:fmt="decimal"/>
          <w:cols w:space="0" w:num="1"/>
          <w:rtlGutter w:val="0"/>
          <w:docGrid w:linePitch="0" w:charSpace="0"/>
        </w:sectPr>
      </w:pPr>
    </w:p>
    <w:p w14:paraId="4A8F0E77">
      <w:pPr>
        <w:spacing w:before="78" w:line="220" w:lineRule="auto"/>
        <w:outlineLvl w:val="2"/>
        <w:rPr>
          <w:rFonts w:ascii="宋体" w:hAnsi="宋体" w:eastAsia="宋体" w:cs="宋体"/>
          <w:color w:val="auto"/>
          <w:sz w:val="28"/>
          <w:szCs w:val="28"/>
        </w:rPr>
      </w:pPr>
      <w:r>
        <w:rPr>
          <w:rFonts w:hint="eastAsia" w:ascii="宋体" w:hAnsi="宋体" w:eastAsia="宋体" w:cs="宋体"/>
          <w:b/>
          <w:bCs/>
          <w:color w:val="auto"/>
          <w:spacing w:val="-4"/>
          <w:sz w:val="28"/>
          <w:szCs w:val="28"/>
          <w:lang w:val="en-US" w:eastAsia="zh-CN"/>
        </w:rPr>
        <w:t>5.</w:t>
      </w:r>
      <w:r>
        <w:rPr>
          <w:rFonts w:ascii="宋体" w:hAnsi="宋体" w:eastAsia="宋体" w:cs="宋体"/>
          <w:b/>
          <w:bCs/>
          <w:color w:val="auto"/>
          <w:spacing w:val="-4"/>
          <w:sz w:val="28"/>
          <w:szCs w:val="28"/>
        </w:rPr>
        <w:t>质疑函（格式）</w:t>
      </w:r>
    </w:p>
    <w:p w14:paraId="483682B0">
      <w:pPr>
        <w:spacing w:before="345" w:line="192" w:lineRule="auto"/>
        <w:jc w:val="center"/>
        <w:rPr>
          <w:rFonts w:ascii="Arial"/>
          <w:color w:val="auto"/>
          <w:sz w:val="21"/>
        </w:rPr>
      </w:pPr>
      <w:r>
        <w:rPr>
          <w:rFonts w:hint="eastAsia" w:ascii="宋体" w:hAnsi="宋体" w:eastAsia="宋体" w:cs="宋体"/>
          <w:color w:val="auto"/>
          <w:spacing w:val="2"/>
          <w:sz w:val="28"/>
          <w:szCs w:val="28"/>
        </w:rPr>
        <w:t>质疑函（格式）</w:t>
      </w:r>
    </w:p>
    <w:p w14:paraId="494EAAC5">
      <w:pPr>
        <w:keepNext w:val="0"/>
        <w:keepLines w:val="0"/>
        <w:pageBreakBefore w:val="0"/>
        <w:widowControl/>
        <w:tabs>
          <w:tab w:val="left" w:pos="420"/>
        </w:tabs>
        <w:kinsoku w:val="0"/>
        <w:wordWrap/>
        <w:overflowPunct/>
        <w:topLinePunct w:val="0"/>
        <w:autoSpaceDE w:val="0"/>
        <w:autoSpaceDN w:val="0"/>
        <w:bidi w:val="0"/>
        <w:adjustRightInd w:val="0"/>
        <w:snapToGrid w:val="0"/>
        <w:spacing w:before="78" w:line="400" w:lineRule="exact"/>
        <w:textAlignment w:val="baseline"/>
        <w:outlineLvl w:val="1"/>
        <w:rPr>
          <w:rFonts w:ascii="宋体" w:hAnsi="宋体" w:eastAsia="宋体" w:cs="宋体"/>
          <w:color w:val="auto"/>
          <w:sz w:val="21"/>
          <w:szCs w:val="21"/>
        </w:rPr>
      </w:pPr>
      <w:r>
        <w:rPr>
          <w:rFonts w:hint="eastAsia" w:ascii="宋体" w:hAnsi="宋体" w:eastAsia="宋体" w:cs="宋体"/>
          <w:b/>
          <w:bCs/>
          <w:color w:val="auto"/>
          <w:spacing w:val="-3"/>
          <w:sz w:val="21"/>
          <w:szCs w:val="21"/>
          <w:lang w:val="en-US" w:eastAsia="zh-CN"/>
        </w:rPr>
        <w:tab/>
      </w:r>
      <w:r>
        <w:rPr>
          <w:rFonts w:ascii="宋体" w:hAnsi="宋体" w:eastAsia="宋体" w:cs="宋体"/>
          <w:b/>
          <w:bCs/>
          <w:color w:val="auto"/>
          <w:spacing w:val="-3"/>
          <w:sz w:val="21"/>
          <w:szCs w:val="21"/>
        </w:rPr>
        <w:t>一、质疑供应商基本信息：</w:t>
      </w:r>
    </w:p>
    <w:p w14:paraId="124BA99A">
      <w:pPr>
        <w:keepNext w:val="0"/>
        <w:keepLines w:val="0"/>
        <w:pageBreakBefore w:val="0"/>
        <w:widowControl/>
        <w:tabs>
          <w:tab w:val="left" w:pos="420"/>
        </w:tabs>
        <w:kinsoku w:val="0"/>
        <w:wordWrap/>
        <w:overflowPunct/>
        <w:topLinePunct w:val="0"/>
        <w:autoSpaceDE w:val="0"/>
        <w:autoSpaceDN w:val="0"/>
        <w:bidi w:val="0"/>
        <w:adjustRightInd w:val="0"/>
        <w:snapToGrid w:val="0"/>
        <w:spacing w:before="180" w:line="400" w:lineRule="exact"/>
        <w:textAlignment w:val="baseline"/>
        <w:rPr>
          <w:rFonts w:ascii="宋体" w:hAnsi="宋体" w:eastAsia="宋体" w:cs="宋体"/>
          <w:color w:val="auto"/>
          <w:sz w:val="21"/>
          <w:szCs w:val="21"/>
        </w:rPr>
      </w:pPr>
      <w:r>
        <w:rPr>
          <w:rFonts w:hint="eastAsia" w:ascii="宋体" w:hAnsi="宋体" w:eastAsia="宋体" w:cs="宋体"/>
          <w:color w:val="auto"/>
          <w:spacing w:val="-2"/>
          <w:sz w:val="21"/>
          <w:szCs w:val="21"/>
          <w:lang w:val="en-US" w:eastAsia="zh-CN"/>
        </w:rPr>
        <w:tab/>
      </w:r>
      <w:r>
        <w:rPr>
          <w:rFonts w:ascii="宋体" w:hAnsi="宋体" w:eastAsia="宋体" w:cs="宋体"/>
          <w:color w:val="auto"/>
          <w:spacing w:val="-2"/>
          <w:sz w:val="21"/>
          <w:szCs w:val="21"/>
        </w:rPr>
        <w:t>质疑供应商：</w:t>
      </w:r>
      <w:r>
        <w:rPr>
          <w:rFonts w:ascii="宋体" w:hAnsi="宋体" w:eastAsia="宋体" w:cs="宋体"/>
          <w:color w:val="auto"/>
          <w:sz w:val="21"/>
          <w:szCs w:val="21"/>
          <w:u w:val="single" w:color="auto"/>
        </w:rPr>
        <w:t xml:space="preserve">                                        </w:t>
      </w:r>
    </w:p>
    <w:p w14:paraId="42660BA9">
      <w:pPr>
        <w:keepNext w:val="0"/>
        <w:keepLines w:val="0"/>
        <w:pageBreakBefore w:val="0"/>
        <w:widowControl/>
        <w:tabs>
          <w:tab w:val="left" w:pos="420"/>
        </w:tabs>
        <w:kinsoku w:val="0"/>
        <w:wordWrap/>
        <w:overflowPunct/>
        <w:topLinePunct w:val="0"/>
        <w:autoSpaceDE w:val="0"/>
        <w:autoSpaceDN w:val="0"/>
        <w:bidi w:val="0"/>
        <w:adjustRightInd w:val="0"/>
        <w:snapToGrid w:val="0"/>
        <w:spacing w:before="183" w:line="400" w:lineRule="exact"/>
        <w:textAlignment w:val="baseline"/>
        <w:rPr>
          <w:rFonts w:ascii="宋体" w:hAnsi="宋体" w:eastAsia="宋体" w:cs="宋体"/>
          <w:color w:val="auto"/>
          <w:sz w:val="21"/>
          <w:szCs w:val="21"/>
        </w:rPr>
      </w:pPr>
      <w:r>
        <w:rPr>
          <w:rFonts w:hint="eastAsia" w:ascii="宋体" w:hAnsi="宋体" w:eastAsia="宋体" w:cs="宋体"/>
          <w:color w:val="auto"/>
          <w:spacing w:val="-3"/>
          <w:sz w:val="21"/>
          <w:szCs w:val="21"/>
          <w:lang w:val="en-US" w:eastAsia="zh-CN"/>
        </w:rPr>
        <w:tab/>
      </w:r>
      <w:r>
        <w:rPr>
          <w:rFonts w:ascii="宋体" w:hAnsi="宋体" w:eastAsia="宋体" w:cs="宋体"/>
          <w:color w:val="auto"/>
          <w:spacing w:val="-3"/>
          <w:sz w:val="21"/>
          <w:szCs w:val="21"/>
        </w:rPr>
        <w:t>地址：</w:t>
      </w:r>
      <w:r>
        <w:rPr>
          <w:rFonts w:ascii="宋体" w:hAnsi="宋体" w:eastAsia="宋体" w:cs="宋体"/>
          <w:color w:val="auto"/>
          <w:spacing w:val="-3"/>
          <w:sz w:val="21"/>
          <w:szCs w:val="21"/>
          <w:u w:val="single" w:color="auto"/>
        </w:rPr>
        <w:t xml:space="preserve">                           </w:t>
      </w:r>
      <w:r>
        <w:rPr>
          <w:rFonts w:ascii="宋体" w:hAnsi="宋体" w:eastAsia="宋体" w:cs="宋体"/>
          <w:color w:val="auto"/>
          <w:spacing w:val="-93"/>
          <w:sz w:val="21"/>
          <w:szCs w:val="21"/>
        </w:rPr>
        <w:t xml:space="preserve"> </w:t>
      </w:r>
      <w:r>
        <w:rPr>
          <w:rFonts w:ascii="宋体" w:hAnsi="宋体" w:eastAsia="宋体" w:cs="宋体"/>
          <w:color w:val="auto"/>
          <w:spacing w:val="-3"/>
          <w:sz w:val="21"/>
          <w:szCs w:val="21"/>
        </w:rPr>
        <w:t>邮编：</w:t>
      </w:r>
      <w:r>
        <w:rPr>
          <w:rFonts w:ascii="宋体" w:hAnsi="宋体" w:eastAsia="宋体" w:cs="宋体"/>
          <w:color w:val="auto"/>
          <w:spacing w:val="-3"/>
          <w:sz w:val="21"/>
          <w:szCs w:val="21"/>
          <w:u w:val="single" w:color="auto"/>
        </w:rPr>
        <w:t xml:space="preserve">               </w:t>
      </w:r>
      <w:r>
        <w:rPr>
          <w:rFonts w:ascii="宋体" w:hAnsi="宋体" w:eastAsia="宋体" w:cs="宋体"/>
          <w:color w:val="auto"/>
          <w:sz w:val="21"/>
          <w:szCs w:val="21"/>
        </w:rPr>
        <w:t xml:space="preserve"> </w:t>
      </w:r>
    </w:p>
    <w:p w14:paraId="5090799A">
      <w:pPr>
        <w:keepNext w:val="0"/>
        <w:keepLines w:val="0"/>
        <w:pageBreakBefore w:val="0"/>
        <w:widowControl/>
        <w:tabs>
          <w:tab w:val="left" w:pos="420"/>
        </w:tabs>
        <w:kinsoku w:val="0"/>
        <w:wordWrap/>
        <w:overflowPunct/>
        <w:topLinePunct w:val="0"/>
        <w:autoSpaceDE w:val="0"/>
        <w:autoSpaceDN w:val="0"/>
        <w:bidi w:val="0"/>
        <w:adjustRightInd w:val="0"/>
        <w:snapToGrid w:val="0"/>
        <w:spacing w:before="183" w:line="400" w:lineRule="exact"/>
        <w:textAlignment w:val="baseline"/>
        <w:rPr>
          <w:rFonts w:ascii="宋体" w:hAnsi="宋体" w:eastAsia="宋体" w:cs="宋体"/>
          <w:color w:val="auto"/>
          <w:sz w:val="21"/>
          <w:szCs w:val="21"/>
        </w:rPr>
      </w:pPr>
      <w:r>
        <w:rPr>
          <w:rFonts w:hint="eastAsia" w:ascii="宋体" w:hAnsi="宋体" w:eastAsia="宋体" w:cs="宋体"/>
          <w:color w:val="auto"/>
          <w:sz w:val="21"/>
          <w:szCs w:val="21"/>
          <w:lang w:val="en-US" w:eastAsia="zh-CN"/>
        </w:rPr>
        <w:tab/>
      </w:r>
      <w:r>
        <w:rPr>
          <w:rFonts w:ascii="宋体" w:hAnsi="宋体" w:eastAsia="宋体" w:cs="宋体"/>
          <w:color w:val="auto"/>
          <w:spacing w:val="-1"/>
          <w:sz w:val="21"/>
          <w:szCs w:val="21"/>
        </w:rPr>
        <w:t>联系人：</w:t>
      </w:r>
      <w:r>
        <w:rPr>
          <w:rFonts w:ascii="宋体" w:hAnsi="宋体" w:eastAsia="宋体" w:cs="宋体"/>
          <w:color w:val="auto"/>
          <w:spacing w:val="-1"/>
          <w:sz w:val="21"/>
          <w:szCs w:val="21"/>
          <w:u w:val="single" w:color="auto"/>
        </w:rPr>
        <w:t xml:space="preserve">    </w:t>
      </w:r>
      <w:r>
        <w:rPr>
          <w:rFonts w:hint="eastAsia" w:ascii="宋体" w:hAnsi="宋体" w:eastAsia="宋体" w:cs="宋体"/>
          <w:color w:val="auto"/>
          <w:spacing w:val="-1"/>
          <w:sz w:val="21"/>
          <w:szCs w:val="21"/>
          <w:u w:val="single" w:color="auto"/>
          <w:lang w:val="en-US" w:eastAsia="zh-CN"/>
        </w:rPr>
        <w:t xml:space="preserve">                   </w:t>
      </w:r>
      <w:r>
        <w:rPr>
          <w:rFonts w:ascii="宋体" w:hAnsi="宋体" w:eastAsia="宋体" w:cs="宋体"/>
          <w:color w:val="auto"/>
          <w:spacing w:val="-1"/>
          <w:sz w:val="21"/>
          <w:szCs w:val="21"/>
          <w:u w:val="single" w:color="auto"/>
        </w:rPr>
        <w:t xml:space="preserve"> </w:t>
      </w:r>
      <w:r>
        <w:rPr>
          <w:rFonts w:ascii="宋体" w:hAnsi="宋体" w:eastAsia="宋体" w:cs="宋体"/>
          <w:color w:val="auto"/>
          <w:spacing w:val="-1"/>
          <w:sz w:val="21"/>
          <w:szCs w:val="21"/>
        </w:rPr>
        <w:t>联系电话：</w:t>
      </w:r>
      <w:r>
        <w:rPr>
          <w:rFonts w:ascii="宋体" w:hAnsi="宋体" w:eastAsia="宋体" w:cs="宋体"/>
          <w:color w:val="auto"/>
          <w:sz w:val="21"/>
          <w:szCs w:val="21"/>
          <w:u w:val="single" w:color="auto"/>
        </w:rPr>
        <w:t xml:space="preserve"> </w:t>
      </w:r>
      <w:r>
        <w:rPr>
          <w:rFonts w:hint="eastAsia" w:ascii="宋体" w:hAnsi="宋体" w:eastAsia="宋体" w:cs="宋体"/>
          <w:color w:val="auto"/>
          <w:sz w:val="21"/>
          <w:szCs w:val="21"/>
          <w:u w:val="single" w:color="auto"/>
          <w:lang w:val="en-US" w:eastAsia="zh-CN"/>
        </w:rPr>
        <w:t xml:space="preserve">          </w:t>
      </w:r>
    </w:p>
    <w:p w14:paraId="7A261E9C">
      <w:pPr>
        <w:keepNext w:val="0"/>
        <w:keepLines w:val="0"/>
        <w:pageBreakBefore w:val="0"/>
        <w:widowControl/>
        <w:tabs>
          <w:tab w:val="left" w:pos="420"/>
        </w:tabs>
        <w:kinsoku w:val="0"/>
        <w:wordWrap/>
        <w:overflowPunct/>
        <w:topLinePunct w:val="0"/>
        <w:autoSpaceDE w:val="0"/>
        <w:autoSpaceDN w:val="0"/>
        <w:bidi w:val="0"/>
        <w:adjustRightInd w:val="0"/>
        <w:snapToGrid w:val="0"/>
        <w:spacing w:before="34" w:line="400" w:lineRule="exact"/>
        <w:ind w:right="4405"/>
        <w:textAlignment w:val="baseline"/>
        <w:rPr>
          <w:rFonts w:ascii="宋体" w:hAnsi="宋体" w:eastAsia="宋体" w:cs="宋体"/>
          <w:color w:val="auto"/>
          <w:spacing w:val="18"/>
          <w:sz w:val="21"/>
          <w:szCs w:val="21"/>
        </w:rPr>
      </w:pPr>
      <w:r>
        <w:rPr>
          <w:rFonts w:hint="eastAsia" w:ascii="宋体" w:hAnsi="宋体" w:eastAsia="宋体" w:cs="宋体"/>
          <w:color w:val="auto"/>
          <w:spacing w:val="-1"/>
          <w:sz w:val="21"/>
          <w:szCs w:val="21"/>
          <w:lang w:val="en-US" w:eastAsia="zh-CN"/>
        </w:rPr>
        <w:tab/>
      </w:r>
      <w:r>
        <w:rPr>
          <w:rFonts w:ascii="宋体" w:hAnsi="宋体" w:eastAsia="宋体" w:cs="宋体"/>
          <w:color w:val="auto"/>
          <w:spacing w:val="-1"/>
          <w:sz w:val="21"/>
          <w:szCs w:val="21"/>
        </w:rPr>
        <w:t>授权代表：</w:t>
      </w:r>
      <w:r>
        <w:rPr>
          <w:rFonts w:ascii="宋体" w:hAnsi="宋体" w:eastAsia="宋体" w:cs="宋体"/>
          <w:color w:val="auto"/>
          <w:spacing w:val="-1"/>
          <w:sz w:val="21"/>
          <w:szCs w:val="21"/>
          <w:u w:val="single" w:color="auto"/>
        </w:rPr>
        <w:t xml:space="preserve">                      </w:t>
      </w:r>
      <w:r>
        <w:rPr>
          <w:rFonts w:ascii="宋体" w:hAnsi="宋体" w:eastAsia="宋体" w:cs="宋体"/>
          <w:color w:val="auto"/>
          <w:spacing w:val="18"/>
          <w:sz w:val="21"/>
          <w:szCs w:val="21"/>
        </w:rPr>
        <w:t xml:space="preserve"> </w:t>
      </w:r>
    </w:p>
    <w:p w14:paraId="2934EFF7">
      <w:pPr>
        <w:keepNext w:val="0"/>
        <w:keepLines w:val="0"/>
        <w:pageBreakBefore w:val="0"/>
        <w:widowControl/>
        <w:tabs>
          <w:tab w:val="left" w:pos="420"/>
        </w:tabs>
        <w:kinsoku w:val="0"/>
        <w:wordWrap/>
        <w:overflowPunct/>
        <w:topLinePunct w:val="0"/>
        <w:autoSpaceDE w:val="0"/>
        <w:autoSpaceDN w:val="0"/>
        <w:bidi w:val="0"/>
        <w:adjustRightInd w:val="0"/>
        <w:snapToGrid w:val="0"/>
        <w:spacing w:before="34" w:line="400" w:lineRule="exact"/>
        <w:ind w:right="4405"/>
        <w:textAlignment w:val="baseline"/>
        <w:rPr>
          <w:rFonts w:ascii="宋体" w:hAnsi="宋体" w:eastAsia="宋体" w:cs="宋体"/>
          <w:color w:val="auto"/>
          <w:sz w:val="21"/>
          <w:szCs w:val="21"/>
        </w:rPr>
      </w:pPr>
      <w:r>
        <w:rPr>
          <w:rFonts w:hint="eastAsia" w:ascii="宋体" w:hAnsi="宋体" w:eastAsia="宋体" w:cs="宋体"/>
          <w:color w:val="auto"/>
          <w:spacing w:val="18"/>
          <w:sz w:val="21"/>
          <w:szCs w:val="21"/>
          <w:lang w:val="en-US" w:eastAsia="zh-CN"/>
        </w:rPr>
        <w:tab/>
      </w:r>
      <w:r>
        <w:rPr>
          <w:rFonts w:ascii="宋体" w:hAnsi="宋体" w:eastAsia="宋体" w:cs="宋体"/>
          <w:color w:val="auto"/>
          <w:spacing w:val="-2"/>
          <w:sz w:val="21"/>
          <w:szCs w:val="21"/>
        </w:rPr>
        <w:t>联系电话：</w:t>
      </w:r>
      <w:r>
        <w:rPr>
          <w:rFonts w:ascii="宋体" w:hAnsi="宋体" w:eastAsia="宋体" w:cs="宋体"/>
          <w:color w:val="auto"/>
          <w:sz w:val="21"/>
          <w:szCs w:val="21"/>
          <w:u w:val="single" w:color="auto"/>
        </w:rPr>
        <w:t xml:space="preserve">                       </w:t>
      </w:r>
    </w:p>
    <w:p w14:paraId="6417D5C5">
      <w:pPr>
        <w:keepNext w:val="0"/>
        <w:keepLines w:val="0"/>
        <w:pageBreakBefore w:val="0"/>
        <w:widowControl/>
        <w:tabs>
          <w:tab w:val="left" w:pos="420"/>
        </w:tabs>
        <w:kinsoku w:val="0"/>
        <w:wordWrap/>
        <w:overflowPunct/>
        <w:topLinePunct w:val="0"/>
        <w:autoSpaceDE w:val="0"/>
        <w:autoSpaceDN w:val="0"/>
        <w:bidi w:val="0"/>
        <w:adjustRightInd w:val="0"/>
        <w:snapToGrid w:val="0"/>
        <w:spacing w:before="35" w:line="400" w:lineRule="exact"/>
        <w:textAlignment w:val="baseline"/>
        <w:rPr>
          <w:rFonts w:ascii="宋体" w:hAnsi="宋体" w:eastAsia="宋体" w:cs="宋体"/>
          <w:color w:val="auto"/>
          <w:sz w:val="21"/>
          <w:szCs w:val="21"/>
        </w:rPr>
      </w:pPr>
      <w:r>
        <w:rPr>
          <w:rFonts w:hint="eastAsia" w:ascii="宋体" w:hAnsi="宋体" w:eastAsia="宋体" w:cs="宋体"/>
          <w:color w:val="auto"/>
          <w:spacing w:val="-7"/>
          <w:sz w:val="21"/>
          <w:szCs w:val="21"/>
          <w:lang w:val="en-US" w:eastAsia="zh-CN"/>
        </w:rPr>
        <w:tab/>
      </w:r>
      <w:r>
        <w:rPr>
          <w:rFonts w:ascii="宋体" w:hAnsi="宋体" w:eastAsia="宋体" w:cs="宋体"/>
          <w:color w:val="auto"/>
          <w:spacing w:val="-7"/>
          <w:sz w:val="21"/>
          <w:szCs w:val="21"/>
        </w:rPr>
        <w:t>地址：</w:t>
      </w:r>
      <w:r>
        <w:rPr>
          <w:rFonts w:ascii="宋体" w:hAnsi="宋体" w:eastAsia="宋体" w:cs="宋体"/>
          <w:color w:val="auto"/>
          <w:sz w:val="21"/>
          <w:szCs w:val="21"/>
          <w:u w:val="single" w:color="auto"/>
        </w:rPr>
        <w:t xml:space="preserve">                 </w:t>
      </w:r>
      <w:r>
        <w:rPr>
          <w:rFonts w:ascii="宋体" w:hAnsi="宋体" w:eastAsia="宋体" w:cs="宋体"/>
          <w:color w:val="auto"/>
          <w:spacing w:val="-88"/>
          <w:sz w:val="21"/>
          <w:szCs w:val="21"/>
        </w:rPr>
        <w:t xml:space="preserve"> </w:t>
      </w:r>
      <w:r>
        <w:rPr>
          <w:rFonts w:ascii="宋体" w:hAnsi="宋体" w:eastAsia="宋体" w:cs="宋体"/>
          <w:color w:val="auto"/>
          <w:spacing w:val="-7"/>
          <w:sz w:val="21"/>
          <w:szCs w:val="21"/>
        </w:rPr>
        <w:t>邮编：</w:t>
      </w:r>
      <w:r>
        <w:rPr>
          <w:rFonts w:ascii="宋体" w:hAnsi="宋体" w:eastAsia="宋体" w:cs="宋体"/>
          <w:color w:val="auto"/>
          <w:sz w:val="21"/>
          <w:szCs w:val="21"/>
          <w:u w:val="single" w:color="auto"/>
        </w:rPr>
        <w:t xml:space="preserve">                   </w:t>
      </w:r>
    </w:p>
    <w:p w14:paraId="0276A9F5">
      <w:pPr>
        <w:keepNext w:val="0"/>
        <w:keepLines w:val="0"/>
        <w:pageBreakBefore w:val="0"/>
        <w:widowControl/>
        <w:tabs>
          <w:tab w:val="left" w:pos="420"/>
        </w:tabs>
        <w:kinsoku w:val="0"/>
        <w:wordWrap/>
        <w:overflowPunct/>
        <w:topLinePunct w:val="0"/>
        <w:autoSpaceDE w:val="0"/>
        <w:autoSpaceDN w:val="0"/>
        <w:bidi w:val="0"/>
        <w:adjustRightInd w:val="0"/>
        <w:snapToGrid w:val="0"/>
        <w:spacing w:before="180" w:line="400" w:lineRule="exact"/>
        <w:textAlignment w:val="baseline"/>
        <w:outlineLvl w:val="1"/>
        <w:rPr>
          <w:rFonts w:ascii="宋体" w:hAnsi="宋体" w:eastAsia="宋体" w:cs="宋体"/>
          <w:color w:val="auto"/>
          <w:sz w:val="21"/>
          <w:szCs w:val="21"/>
        </w:rPr>
      </w:pPr>
      <w:r>
        <w:rPr>
          <w:rFonts w:hint="eastAsia" w:ascii="宋体" w:hAnsi="宋体" w:eastAsia="宋体" w:cs="宋体"/>
          <w:b/>
          <w:bCs/>
          <w:color w:val="auto"/>
          <w:spacing w:val="-6"/>
          <w:sz w:val="21"/>
          <w:szCs w:val="21"/>
          <w:lang w:val="en-US" w:eastAsia="zh-CN"/>
        </w:rPr>
        <w:tab/>
      </w:r>
      <w:r>
        <w:rPr>
          <w:rFonts w:ascii="宋体" w:hAnsi="宋体" w:eastAsia="宋体" w:cs="宋体"/>
          <w:b/>
          <w:bCs/>
          <w:color w:val="auto"/>
          <w:spacing w:val="-6"/>
          <w:sz w:val="21"/>
          <w:szCs w:val="21"/>
        </w:rPr>
        <w:t>二、质疑项目基本情况：</w:t>
      </w:r>
    </w:p>
    <w:p w14:paraId="7063F8E9">
      <w:pPr>
        <w:keepNext w:val="0"/>
        <w:keepLines w:val="0"/>
        <w:pageBreakBefore w:val="0"/>
        <w:widowControl/>
        <w:tabs>
          <w:tab w:val="left" w:pos="420"/>
          <w:tab w:val="left" w:pos="6844"/>
        </w:tabs>
        <w:kinsoku w:val="0"/>
        <w:wordWrap/>
        <w:overflowPunct/>
        <w:topLinePunct w:val="0"/>
        <w:autoSpaceDE w:val="0"/>
        <w:autoSpaceDN w:val="0"/>
        <w:bidi w:val="0"/>
        <w:adjustRightInd w:val="0"/>
        <w:snapToGrid w:val="0"/>
        <w:spacing w:before="183" w:line="340" w:lineRule="exact"/>
        <w:ind w:right="1867"/>
        <w:jc w:val="both"/>
        <w:textAlignment w:val="baseline"/>
        <w:rPr>
          <w:rFonts w:hint="default" w:ascii="宋体" w:hAnsi="宋体" w:eastAsia="宋体" w:cs="宋体"/>
          <w:color w:val="auto"/>
          <w:sz w:val="21"/>
          <w:szCs w:val="21"/>
          <w:u w:val="single"/>
          <w:lang w:val="en-US" w:eastAsia="zh-CN"/>
        </w:rPr>
      </w:pPr>
      <w:r>
        <w:rPr>
          <w:rFonts w:hint="eastAsia" w:ascii="宋体" w:hAnsi="宋体" w:eastAsia="宋体" w:cs="宋体"/>
          <w:color w:val="auto"/>
          <w:spacing w:val="-2"/>
          <w:sz w:val="21"/>
          <w:szCs w:val="21"/>
          <w:lang w:val="en-US" w:eastAsia="zh-CN"/>
        </w:rPr>
        <w:tab/>
      </w:r>
      <w:r>
        <w:rPr>
          <w:rFonts w:ascii="宋体" w:hAnsi="宋体" w:eastAsia="宋体" w:cs="宋体"/>
          <w:color w:val="auto"/>
          <w:spacing w:val="-2"/>
          <w:sz w:val="21"/>
          <w:szCs w:val="21"/>
        </w:rPr>
        <w:t>质疑项目的名称：</w:t>
      </w:r>
      <w:r>
        <w:rPr>
          <w:rFonts w:hint="eastAsia" w:ascii="宋体" w:hAnsi="宋体" w:eastAsia="宋体" w:cs="宋体"/>
          <w:color w:val="auto"/>
          <w:spacing w:val="-2"/>
          <w:sz w:val="21"/>
          <w:szCs w:val="21"/>
          <w:u w:val="single"/>
          <w:lang w:val="en-US" w:eastAsia="zh-CN"/>
        </w:rPr>
        <w:t xml:space="preserve">                                      </w:t>
      </w:r>
    </w:p>
    <w:p w14:paraId="2F6F5A21">
      <w:pPr>
        <w:keepNext w:val="0"/>
        <w:keepLines w:val="0"/>
        <w:pageBreakBefore w:val="0"/>
        <w:widowControl/>
        <w:tabs>
          <w:tab w:val="left" w:pos="420"/>
          <w:tab w:val="left" w:pos="6844"/>
        </w:tabs>
        <w:kinsoku w:val="0"/>
        <w:wordWrap/>
        <w:overflowPunct/>
        <w:topLinePunct w:val="0"/>
        <w:autoSpaceDE w:val="0"/>
        <w:autoSpaceDN w:val="0"/>
        <w:bidi w:val="0"/>
        <w:adjustRightInd w:val="0"/>
        <w:snapToGrid w:val="0"/>
        <w:spacing w:before="183" w:line="340" w:lineRule="exact"/>
        <w:ind w:right="1867"/>
        <w:jc w:val="both"/>
        <w:textAlignment w:val="baseline"/>
        <w:rPr>
          <w:rFonts w:ascii="宋体" w:hAnsi="宋体" w:eastAsia="宋体" w:cs="宋体"/>
          <w:color w:val="auto"/>
          <w:sz w:val="21"/>
          <w:szCs w:val="21"/>
        </w:rPr>
      </w:pPr>
      <w:r>
        <w:rPr>
          <w:rFonts w:hint="eastAsia" w:ascii="宋体" w:hAnsi="宋体" w:eastAsia="宋体" w:cs="宋体"/>
          <w:color w:val="auto"/>
          <w:spacing w:val="-1"/>
          <w:sz w:val="21"/>
          <w:szCs w:val="21"/>
          <w:lang w:val="en-US" w:eastAsia="zh-CN"/>
        </w:rPr>
        <w:tab/>
      </w:r>
      <w:r>
        <w:rPr>
          <w:rFonts w:ascii="宋体" w:hAnsi="宋体" w:eastAsia="宋体" w:cs="宋体"/>
          <w:color w:val="auto"/>
          <w:spacing w:val="-1"/>
          <w:sz w:val="21"/>
          <w:szCs w:val="21"/>
        </w:rPr>
        <w:t>质疑项目的编号：</w:t>
      </w:r>
      <w:r>
        <w:rPr>
          <w:rFonts w:hint="eastAsia" w:ascii="宋体" w:hAnsi="宋体" w:eastAsia="宋体" w:cs="宋体"/>
          <w:color w:val="auto"/>
          <w:spacing w:val="-2"/>
          <w:sz w:val="21"/>
          <w:szCs w:val="21"/>
          <w:u w:val="single"/>
          <w:lang w:val="en-US" w:eastAsia="zh-CN"/>
        </w:rPr>
        <w:t xml:space="preserve">                                      </w:t>
      </w:r>
    </w:p>
    <w:p w14:paraId="6F930B26">
      <w:pPr>
        <w:keepNext w:val="0"/>
        <w:keepLines w:val="0"/>
        <w:pageBreakBefore w:val="0"/>
        <w:widowControl/>
        <w:tabs>
          <w:tab w:val="left" w:pos="420"/>
          <w:tab w:val="left" w:pos="6844"/>
        </w:tabs>
        <w:kinsoku w:val="0"/>
        <w:wordWrap/>
        <w:overflowPunct/>
        <w:topLinePunct w:val="0"/>
        <w:autoSpaceDE w:val="0"/>
        <w:autoSpaceDN w:val="0"/>
        <w:bidi w:val="0"/>
        <w:adjustRightInd w:val="0"/>
        <w:snapToGrid w:val="0"/>
        <w:spacing w:before="183" w:line="340" w:lineRule="exact"/>
        <w:ind w:right="1867"/>
        <w:jc w:val="both"/>
        <w:textAlignment w:val="baseline"/>
        <w:rPr>
          <w:rFonts w:hint="default" w:ascii="宋体" w:hAnsi="宋体" w:eastAsia="宋体" w:cs="宋体"/>
          <w:color w:val="auto"/>
          <w:sz w:val="21"/>
          <w:szCs w:val="21"/>
          <w:u w:val="single"/>
          <w:lang w:val="en-US" w:eastAsia="zh-CN"/>
        </w:rPr>
      </w:pPr>
      <w:r>
        <w:rPr>
          <w:rFonts w:hint="eastAsia" w:ascii="宋体" w:hAnsi="宋体" w:eastAsia="宋体" w:cs="宋体"/>
          <w:color w:val="auto"/>
          <w:spacing w:val="-2"/>
          <w:sz w:val="21"/>
          <w:szCs w:val="21"/>
          <w:lang w:val="en-US" w:eastAsia="zh-CN"/>
        </w:rPr>
        <w:tab/>
      </w:r>
      <w:r>
        <w:rPr>
          <w:rFonts w:ascii="宋体" w:hAnsi="宋体" w:eastAsia="宋体" w:cs="宋体"/>
          <w:color w:val="auto"/>
          <w:spacing w:val="-2"/>
          <w:sz w:val="21"/>
          <w:szCs w:val="21"/>
        </w:rPr>
        <w:t>采购人名称：</w:t>
      </w:r>
      <w:r>
        <w:rPr>
          <w:rFonts w:hint="eastAsia" w:ascii="宋体" w:hAnsi="宋体" w:eastAsia="宋体" w:cs="宋体"/>
          <w:color w:val="auto"/>
          <w:spacing w:val="-2"/>
          <w:sz w:val="21"/>
          <w:szCs w:val="21"/>
          <w:u w:val="single"/>
          <w:lang w:val="en-US" w:eastAsia="zh-CN"/>
        </w:rPr>
        <w:t xml:space="preserve">                                      </w:t>
      </w:r>
    </w:p>
    <w:p w14:paraId="0C00D31B">
      <w:pPr>
        <w:keepNext w:val="0"/>
        <w:keepLines w:val="0"/>
        <w:pageBreakBefore w:val="0"/>
        <w:widowControl/>
        <w:tabs>
          <w:tab w:val="left" w:pos="420"/>
          <w:tab w:val="left" w:pos="6844"/>
        </w:tabs>
        <w:kinsoku w:val="0"/>
        <w:wordWrap/>
        <w:overflowPunct/>
        <w:topLinePunct w:val="0"/>
        <w:autoSpaceDE w:val="0"/>
        <w:autoSpaceDN w:val="0"/>
        <w:bidi w:val="0"/>
        <w:adjustRightInd w:val="0"/>
        <w:snapToGrid w:val="0"/>
        <w:spacing w:before="183" w:line="340" w:lineRule="exact"/>
        <w:ind w:right="1867"/>
        <w:jc w:val="both"/>
        <w:textAlignment w:val="baseline"/>
        <w:rPr>
          <w:rFonts w:ascii="宋体" w:hAnsi="宋体" w:eastAsia="宋体" w:cs="宋体"/>
          <w:color w:val="auto"/>
          <w:sz w:val="21"/>
          <w:szCs w:val="21"/>
        </w:rPr>
      </w:pPr>
      <w:r>
        <w:rPr>
          <w:rFonts w:hint="eastAsia" w:ascii="宋体" w:hAnsi="宋体" w:eastAsia="宋体" w:cs="宋体"/>
          <w:color w:val="auto"/>
          <w:spacing w:val="-11"/>
          <w:sz w:val="21"/>
          <w:szCs w:val="21"/>
          <w:lang w:val="en-US" w:eastAsia="zh-CN"/>
        </w:rPr>
        <w:tab/>
      </w:r>
      <w:r>
        <w:rPr>
          <w:rFonts w:ascii="宋体" w:hAnsi="宋体" w:eastAsia="宋体" w:cs="宋体"/>
          <w:color w:val="auto"/>
          <w:spacing w:val="-11"/>
          <w:sz w:val="21"/>
          <w:szCs w:val="21"/>
        </w:rPr>
        <w:t>质疑事项：</w:t>
      </w:r>
      <w:r>
        <w:rPr>
          <w:rFonts w:hint="eastAsia" w:ascii="宋体" w:hAnsi="宋体" w:eastAsia="宋体" w:cs="宋体"/>
          <w:color w:val="auto"/>
          <w:spacing w:val="-2"/>
          <w:sz w:val="21"/>
          <w:szCs w:val="21"/>
          <w:u w:val="single"/>
          <w:lang w:val="en-US" w:eastAsia="zh-CN"/>
        </w:rPr>
        <w:t xml:space="preserve">                                      </w:t>
      </w:r>
    </w:p>
    <w:p w14:paraId="695F1C24">
      <w:pPr>
        <w:keepNext w:val="0"/>
        <w:keepLines w:val="0"/>
        <w:pageBreakBefore w:val="0"/>
        <w:widowControl/>
        <w:tabs>
          <w:tab w:val="left" w:pos="420"/>
          <w:tab w:val="left" w:pos="6844"/>
        </w:tabs>
        <w:kinsoku w:val="0"/>
        <w:wordWrap/>
        <w:overflowPunct/>
        <w:topLinePunct w:val="0"/>
        <w:autoSpaceDE w:val="0"/>
        <w:autoSpaceDN w:val="0"/>
        <w:bidi w:val="0"/>
        <w:adjustRightInd w:val="0"/>
        <w:snapToGrid w:val="0"/>
        <w:spacing w:before="183" w:line="340" w:lineRule="exact"/>
        <w:ind w:right="1867"/>
        <w:jc w:val="both"/>
        <w:textAlignment w:val="baseline"/>
        <w:rPr>
          <w:rFonts w:ascii="宋体" w:hAnsi="宋体" w:eastAsia="宋体" w:cs="宋体"/>
          <w:color w:val="auto"/>
          <w:sz w:val="21"/>
          <w:szCs w:val="21"/>
        </w:rPr>
      </w:pPr>
      <w:r>
        <w:rPr>
          <w:rFonts w:hint="eastAsia" w:ascii="宋体" w:hAnsi="宋体" w:eastAsia="宋体" w:cs="宋体"/>
          <w:color w:val="auto"/>
          <w:spacing w:val="-3"/>
          <w:sz w:val="21"/>
          <w:szCs w:val="21"/>
          <w:lang w:val="en-US" w:eastAsia="zh-CN"/>
        </w:rPr>
        <w:tab/>
      </w:r>
      <w:r>
        <w:rPr>
          <w:rFonts w:ascii="宋体" w:hAnsi="宋体" w:eastAsia="宋体" w:cs="宋体"/>
          <w:color w:val="auto"/>
          <w:spacing w:val="-3"/>
          <w:sz w:val="21"/>
          <w:szCs w:val="21"/>
        </w:rPr>
        <w:t>□采购文件   采购文件获取日期：</w:t>
      </w:r>
      <w:r>
        <w:rPr>
          <w:rFonts w:hint="eastAsia" w:ascii="宋体" w:hAnsi="宋体" w:eastAsia="宋体" w:cs="宋体"/>
          <w:color w:val="auto"/>
          <w:spacing w:val="-2"/>
          <w:sz w:val="21"/>
          <w:szCs w:val="21"/>
          <w:u w:val="single"/>
          <w:lang w:val="en-US" w:eastAsia="zh-CN"/>
        </w:rPr>
        <w:t xml:space="preserve">                                      </w:t>
      </w:r>
    </w:p>
    <w:p w14:paraId="5D23BD20">
      <w:pPr>
        <w:keepNext w:val="0"/>
        <w:keepLines w:val="0"/>
        <w:pageBreakBefore w:val="0"/>
        <w:widowControl/>
        <w:tabs>
          <w:tab w:val="left" w:pos="420"/>
        </w:tabs>
        <w:kinsoku w:val="0"/>
        <w:wordWrap/>
        <w:overflowPunct/>
        <w:topLinePunct w:val="0"/>
        <w:autoSpaceDE w:val="0"/>
        <w:autoSpaceDN w:val="0"/>
        <w:bidi w:val="0"/>
        <w:adjustRightInd w:val="0"/>
        <w:snapToGrid w:val="0"/>
        <w:spacing w:before="184" w:line="340" w:lineRule="exact"/>
        <w:textAlignment w:val="baseline"/>
        <w:rPr>
          <w:rFonts w:ascii="宋体" w:hAnsi="宋体" w:eastAsia="宋体" w:cs="宋体"/>
          <w:color w:val="auto"/>
          <w:sz w:val="21"/>
          <w:szCs w:val="21"/>
        </w:rPr>
      </w:pPr>
      <w:r>
        <w:rPr>
          <w:rFonts w:hint="eastAsia" w:ascii="宋体" w:hAnsi="宋体" w:eastAsia="宋体" w:cs="宋体"/>
          <w:color w:val="auto"/>
          <w:spacing w:val="-6"/>
          <w:sz w:val="21"/>
          <w:szCs w:val="21"/>
          <w:lang w:val="en-US" w:eastAsia="zh-CN"/>
        </w:rPr>
        <w:tab/>
      </w:r>
      <w:r>
        <w:rPr>
          <w:rFonts w:ascii="宋体" w:hAnsi="宋体" w:eastAsia="宋体" w:cs="宋体"/>
          <w:color w:val="auto"/>
          <w:spacing w:val="-6"/>
          <w:sz w:val="21"/>
          <w:szCs w:val="21"/>
        </w:rPr>
        <w:t>□采购过程</w:t>
      </w:r>
    </w:p>
    <w:p w14:paraId="1525570F">
      <w:pPr>
        <w:keepNext w:val="0"/>
        <w:keepLines w:val="0"/>
        <w:pageBreakBefore w:val="0"/>
        <w:widowControl/>
        <w:tabs>
          <w:tab w:val="left" w:pos="420"/>
        </w:tabs>
        <w:kinsoku w:val="0"/>
        <w:wordWrap/>
        <w:overflowPunct/>
        <w:topLinePunct w:val="0"/>
        <w:autoSpaceDE w:val="0"/>
        <w:autoSpaceDN w:val="0"/>
        <w:bidi w:val="0"/>
        <w:adjustRightInd w:val="0"/>
        <w:snapToGrid w:val="0"/>
        <w:spacing w:before="181" w:line="340" w:lineRule="exact"/>
        <w:textAlignment w:val="baseline"/>
        <w:rPr>
          <w:rFonts w:ascii="宋体" w:hAnsi="宋体" w:eastAsia="宋体" w:cs="宋体"/>
          <w:color w:val="auto"/>
          <w:sz w:val="21"/>
          <w:szCs w:val="21"/>
        </w:rPr>
      </w:pPr>
      <w:r>
        <w:rPr>
          <w:rFonts w:hint="eastAsia" w:ascii="宋体" w:hAnsi="宋体" w:eastAsia="宋体" w:cs="宋体"/>
          <w:color w:val="auto"/>
          <w:spacing w:val="-6"/>
          <w:sz w:val="21"/>
          <w:szCs w:val="21"/>
          <w:lang w:val="en-US" w:eastAsia="zh-CN"/>
        </w:rPr>
        <w:tab/>
      </w:r>
      <w:r>
        <w:rPr>
          <w:rFonts w:ascii="宋体" w:hAnsi="宋体" w:eastAsia="宋体" w:cs="宋体"/>
          <w:color w:val="auto"/>
          <w:spacing w:val="-6"/>
          <w:sz w:val="21"/>
          <w:szCs w:val="21"/>
        </w:rPr>
        <w:t>□采购结果</w:t>
      </w:r>
    </w:p>
    <w:p w14:paraId="7FAB2EFF">
      <w:pPr>
        <w:keepNext w:val="0"/>
        <w:keepLines w:val="0"/>
        <w:pageBreakBefore w:val="0"/>
        <w:widowControl/>
        <w:tabs>
          <w:tab w:val="left" w:pos="420"/>
        </w:tabs>
        <w:kinsoku w:val="0"/>
        <w:wordWrap/>
        <w:overflowPunct/>
        <w:topLinePunct w:val="0"/>
        <w:autoSpaceDE w:val="0"/>
        <w:autoSpaceDN w:val="0"/>
        <w:bidi w:val="0"/>
        <w:adjustRightInd w:val="0"/>
        <w:snapToGrid w:val="0"/>
        <w:spacing w:before="183" w:line="400" w:lineRule="exact"/>
        <w:textAlignment w:val="baseline"/>
        <w:outlineLvl w:val="1"/>
        <w:rPr>
          <w:rFonts w:ascii="宋体" w:hAnsi="宋体" w:eastAsia="宋体" w:cs="宋体"/>
          <w:color w:val="auto"/>
          <w:sz w:val="21"/>
          <w:szCs w:val="21"/>
        </w:rPr>
      </w:pPr>
      <w:r>
        <w:rPr>
          <w:rFonts w:hint="eastAsia" w:ascii="宋体" w:hAnsi="宋体" w:eastAsia="宋体" w:cs="宋体"/>
          <w:b/>
          <w:bCs/>
          <w:color w:val="auto"/>
          <w:spacing w:val="-3"/>
          <w:sz w:val="21"/>
          <w:szCs w:val="21"/>
          <w:lang w:val="en-US" w:eastAsia="zh-CN"/>
        </w:rPr>
        <w:tab/>
      </w:r>
      <w:r>
        <w:rPr>
          <w:rFonts w:ascii="宋体" w:hAnsi="宋体" w:eastAsia="宋体" w:cs="宋体"/>
          <w:b/>
          <w:bCs/>
          <w:color w:val="auto"/>
          <w:spacing w:val="-3"/>
          <w:sz w:val="21"/>
          <w:szCs w:val="21"/>
        </w:rPr>
        <w:t>三、质疑事项具体内容</w:t>
      </w:r>
    </w:p>
    <w:p w14:paraId="68893C0C">
      <w:pPr>
        <w:keepNext w:val="0"/>
        <w:keepLines w:val="0"/>
        <w:pageBreakBefore w:val="0"/>
        <w:widowControl/>
        <w:tabs>
          <w:tab w:val="left" w:pos="420"/>
          <w:tab w:val="left" w:pos="8710"/>
        </w:tabs>
        <w:kinsoku w:val="0"/>
        <w:wordWrap/>
        <w:overflowPunct/>
        <w:topLinePunct w:val="0"/>
        <w:autoSpaceDE w:val="0"/>
        <w:autoSpaceDN w:val="0"/>
        <w:bidi w:val="0"/>
        <w:adjustRightInd w:val="0"/>
        <w:snapToGrid w:val="0"/>
        <w:spacing w:before="180" w:line="400" w:lineRule="exact"/>
        <w:jc w:val="both"/>
        <w:textAlignment w:val="baseline"/>
        <w:rPr>
          <w:rFonts w:ascii="宋体" w:hAnsi="宋体" w:eastAsia="宋体" w:cs="宋体"/>
          <w:color w:val="auto"/>
          <w:sz w:val="21"/>
          <w:szCs w:val="21"/>
        </w:rPr>
      </w:pPr>
      <w:r>
        <w:rPr>
          <w:rFonts w:hint="eastAsia" w:ascii="宋体" w:hAnsi="宋体" w:eastAsia="宋体" w:cs="宋体"/>
          <w:color w:val="auto"/>
          <w:spacing w:val="-7"/>
          <w:sz w:val="21"/>
          <w:szCs w:val="21"/>
          <w:lang w:val="en-US" w:eastAsia="zh-CN"/>
        </w:rPr>
        <w:tab/>
      </w:r>
      <w:r>
        <w:rPr>
          <w:rFonts w:ascii="宋体" w:hAnsi="宋体" w:eastAsia="宋体" w:cs="宋体"/>
          <w:color w:val="auto"/>
          <w:spacing w:val="-7"/>
          <w:sz w:val="21"/>
          <w:szCs w:val="21"/>
        </w:rPr>
        <w:t>质疑事项</w:t>
      </w:r>
      <w:r>
        <w:rPr>
          <w:rFonts w:ascii="宋体" w:hAnsi="宋体" w:eastAsia="宋体" w:cs="宋体"/>
          <w:color w:val="auto"/>
          <w:spacing w:val="-29"/>
          <w:sz w:val="21"/>
          <w:szCs w:val="21"/>
        </w:rPr>
        <w:t xml:space="preserve"> </w:t>
      </w:r>
      <w:r>
        <w:rPr>
          <w:rFonts w:ascii="宋体" w:hAnsi="宋体" w:eastAsia="宋体" w:cs="宋体"/>
          <w:color w:val="auto"/>
          <w:spacing w:val="-7"/>
          <w:sz w:val="21"/>
          <w:szCs w:val="21"/>
        </w:rPr>
        <w:t>1：</w:t>
      </w:r>
      <w:r>
        <w:rPr>
          <w:rFonts w:hint="eastAsia" w:ascii="宋体" w:hAnsi="宋体" w:eastAsia="宋体" w:cs="宋体"/>
          <w:color w:val="auto"/>
          <w:spacing w:val="-2"/>
          <w:sz w:val="21"/>
          <w:szCs w:val="21"/>
          <w:u w:val="single"/>
          <w:lang w:val="en-US" w:eastAsia="zh-CN"/>
        </w:rPr>
        <w:t xml:space="preserve">                                      </w:t>
      </w:r>
    </w:p>
    <w:p w14:paraId="7D55DB5C">
      <w:pPr>
        <w:keepNext w:val="0"/>
        <w:keepLines w:val="0"/>
        <w:pageBreakBefore w:val="0"/>
        <w:widowControl/>
        <w:tabs>
          <w:tab w:val="left" w:pos="420"/>
          <w:tab w:val="left" w:pos="8710"/>
        </w:tabs>
        <w:kinsoku w:val="0"/>
        <w:wordWrap/>
        <w:overflowPunct/>
        <w:topLinePunct w:val="0"/>
        <w:autoSpaceDE w:val="0"/>
        <w:autoSpaceDN w:val="0"/>
        <w:bidi w:val="0"/>
        <w:adjustRightInd w:val="0"/>
        <w:snapToGrid w:val="0"/>
        <w:spacing w:before="180" w:line="400" w:lineRule="exact"/>
        <w:jc w:val="both"/>
        <w:textAlignment w:val="baseline"/>
        <w:rPr>
          <w:rFonts w:ascii="宋体" w:hAnsi="宋体" w:eastAsia="宋体" w:cs="宋体"/>
          <w:color w:val="auto"/>
          <w:sz w:val="21"/>
          <w:szCs w:val="21"/>
        </w:rPr>
      </w:pPr>
      <w:r>
        <w:rPr>
          <w:rFonts w:hint="eastAsia" w:ascii="宋体" w:hAnsi="宋体" w:eastAsia="宋体" w:cs="宋体"/>
          <w:color w:val="auto"/>
          <w:spacing w:val="-2"/>
          <w:sz w:val="21"/>
          <w:szCs w:val="21"/>
          <w:lang w:val="en-US" w:eastAsia="zh-CN"/>
        </w:rPr>
        <w:tab/>
      </w:r>
      <w:r>
        <w:rPr>
          <w:rFonts w:ascii="宋体" w:hAnsi="宋体" w:eastAsia="宋体" w:cs="宋体"/>
          <w:color w:val="auto"/>
          <w:spacing w:val="-2"/>
          <w:sz w:val="21"/>
          <w:szCs w:val="21"/>
        </w:rPr>
        <w:t>事实依据：</w:t>
      </w:r>
      <w:r>
        <w:rPr>
          <w:rFonts w:hint="eastAsia" w:ascii="宋体" w:hAnsi="宋体" w:eastAsia="宋体" w:cs="宋体"/>
          <w:color w:val="auto"/>
          <w:spacing w:val="-2"/>
          <w:sz w:val="21"/>
          <w:szCs w:val="21"/>
          <w:u w:val="single"/>
          <w:lang w:val="en-US" w:eastAsia="zh-CN"/>
        </w:rPr>
        <w:t xml:space="preserve">                                      </w:t>
      </w:r>
    </w:p>
    <w:p w14:paraId="4B130C23">
      <w:pPr>
        <w:keepNext w:val="0"/>
        <w:keepLines w:val="0"/>
        <w:pageBreakBefore w:val="0"/>
        <w:widowControl/>
        <w:tabs>
          <w:tab w:val="left" w:pos="420"/>
          <w:tab w:val="left" w:pos="8710"/>
        </w:tabs>
        <w:kinsoku w:val="0"/>
        <w:wordWrap/>
        <w:overflowPunct/>
        <w:topLinePunct w:val="0"/>
        <w:autoSpaceDE w:val="0"/>
        <w:autoSpaceDN w:val="0"/>
        <w:bidi w:val="0"/>
        <w:adjustRightInd w:val="0"/>
        <w:snapToGrid w:val="0"/>
        <w:spacing w:before="180" w:line="400" w:lineRule="exact"/>
        <w:jc w:val="both"/>
        <w:textAlignment w:val="baseline"/>
        <w:rPr>
          <w:rFonts w:ascii="宋体" w:hAnsi="宋体" w:eastAsia="宋体" w:cs="宋体"/>
          <w:color w:val="auto"/>
          <w:sz w:val="21"/>
          <w:szCs w:val="21"/>
        </w:rPr>
      </w:pPr>
      <w:r>
        <w:rPr>
          <w:rFonts w:hint="eastAsia" w:ascii="宋体" w:hAnsi="宋体" w:eastAsia="宋体" w:cs="宋体"/>
          <w:color w:val="auto"/>
          <w:spacing w:val="-2"/>
          <w:sz w:val="21"/>
          <w:szCs w:val="21"/>
          <w:lang w:val="en-US" w:eastAsia="zh-CN"/>
        </w:rPr>
        <w:tab/>
      </w:r>
      <w:r>
        <w:rPr>
          <w:rFonts w:ascii="宋体" w:hAnsi="宋体" w:eastAsia="宋体" w:cs="宋体"/>
          <w:color w:val="auto"/>
          <w:spacing w:val="-2"/>
          <w:sz w:val="21"/>
          <w:szCs w:val="21"/>
        </w:rPr>
        <w:t>法律依据：</w:t>
      </w:r>
      <w:r>
        <w:rPr>
          <w:rFonts w:hint="eastAsia" w:ascii="宋体" w:hAnsi="宋体" w:eastAsia="宋体" w:cs="宋体"/>
          <w:color w:val="auto"/>
          <w:spacing w:val="-2"/>
          <w:sz w:val="21"/>
          <w:szCs w:val="21"/>
          <w:u w:val="single"/>
          <w:lang w:val="en-US" w:eastAsia="zh-CN"/>
        </w:rPr>
        <w:t xml:space="preserve">                                      </w:t>
      </w:r>
    </w:p>
    <w:p w14:paraId="57B7883A">
      <w:pPr>
        <w:keepNext w:val="0"/>
        <w:keepLines w:val="0"/>
        <w:pageBreakBefore w:val="0"/>
        <w:widowControl/>
        <w:tabs>
          <w:tab w:val="left" w:pos="420"/>
        </w:tabs>
        <w:kinsoku w:val="0"/>
        <w:wordWrap/>
        <w:overflowPunct/>
        <w:topLinePunct w:val="0"/>
        <w:autoSpaceDE w:val="0"/>
        <w:autoSpaceDN w:val="0"/>
        <w:bidi w:val="0"/>
        <w:adjustRightInd w:val="0"/>
        <w:snapToGrid w:val="0"/>
        <w:spacing w:before="38" w:line="400" w:lineRule="exact"/>
        <w:ind w:right="7089"/>
        <w:textAlignment w:val="baseline"/>
        <w:rPr>
          <w:rFonts w:ascii="宋体" w:hAnsi="宋体" w:eastAsia="宋体" w:cs="宋体"/>
          <w:color w:val="auto"/>
          <w:sz w:val="21"/>
          <w:szCs w:val="21"/>
        </w:rPr>
      </w:pPr>
      <w:r>
        <w:rPr>
          <w:rFonts w:hint="eastAsia" w:ascii="宋体" w:hAnsi="宋体" w:eastAsia="宋体" w:cs="宋体"/>
          <w:color w:val="auto"/>
          <w:spacing w:val="-5"/>
          <w:sz w:val="21"/>
          <w:szCs w:val="21"/>
          <w:lang w:val="en-US" w:eastAsia="zh-CN"/>
        </w:rPr>
        <w:tab/>
      </w:r>
      <w:r>
        <w:rPr>
          <w:rFonts w:ascii="宋体" w:hAnsi="宋体" w:eastAsia="宋体" w:cs="宋体"/>
          <w:color w:val="auto"/>
          <w:spacing w:val="-5"/>
          <w:sz w:val="21"/>
          <w:szCs w:val="21"/>
        </w:rPr>
        <w:t>质疑事项2</w:t>
      </w:r>
      <w:r>
        <w:rPr>
          <w:rFonts w:ascii="宋体" w:hAnsi="宋体" w:eastAsia="宋体" w:cs="宋体"/>
          <w:color w:val="auto"/>
          <w:spacing w:val="-7"/>
          <w:sz w:val="21"/>
          <w:szCs w:val="21"/>
        </w:rPr>
        <w:t>……</w:t>
      </w:r>
    </w:p>
    <w:p w14:paraId="7A199272">
      <w:pPr>
        <w:keepNext w:val="0"/>
        <w:keepLines w:val="0"/>
        <w:pageBreakBefore w:val="0"/>
        <w:widowControl/>
        <w:tabs>
          <w:tab w:val="left" w:pos="420"/>
        </w:tabs>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color w:val="auto"/>
          <w:sz w:val="21"/>
          <w:szCs w:val="21"/>
        </w:rPr>
      </w:pPr>
      <w:r>
        <w:rPr>
          <w:rFonts w:hint="eastAsia" w:ascii="宋体" w:hAnsi="宋体" w:eastAsia="宋体" w:cs="宋体"/>
          <w:color w:val="auto"/>
          <w:spacing w:val="-6"/>
          <w:sz w:val="21"/>
          <w:szCs w:val="21"/>
          <w:lang w:val="en-US" w:eastAsia="zh-CN"/>
        </w:rPr>
        <w:tab/>
      </w:r>
      <w:r>
        <w:rPr>
          <w:rFonts w:ascii="宋体" w:hAnsi="宋体" w:eastAsia="宋体" w:cs="宋体"/>
          <w:color w:val="auto"/>
          <w:spacing w:val="-6"/>
          <w:sz w:val="21"/>
          <w:szCs w:val="21"/>
        </w:rPr>
        <w:t>四、与质疑事项相关的质疑请求：</w:t>
      </w:r>
    </w:p>
    <w:p w14:paraId="118A54E5">
      <w:pPr>
        <w:keepNext w:val="0"/>
        <w:keepLines w:val="0"/>
        <w:pageBreakBefore w:val="0"/>
        <w:widowControl/>
        <w:tabs>
          <w:tab w:val="left" w:pos="420"/>
        </w:tabs>
        <w:kinsoku w:val="0"/>
        <w:wordWrap/>
        <w:overflowPunct/>
        <w:topLinePunct w:val="0"/>
        <w:autoSpaceDE w:val="0"/>
        <w:autoSpaceDN w:val="0"/>
        <w:bidi w:val="0"/>
        <w:adjustRightInd w:val="0"/>
        <w:snapToGrid w:val="0"/>
        <w:spacing w:before="180" w:line="400" w:lineRule="exact"/>
        <w:textAlignment w:val="baseline"/>
        <w:rPr>
          <w:rFonts w:ascii="宋体" w:hAnsi="宋体" w:eastAsia="宋体" w:cs="宋体"/>
          <w:color w:val="auto"/>
          <w:sz w:val="21"/>
          <w:szCs w:val="21"/>
        </w:rPr>
      </w:pPr>
      <w:r>
        <w:rPr>
          <w:rFonts w:hint="eastAsia" w:ascii="宋体" w:hAnsi="宋体" w:eastAsia="宋体" w:cs="宋体"/>
          <w:color w:val="auto"/>
          <w:spacing w:val="-3"/>
          <w:sz w:val="21"/>
          <w:szCs w:val="21"/>
          <w:lang w:val="en-US" w:eastAsia="zh-CN"/>
        </w:rPr>
        <w:tab/>
      </w:r>
      <w:r>
        <w:rPr>
          <w:rFonts w:ascii="宋体" w:hAnsi="宋体" w:eastAsia="宋体" w:cs="宋体"/>
          <w:color w:val="auto"/>
          <w:spacing w:val="-3"/>
          <w:sz w:val="21"/>
          <w:szCs w:val="21"/>
        </w:rPr>
        <w:t>请求：</w:t>
      </w:r>
      <w:r>
        <w:rPr>
          <w:rFonts w:ascii="宋体" w:hAnsi="宋体" w:eastAsia="宋体" w:cs="宋体"/>
          <w:color w:val="auto"/>
          <w:sz w:val="21"/>
          <w:szCs w:val="21"/>
          <w:u w:val="single" w:color="auto"/>
        </w:rPr>
        <w:t xml:space="preserve">                            </w:t>
      </w:r>
    </w:p>
    <w:p w14:paraId="73B46B2C">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ascii="Arial"/>
          <w:color w:val="auto"/>
          <w:sz w:val="21"/>
          <w:szCs w:val="21"/>
        </w:rPr>
      </w:pPr>
    </w:p>
    <w:p w14:paraId="575E21F0">
      <w:pPr>
        <w:keepNext w:val="0"/>
        <w:keepLines w:val="0"/>
        <w:pageBreakBefore w:val="0"/>
        <w:widowControl/>
        <w:kinsoku w:val="0"/>
        <w:wordWrap/>
        <w:overflowPunct/>
        <w:topLinePunct w:val="0"/>
        <w:autoSpaceDE w:val="0"/>
        <w:autoSpaceDN w:val="0"/>
        <w:bidi w:val="0"/>
        <w:adjustRightInd w:val="0"/>
        <w:snapToGrid w:val="0"/>
        <w:spacing w:before="78" w:line="400" w:lineRule="exact"/>
        <w:ind w:left="491"/>
        <w:textAlignment w:val="baseline"/>
        <w:rPr>
          <w:rFonts w:ascii="Arial"/>
          <w:color w:val="auto"/>
          <w:sz w:val="21"/>
          <w:szCs w:val="21"/>
        </w:rPr>
      </w:pPr>
      <w:r>
        <w:rPr>
          <w:rFonts w:ascii="宋体" w:hAnsi="宋体" w:eastAsia="宋体" w:cs="宋体"/>
          <w:color w:val="auto"/>
          <w:spacing w:val="-7"/>
          <w:sz w:val="21"/>
          <w:szCs w:val="21"/>
        </w:rPr>
        <w:t>签字（签章</w:t>
      </w:r>
      <w:r>
        <w:rPr>
          <w:rFonts w:ascii="宋体" w:hAnsi="宋体" w:eastAsia="宋体" w:cs="宋体"/>
          <w:color w:val="auto"/>
          <w:spacing w:val="-2"/>
          <w:sz w:val="21"/>
          <w:szCs w:val="21"/>
        </w:rPr>
        <w:t>）：</w:t>
      </w:r>
      <w:r>
        <w:rPr>
          <w:rFonts w:ascii="宋体" w:hAnsi="宋体" w:eastAsia="宋体" w:cs="宋体"/>
          <w:color w:val="auto"/>
          <w:spacing w:val="1"/>
          <w:sz w:val="21"/>
          <w:szCs w:val="21"/>
        </w:rPr>
        <w:t xml:space="preserve">                   </w:t>
      </w:r>
      <w:r>
        <w:rPr>
          <w:rFonts w:ascii="宋体" w:hAnsi="宋体" w:eastAsia="宋体" w:cs="宋体"/>
          <w:color w:val="auto"/>
          <w:sz w:val="21"/>
          <w:szCs w:val="21"/>
        </w:rPr>
        <w:t xml:space="preserve">                    </w:t>
      </w:r>
      <w:r>
        <w:rPr>
          <w:rFonts w:ascii="宋体" w:hAnsi="宋体" w:eastAsia="宋体" w:cs="宋体"/>
          <w:color w:val="auto"/>
          <w:spacing w:val="-7"/>
          <w:sz w:val="21"/>
          <w:szCs w:val="21"/>
        </w:rPr>
        <w:t>公章：</w:t>
      </w:r>
    </w:p>
    <w:p w14:paraId="6D8BBB63">
      <w:pPr>
        <w:keepNext w:val="0"/>
        <w:keepLines w:val="0"/>
        <w:pageBreakBefore w:val="0"/>
        <w:widowControl/>
        <w:kinsoku w:val="0"/>
        <w:wordWrap/>
        <w:overflowPunct/>
        <w:topLinePunct w:val="0"/>
        <w:autoSpaceDE w:val="0"/>
        <w:autoSpaceDN w:val="0"/>
        <w:bidi w:val="0"/>
        <w:adjustRightInd w:val="0"/>
        <w:snapToGrid w:val="0"/>
        <w:spacing w:before="78" w:line="400" w:lineRule="exact"/>
        <w:ind w:firstLine="324" w:firstLineChars="200"/>
        <w:textAlignment w:val="baseline"/>
        <w:rPr>
          <w:rFonts w:hint="eastAsia" w:ascii="宋体" w:hAnsi="宋体" w:eastAsia="宋体" w:cs="宋体"/>
          <w:color w:val="auto"/>
          <w:spacing w:val="-24"/>
          <w:sz w:val="21"/>
          <w:szCs w:val="21"/>
          <w:lang w:eastAsia="zh-CN"/>
        </w:rPr>
      </w:pPr>
      <w:r>
        <w:rPr>
          <w:rFonts w:ascii="宋体" w:hAnsi="宋体" w:eastAsia="宋体" w:cs="宋体"/>
          <w:color w:val="auto"/>
          <w:spacing w:val="-24"/>
          <w:sz w:val="21"/>
          <w:szCs w:val="21"/>
        </w:rPr>
        <w:t>日期：</w:t>
      </w:r>
      <w:r>
        <w:rPr>
          <w:rFonts w:hint="eastAsia" w:ascii="宋体" w:hAnsi="宋体" w:eastAsia="宋体" w:cs="宋体"/>
          <w:color w:val="auto"/>
          <w:spacing w:val="-24"/>
          <w:sz w:val="21"/>
          <w:szCs w:val="21"/>
          <w:lang w:val="en-US" w:eastAsia="zh-CN"/>
        </w:rPr>
        <w:t xml:space="preserve">  </w:t>
      </w:r>
      <w:r>
        <w:rPr>
          <w:rFonts w:hint="eastAsia" w:ascii="宋体" w:hAnsi="宋体" w:eastAsia="宋体" w:cs="宋体"/>
          <w:color w:val="auto"/>
          <w:spacing w:val="-24"/>
          <w:sz w:val="21"/>
          <w:szCs w:val="21"/>
          <w:lang w:eastAsia="zh-CN"/>
        </w:rPr>
        <w:t>年</w:t>
      </w:r>
      <w:r>
        <w:rPr>
          <w:rFonts w:hint="eastAsia" w:ascii="宋体" w:hAnsi="宋体" w:eastAsia="宋体" w:cs="宋体"/>
          <w:color w:val="auto"/>
          <w:spacing w:val="-24"/>
          <w:sz w:val="21"/>
          <w:szCs w:val="21"/>
          <w:lang w:val="en-US" w:eastAsia="zh-CN"/>
        </w:rPr>
        <w:t xml:space="preserve">   </w:t>
      </w:r>
      <w:r>
        <w:rPr>
          <w:rFonts w:hint="eastAsia" w:ascii="宋体" w:hAnsi="宋体" w:eastAsia="宋体" w:cs="宋体"/>
          <w:color w:val="auto"/>
          <w:spacing w:val="-24"/>
          <w:sz w:val="21"/>
          <w:szCs w:val="21"/>
          <w:lang w:eastAsia="zh-CN"/>
        </w:rPr>
        <w:t>月</w:t>
      </w:r>
      <w:r>
        <w:rPr>
          <w:rFonts w:hint="eastAsia" w:ascii="宋体" w:hAnsi="宋体" w:eastAsia="宋体" w:cs="宋体"/>
          <w:color w:val="auto"/>
          <w:spacing w:val="-24"/>
          <w:sz w:val="21"/>
          <w:szCs w:val="21"/>
          <w:lang w:val="en-US" w:eastAsia="zh-CN"/>
        </w:rPr>
        <w:t xml:space="preserve">  </w:t>
      </w:r>
      <w:r>
        <w:rPr>
          <w:rFonts w:hint="eastAsia" w:ascii="宋体" w:hAnsi="宋体" w:eastAsia="宋体" w:cs="宋体"/>
          <w:color w:val="auto"/>
          <w:spacing w:val="-24"/>
          <w:sz w:val="21"/>
          <w:szCs w:val="21"/>
          <w:lang w:eastAsia="zh-CN"/>
        </w:rPr>
        <w:t>日</w:t>
      </w:r>
    </w:p>
    <w:p w14:paraId="5EAD3555">
      <w:pPr>
        <w:spacing w:before="78" w:line="220" w:lineRule="auto"/>
        <w:rPr>
          <w:rFonts w:ascii="宋体" w:hAnsi="宋体" w:eastAsia="宋体" w:cs="宋体"/>
          <w:color w:val="auto"/>
          <w:sz w:val="21"/>
          <w:szCs w:val="21"/>
        </w:rPr>
      </w:pPr>
      <w:r>
        <w:rPr>
          <w:rFonts w:ascii="宋体" w:hAnsi="宋体" w:eastAsia="宋体" w:cs="宋体"/>
          <w:b/>
          <w:bCs/>
          <w:color w:val="auto"/>
          <w:spacing w:val="-16"/>
          <w:sz w:val="21"/>
          <w:szCs w:val="21"/>
        </w:rPr>
        <w:t>说明：</w:t>
      </w:r>
    </w:p>
    <w:p w14:paraId="27ED31F6">
      <w:pPr>
        <w:keepNext w:val="0"/>
        <w:keepLines w:val="0"/>
        <w:pageBreakBefore w:val="0"/>
        <w:widowControl/>
        <w:kinsoku/>
        <w:wordWrap w:val="0"/>
        <w:overflowPunct w:val="0"/>
        <w:topLinePunct w:val="0"/>
        <w:autoSpaceDE/>
        <w:autoSpaceDN/>
        <w:bidi w:val="0"/>
        <w:adjustRightInd w:val="0"/>
        <w:snapToGrid w:val="0"/>
        <w:spacing w:before="182" w:line="219" w:lineRule="auto"/>
        <w:ind w:left="394"/>
        <w:jc w:val="both"/>
        <w:textAlignment w:val="baseline"/>
        <w:outlineLvl w:val="2"/>
        <w:rPr>
          <w:rFonts w:ascii="宋体" w:hAnsi="宋体" w:eastAsia="宋体" w:cs="宋体"/>
          <w:color w:val="auto"/>
          <w:sz w:val="21"/>
          <w:szCs w:val="21"/>
        </w:rPr>
      </w:pPr>
      <w:r>
        <w:rPr>
          <w:rFonts w:ascii="宋体" w:hAnsi="宋体" w:eastAsia="宋体" w:cs="宋体"/>
          <w:b/>
          <w:bCs/>
          <w:color w:val="auto"/>
          <w:spacing w:val="-3"/>
          <w:sz w:val="21"/>
          <w:szCs w:val="21"/>
        </w:rPr>
        <w:t>1.供应商提出质疑时，应提交质疑函和必要的证明材料。</w:t>
      </w:r>
    </w:p>
    <w:p w14:paraId="44F7357B">
      <w:pPr>
        <w:keepNext w:val="0"/>
        <w:keepLines w:val="0"/>
        <w:pageBreakBefore w:val="0"/>
        <w:widowControl/>
        <w:kinsoku/>
        <w:wordWrap w:val="0"/>
        <w:overflowPunct w:val="0"/>
        <w:topLinePunct w:val="0"/>
        <w:autoSpaceDE/>
        <w:autoSpaceDN/>
        <w:bidi w:val="0"/>
        <w:adjustRightInd w:val="0"/>
        <w:snapToGrid w:val="0"/>
        <w:spacing w:before="181" w:line="350" w:lineRule="auto"/>
        <w:ind w:left="23" w:firstLine="356"/>
        <w:jc w:val="both"/>
        <w:textAlignment w:val="baseline"/>
        <w:rPr>
          <w:rFonts w:ascii="宋体" w:hAnsi="宋体" w:eastAsia="宋体" w:cs="宋体"/>
          <w:color w:val="auto"/>
          <w:sz w:val="21"/>
          <w:szCs w:val="21"/>
        </w:rPr>
      </w:pPr>
      <w:r>
        <w:rPr>
          <w:rFonts w:ascii="宋体" w:hAnsi="宋体" w:eastAsia="宋体" w:cs="宋体"/>
          <w:b/>
          <w:bCs/>
          <w:color w:val="auto"/>
          <w:spacing w:val="-4"/>
          <w:sz w:val="21"/>
          <w:szCs w:val="21"/>
        </w:rPr>
        <w:t>2.质疑供应商若委托代理人进行质疑的，质</w:t>
      </w:r>
      <w:r>
        <w:rPr>
          <w:rFonts w:ascii="宋体" w:hAnsi="宋体" w:eastAsia="宋体" w:cs="宋体"/>
          <w:b/>
          <w:bCs/>
          <w:color w:val="auto"/>
          <w:spacing w:val="-5"/>
          <w:sz w:val="21"/>
          <w:szCs w:val="21"/>
        </w:rPr>
        <w:t>疑函应按要求列明“授权代表”的有</w:t>
      </w:r>
      <w:r>
        <w:rPr>
          <w:rFonts w:ascii="宋体" w:hAnsi="宋体" w:eastAsia="宋体" w:cs="宋体"/>
          <w:b/>
          <w:bCs/>
          <w:color w:val="auto"/>
          <w:spacing w:val="-1"/>
          <w:sz w:val="21"/>
          <w:szCs w:val="21"/>
        </w:rPr>
        <w:t>关内容，并在附件中提交由质疑供应商签署的授权委托</w:t>
      </w:r>
      <w:r>
        <w:rPr>
          <w:rFonts w:ascii="宋体" w:hAnsi="宋体" w:eastAsia="宋体" w:cs="宋体"/>
          <w:b/>
          <w:bCs/>
          <w:color w:val="auto"/>
          <w:spacing w:val="-2"/>
          <w:sz w:val="21"/>
          <w:szCs w:val="21"/>
        </w:rPr>
        <w:t>书。授权委托书应载明代理人的姓名或者名称、代理事项、具体权限、期限和</w:t>
      </w:r>
      <w:r>
        <w:rPr>
          <w:rFonts w:ascii="宋体" w:hAnsi="宋体" w:eastAsia="宋体" w:cs="宋体"/>
          <w:b/>
          <w:bCs/>
          <w:color w:val="auto"/>
          <w:spacing w:val="-3"/>
          <w:sz w:val="21"/>
          <w:szCs w:val="21"/>
        </w:rPr>
        <w:t>相关事项。</w:t>
      </w:r>
    </w:p>
    <w:p w14:paraId="31D9B263">
      <w:pPr>
        <w:keepNext w:val="0"/>
        <w:keepLines w:val="0"/>
        <w:pageBreakBefore w:val="0"/>
        <w:widowControl/>
        <w:kinsoku/>
        <w:wordWrap w:val="0"/>
        <w:overflowPunct w:val="0"/>
        <w:topLinePunct w:val="0"/>
        <w:autoSpaceDE/>
        <w:autoSpaceDN/>
        <w:bidi w:val="0"/>
        <w:adjustRightInd w:val="0"/>
        <w:snapToGrid w:val="0"/>
        <w:spacing w:before="36" w:line="345" w:lineRule="auto"/>
        <w:ind w:left="375" w:right="908" w:firstLine="5"/>
        <w:jc w:val="both"/>
        <w:textAlignment w:val="baseline"/>
        <w:rPr>
          <w:rFonts w:ascii="宋体" w:hAnsi="宋体" w:eastAsia="宋体" w:cs="宋体"/>
          <w:color w:val="auto"/>
          <w:sz w:val="21"/>
          <w:szCs w:val="21"/>
        </w:rPr>
      </w:pPr>
      <w:r>
        <w:rPr>
          <w:rFonts w:ascii="宋体" w:hAnsi="宋体" w:eastAsia="宋体" w:cs="宋体"/>
          <w:b/>
          <w:bCs/>
          <w:color w:val="auto"/>
          <w:spacing w:val="-9"/>
          <w:sz w:val="21"/>
          <w:szCs w:val="21"/>
        </w:rPr>
        <w:t>3.质疑函的质疑事项应具体、明确，并有必要的事实依据和法</w:t>
      </w:r>
      <w:r>
        <w:rPr>
          <w:rFonts w:ascii="宋体" w:hAnsi="宋体" w:eastAsia="宋体" w:cs="宋体"/>
          <w:b/>
          <w:bCs/>
          <w:color w:val="auto"/>
          <w:spacing w:val="-10"/>
          <w:sz w:val="21"/>
          <w:szCs w:val="21"/>
        </w:rPr>
        <w:t>律依据。</w:t>
      </w:r>
    </w:p>
    <w:p w14:paraId="48E1056B">
      <w:pPr>
        <w:keepNext w:val="0"/>
        <w:keepLines w:val="0"/>
        <w:pageBreakBefore w:val="0"/>
        <w:widowControl/>
        <w:kinsoku/>
        <w:wordWrap w:val="0"/>
        <w:overflowPunct w:val="0"/>
        <w:topLinePunct w:val="0"/>
        <w:autoSpaceDE/>
        <w:autoSpaceDN/>
        <w:bidi w:val="0"/>
        <w:adjustRightInd w:val="0"/>
        <w:snapToGrid w:val="0"/>
        <w:spacing w:before="36" w:line="345" w:lineRule="auto"/>
        <w:ind w:left="375" w:right="908" w:firstLine="5"/>
        <w:jc w:val="both"/>
        <w:textAlignment w:val="baseline"/>
        <w:rPr>
          <w:rFonts w:ascii="宋体" w:hAnsi="宋体" w:eastAsia="宋体" w:cs="宋体"/>
          <w:color w:val="auto"/>
          <w:sz w:val="21"/>
          <w:szCs w:val="21"/>
        </w:rPr>
      </w:pPr>
      <w:r>
        <w:rPr>
          <w:rFonts w:ascii="宋体" w:hAnsi="宋体" w:eastAsia="宋体" w:cs="宋体"/>
          <w:b/>
          <w:bCs/>
          <w:color w:val="auto"/>
          <w:spacing w:val="-3"/>
          <w:sz w:val="21"/>
          <w:szCs w:val="21"/>
        </w:rPr>
        <w:t>4.质疑函的质疑请求应与质疑事项相关。</w:t>
      </w:r>
    </w:p>
    <w:p w14:paraId="6E984794">
      <w:pPr>
        <w:keepNext w:val="0"/>
        <w:keepLines w:val="0"/>
        <w:pageBreakBefore w:val="0"/>
        <w:widowControl/>
        <w:kinsoku/>
        <w:wordWrap w:val="0"/>
        <w:overflowPunct w:val="0"/>
        <w:topLinePunct w:val="0"/>
        <w:autoSpaceDE/>
        <w:autoSpaceDN/>
        <w:bidi w:val="0"/>
        <w:adjustRightInd w:val="0"/>
        <w:snapToGrid w:val="0"/>
        <w:spacing w:before="36" w:line="345" w:lineRule="auto"/>
        <w:ind w:left="23" w:firstLine="358"/>
        <w:jc w:val="both"/>
        <w:textAlignment w:val="baseline"/>
        <w:rPr>
          <w:rFonts w:ascii="宋体" w:hAnsi="宋体" w:eastAsia="宋体" w:cs="宋体"/>
          <w:color w:val="auto"/>
          <w:sz w:val="21"/>
          <w:szCs w:val="21"/>
        </w:rPr>
      </w:pPr>
      <w:r>
        <w:rPr>
          <w:rFonts w:ascii="宋体" w:hAnsi="宋体" w:eastAsia="宋体" w:cs="宋体"/>
          <w:b/>
          <w:bCs/>
          <w:color w:val="auto"/>
          <w:spacing w:val="-5"/>
          <w:sz w:val="21"/>
          <w:szCs w:val="21"/>
        </w:rPr>
        <w:t>5.质疑供应商为法人或者其他组织的，质疑函应由法定代表人、主要负责人，或</w:t>
      </w:r>
      <w:r>
        <w:rPr>
          <w:rFonts w:ascii="宋体" w:hAnsi="宋体" w:eastAsia="宋体" w:cs="宋体"/>
          <w:b/>
          <w:bCs/>
          <w:color w:val="auto"/>
          <w:spacing w:val="-3"/>
          <w:sz w:val="21"/>
          <w:szCs w:val="21"/>
        </w:rPr>
        <w:t>者其授权代表签字或者盖章，并加盖公章。</w:t>
      </w:r>
    </w:p>
    <w:p w14:paraId="50E8EB8A">
      <w:pPr>
        <w:spacing w:line="345" w:lineRule="auto"/>
        <w:rPr>
          <w:rFonts w:ascii="宋体" w:hAnsi="宋体" w:eastAsia="宋体" w:cs="宋体"/>
          <w:color w:val="auto"/>
          <w:sz w:val="21"/>
          <w:szCs w:val="21"/>
        </w:rPr>
        <w:sectPr>
          <w:footerReference r:id="rId40" w:type="default"/>
          <w:pgSz w:w="11905" w:h="16838"/>
          <w:pgMar w:top="1417" w:right="1417" w:bottom="1417" w:left="1417" w:header="0" w:footer="1196" w:gutter="0"/>
          <w:pgNumType w:fmt="decimal"/>
          <w:cols w:space="0" w:num="1"/>
          <w:rtlGutter w:val="0"/>
          <w:docGrid w:linePitch="0" w:charSpace="0"/>
        </w:sectPr>
      </w:pPr>
    </w:p>
    <w:p w14:paraId="2A945716">
      <w:pPr>
        <w:spacing w:before="78" w:line="219" w:lineRule="auto"/>
        <w:outlineLvl w:val="2"/>
        <w:rPr>
          <w:rFonts w:ascii="宋体" w:hAnsi="宋体" w:eastAsia="宋体" w:cs="宋体"/>
          <w:color w:val="auto"/>
          <w:sz w:val="28"/>
          <w:szCs w:val="28"/>
        </w:rPr>
      </w:pPr>
      <w:r>
        <w:rPr>
          <w:rFonts w:hint="eastAsia" w:ascii="宋体" w:hAnsi="宋体" w:eastAsia="宋体" w:cs="宋体"/>
          <w:b/>
          <w:bCs/>
          <w:color w:val="auto"/>
          <w:spacing w:val="-4"/>
          <w:sz w:val="28"/>
          <w:szCs w:val="28"/>
          <w:lang w:val="en-US" w:eastAsia="zh-CN"/>
        </w:rPr>
        <w:t>6.</w:t>
      </w:r>
      <w:r>
        <w:rPr>
          <w:rFonts w:ascii="宋体" w:hAnsi="宋体" w:eastAsia="宋体" w:cs="宋体"/>
          <w:b/>
          <w:bCs/>
          <w:color w:val="auto"/>
          <w:spacing w:val="-4"/>
          <w:sz w:val="28"/>
          <w:szCs w:val="28"/>
        </w:rPr>
        <w:t>投诉书（格式）</w:t>
      </w:r>
    </w:p>
    <w:p w14:paraId="37DF53EA">
      <w:pPr>
        <w:spacing w:before="346" w:line="192" w:lineRule="auto"/>
        <w:jc w:val="center"/>
        <w:rPr>
          <w:rFonts w:hint="eastAsia" w:ascii="宋体" w:hAnsi="宋体" w:eastAsia="宋体" w:cs="宋体"/>
          <w:color w:val="auto"/>
          <w:sz w:val="28"/>
          <w:szCs w:val="28"/>
        </w:rPr>
      </w:pPr>
      <w:r>
        <w:rPr>
          <w:rFonts w:hint="eastAsia" w:ascii="宋体" w:hAnsi="宋体" w:eastAsia="宋体" w:cs="宋体"/>
          <w:color w:val="auto"/>
          <w:spacing w:val="2"/>
          <w:sz w:val="28"/>
          <w:szCs w:val="28"/>
        </w:rPr>
        <w:t>投诉书（格式）</w:t>
      </w:r>
    </w:p>
    <w:p w14:paraId="2B4B6F41">
      <w:pPr>
        <w:spacing w:line="299" w:lineRule="auto"/>
        <w:rPr>
          <w:rFonts w:ascii="Arial"/>
          <w:color w:val="auto"/>
          <w:sz w:val="21"/>
        </w:rPr>
      </w:pPr>
    </w:p>
    <w:p w14:paraId="2D25DFC7">
      <w:pPr>
        <w:spacing w:before="78" w:line="219" w:lineRule="auto"/>
        <w:outlineLvl w:val="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5"/>
          <w:sz w:val="21"/>
          <w:szCs w:val="21"/>
        </w:rPr>
        <w:t>一、投诉相关主体基本情况：</w:t>
      </w:r>
    </w:p>
    <w:p w14:paraId="7D79129E">
      <w:pPr>
        <w:tabs>
          <w:tab w:val="left" w:pos="8710"/>
        </w:tabs>
        <w:spacing w:before="182" w:line="353" w:lineRule="auto"/>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4"/>
          <w:sz w:val="21"/>
          <w:szCs w:val="21"/>
        </w:rPr>
        <w:t>投标人：</w:t>
      </w:r>
      <w:r>
        <w:rPr>
          <w:rFonts w:hint="eastAsia" w:asciiTheme="minorEastAsia" w:hAnsiTheme="minorEastAsia" w:eastAsiaTheme="minorEastAsia" w:cstheme="minorEastAsia"/>
          <w:color w:val="auto"/>
          <w:spacing w:val="-3"/>
          <w:sz w:val="21"/>
          <w:szCs w:val="21"/>
          <w:u w:val="single" w:color="auto"/>
        </w:rPr>
        <w:t xml:space="preserve">                 </w:t>
      </w:r>
      <w:r>
        <w:rPr>
          <w:rFonts w:hint="eastAsia" w:asciiTheme="minorEastAsia" w:hAnsiTheme="minorEastAsia" w:eastAsiaTheme="minorEastAsia" w:cstheme="minorEastAsia"/>
          <w:color w:val="auto"/>
          <w:spacing w:val="-3"/>
          <w:sz w:val="21"/>
          <w:szCs w:val="21"/>
          <w:u w:val="single" w:color="auto"/>
          <w:lang w:val="en-US" w:eastAsia="zh-CN"/>
        </w:rPr>
        <w:t xml:space="preserve">                                        </w:t>
      </w:r>
      <w:r>
        <w:rPr>
          <w:rFonts w:hint="eastAsia" w:asciiTheme="minorEastAsia" w:hAnsiTheme="minorEastAsia" w:eastAsiaTheme="minorEastAsia" w:cstheme="minorEastAsia"/>
          <w:color w:val="auto"/>
          <w:spacing w:val="-3"/>
          <w:sz w:val="21"/>
          <w:szCs w:val="21"/>
          <w:u w:val="single" w:color="auto"/>
        </w:rPr>
        <w:t xml:space="preserve">        </w:t>
      </w:r>
      <w:r>
        <w:rPr>
          <w:rFonts w:hint="eastAsia" w:asciiTheme="minorEastAsia" w:hAnsiTheme="minorEastAsia" w:eastAsiaTheme="minorEastAsia" w:cstheme="minorEastAsia"/>
          <w:color w:val="auto"/>
          <w:spacing w:val="-92"/>
          <w:sz w:val="21"/>
          <w:szCs w:val="21"/>
        </w:rPr>
        <w:t xml:space="preserve"> </w:t>
      </w:r>
    </w:p>
    <w:p w14:paraId="6D17FB69">
      <w:pPr>
        <w:tabs>
          <w:tab w:val="left" w:pos="8710"/>
        </w:tabs>
        <w:spacing w:before="182" w:line="353" w:lineRule="auto"/>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3"/>
          <w:sz w:val="21"/>
          <w:szCs w:val="21"/>
        </w:rPr>
        <w:t>地址：</w:t>
      </w:r>
      <w:r>
        <w:rPr>
          <w:rFonts w:hint="eastAsia" w:asciiTheme="minorEastAsia" w:hAnsiTheme="minorEastAsia" w:eastAsiaTheme="minorEastAsia" w:cstheme="minorEastAsia"/>
          <w:color w:val="auto"/>
          <w:spacing w:val="-3"/>
          <w:sz w:val="21"/>
          <w:szCs w:val="21"/>
          <w:u w:val="single" w:color="auto"/>
        </w:rPr>
        <w:t xml:space="preserve">                         </w:t>
      </w:r>
      <w:r>
        <w:rPr>
          <w:rFonts w:hint="eastAsia" w:asciiTheme="minorEastAsia" w:hAnsiTheme="minorEastAsia" w:eastAsiaTheme="minorEastAsia" w:cstheme="minorEastAsia"/>
          <w:color w:val="auto"/>
          <w:spacing w:val="-92"/>
          <w:sz w:val="21"/>
          <w:szCs w:val="21"/>
        </w:rPr>
        <w:t xml:space="preserve"> </w:t>
      </w:r>
      <w:r>
        <w:rPr>
          <w:rFonts w:hint="eastAsia" w:asciiTheme="minorEastAsia" w:hAnsiTheme="minorEastAsia" w:eastAsiaTheme="minorEastAsia" w:cstheme="minorEastAsia"/>
          <w:color w:val="auto"/>
          <w:spacing w:val="-4"/>
          <w:sz w:val="21"/>
          <w:szCs w:val="21"/>
        </w:rPr>
        <w:t>邮编：</w:t>
      </w:r>
      <w:r>
        <w:rPr>
          <w:rFonts w:hint="eastAsia" w:asciiTheme="minorEastAsia" w:hAnsiTheme="minorEastAsia" w:eastAsiaTheme="minorEastAsia" w:cstheme="minorEastAsia"/>
          <w:color w:val="auto"/>
          <w:sz w:val="21"/>
          <w:szCs w:val="21"/>
          <w:u w:val="single" w:color="auto"/>
        </w:rPr>
        <w:t xml:space="preserve">     </w:t>
      </w:r>
      <w:r>
        <w:rPr>
          <w:rFonts w:hint="eastAsia" w:asciiTheme="minorEastAsia" w:hAnsiTheme="minorEastAsia" w:eastAsiaTheme="minorEastAsia" w:cstheme="minorEastAsia"/>
          <w:color w:val="auto"/>
          <w:sz w:val="21"/>
          <w:szCs w:val="21"/>
          <w:u w:val="single" w:color="auto"/>
          <w:lang w:val="en-US" w:eastAsia="zh-CN"/>
        </w:rPr>
        <w:t xml:space="preserve">                        </w:t>
      </w:r>
      <w:r>
        <w:rPr>
          <w:rFonts w:hint="eastAsia" w:asciiTheme="minorEastAsia" w:hAnsiTheme="minorEastAsia" w:eastAsiaTheme="minorEastAsia" w:cstheme="minorEastAsia"/>
          <w:color w:val="auto"/>
          <w:sz w:val="21"/>
          <w:szCs w:val="21"/>
          <w:u w:val="single" w:color="auto"/>
        </w:rPr>
        <w:t xml:space="preserve">      </w:t>
      </w:r>
      <w:r>
        <w:rPr>
          <w:rFonts w:hint="eastAsia" w:asciiTheme="minorEastAsia" w:hAnsiTheme="minorEastAsia" w:eastAsiaTheme="minorEastAsia" w:cstheme="minorEastAsia"/>
          <w:color w:val="auto"/>
          <w:sz w:val="21"/>
          <w:szCs w:val="21"/>
        </w:rPr>
        <w:t xml:space="preserve"> </w:t>
      </w:r>
    </w:p>
    <w:p w14:paraId="048E6F7E">
      <w:pPr>
        <w:tabs>
          <w:tab w:val="left" w:pos="8710"/>
        </w:tabs>
        <w:spacing w:before="182" w:line="353" w:lineRule="auto"/>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法定代表人/主要负责人：</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pacing w:val="-2"/>
          <w:sz w:val="21"/>
          <w:szCs w:val="21"/>
        </w:rPr>
        <w:t>联系电话：</w:t>
      </w:r>
      <w:r>
        <w:rPr>
          <w:rFonts w:hint="eastAsia" w:asciiTheme="minorEastAsia" w:hAnsiTheme="minorEastAsia" w:eastAsiaTheme="minorEastAsia" w:cstheme="minorEastAsia"/>
          <w:color w:val="auto"/>
          <w:sz w:val="21"/>
          <w:szCs w:val="21"/>
          <w:u w:val="single" w:color="auto"/>
        </w:rPr>
        <w:t xml:space="preserve">     </w:t>
      </w:r>
      <w:r>
        <w:rPr>
          <w:rFonts w:hint="eastAsia" w:asciiTheme="minorEastAsia" w:hAnsiTheme="minorEastAsia" w:eastAsiaTheme="minorEastAsia" w:cstheme="minorEastAsia"/>
          <w:color w:val="auto"/>
          <w:sz w:val="21"/>
          <w:szCs w:val="21"/>
          <w:u w:val="single" w:color="auto"/>
          <w:lang w:val="en-US" w:eastAsia="zh-CN"/>
        </w:rPr>
        <w:t xml:space="preserve">          </w:t>
      </w:r>
      <w:r>
        <w:rPr>
          <w:rFonts w:hint="eastAsia" w:asciiTheme="minorEastAsia" w:hAnsiTheme="minorEastAsia" w:eastAsiaTheme="minorEastAsia" w:cstheme="minorEastAsia"/>
          <w:color w:val="auto"/>
          <w:sz w:val="21"/>
          <w:szCs w:val="21"/>
          <w:u w:val="single" w:color="auto"/>
        </w:rPr>
        <w:t xml:space="preserve">  </w:t>
      </w:r>
      <w:r>
        <w:rPr>
          <w:rFonts w:hint="eastAsia" w:asciiTheme="minorEastAsia" w:hAnsiTheme="minorEastAsia" w:eastAsiaTheme="minorEastAsia" w:cstheme="minorEastAsia"/>
          <w:color w:val="auto"/>
          <w:sz w:val="21"/>
          <w:szCs w:val="21"/>
          <w:u w:val="single" w:color="auto"/>
          <w:lang w:val="en-US" w:eastAsia="zh-CN"/>
        </w:rPr>
        <w:t xml:space="preserve">  </w:t>
      </w:r>
      <w:r>
        <w:rPr>
          <w:rFonts w:hint="eastAsia" w:asciiTheme="minorEastAsia" w:hAnsiTheme="minorEastAsia" w:eastAsiaTheme="minorEastAsia" w:cstheme="minorEastAsia"/>
          <w:color w:val="auto"/>
          <w:sz w:val="21"/>
          <w:szCs w:val="21"/>
          <w:u w:val="single" w:color="auto"/>
        </w:rPr>
        <w:t xml:space="preserve">    </w:t>
      </w:r>
    </w:p>
    <w:p w14:paraId="31792318">
      <w:pPr>
        <w:spacing w:before="30" w:line="352"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授权代表：</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pacing w:val="-105"/>
          <w:sz w:val="21"/>
          <w:szCs w:val="21"/>
        </w:rPr>
        <w:t xml:space="preserve"> </w:t>
      </w:r>
      <w:r>
        <w:rPr>
          <w:rFonts w:hint="eastAsia" w:asciiTheme="minorEastAsia" w:hAnsiTheme="minorEastAsia" w:eastAsiaTheme="minorEastAsia" w:cstheme="minorEastAsia"/>
          <w:color w:val="auto"/>
          <w:spacing w:val="-1"/>
          <w:sz w:val="21"/>
          <w:szCs w:val="21"/>
        </w:rPr>
        <w:t>联系电话：</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pacing w:val="-1"/>
          <w:sz w:val="21"/>
          <w:szCs w:val="21"/>
          <w:u w:val="single" w:color="auto"/>
          <w:lang w:val="en-US" w:eastAsia="zh-CN"/>
        </w:rPr>
        <w:t xml:space="preserve"> </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z w:val="21"/>
          <w:szCs w:val="21"/>
        </w:rPr>
        <w:t xml:space="preserve"> </w:t>
      </w:r>
      <w:r>
        <w:rPr>
          <w:rFonts w:hint="eastAsia" w:asciiTheme="minorEastAsia" w:hAnsiTheme="minorEastAsia" w:eastAsiaTheme="minorEastAsia" w:cstheme="minorEastAsia"/>
          <w:color w:val="auto"/>
          <w:spacing w:val="-2"/>
          <w:sz w:val="21"/>
          <w:szCs w:val="21"/>
        </w:rPr>
        <w:t>地址：</w:t>
      </w:r>
      <w:r>
        <w:rPr>
          <w:rFonts w:hint="eastAsia" w:asciiTheme="minorEastAsia" w:hAnsiTheme="minorEastAsia" w:eastAsiaTheme="minorEastAsia" w:cstheme="minorEastAsia"/>
          <w:color w:val="auto"/>
          <w:spacing w:val="-2"/>
          <w:sz w:val="21"/>
          <w:szCs w:val="21"/>
          <w:u w:val="single" w:color="auto"/>
        </w:rPr>
        <w:t xml:space="preserve">   </w:t>
      </w:r>
      <w:r>
        <w:rPr>
          <w:rFonts w:hint="eastAsia" w:asciiTheme="minorEastAsia" w:hAnsiTheme="minorEastAsia" w:eastAsiaTheme="minorEastAsia" w:cstheme="minorEastAsia"/>
          <w:color w:val="auto"/>
          <w:spacing w:val="-2"/>
          <w:sz w:val="21"/>
          <w:szCs w:val="21"/>
          <w:u w:val="single" w:color="auto"/>
          <w:lang w:val="en-US" w:eastAsia="zh-CN"/>
        </w:rPr>
        <w:t xml:space="preserve">    </w:t>
      </w:r>
      <w:r>
        <w:rPr>
          <w:rFonts w:hint="eastAsia" w:asciiTheme="minorEastAsia" w:hAnsiTheme="minorEastAsia" w:eastAsiaTheme="minorEastAsia" w:cstheme="minorEastAsia"/>
          <w:color w:val="auto"/>
          <w:spacing w:val="-2"/>
          <w:sz w:val="21"/>
          <w:szCs w:val="21"/>
          <w:u w:val="single" w:color="auto"/>
        </w:rPr>
        <w:t xml:space="preserve">     </w:t>
      </w:r>
    </w:p>
    <w:p w14:paraId="4C3F76A9">
      <w:pPr>
        <w:spacing w:before="18" w:line="347" w:lineRule="auto"/>
        <w:ind w:right="6445"/>
        <w:rPr>
          <w:rFonts w:hint="eastAsia" w:asciiTheme="minorEastAsia" w:hAnsiTheme="minorEastAsia" w:eastAsiaTheme="minorEastAsia" w:cstheme="minorEastAsia"/>
          <w:color w:val="auto"/>
          <w:spacing w:val="2"/>
          <w:sz w:val="21"/>
          <w:szCs w:val="21"/>
        </w:rPr>
      </w:pPr>
      <w:r>
        <w:rPr>
          <w:rFonts w:hint="eastAsia" w:asciiTheme="minorEastAsia" w:hAnsiTheme="minorEastAsia" w:eastAsiaTheme="minorEastAsia" w:cstheme="minorEastAsia"/>
          <w:color w:val="auto"/>
          <w:spacing w:val="-10"/>
          <w:sz w:val="21"/>
          <w:szCs w:val="21"/>
        </w:rPr>
        <w:t>邮编：</w:t>
      </w:r>
      <w:r>
        <w:rPr>
          <w:rFonts w:hint="eastAsia" w:asciiTheme="minorEastAsia" w:hAnsiTheme="minorEastAsia" w:eastAsiaTheme="minorEastAsia" w:cstheme="minorEastAsia"/>
          <w:color w:val="auto"/>
          <w:sz w:val="21"/>
          <w:szCs w:val="21"/>
          <w:u w:val="single" w:color="auto"/>
        </w:rPr>
        <w:t xml:space="preserve">         </w:t>
      </w:r>
      <w:r>
        <w:rPr>
          <w:rFonts w:hint="eastAsia" w:asciiTheme="minorEastAsia" w:hAnsiTheme="minorEastAsia" w:eastAsiaTheme="minorEastAsia" w:cstheme="minorEastAsia"/>
          <w:color w:val="auto"/>
          <w:spacing w:val="2"/>
          <w:sz w:val="21"/>
          <w:szCs w:val="21"/>
        </w:rPr>
        <w:t xml:space="preserve"> </w:t>
      </w:r>
    </w:p>
    <w:p w14:paraId="43C79592">
      <w:pPr>
        <w:spacing w:before="18" w:line="347" w:lineRule="auto"/>
        <w:ind w:right="6445"/>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7"/>
          <w:sz w:val="21"/>
          <w:szCs w:val="21"/>
        </w:rPr>
        <w:t>被投诉人1：</w:t>
      </w:r>
    </w:p>
    <w:p w14:paraId="3E4DF533">
      <w:pPr>
        <w:spacing w:before="35" w:line="345" w:lineRule="auto"/>
        <w:ind w:right="324"/>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4"/>
          <w:sz w:val="21"/>
          <w:szCs w:val="21"/>
        </w:rPr>
        <w:t>地址：</w:t>
      </w:r>
      <w:r>
        <w:rPr>
          <w:rFonts w:hint="eastAsia" w:asciiTheme="minorEastAsia" w:hAnsiTheme="minorEastAsia" w:eastAsiaTheme="minorEastAsia" w:cstheme="minorEastAsia"/>
          <w:color w:val="auto"/>
          <w:sz w:val="21"/>
          <w:szCs w:val="21"/>
          <w:u w:val="single" w:color="auto"/>
        </w:rPr>
        <w:t xml:space="preserve">                              </w:t>
      </w:r>
      <w:r>
        <w:rPr>
          <w:rFonts w:hint="eastAsia" w:asciiTheme="minorEastAsia" w:hAnsiTheme="minorEastAsia" w:eastAsiaTheme="minorEastAsia" w:cstheme="minorEastAsia"/>
          <w:color w:val="auto"/>
          <w:spacing w:val="3"/>
          <w:sz w:val="21"/>
          <w:szCs w:val="21"/>
        </w:rPr>
        <w:t xml:space="preserve"> </w:t>
      </w:r>
      <w:r>
        <w:rPr>
          <w:rFonts w:hint="eastAsia" w:asciiTheme="minorEastAsia" w:hAnsiTheme="minorEastAsia" w:eastAsiaTheme="minorEastAsia" w:cstheme="minorEastAsia"/>
          <w:color w:val="auto"/>
          <w:spacing w:val="-10"/>
          <w:sz w:val="21"/>
          <w:szCs w:val="21"/>
        </w:rPr>
        <w:t>邮编：</w:t>
      </w:r>
      <w:r>
        <w:rPr>
          <w:rFonts w:hint="eastAsia" w:asciiTheme="minorEastAsia" w:hAnsiTheme="minorEastAsia" w:eastAsiaTheme="minorEastAsia" w:cstheme="minorEastAsia"/>
          <w:color w:val="auto"/>
          <w:sz w:val="21"/>
          <w:szCs w:val="21"/>
          <w:u w:val="single" w:color="auto"/>
        </w:rPr>
        <w:t xml:space="preserve">      </w:t>
      </w:r>
      <w:r>
        <w:rPr>
          <w:rFonts w:hint="eastAsia" w:asciiTheme="minorEastAsia" w:hAnsiTheme="minorEastAsia" w:eastAsiaTheme="minorEastAsia" w:cstheme="minorEastAsia"/>
          <w:color w:val="auto"/>
          <w:sz w:val="21"/>
          <w:szCs w:val="21"/>
          <w:u w:val="single" w:color="auto"/>
          <w:lang w:val="en-US" w:eastAsia="zh-CN"/>
        </w:rPr>
        <w:t xml:space="preserve">              </w:t>
      </w:r>
      <w:r>
        <w:rPr>
          <w:rFonts w:hint="eastAsia" w:asciiTheme="minorEastAsia" w:hAnsiTheme="minorEastAsia" w:eastAsiaTheme="minorEastAsia" w:cstheme="minorEastAsia"/>
          <w:color w:val="auto"/>
          <w:sz w:val="21"/>
          <w:szCs w:val="21"/>
          <w:u w:val="single" w:color="auto"/>
        </w:rPr>
        <w:t xml:space="preserve">    </w:t>
      </w:r>
    </w:p>
    <w:p w14:paraId="3F73B560">
      <w:pPr>
        <w:spacing w:before="36" w:line="345" w:lineRule="auto"/>
        <w:ind w:right="324"/>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联系人：</w:t>
      </w:r>
      <w:r>
        <w:rPr>
          <w:rFonts w:hint="eastAsia" w:asciiTheme="minorEastAsia" w:hAnsiTheme="minorEastAsia" w:eastAsiaTheme="minorEastAsia" w:cstheme="minorEastAsia"/>
          <w:color w:val="auto"/>
          <w:sz w:val="21"/>
          <w:szCs w:val="21"/>
          <w:u w:val="single" w:color="auto"/>
        </w:rPr>
        <w:t xml:space="preserve">                                </w:t>
      </w:r>
      <w:r>
        <w:rPr>
          <w:rFonts w:hint="eastAsia" w:asciiTheme="minorEastAsia" w:hAnsiTheme="minorEastAsia" w:eastAsiaTheme="minorEastAsia" w:cstheme="minorEastAsia"/>
          <w:color w:val="auto"/>
          <w:spacing w:val="-110"/>
          <w:sz w:val="21"/>
          <w:szCs w:val="21"/>
        </w:rPr>
        <w:t xml:space="preserve"> </w:t>
      </w:r>
      <w:r>
        <w:rPr>
          <w:rFonts w:hint="eastAsia" w:asciiTheme="minorEastAsia" w:hAnsiTheme="minorEastAsia" w:eastAsiaTheme="minorEastAsia" w:cstheme="minorEastAsia"/>
          <w:color w:val="auto"/>
          <w:sz w:val="21"/>
          <w:szCs w:val="21"/>
        </w:rPr>
        <w:t>联</w:t>
      </w:r>
      <w:r>
        <w:rPr>
          <w:rFonts w:hint="eastAsia" w:asciiTheme="minorEastAsia" w:hAnsiTheme="minorEastAsia" w:eastAsiaTheme="minorEastAsia" w:cstheme="minorEastAsia"/>
          <w:color w:val="auto"/>
          <w:spacing w:val="-1"/>
          <w:sz w:val="21"/>
          <w:szCs w:val="21"/>
        </w:rPr>
        <w:t>系电话：</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z w:val="21"/>
          <w:szCs w:val="21"/>
        </w:rPr>
        <w:t xml:space="preserve"> </w:t>
      </w:r>
    </w:p>
    <w:p w14:paraId="5C646CB4">
      <w:pPr>
        <w:spacing w:before="36" w:line="345" w:lineRule="auto"/>
        <w:ind w:right="324"/>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4"/>
          <w:sz w:val="21"/>
          <w:szCs w:val="21"/>
        </w:rPr>
        <w:t>被投诉人</w:t>
      </w:r>
      <w:r>
        <w:rPr>
          <w:rFonts w:hint="eastAsia" w:asciiTheme="minorEastAsia" w:hAnsiTheme="minorEastAsia" w:eastAsiaTheme="minorEastAsia" w:cstheme="minorEastAsia"/>
          <w:color w:val="auto"/>
          <w:spacing w:val="-47"/>
          <w:sz w:val="21"/>
          <w:szCs w:val="21"/>
        </w:rPr>
        <w:t xml:space="preserve"> </w:t>
      </w:r>
      <w:r>
        <w:rPr>
          <w:rFonts w:hint="eastAsia" w:asciiTheme="minorEastAsia" w:hAnsiTheme="minorEastAsia" w:eastAsiaTheme="minorEastAsia" w:cstheme="minorEastAsia"/>
          <w:color w:val="auto"/>
          <w:spacing w:val="-4"/>
          <w:sz w:val="21"/>
          <w:szCs w:val="21"/>
        </w:rPr>
        <w:t>2：</w:t>
      </w:r>
    </w:p>
    <w:p w14:paraId="0AB58E66">
      <w:pPr>
        <w:spacing w:before="38" w:line="378" w:lineRule="exac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7"/>
          <w:position w:val="3"/>
          <w:sz w:val="21"/>
          <w:szCs w:val="21"/>
        </w:rPr>
        <w:t>……</w:t>
      </w:r>
    </w:p>
    <w:p w14:paraId="60294B42">
      <w:pPr>
        <w:spacing w:before="87" w:line="351" w:lineRule="auto"/>
        <w:rPr>
          <w:rFonts w:hint="eastAsia" w:asciiTheme="minorEastAsia" w:hAnsiTheme="minorEastAsia" w:eastAsiaTheme="minorEastAsia" w:cstheme="minorEastAsia"/>
          <w:color w:val="auto"/>
          <w:spacing w:val="-3"/>
          <w:sz w:val="21"/>
          <w:szCs w:val="21"/>
          <w:u w:val="single" w:color="auto"/>
        </w:rPr>
      </w:pPr>
      <w:r>
        <w:rPr>
          <w:rFonts w:hint="eastAsia" w:asciiTheme="minorEastAsia" w:hAnsiTheme="minorEastAsia" w:eastAsiaTheme="minorEastAsia" w:cstheme="minorEastAsia"/>
          <w:color w:val="auto"/>
          <w:spacing w:val="-1"/>
          <w:sz w:val="21"/>
          <w:szCs w:val="21"/>
        </w:rPr>
        <w:t>相关供应商：</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pacing w:val="-3"/>
          <w:sz w:val="21"/>
          <w:szCs w:val="21"/>
        </w:rPr>
        <w:t>地址：</w:t>
      </w:r>
      <w:r>
        <w:rPr>
          <w:rFonts w:hint="eastAsia" w:asciiTheme="minorEastAsia" w:hAnsiTheme="minorEastAsia" w:eastAsiaTheme="minorEastAsia" w:cstheme="minorEastAsia"/>
          <w:color w:val="auto"/>
          <w:spacing w:val="-3"/>
          <w:sz w:val="21"/>
          <w:szCs w:val="21"/>
          <w:u w:val="single" w:color="auto"/>
        </w:rPr>
        <w:t xml:space="preserve">             </w:t>
      </w:r>
    </w:p>
    <w:p w14:paraId="7BA65765">
      <w:pPr>
        <w:spacing w:before="87" w:line="351"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3"/>
          <w:sz w:val="21"/>
          <w:szCs w:val="21"/>
        </w:rPr>
        <w:t>邮编：</w:t>
      </w:r>
      <w:r>
        <w:rPr>
          <w:rFonts w:hint="eastAsia" w:asciiTheme="minorEastAsia" w:hAnsiTheme="minorEastAsia" w:eastAsiaTheme="minorEastAsia" w:cstheme="minorEastAsia"/>
          <w:color w:val="auto"/>
          <w:spacing w:val="-3"/>
          <w:sz w:val="21"/>
          <w:szCs w:val="21"/>
          <w:u w:val="single" w:color="auto"/>
        </w:rPr>
        <w:t xml:space="preserve">           </w:t>
      </w:r>
      <w:r>
        <w:rPr>
          <w:rFonts w:hint="eastAsia" w:asciiTheme="minorEastAsia" w:hAnsiTheme="minorEastAsia" w:eastAsiaTheme="minorEastAsia" w:cstheme="minorEastAsia"/>
          <w:color w:val="auto"/>
          <w:sz w:val="21"/>
          <w:szCs w:val="21"/>
        </w:rPr>
        <w:t xml:space="preserve"> </w:t>
      </w:r>
      <w:r>
        <w:rPr>
          <w:rFonts w:hint="eastAsia" w:asciiTheme="minorEastAsia" w:hAnsiTheme="minorEastAsia" w:eastAsiaTheme="minorEastAsia" w:cstheme="minorEastAsia"/>
          <w:color w:val="auto"/>
          <w:spacing w:val="-1"/>
          <w:sz w:val="21"/>
          <w:szCs w:val="21"/>
        </w:rPr>
        <w:t>联系人：</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pacing w:val="-105"/>
          <w:sz w:val="21"/>
          <w:szCs w:val="21"/>
        </w:rPr>
        <w:t xml:space="preserve"> </w:t>
      </w:r>
      <w:r>
        <w:rPr>
          <w:rFonts w:hint="eastAsia" w:asciiTheme="minorEastAsia" w:hAnsiTheme="minorEastAsia" w:eastAsiaTheme="minorEastAsia" w:cstheme="minorEastAsia"/>
          <w:color w:val="auto"/>
          <w:spacing w:val="-1"/>
          <w:sz w:val="21"/>
          <w:szCs w:val="21"/>
        </w:rPr>
        <w:t>联系电话：</w:t>
      </w:r>
      <w:r>
        <w:rPr>
          <w:rFonts w:hint="eastAsia" w:asciiTheme="minorEastAsia" w:hAnsiTheme="minorEastAsia" w:eastAsiaTheme="minorEastAsia" w:cstheme="minorEastAsia"/>
          <w:color w:val="auto"/>
          <w:spacing w:val="-1"/>
          <w:sz w:val="21"/>
          <w:szCs w:val="21"/>
          <w:u w:val="single" w:color="auto"/>
        </w:rPr>
        <w:t xml:space="preserve">       </w:t>
      </w:r>
    </w:p>
    <w:p w14:paraId="3EDD6A54">
      <w:pPr>
        <w:spacing w:before="33" w:line="219" w:lineRule="auto"/>
        <w:outlineLvl w:val="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7"/>
          <w:sz w:val="21"/>
          <w:szCs w:val="21"/>
        </w:rPr>
        <w:t>二、投诉项目基本情况：</w:t>
      </w:r>
    </w:p>
    <w:p w14:paraId="2DE6870E">
      <w:pPr>
        <w:spacing w:before="182" w:line="346" w:lineRule="auto"/>
        <w:rPr>
          <w:rFonts w:hint="eastAsia" w:asciiTheme="minorEastAsia" w:hAnsiTheme="minorEastAsia" w:eastAsiaTheme="minorEastAsia" w:cstheme="minorEastAsia"/>
          <w:color w:val="auto"/>
          <w:spacing w:val="15"/>
          <w:sz w:val="21"/>
          <w:szCs w:val="21"/>
        </w:rPr>
      </w:pPr>
      <w:r>
        <w:rPr>
          <w:rFonts w:hint="eastAsia" w:asciiTheme="minorEastAsia" w:hAnsiTheme="minorEastAsia" w:eastAsiaTheme="minorEastAsia" w:cstheme="minorEastAsia"/>
          <w:color w:val="auto"/>
          <w:spacing w:val="-1"/>
          <w:sz w:val="21"/>
          <w:szCs w:val="21"/>
        </w:rPr>
        <w:t>采购项目的名称：</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pacing w:val="15"/>
          <w:sz w:val="21"/>
          <w:szCs w:val="21"/>
        </w:rPr>
        <w:t xml:space="preserve"> </w:t>
      </w:r>
    </w:p>
    <w:p w14:paraId="268CAA89">
      <w:pPr>
        <w:spacing w:before="182" w:line="346"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采购项目的编号：</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pacing w:val="15"/>
          <w:sz w:val="21"/>
          <w:szCs w:val="21"/>
        </w:rPr>
        <w:t xml:space="preserve"> </w:t>
      </w:r>
    </w:p>
    <w:p w14:paraId="0CB5BDF5">
      <w:pPr>
        <w:tabs>
          <w:tab w:val="left" w:pos="8710"/>
        </w:tabs>
        <w:spacing w:before="30" w:line="353" w:lineRule="auto"/>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采购人名称：</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pacing w:val="15"/>
          <w:sz w:val="21"/>
          <w:szCs w:val="21"/>
        </w:rPr>
        <w:t xml:space="preserve"> </w:t>
      </w:r>
    </w:p>
    <w:p w14:paraId="367C49DC">
      <w:pPr>
        <w:tabs>
          <w:tab w:val="left" w:pos="8710"/>
        </w:tabs>
        <w:spacing w:before="30" w:line="353" w:lineRule="auto"/>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代理机构名称：</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pacing w:val="15"/>
          <w:sz w:val="21"/>
          <w:szCs w:val="21"/>
        </w:rPr>
        <w:t xml:space="preserve"> </w:t>
      </w:r>
    </w:p>
    <w:p w14:paraId="27AD06D9">
      <w:pPr>
        <w:tabs>
          <w:tab w:val="left" w:pos="8710"/>
        </w:tabs>
        <w:spacing w:before="30" w:line="353" w:lineRule="auto"/>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采购文件公告：</w:t>
      </w:r>
      <w:r>
        <w:rPr>
          <w:rFonts w:hint="eastAsia" w:asciiTheme="minorEastAsia" w:hAnsiTheme="minorEastAsia" w:eastAsiaTheme="minorEastAsia" w:cstheme="minorEastAsia"/>
          <w:color w:val="auto"/>
          <w:spacing w:val="-1"/>
          <w:sz w:val="21"/>
          <w:szCs w:val="21"/>
          <w:u w:val="single" w:color="auto"/>
        </w:rPr>
        <w:t>是/否</w:t>
      </w:r>
      <w:r>
        <w:rPr>
          <w:rFonts w:hint="eastAsia" w:asciiTheme="minorEastAsia" w:hAnsiTheme="minorEastAsia" w:eastAsiaTheme="minorEastAsia" w:cstheme="minorEastAsia"/>
          <w:color w:val="auto"/>
          <w:spacing w:val="-1"/>
          <w:sz w:val="21"/>
          <w:szCs w:val="21"/>
        </w:rPr>
        <w:t>公告期限：</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pacing w:val="15"/>
          <w:sz w:val="21"/>
          <w:szCs w:val="21"/>
        </w:rPr>
        <w:t xml:space="preserve"> </w:t>
      </w:r>
    </w:p>
    <w:p w14:paraId="2318897B">
      <w:pPr>
        <w:tabs>
          <w:tab w:val="left" w:pos="8710"/>
        </w:tabs>
        <w:spacing w:before="30" w:line="353" w:lineRule="auto"/>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rPr>
        <w:t>采购结果公告：</w:t>
      </w:r>
      <w:r>
        <w:rPr>
          <w:rFonts w:hint="eastAsia" w:asciiTheme="minorEastAsia" w:hAnsiTheme="minorEastAsia" w:eastAsiaTheme="minorEastAsia" w:cstheme="minorEastAsia"/>
          <w:color w:val="auto"/>
          <w:spacing w:val="-1"/>
          <w:sz w:val="21"/>
          <w:szCs w:val="21"/>
          <w:u w:val="single" w:color="auto"/>
        </w:rPr>
        <w:t>是/否</w:t>
      </w:r>
      <w:r>
        <w:rPr>
          <w:rFonts w:hint="eastAsia" w:asciiTheme="minorEastAsia" w:hAnsiTheme="minorEastAsia" w:eastAsiaTheme="minorEastAsia" w:cstheme="minorEastAsia"/>
          <w:color w:val="auto"/>
          <w:spacing w:val="-1"/>
          <w:sz w:val="21"/>
          <w:szCs w:val="21"/>
        </w:rPr>
        <w:t>公告期限：</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pacing w:val="15"/>
          <w:sz w:val="21"/>
          <w:szCs w:val="21"/>
        </w:rPr>
        <w:t xml:space="preserve"> </w:t>
      </w:r>
    </w:p>
    <w:p w14:paraId="09623E1D">
      <w:pPr>
        <w:spacing w:before="35" w:line="219" w:lineRule="auto"/>
        <w:outlineLvl w:val="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3"/>
          <w:sz w:val="21"/>
          <w:szCs w:val="21"/>
        </w:rPr>
        <w:t>三、质疑基本情况</w:t>
      </w:r>
    </w:p>
    <w:p w14:paraId="6BFFF49A">
      <w:pPr>
        <w:spacing w:line="481" w:lineRule="exact"/>
        <w:rPr>
          <w:rFonts w:hint="eastAsia" w:asciiTheme="minorEastAsia" w:hAnsiTheme="minorEastAsia" w:eastAsiaTheme="minorEastAsia" w:cstheme="minorEastAsia"/>
          <w:color w:val="auto"/>
          <w:spacing w:val="-8"/>
          <w:sz w:val="21"/>
          <w:szCs w:val="21"/>
          <w:u w:val="single"/>
          <w:lang w:val="en-US" w:eastAsia="zh-CN"/>
        </w:rPr>
      </w:pPr>
      <w:r>
        <w:rPr>
          <w:rFonts w:hint="eastAsia" w:asciiTheme="minorEastAsia" w:hAnsiTheme="minorEastAsia" w:eastAsiaTheme="minorEastAsia" w:cstheme="minorEastAsia"/>
          <w:color w:val="auto"/>
          <w:spacing w:val="-8"/>
          <w:sz w:val="21"/>
          <w:szCs w:val="21"/>
        </w:rPr>
        <w:t>投诉人于</w:t>
      </w:r>
      <w:r>
        <w:rPr>
          <w:rFonts w:hint="eastAsia" w:asciiTheme="minorEastAsia" w:hAnsiTheme="minorEastAsia" w:eastAsiaTheme="minorEastAsia" w:cstheme="minorEastAsia"/>
          <w:color w:val="auto"/>
          <w:spacing w:val="-118"/>
          <w:sz w:val="21"/>
          <w:szCs w:val="21"/>
        </w:rPr>
        <w:t xml:space="preserve"> </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pacing w:val="-8"/>
          <w:sz w:val="21"/>
          <w:szCs w:val="21"/>
        </w:rPr>
        <w:t>年</w:t>
      </w:r>
      <w:r>
        <w:rPr>
          <w:rFonts w:hint="eastAsia" w:asciiTheme="minorEastAsia" w:hAnsiTheme="minorEastAsia" w:eastAsiaTheme="minorEastAsia" w:cstheme="minorEastAsia"/>
          <w:color w:val="auto"/>
          <w:spacing w:val="-118"/>
          <w:sz w:val="21"/>
          <w:szCs w:val="21"/>
        </w:rPr>
        <w:t xml:space="preserve"> </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pacing w:val="-8"/>
          <w:sz w:val="21"/>
          <w:szCs w:val="21"/>
        </w:rPr>
        <w:t>月</w:t>
      </w:r>
      <w:r>
        <w:rPr>
          <w:rFonts w:hint="eastAsia" w:asciiTheme="minorEastAsia" w:hAnsiTheme="minorEastAsia" w:eastAsiaTheme="minorEastAsia" w:cstheme="minorEastAsia"/>
          <w:color w:val="auto"/>
          <w:spacing w:val="-8"/>
          <w:sz w:val="21"/>
          <w:szCs w:val="21"/>
          <w:u w:val="single" w:color="auto"/>
        </w:rPr>
        <w:t xml:space="preserve">   </w:t>
      </w:r>
      <w:r>
        <w:rPr>
          <w:rFonts w:hint="eastAsia" w:asciiTheme="minorEastAsia" w:hAnsiTheme="minorEastAsia" w:eastAsiaTheme="minorEastAsia" w:cstheme="minorEastAsia"/>
          <w:color w:val="auto"/>
          <w:spacing w:val="-8"/>
          <w:sz w:val="21"/>
          <w:szCs w:val="21"/>
        </w:rPr>
        <w:t>日，向</w:t>
      </w:r>
      <w:r>
        <w:rPr>
          <w:rFonts w:hint="eastAsia" w:asciiTheme="minorEastAsia" w:hAnsiTheme="minorEastAsia" w:eastAsiaTheme="minorEastAsia" w:cstheme="minorEastAsia"/>
          <w:color w:val="auto"/>
          <w:spacing w:val="-91"/>
          <w:sz w:val="21"/>
          <w:szCs w:val="21"/>
        </w:rPr>
        <w:t xml:space="preserve"> </w:t>
      </w:r>
      <w:r>
        <w:rPr>
          <w:rFonts w:hint="eastAsia" w:asciiTheme="minorEastAsia" w:hAnsiTheme="minorEastAsia" w:eastAsiaTheme="minorEastAsia" w:cstheme="minorEastAsia"/>
          <w:color w:val="auto"/>
          <w:spacing w:val="1"/>
          <w:sz w:val="21"/>
          <w:szCs w:val="21"/>
          <w:u w:val="single" w:color="auto"/>
        </w:rPr>
        <w:t xml:space="preserve">                                </w:t>
      </w:r>
      <w:r>
        <w:rPr>
          <w:rFonts w:hint="eastAsia" w:asciiTheme="minorEastAsia" w:hAnsiTheme="minorEastAsia" w:eastAsiaTheme="minorEastAsia" w:cstheme="minorEastAsia"/>
          <w:color w:val="auto"/>
          <w:spacing w:val="-8"/>
          <w:sz w:val="21"/>
          <w:szCs w:val="21"/>
        </w:rPr>
        <w:t>提出质疑，质疑事项为：</w:t>
      </w:r>
      <w:r>
        <w:rPr>
          <w:rFonts w:hint="eastAsia" w:asciiTheme="minorEastAsia" w:hAnsiTheme="minorEastAsia" w:eastAsiaTheme="minorEastAsia" w:cstheme="minorEastAsia"/>
          <w:color w:val="auto"/>
          <w:spacing w:val="-8"/>
          <w:sz w:val="21"/>
          <w:szCs w:val="21"/>
          <w:u w:val="single"/>
          <w:lang w:val="en-US" w:eastAsia="zh-CN"/>
        </w:rPr>
        <w:t xml:space="preserve">    </w:t>
      </w:r>
    </w:p>
    <w:p w14:paraId="2ED7F57B">
      <w:pPr>
        <w:spacing w:line="481" w:lineRule="exact"/>
        <w:rPr>
          <w:rFonts w:hint="eastAsia" w:asciiTheme="minorEastAsia" w:hAnsiTheme="minorEastAsia" w:eastAsiaTheme="minorEastAsia" w:cstheme="minorEastAsia"/>
          <w:color w:val="auto"/>
          <w:spacing w:val="1"/>
          <w:sz w:val="21"/>
          <w:szCs w:val="21"/>
          <w:u w:val="single" w:color="auto"/>
        </w:rPr>
      </w:pPr>
      <w:r>
        <w:rPr>
          <w:rFonts w:hint="eastAsia" w:asciiTheme="minorEastAsia" w:hAnsiTheme="minorEastAsia" w:eastAsiaTheme="minorEastAsia" w:cstheme="minorEastAsia"/>
          <w:color w:val="auto"/>
          <w:spacing w:val="1"/>
          <w:sz w:val="21"/>
          <w:szCs w:val="21"/>
          <w:u w:val="single" w:color="auto"/>
        </w:rPr>
        <w:t xml:space="preserve">                                                    </w:t>
      </w:r>
    </w:p>
    <w:p w14:paraId="2C44E1BD">
      <w:pPr>
        <w:spacing w:line="481" w:lineRule="exact"/>
        <w:rPr>
          <w:rFonts w:hint="default" w:asciiTheme="minorEastAsia" w:hAnsiTheme="minorEastAsia" w:eastAsiaTheme="minorEastAsia" w:cstheme="minorEastAsia"/>
          <w:color w:val="auto"/>
          <w:spacing w:val="1"/>
          <w:sz w:val="21"/>
          <w:szCs w:val="21"/>
          <w:u w:val="single" w:color="auto"/>
          <w:lang w:val="en-US" w:eastAsia="zh-CN"/>
        </w:rPr>
      </w:pPr>
      <w:r>
        <w:rPr>
          <w:rFonts w:hint="eastAsia" w:asciiTheme="minorEastAsia" w:hAnsiTheme="minorEastAsia" w:eastAsiaTheme="minorEastAsia" w:cstheme="minorEastAsia"/>
          <w:color w:val="auto"/>
          <w:spacing w:val="1"/>
          <w:sz w:val="21"/>
          <w:szCs w:val="21"/>
          <w:u w:val="single" w:color="auto"/>
        </w:rPr>
        <w:t xml:space="preserve">                                                    </w:t>
      </w:r>
    </w:p>
    <w:p w14:paraId="2BD70089">
      <w:pPr>
        <w:spacing w:before="215" w:line="345"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sz w:val="21"/>
          <w:szCs w:val="21"/>
          <w:u w:val="single" w:color="auto"/>
        </w:rPr>
        <w:t>采购人/代理机构</w:t>
      </w:r>
      <w:r>
        <w:rPr>
          <w:rFonts w:hint="eastAsia" w:asciiTheme="minorEastAsia" w:hAnsiTheme="minorEastAsia" w:eastAsiaTheme="minorEastAsia" w:cstheme="minorEastAsia"/>
          <w:color w:val="auto"/>
          <w:spacing w:val="-1"/>
          <w:sz w:val="21"/>
          <w:szCs w:val="21"/>
        </w:rPr>
        <w:t>于</w:t>
      </w:r>
      <w:r>
        <w:rPr>
          <w:rFonts w:hint="eastAsia" w:asciiTheme="minorEastAsia" w:hAnsiTheme="minorEastAsia" w:eastAsiaTheme="minorEastAsia" w:cstheme="minorEastAsia"/>
          <w:color w:val="auto"/>
          <w:spacing w:val="-118"/>
          <w:sz w:val="21"/>
          <w:szCs w:val="21"/>
        </w:rPr>
        <w:t xml:space="preserve"> </w:t>
      </w:r>
      <w:r>
        <w:rPr>
          <w:rFonts w:hint="eastAsia" w:asciiTheme="minorEastAsia" w:hAnsiTheme="minorEastAsia" w:eastAsiaTheme="minorEastAsia" w:cstheme="minorEastAsia"/>
          <w:color w:val="auto"/>
          <w:spacing w:val="2"/>
          <w:sz w:val="21"/>
          <w:szCs w:val="21"/>
          <w:u w:val="single" w:color="auto"/>
        </w:rPr>
        <w:t xml:space="preserve">      </w:t>
      </w:r>
      <w:r>
        <w:rPr>
          <w:rFonts w:hint="eastAsia" w:asciiTheme="minorEastAsia" w:hAnsiTheme="minorEastAsia" w:eastAsiaTheme="minorEastAsia" w:cstheme="minorEastAsia"/>
          <w:color w:val="auto"/>
          <w:spacing w:val="-109"/>
          <w:sz w:val="21"/>
          <w:szCs w:val="21"/>
        </w:rPr>
        <w:t xml:space="preserve"> </w:t>
      </w:r>
      <w:r>
        <w:rPr>
          <w:rFonts w:hint="eastAsia" w:asciiTheme="minorEastAsia" w:hAnsiTheme="minorEastAsia" w:eastAsiaTheme="minorEastAsia" w:cstheme="minorEastAsia"/>
          <w:color w:val="auto"/>
          <w:spacing w:val="-1"/>
          <w:sz w:val="21"/>
          <w:szCs w:val="21"/>
        </w:rPr>
        <w:t>年</w:t>
      </w:r>
      <w:r>
        <w:rPr>
          <w:rFonts w:hint="eastAsia" w:asciiTheme="minorEastAsia" w:hAnsiTheme="minorEastAsia" w:eastAsiaTheme="minorEastAsia" w:cstheme="minorEastAsia"/>
          <w:color w:val="auto"/>
          <w:spacing w:val="-118"/>
          <w:sz w:val="21"/>
          <w:szCs w:val="21"/>
        </w:rPr>
        <w:t xml:space="preserve"> </w:t>
      </w:r>
      <w:r>
        <w:rPr>
          <w:rFonts w:hint="eastAsia" w:asciiTheme="minorEastAsia" w:hAnsiTheme="minorEastAsia" w:eastAsiaTheme="minorEastAsia" w:cstheme="minorEastAsia"/>
          <w:color w:val="auto"/>
          <w:spacing w:val="2"/>
          <w:sz w:val="21"/>
          <w:szCs w:val="21"/>
          <w:u w:val="single" w:color="auto"/>
        </w:rPr>
        <w:t xml:space="preserve">   </w:t>
      </w:r>
      <w:r>
        <w:rPr>
          <w:rFonts w:hint="eastAsia" w:asciiTheme="minorEastAsia" w:hAnsiTheme="minorEastAsia" w:eastAsiaTheme="minorEastAsia" w:cstheme="minorEastAsia"/>
          <w:color w:val="auto"/>
          <w:spacing w:val="-103"/>
          <w:sz w:val="21"/>
          <w:szCs w:val="21"/>
        </w:rPr>
        <w:t xml:space="preserve"> </w:t>
      </w:r>
      <w:r>
        <w:rPr>
          <w:rFonts w:hint="eastAsia" w:asciiTheme="minorEastAsia" w:hAnsiTheme="minorEastAsia" w:eastAsiaTheme="minorEastAsia" w:cstheme="minorEastAsia"/>
          <w:color w:val="auto"/>
          <w:spacing w:val="-1"/>
          <w:sz w:val="21"/>
          <w:szCs w:val="21"/>
        </w:rPr>
        <w:t>月</w:t>
      </w:r>
      <w:r>
        <w:rPr>
          <w:rFonts w:hint="eastAsia" w:asciiTheme="minorEastAsia" w:hAnsiTheme="minorEastAsia" w:eastAsiaTheme="minorEastAsia" w:cstheme="minorEastAsia"/>
          <w:color w:val="auto"/>
          <w:spacing w:val="-118"/>
          <w:sz w:val="21"/>
          <w:szCs w:val="21"/>
        </w:rPr>
        <w:t xml:space="preserve"> </w:t>
      </w:r>
      <w:r>
        <w:rPr>
          <w:rFonts w:hint="eastAsia" w:asciiTheme="minorEastAsia" w:hAnsiTheme="minorEastAsia" w:eastAsiaTheme="minorEastAsia" w:cstheme="minorEastAsia"/>
          <w:color w:val="auto"/>
          <w:spacing w:val="2"/>
          <w:sz w:val="21"/>
          <w:szCs w:val="21"/>
          <w:u w:val="single" w:color="auto"/>
        </w:rPr>
        <w:t xml:space="preserve">   </w:t>
      </w:r>
      <w:r>
        <w:rPr>
          <w:rFonts w:hint="eastAsia" w:asciiTheme="minorEastAsia" w:hAnsiTheme="minorEastAsia" w:eastAsiaTheme="minorEastAsia" w:cstheme="minorEastAsia"/>
          <w:color w:val="auto"/>
          <w:spacing w:val="-68"/>
          <w:sz w:val="21"/>
          <w:szCs w:val="21"/>
        </w:rPr>
        <w:t xml:space="preserve"> </w:t>
      </w:r>
      <w:r>
        <w:rPr>
          <w:rFonts w:hint="eastAsia" w:asciiTheme="minorEastAsia" w:hAnsiTheme="minorEastAsia" w:eastAsiaTheme="minorEastAsia" w:cstheme="minorEastAsia"/>
          <w:color w:val="auto"/>
          <w:spacing w:val="-1"/>
          <w:sz w:val="21"/>
          <w:szCs w:val="21"/>
        </w:rPr>
        <w:t>日，就质疑事项作出了答复/没有</w:t>
      </w:r>
      <w:r>
        <w:rPr>
          <w:rFonts w:hint="eastAsia" w:asciiTheme="minorEastAsia" w:hAnsiTheme="minorEastAsia" w:eastAsiaTheme="minorEastAsia" w:cstheme="minorEastAsia"/>
          <w:color w:val="auto"/>
          <w:spacing w:val="-2"/>
          <w:sz w:val="21"/>
          <w:szCs w:val="21"/>
        </w:rPr>
        <w:t>在法定</w:t>
      </w:r>
      <w:r>
        <w:rPr>
          <w:rFonts w:hint="eastAsia" w:asciiTheme="minorEastAsia" w:hAnsiTheme="minorEastAsia" w:eastAsiaTheme="minorEastAsia" w:cstheme="minorEastAsia"/>
          <w:color w:val="auto"/>
          <w:spacing w:val="-6"/>
          <w:sz w:val="21"/>
          <w:szCs w:val="21"/>
        </w:rPr>
        <w:t>期限内作出答复。</w:t>
      </w:r>
    </w:p>
    <w:p w14:paraId="4A029E75">
      <w:pPr>
        <w:spacing w:before="36" w:line="220" w:lineRule="auto"/>
        <w:outlineLvl w:val="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5"/>
          <w:sz w:val="21"/>
          <w:szCs w:val="21"/>
        </w:rPr>
        <w:t>四、投诉事项具体内容</w:t>
      </w:r>
    </w:p>
    <w:p w14:paraId="40073B3F">
      <w:pPr>
        <w:spacing w:before="181" w:line="346" w:lineRule="auto"/>
        <w:ind w:right="1"/>
        <w:rPr>
          <w:rFonts w:hint="eastAsia" w:asciiTheme="minorEastAsia" w:hAnsiTheme="minorEastAsia" w:eastAsiaTheme="minorEastAsia" w:cstheme="minorEastAsia"/>
          <w:color w:val="auto"/>
          <w:sz w:val="21"/>
          <w:szCs w:val="21"/>
          <w:u w:val="single" w:color="auto"/>
        </w:rPr>
      </w:pPr>
      <w:r>
        <w:rPr>
          <w:rFonts w:hint="eastAsia" w:asciiTheme="minorEastAsia" w:hAnsiTheme="minorEastAsia" w:eastAsiaTheme="minorEastAsia" w:cstheme="minorEastAsia"/>
          <w:color w:val="auto"/>
          <w:spacing w:val="-7"/>
          <w:sz w:val="21"/>
          <w:szCs w:val="21"/>
        </w:rPr>
        <w:t>投诉事项</w:t>
      </w:r>
      <w:r>
        <w:rPr>
          <w:rFonts w:hint="eastAsia" w:asciiTheme="minorEastAsia" w:hAnsiTheme="minorEastAsia" w:eastAsiaTheme="minorEastAsia" w:cstheme="minorEastAsia"/>
          <w:color w:val="auto"/>
          <w:spacing w:val="-31"/>
          <w:sz w:val="21"/>
          <w:szCs w:val="21"/>
        </w:rPr>
        <w:t xml:space="preserve"> </w:t>
      </w:r>
      <w:r>
        <w:rPr>
          <w:rFonts w:hint="eastAsia" w:asciiTheme="minorEastAsia" w:hAnsiTheme="minorEastAsia" w:eastAsiaTheme="minorEastAsia" w:cstheme="minorEastAsia"/>
          <w:color w:val="auto"/>
          <w:spacing w:val="-7"/>
          <w:sz w:val="21"/>
          <w:szCs w:val="21"/>
        </w:rPr>
        <w:t>1：</w:t>
      </w:r>
      <w:r>
        <w:rPr>
          <w:rFonts w:hint="eastAsia" w:asciiTheme="minorEastAsia" w:hAnsiTheme="minorEastAsia" w:eastAsiaTheme="minorEastAsia" w:cstheme="minorEastAsia"/>
          <w:color w:val="auto"/>
          <w:sz w:val="21"/>
          <w:szCs w:val="21"/>
          <w:u w:val="single" w:color="auto"/>
        </w:rPr>
        <w:t xml:space="preserve">                                             </w:t>
      </w:r>
    </w:p>
    <w:p w14:paraId="34FE8DFE">
      <w:pPr>
        <w:spacing w:before="181" w:line="346" w:lineRule="auto"/>
        <w:ind w:right="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事实依据：</w:t>
      </w:r>
      <w:r>
        <w:rPr>
          <w:rFonts w:hint="eastAsia" w:asciiTheme="minorEastAsia" w:hAnsiTheme="minorEastAsia" w:eastAsiaTheme="minorEastAsia" w:cstheme="minorEastAsia"/>
          <w:color w:val="auto"/>
          <w:sz w:val="21"/>
          <w:szCs w:val="21"/>
          <w:u w:val="single" w:color="auto"/>
        </w:rPr>
        <w:t xml:space="preserve">                                             </w:t>
      </w:r>
    </w:p>
    <w:p w14:paraId="04187960">
      <w:pPr>
        <w:spacing w:before="177" w:line="219"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2"/>
          <w:sz w:val="21"/>
          <w:szCs w:val="21"/>
        </w:rPr>
        <w:t xml:space="preserve">法律依据： </w:t>
      </w:r>
      <w:r>
        <w:rPr>
          <w:rFonts w:hint="eastAsia" w:asciiTheme="minorEastAsia" w:hAnsiTheme="minorEastAsia" w:eastAsiaTheme="minorEastAsia" w:cstheme="minorEastAsia"/>
          <w:color w:val="auto"/>
          <w:sz w:val="21"/>
          <w:szCs w:val="21"/>
          <w:u w:val="single" w:color="auto"/>
        </w:rPr>
        <w:t xml:space="preserve">                                                          </w:t>
      </w:r>
    </w:p>
    <w:p w14:paraId="305B8F35">
      <w:pPr>
        <w:tabs>
          <w:tab w:val="left" w:pos="8712"/>
        </w:tabs>
        <w:spacing w:before="23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u w:val="single" w:color="auto"/>
        </w:rPr>
        <w:tab/>
      </w:r>
    </w:p>
    <w:p w14:paraId="1A39D8E8">
      <w:pPr>
        <w:spacing w:before="178" w:line="359" w:lineRule="auto"/>
        <w:ind w:right="709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5"/>
          <w:sz w:val="21"/>
          <w:szCs w:val="21"/>
        </w:rPr>
        <w:t>投诉事项</w:t>
      </w:r>
      <w:r>
        <w:rPr>
          <w:rFonts w:hint="eastAsia" w:asciiTheme="minorEastAsia" w:hAnsiTheme="minorEastAsia" w:eastAsiaTheme="minorEastAsia" w:cstheme="minorEastAsia"/>
          <w:color w:val="auto"/>
          <w:spacing w:val="-48"/>
          <w:sz w:val="21"/>
          <w:szCs w:val="21"/>
        </w:rPr>
        <w:t xml:space="preserve"> </w:t>
      </w:r>
      <w:r>
        <w:rPr>
          <w:rFonts w:hint="eastAsia" w:asciiTheme="minorEastAsia" w:hAnsiTheme="minorEastAsia" w:eastAsiaTheme="minorEastAsia" w:cstheme="minorEastAsia"/>
          <w:color w:val="auto"/>
          <w:spacing w:val="-5"/>
          <w:sz w:val="21"/>
          <w:szCs w:val="21"/>
        </w:rPr>
        <w:t>2</w:t>
      </w:r>
      <w:r>
        <w:rPr>
          <w:rFonts w:hint="eastAsia" w:asciiTheme="minorEastAsia" w:hAnsiTheme="minorEastAsia" w:eastAsiaTheme="minorEastAsia" w:cstheme="minorEastAsia"/>
          <w:color w:val="auto"/>
          <w:sz w:val="21"/>
          <w:szCs w:val="21"/>
        </w:rPr>
        <w:t xml:space="preserve"> </w:t>
      </w:r>
      <w:r>
        <w:rPr>
          <w:rFonts w:hint="eastAsia" w:asciiTheme="minorEastAsia" w:hAnsiTheme="minorEastAsia" w:eastAsiaTheme="minorEastAsia" w:cstheme="minorEastAsia"/>
          <w:color w:val="auto"/>
          <w:spacing w:val="-7"/>
          <w:sz w:val="21"/>
          <w:szCs w:val="21"/>
        </w:rPr>
        <w:t>……</w:t>
      </w:r>
    </w:p>
    <w:p w14:paraId="335C2332">
      <w:pPr>
        <w:spacing w:line="220" w:lineRule="auto"/>
        <w:outlineLvl w:val="1"/>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5"/>
          <w:sz w:val="21"/>
          <w:szCs w:val="21"/>
        </w:rPr>
        <w:t>五、与投诉事项相关的投诉请求：</w:t>
      </w:r>
    </w:p>
    <w:p w14:paraId="768A2E0D">
      <w:pPr>
        <w:spacing w:before="180" w:line="22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3"/>
          <w:sz w:val="21"/>
          <w:szCs w:val="21"/>
        </w:rPr>
        <w:t>请求：</w:t>
      </w:r>
      <w:r>
        <w:rPr>
          <w:rFonts w:hint="eastAsia" w:asciiTheme="minorEastAsia" w:hAnsiTheme="minorEastAsia" w:eastAsiaTheme="minorEastAsia" w:cstheme="minorEastAsia"/>
          <w:color w:val="auto"/>
          <w:sz w:val="21"/>
          <w:szCs w:val="21"/>
          <w:u w:val="single" w:color="auto"/>
        </w:rPr>
        <w:t xml:space="preserve">                                                               </w:t>
      </w:r>
    </w:p>
    <w:p w14:paraId="1147D338">
      <w:pPr>
        <w:spacing w:line="282" w:lineRule="auto"/>
        <w:rPr>
          <w:rFonts w:hint="eastAsia" w:asciiTheme="minorEastAsia" w:hAnsiTheme="minorEastAsia" w:eastAsiaTheme="minorEastAsia" w:cstheme="minorEastAsia"/>
          <w:color w:val="auto"/>
          <w:sz w:val="21"/>
          <w:szCs w:val="21"/>
        </w:rPr>
      </w:pPr>
    </w:p>
    <w:p w14:paraId="713F904C">
      <w:pPr>
        <w:spacing w:line="283" w:lineRule="auto"/>
        <w:rPr>
          <w:rFonts w:hint="eastAsia" w:asciiTheme="minorEastAsia" w:hAnsiTheme="minorEastAsia" w:eastAsiaTheme="minorEastAsia" w:cstheme="minorEastAsia"/>
          <w:color w:val="auto"/>
          <w:sz w:val="21"/>
          <w:szCs w:val="21"/>
        </w:rPr>
      </w:pPr>
    </w:p>
    <w:p w14:paraId="784807B5">
      <w:pPr>
        <w:spacing w:before="78" w:line="219" w:lineRule="auto"/>
        <w:ind w:left="493"/>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8"/>
          <w:sz w:val="21"/>
          <w:szCs w:val="21"/>
        </w:rPr>
        <w:t>签字（签章</w:t>
      </w:r>
      <w:r>
        <w:rPr>
          <w:rFonts w:hint="eastAsia" w:asciiTheme="minorEastAsia" w:hAnsiTheme="minorEastAsia" w:eastAsiaTheme="minorEastAsia" w:cstheme="minorEastAsia"/>
          <w:color w:val="auto"/>
          <w:spacing w:val="2"/>
          <w:sz w:val="21"/>
          <w:szCs w:val="21"/>
        </w:rPr>
        <w:t>）：</w:t>
      </w:r>
      <w:r>
        <w:rPr>
          <w:rFonts w:hint="eastAsia" w:asciiTheme="minorEastAsia" w:hAnsiTheme="minorEastAsia" w:eastAsiaTheme="minorEastAsia" w:cstheme="minorEastAsia"/>
          <w:color w:val="auto"/>
          <w:spacing w:val="1"/>
          <w:sz w:val="21"/>
          <w:szCs w:val="21"/>
        </w:rPr>
        <w:t xml:space="preserve">                   </w:t>
      </w:r>
      <w:r>
        <w:rPr>
          <w:rFonts w:hint="eastAsia" w:asciiTheme="minorEastAsia" w:hAnsiTheme="minorEastAsia" w:eastAsiaTheme="minorEastAsia" w:cstheme="minorEastAsia"/>
          <w:color w:val="auto"/>
          <w:sz w:val="21"/>
          <w:szCs w:val="21"/>
        </w:rPr>
        <w:t xml:space="preserve">                    </w:t>
      </w:r>
      <w:r>
        <w:rPr>
          <w:rFonts w:hint="eastAsia" w:asciiTheme="minorEastAsia" w:hAnsiTheme="minorEastAsia" w:eastAsiaTheme="minorEastAsia" w:cstheme="minorEastAsia"/>
          <w:color w:val="auto"/>
          <w:spacing w:val="-8"/>
          <w:sz w:val="21"/>
          <w:szCs w:val="21"/>
        </w:rPr>
        <w:t>公章：</w:t>
      </w:r>
    </w:p>
    <w:p w14:paraId="0903DC9E">
      <w:pPr>
        <w:spacing w:line="285" w:lineRule="auto"/>
        <w:rPr>
          <w:rFonts w:hint="eastAsia" w:asciiTheme="minorEastAsia" w:hAnsiTheme="minorEastAsia" w:eastAsiaTheme="minorEastAsia" w:cstheme="minorEastAsia"/>
          <w:color w:val="auto"/>
          <w:sz w:val="21"/>
          <w:szCs w:val="21"/>
        </w:rPr>
      </w:pPr>
    </w:p>
    <w:p w14:paraId="26620EB7">
      <w:pPr>
        <w:spacing w:line="285" w:lineRule="auto"/>
        <w:rPr>
          <w:rFonts w:hint="eastAsia" w:asciiTheme="minorEastAsia" w:hAnsiTheme="minorEastAsia" w:eastAsiaTheme="minorEastAsia" w:cstheme="minorEastAsia"/>
          <w:color w:val="auto"/>
          <w:sz w:val="21"/>
          <w:szCs w:val="21"/>
        </w:rPr>
      </w:pPr>
    </w:p>
    <w:p w14:paraId="5077D951">
      <w:pPr>
        <w:spacing w:before="79" w:line="220" w:lineRule="auto"/>
        <w:ind w:left="535"/>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pacing w:val="-24"/>
          <w:sz w:val="21"/>
          <w:szCs w:val="21"/>
        </w:rPr>
        <w:t>日期：</w:t>
      </w:r>
      <w:r>
        <w:rPr>
          <w:rFonts w:hint="eastAsia" w:asciiTheme="minorEastAsia" w:hAnsiTheme="minorEastAsia" w:eastAsiaTheme="minorEastAsia" w:cstheme="minorEastAsia"/>
          <w:color w:val="auto"/>
          <w:spacing w:val="-24"/>
          <w:sz w:val="21"/>
          <w:szCs w:val="21"/>
          <w:lang w:val="en-US" w:eastAsia="zh-CN"/>
        </w:rPr>
        <w:t xml:space="preserve">  </w:t>
      </w:r>
      <w:r>
        <w:rPr>
          <w:rFonts w:hint="eastAsia" w:asciiTheme="minorEastAsia" w:hAnsiTheme="minorEastAsia" w:eastAsiaTheme="minorEastAsia" w:cstheme="minorEastAsia"/>
          <w:color w:val="auto"/>
          <w:spacing w:val="-24"/>
          <w:sz w:val="21"/>
          <w:szCs w:val="21"/>
          <w:lang w:eastAsia="zh-CN"/>
        </w:rPr>
        <w:t>年</w:t>
      </w:r>
      <w:r>
        <w:rPr>
          <w:rFonts w:hint="eastAsia" w:asciiTheme="minorEastAsia" w:hAnsiTheme="minorEastAsia" w:eastAsiaTheme="minorEastAsia" w:cstheme="minorEastAsia"/>
          <w:color w:val="auto"/>
          <w:spacing w:val="-24"/>
          <w:sz w:val="21"/>
          <w:szCs w:val="21"/>
          <w:lang w:val="en-US" w:eastAsia="zh-CN"/>
        </w:rPr>
        <w:t xml:space="preserve">   </w:t>
      </w:r>
      <w:r>
        <w:rPr>
          <w:rFonts w:hint="eastAsia" w:asciiTheme="minorEastAsia" w:hAnsiTheme="minorEastAsia" w:eastAsiaTheme="minorEastAsia" w:cstheme="minorEastAsia"/>
          <w:color w:val="auto"/>
          <w:spacing w:val="-24"/>
          <w:sz w:val="21"/>
          <w:szCs w:val="21"/>
          <w:lang w:eastAsia="zh-CN"/>
        </w:rPr>
        <w:t>月</w:t>
      </w:r>
      <w:r>
        <w:rPr>
          <w:rFonts w:hint="eastAsia" w:asciiTheme="minorEastAsia" w:hAnsiTheme="minorEastAsia" w:eastAsiaTheme="minorEastAsia" w:cstheme="minorEastAsia"/>
          <w:color w:val="auto"/>
          <w:spacing w:val="-24"/>
          <w:sz w:val="21"/>
          <w:szCs w:val="21"/>
          <w:lang w:val="en-US" w:eastAsia="zh-CN"/>
        </w:rPr>
        <w:t xml:space="preserve">   </w:t>
      </w:r>
      <w:r>
        <w:rPr>
          <w:rFonts w:hint="eastAsia" w:asciiTheme="minorEastAsia" w:hAnsiTheme="minorEastAsia" w:eastAsiaTheme="minorEastAsia" w:cstheme="minorEastAsia"/>
          <w:color w:val="auto"/>
          <w:spacing w:val="-24"/>
          <w:sz w:val="21"/>
          <w:szCs w:val="21"/>
          <w:lang w:eastAsia="zh-CN"/>
        </w:rPr>
        <w:t>日</w:t>
      </w:r>
    </w:p>
    <w:p w14:paraId="481E77F0">
      <w:pPr>
        <w:spacing w:line="282" w:lineRule="auto"/>
        <w:rPr>
          <w:rFonts w:hint="eastAsia" w:asciiTheme="minorEastAsia" w:hAnsiTheme="minorEastAsia" w:eastAsiaTheme="minorEastAsia" w:cstheme="minorEastAsia"/>
          <w:color w:val="auto"/>
          <w:sz w:val="21"/>
          <w:szCs w:val="21"/>
        </w:rPr>
      </w:pPr>
    </w:p>
    <w:p w14:paraId="1556A3C4">
      <w:pPr>
        <w:spacing w:line="283" w:lineRule="auto"/>
        <w:rPr>
          <w:rFonts w:hint="eastAsia" w:asciiTheme="minorEastAsia" w:hAnsiTheme="minorEastAsia" w:eastAsiaTheme="minorEastAsia" w:cstheme="minorEastAsia"/>
          <w:color w:val="auto"/>
          <w:sz w:val="21"/>
          <w:szCs w:val="21"/>
        </w:rPr>
      </w:pPr>
    </w:p>
    <w:p w14:paraId="1E759EEC">
      <w:pPr>
        <w:spacing w:before="78" w:line="220" w:lineRule="auto"/>
        <w:ind w:left="23"/>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16"/>
          <w:sz w:val="21"/>
          <w:szCs w:val="21"/>
        </w:rPr>
        <w:t>说明：</w:t>
      </w:r>
    </w:p>
    <w:p w14:paraId="08C2A62F">
      <w:pPr>
        <w:spacing w:before="181" w:line="346" w:lineRule="auto"/>
        <w:ind w:left="23" w:right="4" w:firstLine="370"/>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5"/>
          <w:sz w:val="21"/>
          <w:szCs w:val="21"/>
        </w:rPr>
        <w:t>1.投诉人提起投诉时，应当提交投诉书和必要的证明材料，并按照被投诉人和与</w:t>
      </w:r>
      <w:r>
        <w:rPr>
          <w:rFonts w:hint="eastAsia" w:asciiTheme="minorEastAsia" w:hAnsiTheme="minorEastAsia" w:eastAsiaTheme="minorEastAsia" w:cstheme="minorEastAsia"/>
          <w:b/>
          <w:bCs/>
          <w:color w:val="auto"/>
          <w:spacing w:val="-3"/>
          <w:sz w:val="21"/>
          <w:szCs w:val="21"/>
        </w:rPr>
        <w:t>投诉事项有关的供应商数量提供投诉书副本。</w:t>
      </w:r>
    </w:p>
    <w:p w14:paraId="1741A877">
      <w:pPr>
        <w:spacing w:before="35" w:line="350" w:lineRule="auto"/>
        <w:ind w:left="23" w:right="3" w:firstLine="355"/>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4"/>
          <w:sz w:val="21"/>
          <w:szCs w:val="21"/>
        </w:rPr>
        <w:t>2.投诉人若委托代理人进行投诉的，投诉书应</w:t>
      </w:r>
      <w:r>
        <w:rPr>
          <w:rFonts w:hint="eastAsia" w:asciiTheme="minorEastAsia" w:hAnsiTheme="minorEastAsia" w:eastAsiaTheme="minorEastAsia" w:cstheme="minorEastAsia"/>
          <w:b/>
          <w:bCs/>
          <w:color w:val="auto"/>
          <w:spacing w:val="-5"/>
          <w:sz w:val="21"/>
          <w:szCs w:val="21"/>
        </w:rPr>
        <w:t>按要求列明“授权代表”的有关内</w:t>
      </w:r>
      <w:r>
        <w:rPr>
          <w:rFonts w:hint="eastAsia" w:asciiTheme="minorEastAsia" w:hAnsiTheme="minorEastAsia" w:eastAsiaTheme="minorEastAsia" w:cstheme="minorEastAsia"/>
          <w:b/>
          <w:bCs/>
          <w:color w:val="auto"/>
          <w:spacing w:val="-1"/>
          <w:sz w:val="21"/>
          <w:szCs w:val="21"/>
        </w:rPr>
        <w:t>容，并在附件中提交由投诉人签署的授权委托书。授权委托书应</w:t>
      </w:r>
      <w:r>
        <w:rPr>
          <w:rFonts w:hint="eastAsia" w:asciiTheme="minorEastAsia" w:hAnsiTheme="minorEastAsia" w:eastAsiaTheme="minorEastAsia" w:cstheme="minorEastAsia"/>
          <w:b/>
          <w:bCs/>
          <w:color w:val="auto"/>
          <w:spacing w:val="-2"/>
          <w:sz w:val="21"/>
          <w:szCs w:val="21"/>
        </w:rPr>
        <w:t>当载明代理人的姓</w:t>
      </w:r>
      <w:r>
        <w:rPr>
          <w:rFonts w:hint="eastAsia" w:asciiTheme="minorEastAsia" w:hAnsiTheme="minorEastAsia" w:eastAsiaTheme="minorEastAsia" w:cstheme="minorEastAsia"/>
          <w:color w:val="auto"/>
          <w:sz w:val="21"/>
          <w:szCs w:val="21"/>
        </w:rPr>
        <w:t xml:space="preserve"> </w:t>
      </w:r>
      <w:r>
        <w:rPr>
          <w:rFonts w:hint="eastAsia" w:asciiTheme="minorEastAsia" w:hAnsiTheme="minorEastAsia" w:eastAsiaTheme="minorEastAsia" w:cstheme="minorEastAsia"/>
          <w:b/>
          <w:bCs/>
          <w:color w:val="auto"/>
          <w:spacing w:val="-3"/>
          <w:sz w:val="21"/>
          <w:szCs w:val="21"/>
        </w:rPr>
        <w:t>名或者名称、代理事项、具体权限、期限和相关事项。</w:t>
      </w:r>
    </w:p>
    <w:p w14:paraId="76722D7B">
      <w:pPr>
        <w:spacing w:before="37" w:line="344" w:lineRule="auto"/>
        <w:ind w:left="375" w:right="675" w:firstLine="5"/>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3"/>
          <w:sz w:val="21"/>
          <w:szCs w:val="21"/>
        </w:rPr>
        <w:t>3.投诉书应简要列明质疑事项，质疑函、质疑答复等作为附</w:t>
      </w:r>
      <w:r>
        <w:rPr>
          <w:rFonts w:hint="eastAsia" w:asciiTheme="minorEastAsia" w:hAnsiTheme="minorEastAsia" w:eastAsiaTheme="minorEastAsia" w:cstheme="minorEastAsia"/>
          <w:b/>
          <w:bCs/>
          <w:color w:val="auto"/>
          <w:spacing w:val="-4"/>
          <w:sz w:val="21"/>
          <w:szCs w:val="21"/>
        </w:rPr>
        <w:t>件材料提供。</w:t>
      </w:r>
      <w:r>
        <w:rPr>
          <w:rFonts w:hint="eastAsia" w:asciiTheme="minorEastAsia" w:hAnsiTheme="minorEastAsia" w:eastAsiaTheme="minorEastAsia" w:cstheme="minorEastAsia"/>
          <w:color w:val="auto"/>
          <w:sz w:val="21"/>
          <w:szCs w:val="21"/>
        </w:rPr>
        <w:t xml:space="preserve"> </w:t>
      </w:r>
    </w:p>
    <w:p w14:paraId="1366185E">
      <w:pPr>
        <w:spacing w:before="37" w:line="344" w:lineRule="auto"/>
        <w:ind w:left="375" w:right="675" w:firstLine="5"/>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9"/>
          <w:sz w:val="21"/>
          <w:szCs w:val="21"/>
        </w:rPr>
        <w:t>4.投诉书的投诉事项应具体、明确，并有必要的事实依据和法律依据。</w:t>
      </w:r>
    </w:p>
    <w:p w14:paraId="75143752">
      <w:pPr>
        <w:spacing w:before="37" w:line="219" w:lineRule="auto"/>
        <w:ind w:left="381"/>
        <w:jc w:val="both"/>
        <w:outlineLvl w:val="2"/>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4"/>
          <w:sz w:val="21"/>
          <w:szCs w:val="21"/>
        </w:rPr>
        <w:t>5.投诉书的投诉请求应与投诉事项相关。</w:t>
      </w:r>
    </w:p>
    <w:p w14:paraId="153654DA">
      <w:pPr>
        <w:spacing w:before="182" w:line="346" w:lineRule="auto"/>
        <w:ind w:left="20" w:right="4" w:firstLine="358"/>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4"/>
          <w:sz w:val="21"/>
          <w:szCs w:val="21"/>
        </w:rPr>
        <w:t>6.投诉人为法人或者其他组织的，投诉书应由</w:t>
      </w:r>
      <w:r>
        <w:rPr>
          <w:rFonts w:hint="eastAsia" w:asciiTheme="minorEastAsia" w:hAnsiTheme="minorEastAsia" w:eastAsiaTheme="minorEastAsia" w:cstheme="minorEastAsia"/>
          <w:b/>
          <w:bCs/>
          <w:color w:val="auto"/>
          <w:spacing w:val="-5"/>
          <w:sz w:val="21"/>
          <w:szCs w:val="21"/>
        </w:rPr>
        <w:t>法定代表人、主要负责人，或者其</w:t>
      </w:r>
      <w:r>
        <w:rPr>
          <w:rFonts w:hint="eastAsia" w:asciiTheme="minorEastAsia" w:hAnsiTheme="minorEastAsia" w:eastAsiaTheme="minorEastAsia" w:cstheme="minorEastAsia"/>
          <w:b/>
          <w:bCs/>
          <w:color w:val="auto"/>
          <w:spacing w:val="-3"/>
          <w:sz w:val="21"/>
          <w:szCs w:val="21"/>
        </w:rPr>
        <w:t>授权代表签字或者盖章，并加盖公章。</w:t>
      </w:r>
    </w:p>
    <w:sectPr>
      <w:footerReference r:id="rId41" w:type="default"/>
      <w:pgSz w:w="11905" w:h="16838"/>
      <w:pgMar w:top="1417" w:right="1417" w:bottom="1417" w:left="1417" w:header="0" w:footer="1196" w:gutter="0"/>
      <w:pgNumType w:fmt="decimal"/>
      <w:cols w:space="0" w:num="1"/>
      <w:rtlGutter w:val="0"/>
      <w:docGrid w:linePitch="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凌盛所安律师" w:date="2026-10-15T22:27:31Z" w:initials="">
    <w:p w14:paraId="4E8A0603">
      <w:pPr>
        <w:pStyle w:val="5"/>
        <w:rPr>
          <w:rFonts w:hint="default" w:eastAsia="宋体"/>
          <w:lang w:val="en-US" w:eastAsia="zh-CN"/>
        </w:rPr>
      </w:pPr>
      <w:r>
        <w:rPr>
          <w:rFonts w:hint="eastAsia" w:ascii="宋体" w:hAnsi="宋体" w:eastAsia="宋体" w:cs="宋体"/>
          <w:snapToGrid/>
          <w:color w:val="auto"/>
          <w:kern w:val="0"/>
          <w:sz w:val="24"/>
          <w:szCs w:val="24"/>
          <w:lang w:val="en-US" w:eastAsia="zh-CN"/>
        </w:rPr>
        <w:t>1.</w:t>
      </w:r>
      <w:r>
        <w:rPr>
          <w:rFonts w:ascii="宋体" w:hAnsi="宋体" w:eastAsia="宋体" w:cs="宋体"/>
          <w:snapToGrid/>
          <w:color w:val="auto"/>
          <w:kern w:val="0"/>
          <w:sz w:val="24"/>
          <w:szCs w:val="24"/>
        </w:rPr>
        <w:t>降低交付翻新设备、替换设备或质量不合格设备的风险</w:t>
      </w:r>
      <w:r>
        <w:rPr>
          <w:rFonts w:hint="eastAsia" w:ascii="宋体" w:hAnsi="宋体" w:eastAsia="宋体" w:cs="宋体"/>
          <w:snapToGrid/>
          <w:color w:val="auto"/>
          <w:kern w:val="0"/>
          <w:sz w:val="24"/>
          <w:szCs w:val="24"/>
          <w:lang w:eastAsia="zh-CN"/>
        </w:rPr>
        <w:t>；</w:t>
      </w:r>
      <w:r>
        <w:rPr>
          <w:rFonts w:hint="eastAsia" w:ascii="宋体" w:hAnsi="宋体" w:eastAsia="宋体" w:cs="宋体"/>
          <w:snapToGrid/>
          <w:color w:val="auto"/>
          <w:kern w:val="0"/>
          <w:sz w:val="24"/>
          <w:szCs w:val="24"/>
          <w:lang w:val="en-US" w:eastAsia="zh-CN"/>
        </w:rPr>
        <w:t>2.</w:t>
      </w:r>
      <w:r>
        <w:rPr>
          <w:rFonts w:ascii="宋体" w:hAnsi="宋体" w:eastAsia="宋体" w:cs="宋体"/>
          <w:snapToGrid/>
          <w:color w:val="auto"/>
          <w:kern w:val="0"/>
          <w:sz w:val="24"/>
          <w:szCs w:val="24"/>
        </w:rPr>
        <w:t>明确项目资料的交付清单和同步交付要求</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E8A060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01CB15C5-B284-43F5-ACF2-99298C1F3808}"/>
  </w:font>
  <w:font w:name="黑体">
    <w:panose1 w:val="02010609060101010101"/>
    <w:charset w:val="86"/>
    <w:family w:val="auto"/>
    <w:pitch w:val="default"/>
    <w:sig w:usb0="800002BF" w:usb1="38CF7CFA" w:usb2="00000016" w:usb3="00000000" w:csb0="00040001" w:csb1="00000000"/>
    <w:embedRegular r:id="rId2" w:fontKey="{799ECA1E-1A0F-4DE6-B5C3-2691945C2B2F}"/>
  </w:font>
  <w:font w:name="Courier New">
    <w:panose1 w:val="02070309020205020404"/>
    <w:charset w:val="01"/>
    <w:family w:val="modern"/>
    <w:pitch w:val="default"/>
    <w:sig w:usb0="E0002AFF" w:usb1="C0007843" w:usb2="00000009" w:usb3="00000000" w:csb0="400001FF" w:csb1="FFFF0000"/>
    <w:embedRegular r:id="rId3" w:fontKey="{AE83A605-041B-4B57-AA81-B880674C815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embedRegular r:id="rId4" w:fontKey="{A4E19777-112C-4AD9-9F34-4212EB9EE84D}"/>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5" w:fontKey="{1CC60668-0980-4FED-9BDD-958E3CEF9721}"/>
  </w:font>
  <w:font w:name="Wingdings 2">
    <w:panose1 w:val="05020102010507070707"/>
    <w:charset w:val="00"/>
    <w:family w:val="auto"/>
    <w:pitch w:val="default"/>
    <w:sig w:usb0="00000000" w:usb1="00000000" w:usb2="00000000" w:usb3="00000000" w:csb0="80000000" w:csb1="00000000"/>
    <w:embedRegular r:id="rId6" w:fontKey="{FD347D6F-3D5A-4890-8C68-1D90C5837307}"/>
  </w:font>
  <w:font w:name="微软雅黑">
    <w:panose1 w:val="020B0503020204020204"/>
    <w:charset w:val="86"/>
    <w:family w:val="auto"/>
    <w:pitch w:val="default"/>
    <w:sig w:usb0="80000287" w:usb1="280F3C52" w:usb2="00000016" w:usb3="00000000" w:csb0="0004001F" w:csb1="00000000"/>
    <w:embedRegular r:id="rId7" w:fontKey="{37674342-6932-4274-AA7F-BAE3CB92FBA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8B4EB">
    <w:pPr>
      <w:tabs>
        <w:tab w:val="center" w:pos="4153"/>
        <w:tab w:val="right" w:pos="8306"/>
      </w:tabs>
      <w:ind w:right="360"/>
      <w:jc w:val="right"/>
      <w:rPr>
        <w:rFonts w:hAnsi="Times New Roman"/>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5E65C">
    <w:pPr>
      <w:spacing w:line="174" w:lineRule="auto"/>
      <w:ind w:left="412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80C0B4">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4780C0B4">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F32E3">
    <w:pPr>
      <w:spacing w:line="174"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45049F">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3345049F">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D42BD">
    <w:pPr>
      <w:spacing w:line="174" w:lineRule="auto"/>
      <w:ind w:left="427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A894D">
                          <w:pPr>
                            <w:pStyle w:val="11"/>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036A894D">
                    <w:pPr>
                      <w:pStyle w:val="11"/>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3E135">
    <w:pPr>
      <w:spacing w:line="174" w:lineRule="auto"/>
      <w:ind w:left="41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91983D">
                          <w:pPr>
                            <w:pStyle w:val="11"/>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2391983D">
                    <w:pPr>
                      <w:pStyle w:val="11"/>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D86A5">
    <w:pPr>
      <w:spacing w:line="171" w:lineRule="auto"/>
      <w:ind w:left="416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FE970B">
                          <w:pPr>
                            <w:pStyle w:val="11"/>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14:paraId="34FE970B">
                    <w:pPr>
                      <w:pStyle w:val="11"/>
                    </w:pPr>
                    <w:r>
                      <w:fldChar w:fldCharType="begin"/>
                    </w:r>
                    <w:r>
                      <w:instrText xml:space="preserve"> PAGE  \* MERGEFORMAT </w:instrText>
                    </w:r>
                    <w:r>
                      <w:fldChar w:fldCharType="separate"/>
                    </w:r>
                    <w:r>
                      <w:t>44</w:t>
                    </w:r>
                    <w:r>
                      <w:fldChar w:fldCharType="end"/>
                    </w: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9DE070">
                          <w:pPr>
                            <w:pStyle w:val="1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149DE070">
                    <w:pPr>
                      <w:pStyle w:val="11"/>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C90BF">
    <w:pPr>
      <w:spacing w:line="174" w:lineRule="auto"/>
      <w:ind w:left="40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FFE92">
                          <w:pPr>
                            <w:pStyle w:val="11"/>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138FFE92">
                    <w:pPr>
                      <w:pStyle w:val="11"/>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03B1F">
    <w:pPr>
      <w:spacing w:line="174"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8CF265">
                          <w:pPr>
                            <w:pStyle w:val="11"/>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6D8CF265">
                    <w:pPr>
                      <w:pStyle w:val="11"/>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BA36C">
    <w:pPr>
      <w:spacing w:line="174" w:lineRule="auto"/>
      <w:ind w:left="415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FE70C">
                          <w:pPr>
                            <w:pStyle w:val="11"/>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2C7FE70C">
                    <w:pPr>
                      <w:pStyle w:val="11"/>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44A8B">
    <w:pPr>
      <w:spacing w:line="174" w:lineRule="auto"/>
      <w:ind w:left="415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1900D">
                          <w:pPr>
                            <w:pStyle w:val="11"/>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3F71900D">
                    <w:pPr>
                      <w:pStyle w:val="11"/>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04E7A">
    <w:pPr>
      <w:spacing w:line="174"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90F1A">
                          <w:pPr>
                            <w:pStyle w:val="11"/>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21090F1A">
                    <w:pPr>
                      <w:pStyle w:val="11"/>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95DBB">
    <w:pPr>
      <w:spacing w:line="174" w:lineRule="auto"/>
      <w:ind w:left="459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7E7D81">
                          <w:pPr>
                            <w:pStyle w:val="11"/>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047E7D81">
                    <w:pPr>
                      <w:pStyle w:val="11"/>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6F395">
    <w:pPr>
      <w:spacing w:line="174" w:lineRule="auto"/>
      <w:ind w:left="459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9F0793">
                          <w:pPr>
                            <w:pStyle w:val="11"/>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B9F0793">
                    <w:pPr>
                      <w:pStyle w:val="11"/>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A7B78">
    <w:pPr>
      <w:spacing w:line="174" w:lineRule="auto"/>
      <w:ind w:left="415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52F04">
                          <w:pPr>
                            <w:pStyle w:val="11"/>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0C852F04">
                    <w:pPr>
                      <w:pStyle w:val="11"/>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CBD74">
    <w:pPr>
      <w:spacing w:line="174" w:lineRule="auto"/>
      <w:ind w:left="415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4A30E5">
                          <w:pPr>
                            <w:pStyle w:val="11"/>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1E4A30E5">
                    <w:pPr>
                      <w:pStyle w:val="11"/>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61037">
    <w:pPr>
      <w:spacing w:line="174" w:lineRule="auto"/>
      <w:ind w:left="429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096A05">
                          <w:pPr>
                            <w:pStyle w:val="11"/>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47096A05">
                    <w:pPr>
                      <w:pStyle w:val="11"/>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F09DB">
    <w:pPr>
      <w:spacing w:line="174" w:lineRule="auto"/>
      <w:ind w:left="429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365D46">
                          <w:pPr>
                            <w:pStyle w:val="11"/>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365D46">
                    <w:pPr>
                      <w:pStyle w:val="11"/>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668EB">
    <w:pPr>
      <w:spacing w:line="174" w:lineRule="auto"/>
      <w:ind w:left="415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3B03FC">
                          <w:pPr>
                            <w:pStyle w:val="11"/>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223B03FC">
                    <w:pPr>
                      <w:pStyle w:val="11"/>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D3103">
    <w:pPr>
      <w:spacing w:line="174" w:lineRule="auto"/>
      <w:ind w:left="415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F842C4">
                          <w:pPr>
                            <w:pStyle w:val="11"/>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68F842C4">
                    <w:pPr>
                      <w:pStyle w:val="11"/>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F9D01">
    <w:pPr>
      <w:spacing w:line="174" w:lineRule="auto"/>
      <w:ind w:left="429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3342D5">
                          <w:pPr>
                            <w:pStyle w:val="11"/>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63342D5">
                    <w:pPr>
                      <w:pStyle w:val="11"/>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F603F">
    <w:pPr>
      <w:spacing w:line="174" w:lineRule="auto"/>
      <w:ind w:left="415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D025D0">
                          <w:pPr>
                            <w:pStyle w:val="11"/>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46D025D0">
                    <w:pPr>
                      <w:pStyle w:val="11"/>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898B7">
    <w:pPr>
      <w:spacing w:line="171" w:lineRule="auto"/>
      <w:ind w:left="416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0C8E23">
                          <w:pPr>
                            <w:pStyle w:val="11"/>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050C8E23">
                    <w:pPr>
                      <w:pStyle w:val="11"/>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E4D69">
    <w:pPr>
      <w:spacing w:line="174" w:lineRule="auto"/>
      <w:ind w:left="415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910C7B">
                          <w:pPr>
                            <w:pStyle w:val="11"/>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63910C7B">
                    <w:pPr>
                      <w:pStyle w:val="11"/>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D884D">
    <w:pPr>
      <w:spacing w:line="174" w:lineRule="auto"/>
      <w:ind w:left="430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199248">
                          <w:pPr>
                            <w:pStyle w:val="11"/>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7C199248">
                    <w:pPr>
                      <w:pStyle w:val="11"/>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D3D38">
    <w:pPr>
      <w:spacing w:line="174" w:lineRule="auto"/>
      <w:ind w:left="418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770A0A">
                          <w:pPr>
                            <w:pStyle w:val="11"/>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4A770A0A">
                    <w:pPr>
                      <w:pStyle w:val="11"/>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737E7">
    <w:pPr>
      <w:spacing w:line="174" w:lineRule="auto"/>
      <w:ind w:left="470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60252D">
                          <w:pPr>
                            <w:pStyle w:val="11"/>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2860252D">
                    <w:pPr>
                      <w:pStyle w:val="11"/>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A328A">
    <w:pPr>
      <w:spacing w:line="174" w:lineRule="auto"/>
      <w:ind w:left="45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5B52A8">
                          <w:pPr>
                            <w:pStyle w:val="11"/>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5E5B52A8">
                    <w:pPr>
                      <w:pStyle w:val="11"/>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EF8A4">
    <w:pPr>
      <w:spacing w:line="174" w:lineRule="auto"/>
      <w:ind w:left="473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8594A">
                          <w:pPr>
                            <w:pStyle w:val="11"/>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6488594A">
                    <w:pPr>
                      <w:pStyle w:val="11"/>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0BB1E">
    <w:pPr>
      <w:spacing w:line="174" w:lineRule="auto"/>
      <w:ind w:left="485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690A9E">
                          <w:pPr>
                            <w:pStyle w:val="11"/>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14:paraId="44690A9E">
                    <w:pPr>
                      <w:pStyle w:val="11"/>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23C6A">
    <w:pPr>
      <w:spacing w:line="174" w:lineRule="auto"/>
      <w:ind w:left="415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01386C">
                          <w:pPr>
                            <w:pStyle w:val="11"/>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1E01386C">
                    <w:pPr>
                      <w:pStyle w:val="11"/>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441D0">
    <w:pPr>
      <w:spacing w:line="174" w:lineRule="auto"/>
      <w:ind w:left="473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063EC8">
                          <w:pPr>
                            <w:pStyle w:val="11"/>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6C063EC8">
                    <w:pPr>
                      <w:pStyle w:val="11"/>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D73DA">
    <w:pPr>
      <w:spacing w:line="174" w:lineRule="auto"/>
      <w:ind w:left="40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D7BF13">
                          <w:pPr>
                            <w:pStyle w:val="11"/>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14:paraId="10D7BF13">
                    <w:pPr>
                      <w:pStyle w:val="11"/>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F24D4">
    <w:pPr>
      <w:spacing w:line="174" w:lineRule="auto"/>
      <w:ind w:left="40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A3EFD0">
                          <w:pPr>
                            <w:pStyle w:val="11"/>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27A3EFD0">
                    <w:pPr>
                      <w:pStyle w:val="11"/>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9CC3B">
    <w:pPr>
      <w:tabs>
        <w:tab w:val="center" w:pos="4153"/>
        <w:tab w:val="right" w:pos="8306"/>
      </w:tabs>
      <w:jc w:val="center"/>
      <w:rPr>
        <w:rFonts w:hAnsi="Times New Roman"/>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973B0">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F43574"/>
    <w:multiLevelType w:val="singleLevel"/>
    <w:tmpl w:val="FEF43574"/>
    <w:lvl w:ilvl="0" w:tentative="0">
      <w:start w:val="3"/>
      <w:numFmt w:val="chineseCounting"/>
      <w:suff w:val="nothing"/>
      <w:lvlText w:val="%1、"/>
      <w:lvlJc w:val="left"/>
      <w:rPr>
        <w:rFonts w:hint="eastAsia"/>
      </w:rPr>
    </w:lvl>
  </w:abstractNum>
  <w:abstractNum w:abstractNumId="1">
    <w:nsid w:val="0D009D26"/>
    <w:multiLevelType w:val="singleLevel"/>
    <w:tmpl w:val="0D009D26"/>
    <w:lvl w:ilvl="0" w:tentative="0">
      <w:start w:val="1"/>
      <w:numFmt w:val="decimal"/>
      <w:suff w:val="nothing"/>
      <w:lvlText w:val="%1、"/>
      <w:lvlJc w:val="left"/>
    </w:lvl>
  </w:abstractNum>
  <w:abstractNum w:abstractNumId="2">
    <w:nsid w:val="1D08A321"/>
    <w:multiLevelType w:val="singleLevel"/>
    <w:tmpl w:val="1D08A321"/>
    <w:lvl w:ilvl="0" w:tentative="0">
      <w:start w:val="1"/>
      <w:numFmt w:val="decimal"/>
      <w:suff w:val="nothing"/>
      <w:lvlText w:val="%1．"/>
      <w:lvlJc w:val="left"/>
      <w:pPr>
        <w:ind w:left="0" w:firstLine="400"/>
      </w:pPr>
      <w:rPr>
        <w:rFonts w:hint="default"/>
        <w:b w:val="0"/>
        <w:bCs w:val="0"/>
      </w:rPr>
    </w:lvl>
  </w:abstractNum>
  <w:abstractNum w:abstractNumId="3">
    <w:nsid w:val="26FC6ECA"/>
    <w:multiLevelType w:val="singleLevel"/>
    <w:tmpl w:val="26FC6ECA"/>
    <w:lvl w:ilvl="0" w:tentative="0">
      <w:start w:val="1"/>
      <w:numFmt w:val="chineseCounting"/>
      <w:suff w:val="nothing"/>
      <w:lvlText w:val="%1、"/>
      <w:lvlJc w:val="left"/>
      <w:rPr>
        <w:rFonts w:hint="eastAsia"/>
      </w:rPr>
    </w:lvl>
  </w:abstractNum>
  <w:abstractNum w:abstractNumId="4">
    <w:nsid w:val="5A1545DF"/>
    <w:multiLevelType w:val="singleLevel"/>
    <w:tmpl w:val="5A1545DF"/>
    <w:lvl w:ilvl="0" w:tentative="0">
      <w:start w:val="1"/>
      <w:numFmt w:val="decimal"/>
      <w:suff w:val="nothing"/>
      <w:lvlText w:val="%1．"/>
      <w:lvlJc w:val="left"/>
      <w:pPr>
        <w:ind w:left="0" w:firstLine="400"/>
      </w:pPr>
      <w:rPr>
        <w:rFonts w:hint="default"/>
        <w:b w:val="0"/>
        <w:bCs w:val="0"/>
      </w:rPr>
    </w:lvl>
  </w:abstractNum>
  <w:abstractNum w:abstractNumId="5">
    <w:nsid w:val="7A763CBB"/>
    <w:multiLevelType w:val="singleLevel"/>
    <w:tmpl w:val="7A763CBB"/>
    <w:lvl w:ilvl="0" w:tentative="0">
      <w:start w:val="1"/>
      <w:numFmt w:val="decimal"/>
      <w:suff w:val="space"/>
      <w:lvlText w:val="%1."/>
      <w:lvlJc w:val="left"/>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凌盛所安律师">
    <w15:presenceInfo w15:providerId="WPS Office" w15:userId="39643869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revisionView w:markup="0"/>
  <w:documentProtection w:enforcement="0"/>
  <w:drawingGridHorizontalSpacing w:val="210"/>
  <w:drawingGridVerticalSpacing w:val="9999999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1A2968"/>
    <w:rsid w:val="003805AC"/>
    <w:rsid w:val="00A97848"/>
    <w:rsid w:val="010F7FF3"/>
    <w:rsid w:val="01545852"/>
    <w:rsid w:val="01671BDD"/>
    <w:rsid w:val="026D732A"/>
    <w:rsid w:val="0284056C"/>
    <w:rsid w:val="02BF303F"/>
    <w:rsid w:val="02C866AB"/>
    <w:rsid w:val="0311206B"/>
    <w:rsid w:val="037A54EE"/>
    <w:rsid w:val="03F60FF6"/>
    <w:rsid w:val="040A53CF"/>
    <w:rsid w:val="046B5540"/>
    <w:rsid w:val="047E7AA9"/>
    <w:rsid w:val="060043AE"/>
    <w:rsid w:val="065A3ABE"/>
    <w:rsid w:val="0680104B"/>
    <w:rsid w:val="070E48A8"/>
    <w:rsid w:val="07350087"/>
    <w:rsid w:val="0765096C"/>
    <w:rsid w:val="078453F6"/>
    <w:rsid w:val="07DB29DD"/>
    <w:rsid w:val="07F95559"/>
    <w:rsid w:val="084F6F27"/>
    <w:rsid w:val="08626C5A"/>
    <w:rsid w:val="08A4294F"/>
    <w:rsid w:val="0946657C"/>
    <w:rsid w:val="09B75261"/>
    <w:rsid w:val="0A2E0A48"/>
    <w:rsid w:val="0BAE0408"/>
    <w:rsid w:val="0C526FE5"/>
    <w:rsid w:val="0D132C19"/>
    <w:rsid w:val="0D183D8B"/>
    <w:rsid w:val="0DAB4BFF"/>
    <w:rsid w:val="0EDD34DE"/>
    <w:rsid w:val="10046849"/>
    <w:rsid w:val="10CF50A9"/>
    <w:rsid w:val="11005262"/>
    <w:rsid w:val="119F4A7B"/>
    <w:rsid w:val="11E608FC"/>
    <w:rsid w:val="123C5B74"/>
    <w:rsid w:val="127B54E8"/>
    <w:rsid w:val="12A471C6"/>
    <w:rsid w:val="12E0534B"/>
    <w:rsid w:val="1319260B"/>
    <w:rsid w:val="13255454"/>
    <w:rsid w:val="13594880"/>
    <w:rsid w:val="135A008B"/>
    <w:rsid w:val="13C22CA3"/>
    <w:rsid w:val="13D6674E"/>
    <w:rsid w:val="144B0EEA"/>
    <w:rsid w:val="15AA1C40"/>
    <w:rsid w:val="175400B6"/>
    <w:rsid w:val="17FF44C5"/>
    <w:rsid w:val="181D2B9D"/>
    <w:rsid w:val="18714C97"/>
    <w:rsid w:val="198C7FDB"/>
    <w:rsid w:val="1B281F85"/>
    <w:rsid w:val="1B6D5BEA"/>
    <w:rsid w:val="1B6F769E"/>
    <w:rsid w:val="1BF41E67"/>
    <w:rsid w:val="1C1147C7"/>
    <w:rsid w:val="1C2A5889"/>
    <w:rsid w:val="1C9A0C60"/>
    <w:rsid w:val="1DD65CC8"/>
    <w:rsid w:val="1E7B23CC"/>
    <w:rsid w:val="1ED32208"/>
    <w:rsid w:val="1FAF4A23"/>
    <w:rsid w:val="1FDF5BD5"/>
    <w:rsid w:val="203D5493"/>
    <w:rsid w:val="20465EB6"/>
    <w:rsid w:val="2091237A"/>
    <w:rsid w:val="21013F36"/>
    <w:rsid w:val="21CF315A"/>
    <w:rsid w:val="22034BB2"/>
    <w:rsid w:val="227E248B"/>
    <w:rsid w:val="22BE6D2B"/>
    <w:rsid w:val="23726318"/>
    <w:rsid w:val="23C37177"/>
    <w:rsid w:val="245872B7"/>
    <w:rsid w:val="24B63E19"/>
    <w:rsid w:val="25E13D08"/>
    <w:rsid w:val="26B30C3A"/>
    <w:rsid w:val="27031E0A"/>
    <w:rsid w:val="271B474C"/>
    <w:rsid w:val="27295266"/>
    <w:rsid w:val="278C73F8"/>
    <w:rsid w:val="27B973DA"/>
    <w:rsid w:val="28041684"/>
    <w:rsid w:val="282910EA"/>
    <w:rsid w:val="283261F1"/>
    <w:rsid w:val="28461C9C"/>
    <w:rsid w:val="28B60BD0"/>
    <w:rsid w:val="28F61252"/>
    <w:rsid w:val="29025257"/>
    <w:rsid w:val="29824F56"/>
    <w:rsid w:val="299F78B6"/>
    <w:rsid w:val="2A0553A4"/>
    <w:rsid w:val="2A3209CA"/>
    <w:rsid w:val="2B886128"/>
    <w:rsid w:val="2BA07916"/>
    <w:rsid w:val="2BF91D69"/>
    <w:rsid w:val="2C637C8F"/>
    <w:rsid w:val="2CB03B88"/>
    <w:rsid w:val="2D291857"/>
    <w:rsid w:val="2D2D51D9"/>
    <w:rsid w:val="2D343954"/>
    <w:rsid w:val="2D393B7E"/>
    <w:rsid w:val="2DD613CD"/>
    <w:rsid w:val="2F9C6646"/>
    <w:rsid w:val="300F506A"/>
    <w:rsid w:val="304E7E8D"/>
    <w:rsid w:val="30B04157"/>
    <w:rsid w:val="30E97669"/>
    <w:rsid w:val="31975317"/>
    <w:rsid w:val="31FD161E"/>
    <w:rsid w:val="322033F5"/>
    <w:rsid w:val="33D77C4D"/>
    <w:rsid w:val="33E50BC2"/>
    <w:rsid w:val="34853B4C"/>
    <w:rsid w:val="350B22A4"/>
    <w:rsid w:val="351A24E7"/>
    <w:rsid w:val="362866B1"/>
    <w:rsid w:val="362D624A"/>
    <w:rsid w:val="370E1BD7"/>
    <w:rsid w:val="370E4C29"/>
    <w:rsid w:val="37103BA1"/>
    <w:rsid w:val="376143FD"/>
    <w:rsid w:val="3781684D"/>
    <w:rsid w:val="37BA3B0D"/>
    <w:rsid w:val="37BF2ED1"/>
    <w:rsid w:val="38F60B75"/>
    <w:rsid w:val="395A30AA"/>
    <w:rsid w:val="39C26CA9"/>
    <w:rsid w:val="3A092B2A"/>
    <w:rsid w:val="3AA840F1"/>
    <w:rsid w:val="3ADB091E"/>
    <w:rsid w:val="3B90705F"/>
    <w:rsid w:val="3BC26416"/>
    <w:rsid w:val="3C38549C"/>
    <w:rsid w:val="3CDD113C"/>
    <w:rsid w:val="3CE05DC4"/>
    <w:rsid w:val="3D4E0F7F"/>
    <w:rsid w:val="3DE418E4"/>
    <w:rsid w:val="3E473BBF"/>
    <w:rsid w:val="3F5B588C"/>
    <w:rsid w:val="3FF1653A"/>
    <w:rsid w:val="407C5E04"/>
    <w:rsid w:val="41A76EB0"/>
    <w:rsid w:val="41F149BD"/>
    <w:rsid w:val="42980A51"/>
    <w:rsid w:val="43CA6AB2"/>
    <w:rsid w:val="44006D4C"/>
    <w:rsid w:val="447B27B8"/>
    <w:rsid w:val="44C61D43"/>
    <w:rsid w:val="4530540F"/>
    <w:rsid w:val="457E749F"/>
    <w:rsid w:val="45C81AEB"/>
    <w:rsid w:val="45D71D2E"/>
    <w:rsid w:val="4729480B"/>
    <w:rsid w:val="494135EC"/>
    <w:rsid w:val="4BB072A9"/>
    <w:rsid w:val="4C9269AF"/>
    <w:rsid w:val="4CAA1FAC"/>
    <w:rsid w:val="4CD40D75"/>
    <w:rsid w:val="4CDB2104"/>
    <w:rsid w:val="4D1B0752"/>
    <w:rsid w:val="4D3F2693"/>
    <w:rsid w:val="4E191136"/>
    <w:rsid w:val="4ED212E5"/>
    <w:rsid w:val="4F1A44FE"/>
    <w:rsid w:val="4FDF63AF"/>
    <w:rsid w:val="4FE5427F"/>
    <w:rsid w:val="514566E6"/>
    <w:rsid w:val="51624BA2"/>
    <w:rsid w:val="51FD2A47"/>
    <w:rsid w:val="52391DA6"/>
    <w:rsid w:val="532A5B93"/>
    <w:rsid w:val="537B1F4B"/>
    <w:rsid w:val="53EF2DE5"/>
    <w:rsid w:val="54DB5397"/>
    <w:rsid w:val="54E81862"/>
    <w:rsid w:val="55055F70"/>
    <w:rsid w:val="55217694"/>
    <w:rsid w:val="55325CA9"/>
    <w:rsid w:val="5560764A"/>
    <w:rsid w:val="5588094F"/>
    <w:rsid w:val="55AA4D69"/>
    <w:rsid w:val="55C53951"/>
    <w:rsid w:val="56170651"/>
    <w:rsid w:val="564B654C"/>
    <w:rsid w:val="56562834"/>
    <w:rsid w:val="574D3BFE"/>
    <w:rsid w:val="57803FD4"/>
    <w:rsid w:val="578925BA"/>
    <w:rsid w:val="57F8000E"/>
    <w:rsid w:val="58120DB7"/>
    <w:rsid w:val="58474AF1"/>
    <w:rsid w:val="585C2F78"/>
    <w:rsid w:val="587F072F"/>
    <w:rsid w:val="58A43CF2"/>
    <w:rsid w:val="59123351"/>
    <w:rsid w:val="5A0F0EE1"/>
    <w:rsid w:val="5A2E5F69"/>
    <w:rsid w:val="5A851901"/>
    <w:rsid w:val="5C3524DE"/>
    <w:rsid w:val="5C9522CF"/>
    <w:rsid w:val="5CF05758"/>
    <w:rsid w:val="5D226D8C"/>
    <w:rsid w:val="5F047298"/>
    <w:rsid w:val="5F3439F6"/>
    <w:rsid w:val="5F7A39FE"/>
    <w:rsid w:val="5FBB029F"/>
    <w:rsid w:val="60184233"/>
    <w:rsid w:val="613F6CAD"/>
    <w:rsid w:val="623E6F65"/>
    <w:rsid w:val="624327CD"/>
    <w:rsid w:val="625B7B17"/>
    <w:rsid w:val="63B23767"/>
    <w:rsid w:val="646D65C4"/>
    <w:rsid w:val="64BD0604"/>
    <w:rsid w:val="65876E75"/>
    <w:rsid w:val="658B0713"/>
    <w:rsid w:val="65C854C3"/>
    <w:rsid w:val="65FF6A0B"/>
    <w:rsid w:val="67544B35"/>
    <w:rsid w:val="67FF2CF3"/>
    <w:rsid w:val="69075638"/>
    <w:rsid w:val="69286279"/>
    <w:rsid w:val="692A3866"/>
    <w:rsid w:val="69513A22"/>
    <w:rsid w:val="6965127B"/>
    <w:rsid w:val="696574CD"/>
    <w:rsid w:val="6B645618"/>
    <w:rsid w:val="6C044D7B"/>
    <w:rsid w:val="6C2C42D2"/>
    <w:rsid w:val="6C7D4B2E"/>
    <w:rsid w:val="6C847C6A"/>
    <w:rsid w:val="6D0A4613"/>
    <w:rsid w:val="6D6D06FE"/>
    <w:rsid w:val="6F2E7B74"/>
    <w:rsid w:val="6FAC19B2"/>
    <w:rsid w:val="70111815"/>
    <w:rsid w:val="714F4CEB"/>
    <w:rsid w:val="71AD37BF"/>
    <w:rsid w:val="72246826"/>
    <w:rsid w:val="72A43D7D"/>
    <w:rsid w:val="72B56DCF"/>
    <w:rsid w:val="734463A5"/>
    <w:rsid w:val="73691968"/>
    <w:rsid w:val="73C05A2C"/>
    <w:rsid w:val="744B50A5"/>
    <w:rsid w:val="74744A68"/>
    <w:rsid w:val="758955E1"/>
    <w:rsid w:val="761E2EDE"/>
    <w:rsid w:val="76A013D1"/>
    <w:rsid w:val="777F3480"/>
    <w:rsid w:val="79050385"/>
    <w:rsid w:val="792425B9"/>
    <w:rsid w:val="7A173ECC"/>
    <w:rsid w:val="7AC2652D"/>
    <w:rsid w:val="7AF16E13"/>
    <w:rsid w:val="7B551150"/>
    <w:rsid w:val="7C2B3C5E"/>
    <w:rsid w:val="7C8D71F4"/>
    <w:rsid w:val="7E1352F2"/>
    <w:rsid w:val="7E3A63DB"/>
    <w:rsid w:val="7ED607F9"/>
    <w:rsid w:val="7EFC5D86"/>
    <w:rsid w:val="7F6A0F42"/>
    <w:rsid w:val="7F7D0C7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keepNext/>
      <w:keepLines/>
      <w:spacing w:before="340" w:beforeLines="0" w:after="330" w:afterLines="0" w:line="576"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spacing w:line="580" w:lineRule="exact"/>
      <w:ind w:firstLine="420"/>
    </w:pPr>
  </w:style>
  <w:style w:type="paragraph" w:styleId="5">
    <w:name w:val="annotation text"/>
    <w:basedOn w:val="1"/>
    <w:qFormat/>
    <w:uiPriority w:val="0"/>
    <w:pPr>
      <w:jc w:val="left"/>
    </w:pPr>
  </w:style>
  <w:style w:type="paragraph" w:styleId="6">
    <w:name w:val="Body Text"/>
    <w:basedOn w:val="1"/>
    <w:next w:val="7"/>
    <w:semiHidden/>
    <w:qFormat/>
    <w:uiPriority w:val="0"/>
    <w:rPr>
      <w:rFonts w:ascii="仿宋" w:hAnsi="仿宋" w:eastAsia="仿宋" w:cs="仿宋"/>
      <w:sz w:val="30"/>
      <w:szCs w:val="30"/>
      <w:lang w:val="en-US" w:eastAsia="en-US" w:bidi="ar-SA"/>
    </w:rPr>
  </w:style>
  <w:style w:type="paragraph" w:styleId="7">
    <w:name w:val="Title"/>
    <w:basedOn w:val="1"/>
    <w:next w:val="1"/>
    <w:qFormat/>
    <w:uiPriority w:val="10"/>
    <w:pPr>
      <w:spacing w:before="240" w:after="60"/>
      <w:jc w:val="center"/>
      <w:outlineLvl w:val="0"/>
    </w:pPr>
    <w:rPr>
      <w:rFonts w:ascii="Cambria" w:hAnsi="Cambria"/>
      <w:b/>
      <w:bCs/>
      <w:sz w:val="32"/>
      <w:szCs w:val="32"/>
    </w:rPr>
  </w:style>
  <w:style w:type="paragraph" w:styleId="8">
    <w:name w:val="Body Text Indent"/>
    <w:basedOn w:val="1"/>
    <w:unhideWhenUsed/>
    <w:qFormat/>
    <w:uiPriority w:val="0"/>
    <w:pPr>
      <w:spacing w:after="120"/>
      <w:ind w:left="420" w:leftChars="200"/>
    </w:pPr>
    <w:rPr>
      <w:sz w:val="24"/>
    </w:rPr>
  </w:style>
  <w:style w:type="paragraph" w:styleId="9">
    <w:name w:val="Plain Text"/>
    <w:basedOn w:val="1"/>
    <w:qFormat/>
    <w:uiPriority w:val="0"/>
    <w:rPr>
      <w:rFonts w:ascii="宋体" w:hAnsi="Courier New"/>
      <w:kern w:val="0"/>
      <w:sz w:val="20"/>
      <w:szCs w:val="21"/>
    </w:rPr>
  </w:style>
  <w:style w:type="paragraph" w:styleId="10">
    <w:name w:val="Date"/>
    <w:basedOn w:val="1"/>
    <w:next w:val="1"/>
    <w:qFormat/>
    <w:uiPriority w:val="0"/>
    <w:rPr>
      <w:rFonts w:ascii="宋体"/>
      <w:color w:val="000000"/>
      <w:kern w:val="0"/>
      <w:sz w:val="30"/>
    </w:rPr>
  </w:style>
  <w:style w:type="paragraph" w:styleId="11">
    <w:name w:val="footer"/>
    <w:basedOn w:val="1"/>
    <w:unhideWhenUsed/>
    <w:qFormat/>
    <w:uiPriority w:val="99"/>
    <w:pPr>
      <w:tabs>
        <w:tab w:val="center" w:pos="4153"/>
        <w:tab w:val="right" w:pos="8306"/>
      </w:tabs>
      <w:snapToGrid w:val="0"/>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List"/>
    <w:basedOn w:val="1"/>
    <w:unhideWhenUsed/>
    <w:qFormat/>
    <w:uiPriority w:val="0"/>
    <w:rPr>
      <w:rFonts w:cs="Tahoma"/>
      <w:sz w:val="24"/>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6"/>
    <w:qFormat/>
    <w:uiPriority w:val="0"/>
    <w:pPr>
      <w:autoSpaceDE w:val="0"/>
      <w:autoSpaceDN w:val="0"/>
      <w:adjustRightInd w:val="0"/>
      <w:spacing w:line="360" w:lineRule="auto"/>
      <w:ind w:firstLine="420" w:firstLineChars="200"/>
    </w:pPr>
    <w:rPr>
      <w:kern w:val="0"/>
    </w:rPr>
  </w:style>
  <w:style w:type="paragraph" w:styleId="16">
    <w:name w:val="Body Text First Indent 2"/>
    <w:basedOn w:val="8"/>
    <w:next w:val="13"/>
    <w:unhideWhenUsed/>
    <w:qFormat/>
    <w:uiPriority w:val="0"/>
    <w:pPr>
      <w:ind w:firstLine="420" w:firstLineChars="200"/>
    </w:pPr>
    <w:rPr>
      <w:sz w:val="21"/>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annotation reference"/>
    <w:unhideWhenUsed/>
    <w:qFormat/>
    <w:uiPriority w:val="0"/>
    <w:rPr>
      <w:sz w:val="21"/>
      <w:szCs w:val="21"/>
    </w:rPr>
  </w:style>
  <w:style w:type="character" w:styleId="22">
    <w:name w:val="HTML Sample"/>
    <w:basedOn w:val="19"/>
    <w:qFormat/>
    <w:uiPriority w:val="0"/>
    <w:rPr>
      <w:rFonts w:ascii="Courier New" w:hAnsi="Courier New"/>
    </w:rPr>
  </w:style>
  <w:style w:type="paragraph" w:customStyle="1" w:styleId="23">
    <w:name w:val="Body Text First Indent1"/>
    <w:qFormat/>
    <w:uiPriority w:val="0"/>
    <w:pPr>
      <w:widowControl w:val="0"/>
      <w:ind w:firstLine="420" w:firstLineChars="100"/>
      <w:jc w:val="both"/>
    </w:pPr>
    <w:rPr>
      <w:rFonts w:ascii="Calibri" w:hAnsi="Calibri" w:eastAsia="宋体" w:cs="黑体"/>
      <w:kern w:val="2"/>
      <w:sz w:val="28"/>
      <w:szCs w:val="24"/>
      <w:lang w:val="en-US" w:eastAsia="zh-CN" w:bidi="ar-SA"/>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Table Text"/>
    <w:basedOn w:val="1"/>
    <w:semiHidden/>
    <w:qFormat/>
    <w:uiPriority w:val="0"/>
    <w:rPr>
      <w:rFonts w:ascii="宋体" w:hAnsi="宋体" w:eastAsia="宋体" w:cs="宋体"/>
      <w:sz w:val="21"/>
      <w:szCs w:val="21"/>
      <w:lang w:val="en-US" w:eastAsia="en-US" w:bidi="ar-SA"/>
    </w:rPr>
  </w:style>
  <w:style w:type="paragraph" w:customStyle="1" w:styleId="26">
    <w:name w:val="表格文字"/>
    <w:basedOn w:val="1"/>
    <w:next w:val="6"/>
    <w:autoRedefine/>
    <w:qFormat/>
    <w:uiPriority w:val="99"/>
    <w:pPr>
      <w:spacing w:before="25" w:after="25"/>
      <w:ind w:firstLine="315" w:firstLineChars="150"/>
    </w:pPr>
    <w:rPr>
      <w:bCs/>
      <w:color w:val="000000"/>
      <w:szCs w:val="21"/>
    </w:rPr>
  </w:style>
  <w:style w:type="paragraph" w:customStyle="1" w:styleId="27">
    <w:name w:val="TOC 标题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character" w:customStyle="1" w:styleId="28">
    <w:name w:val="页脚 Char1"/>
    <w:semiHidden/>
    <w:qFormat/>
    <w:locked/>
    <w:uiPriority w:val="99"/>
    <w:rPr>
      <w:sz w:val="18"/>
      <w:szCs w:val="18"/>
    </w:rPr>
  </w:style>
  <w:style w:type="paragraph" w:customStyle="1" w:styleId="29">
    <w:name w:val="表文字"/>
    <w:basedOn w:val="1"/>
    <w:qFormat/>
    <w:uiPriority w:val="0"/>
    <w:pPr>
      <w:widowControl/>
      <w:spacing w:line="240" w:lineRule="auto"/>
      <w:ind w:firstLine="0" w:firstLineChars="0"/>
      <w:jc w:val="left"/>
      <w:textAlignment w:val="center"/>
    </w:pPr>
    <w:rPr>
      <w:color w:val="000000"/>
      <w:kern w:val="0"/>
      <w:sz w:val="21"/>
      <w:szCs w:val="21"/>
    </w:rPr>
  </w:style>
  <w:style w:type="paragraph" w:customStyle="1" w:styleId="30">
    <w:name w:val="Other|1"/>
    <w:basedOn w:val="1"/>
    <w:qFormat/>
    <w:uiPriority w:val="0"/>
    <w:pPr>
      <w:spacing w:line="446" w:lineRule="auto"/>
      <w:ind w:firstLine="400"/>
    </w:pPr>
    <w:rPr>
      <w:rFonts w:ascii="宋体" w:hAnsi="宋体" w:cs="宋体"/>
      <w:sz w:val="20"/>
      <w:szCs w:val="2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7" Type="http://schemas.microsoft.com/office/2011/relationships/people" Target="people.xml"/><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image" Target="media/image1.jpeg"/><Relationship Id="rId42" Type="http://schemas.openxmlformats.org/officeDocument/2006/relationships/theme" Target="theme/theme1.xml"/><Relationship Id="rId41" Type="http://schemas.openxmlformats.org/officeDocument/2006/relationships/footer" Target="footer33.xml"/><Relationship Id="rId40" Type="http://schemas.openxmlformats.org/officeDocument/2006/relationships/footer" Target="footer32.xml"/><Relationship Id="rId4" Type="http://schemas.microsoft.com/office/2011/relationships/commentsExtended" Target="commentsExtended.xml"/><Relationship Id="rId39" Type="http://schemas.openxmlformats.org/officeDocument/2006/relationships/footer" Target="footer31.xml"/><Relationship Id="rId38" Type="http://schemas.openxmlformats.org/officeDocument/2006/relationships/footer" Target="footer30.xml"/><Relationship Id="rId37" Type="http://schemas.openxmlformats.org/officeDocument/2006/relationships/footer" Target="footer29.xml"/><Relationship Id="rId36" Type="http://schemas.openxmlformats.org/officeDocument/2006/relationships/footer" Target="footer28.xml"/><Relationship Id="rId35" Type="http://schemas.openxmlformats.org/officeDocument/2006/relationships/footer" Target="footer27.xml"/><Relationship Id="rId34" Type="http://schemas.openxmlformats.org/officeDocument/2006/relationships/footer" Target="footer26.xml"/><Relationship Id="rId33" Type="http://schemas.openxmlformats.org/officeDocument/2006/relationships/footer" Target="footer25.xml"/><Relationship Id="rId32" Type="http://schemas.openxmlformats.org/officeDocument/2006/relationships/footer" Target="footer24.xml"/><Relationship Id="rId31" Type="http://schemas.openxmlformats.org/officeDocument/2006/relationships/footer" Target="footer23.xml"/><Relationship Id="rId30" Type="http://schemas.openxmlformats.org/officeDocument/2006/relationships/footer" Target="footer22.xml"/><Relationship Id="rId3" Type="http://schemas.openxmlformats.org/officeDocument/2006/relationships/comments" Target="comments.xml"/><Relationship Id="rId29" Type="http://schemas.openxmlformats.org/officeDocument/2006/relationships/footer" Target="footer21.xml"/><Relationship Id="rId28" Type="http://schemas.openxmlformats.org/officeDocument/2006/relationships/footer" Target="footer20.xml"/><Relationship Id="rId27" Type="http://schemas.openxmlformats.org/officeDocument/2006/relationships/footer" Target="footer19.xml"/><Relationship Id="rId26" Type="http://schemas.openxmlformats.org/officeDocument/2006/relationships/footer" Target="footer18.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91</Pages>
  <Words>5209</Words>
  <Characters>6077</Characters>
  <TotalTime>45</TotalTime>
  <ScaleCrop>false</ScaleCrop>
  <LinksUpToDate>false</LinksUpToDate>
  <CharactersWithSpaces>6170</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2022-07-05T16:03:00Z</dcterms:created>
  <dc:creator>番茄花园</dc:creator>
  <cp:lastModifiedBy>陆叶</cp:lastModifiedBy>
  <dcterms:modified xsi:type="dcterms:W3CDTF">2026-10-22T10:30:21Z</dcterms:modified>
  <dc:title>公开招标采购文件范本</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2024-12-31T10:08:24Z</vt:filetime>
  </property>
  <property fmtid="{D5CDD505-2E9C-101B-9397-08002B2CF9AE}" pid="4" name="KSOTemplateDocerSaveRecord">
    <vt:lpwstr>eyJoZGlkIjoiNzZiYTcxZTNhNWQxNzNiYWFmMjRkMDU1YzQ0ODZlZDgiLCJ1c2VySWQiOiIxNDQ5MTc1NjMxIn0=</vt:lpwstr>
  </property>
  <property fmtid="{D5CDD505-2E9C-101B-9397-08002B2CF9AE}" pid="5" name="KSOProductBuildVer">
    <vt:lpwstr>2052-12.1.0.20305</vt:lpwstr>
  </property>
  <property fmtid="{D5CDD505-2E9C-101B-9397-08002B2CF9AE}" pid="6" name="ICV">
    <vt:lpwstr>424A2E403F014E55B6EA32AFA702D258_13</vt:lpwstr>
  </property>
</Properties>
</file>