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D3836">
      <w:pPr>
        <w:spacing w:line="560" w:lineRule="exact"/>
        <w:jc w:val="center"/>
        <w:rPr>
          <w:rFonts w:hint="default" w:ascii="微软雅黑" w:hAnsi="微软雅黑" w:eastAsia="微软雅黑" w:cs="微软雅黑"/>
          <w:bCs/>
          <w:sz w:val="28"/>
          <w:szCs w:val="28"/>
          <w:u w:val="none"/>
          <w:lang w:val="en-US" w:eastAsia="zh-CN"/>
        </w:rPr>
      </w:pPr>
      <w:r>
        <w:rPr>
          <w:rFonts w:hint="eastAsia" w:ascii="微软雅黑" w:hAnsi="微软雅黑" w:eastAsia="微软雅黑" w:cs="微软雅黑"/>
          <w:bCs/>
          <w:sz w:val="44"/>
          <w:szCs w:val="44"/>
          <w:lang w:val="en-US" w:eastAsia="zh-CN"/>
        </w:rPr>
        <w:t xml:space="preserve"> </w:t>
      </w:r>
      <w:r>
        <w:rPr>
          <w:rFonts w:hint="eastAsia" w:ascii="微软雅黑" w:hAnsi="微软雅黑" w:eastAsia="微软雅黑" w:cs="微软雅黑"/>
          <w:bCs/>
          <w:sz w:val="28"/>
          <w:szCs w:val="28"/>
        </w:rPr>
        <w:t>环江毛南族自治县民政局</w:t>
      </w:r>
      <w:r>
        <w:rPr>
          <w:rFonts w:hint="eastAsia" w:ascii="微软雅黑" w:hAnsi="微软雅黑" w:eastAsia="微软雅黑" w:cs="微软雅黑"/>
          <w:bCs/>
          <w:sz w:val="28"/>
          <w:szCs w:val="28"/>
          <w:lang w:val="en-US" w:eastAsia="zh-CN"/>
        </w:rPr>
        <w:t>2026</w:t>
      </w:r>
      <w:r>
        <w:rPr>
          <w:rFonts w:hint="eastAsia" w:ascii="微软雅黑" w:hAnsi="微软雅黑" w:eastAsia="微软雅黑" w:cs="微软雅黑"/>
          <w:bCs/>
          <w:sz w:val="28"/>
          <w:szCs w:val="28"/>
        </w:rPr>
        <w:t>年</w:t>
      </w:r>
      <w:r>
        <w:rPr>
          <w:rFonts w:hint="eastAsia" w:ascii="微软雅黑" w:hAnsi="微软雅黑" w:eastAsia="微软雅黑" w:cs="微软雅黑"/>
          <w:bCs/>
          <w:sz w:val="28"/>
          <w:szCs w:val="28"/>
          <w:lang w:val="en-US" w:eastAsia="zh-CN"/>
        </w:rPr>
        <w:t>8</w:t>
      </w:r>
      <w:r>
        <w:rPr>
          <w:rFonts w:hint="eastAsia" w:ascii="微软雅黑" w:hAnsi="微软雅黑" w:eastAsia="微软雅黑" w:cs="微软雅黑"/>
          <w:bCs/>
          <w:sz w:val="28"/>
          <w:szCs w:val="28"/>
          <w:u w:val="none"/>
          <w:lang w:val="en-US" w:eastAsia="zh-CN"/>
        </w:rPr>
        <w:t>月至9月</w:t>
      </w:r>
    </w:p>
    <w:p w14:paraId="615E1314">
      <w:pPr>
        <w:spacing w:line="560" w:lineRule="exact"/>
        <w:jc w:val="center"/>
        <w:rPr>
          <w:rFonts w:ascii="仿宋_GB2312" w:hAnsi="Calibri" w:eastAsia="仿宋_GB2312" w:cs="仿宋_GB2312"/>
          <w:b/>
          <w:sz w:val="32"/>
          <w:szCs w:val="32"/>
        </w:rPr>
      </w:pPr>
      <w:r>
        <w:rPr>
          <w:rFonts w:hint="eastAsia" w:ascii="微软雅黑" w:hAnsi="微软雅黑" w:eastAsia="微软雅黑" w:cs="微软雅黑"/>
          <w:bCs/>
          <w:sz w:val="28"/>
          <w:szCs w:val="28"/>
        </w:rPr>
        <w:t>政府采购意向</w:t>
      </w:r>
    </w:p>
    <w:p w14:paraId="14D746B5">
      <w:pPr>
        <w:spacing w:line="400" w:lineRule="exact"/>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便于供应商及时了解政府采购信息，根据《财政部关于开展政府采购意向公开工作的通知》（财库〔2020〕10号）和《广西壮族自治区财政厅关于进一步规范政府采购意向公开工作的通知》（桂财采〔2022〕84号）等有关规定，现将环江毛南族自治县民政局 2026年8月至9月政府采购意向公开如下：</w:t>
      </w:r>
    </w:p>
    <w:p w14:paraId="659C6AB9">
      <w:pPr>
        <w:spacing w:line="400" w:lineRule="exact"/>
        <w:ind w:firstLine="560" w:firstLineChars="200"/>
        <w:jc w:val="left"/>
        <w:rPr>
          <w:rFonts w:ascii="仿宋_GB2312" w:hAnsi="Calibri" w:eastAsia="仿宋_GB2312" w:cs="仿宋_GB2312"/>
          <w:bCs/>
          <w:sz w:val="28"/>
          <w:szCs w:val="28"/>
        </w:rPr>
      </w:pPr>
    </w:p>
    <w:tbl>
      <w:tblPr>
        <w:tblStyle w:val="6"/>
        <w:tblW w:w="13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1091"/>
        <w:gridCol w:w="2990"/>
        <w:gridCol w:w="1431"/>
        <w:gridCol w:w="1528"/>
        <w:gridCol w:w="1281"/>
        <w:gridCol w:w="5047"/>
      </w:tblGrid>
      <w:tr w14:paraId="73EA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20" w:type="dxa"/>
            <w:tcBorders>
              <w:top w:val="single" w:color="auto" w:sz="4" w:space="0"/>
              <w:left w:val="single" w:color="auto" w:sz="4" w:space="0"/>
              <w:bottom w:val="single" w:color="auto" w:sz="4" w:space="0"/>
              <w:right w:val="single" w:color="auto" w:sz="4" w:space="0"/>
            </w:tcBorders>
            <w:shd w:val="clear" w:color="auto" w:fill="auto"/>
            <w:vAlign w:val="center"/>
          </w:tcPr>
          <w:p w14:paraId="2580956D">
            <w:pPr>
              <w:spacing w:line="400" w:lineRule="exact"/>
              <w:jc w:val="center"/>
              <w:rPr>
                <w:rFonts w:ascii="仿宋_GB2312" w:eastAsia="仿宋_GB2312" w:cs="仿宋_GB2312"/>
                <w:b/>
                <w:sz w:val="21"/>
                <w:szCs w:val="21"/>
              </w:rPr>
            </w:pPr>
            <w:r>
              <w:rPr>
                <w:rFonts w:hint="eastAsia" w:ascii="仿宋_GB2312" w:hAnsi="Calibri" w:eastAsia="仿宋_GB2312" w:cs="仿宋_GB2312"/>
                <w:b/>
                <w:sz w:val="21"/>
                <w:szCs w:val="21"/>
              </w:rPr>
              <w:t>序号</w:t>
            </w:r>
          </w:p>
        </w:tc>
        <w:tc>
          <w:tcPr>
            <w:tcW w:w="1091" w:type="dxa"/>
            <w:tcBorders>
              <w:top w:val="single" w:color="auto" w:sz="4" w:space="0"/>
              <w:left w:val="single" w:color="auto" w:sz="4" w:space="0"/>
              <w:bottom w:val="single" w:color="auto" w:sz="4" w:space="0"/>
              <w:right w:val="single" w:color="auto" w:sz="4" w:space="0"/>
            </w:tcBorders>
            <w:shd w:val="clear" w:color="auto" w:fill="auto"/>
            <w:vAlign w:val="center"/>
          </w:tcPr>
          <w:p w14:paraId="5A543FC8">
            <w:pPr>
              <w:spacing w:line="400" w:lineRule="exact"/>
              <w:jc w:val="center"/>
              <w:rPr>
                <w:rFonts w:ascii="仿宋_GB2312" w:eastAsia="仿宋_GB2312" w:cs="仿宋_GB2312"/>
                <w:b/>
                <w:sz w:val="21"/>
                <w:szCs w:val="21"/>
              </w:rPr>
            </w:pPr>
            <w:r>
              <w:rPr>
                <w:rFonts w:hint="eastAsia" w:ascii="仿宋_GB2312" w:hAnsi="Calibri" w:eastAsia="仿宋_GB2312" w:cs="仿宋_GB2312"/>
                <w:b/>
                <w:sz w:val="21"/>
                <w:szCs w:val="21"/>
              </w:rPr>
              <w:t>采购项目</w:t>
            </w:r>
          </w:p>
          <w:p w14:paraId="267E0E81">
            <w:pPr>
              <w:spacing w:line="400" w:lineRule="exact"/>
              <w:jc w:val="center"/>
              <w:rPr>
                <w:rFonts w:ascii="仿宋_GB2312" w:eastAsia="仿宋_GB2312" w:cs="仿宋_GB2312"/>
                <w:b/>
                <w:sz w:val="21"/>
                <w:szCs w:val="21"/>
              </w:rPr>
            </w:pPr>
            <w:r>
              <w:rPr>
                <w:rFonts w:hint="eastAsia" w:ascii="仿宋_GB2312" w:hAnsi="Calibri" w:eastAsia="仿宋_GB2312" w:cs="仿宋_GB2312"/>
                <w:b/>
                <w:sz w:val="21"/>
                <w:szCs w:val="21"/>
              </w:rPr>
              <w:t>名称</w:t>
            </w:r>
          </w:p>
        </w:tc>
        <w:tc>
          <w:tcPr>
            <w:tcW w:w="2990" w:type="dxa"/>
            <w:tcBorders>
              <w:top w:val="single" w:color="auto" w:sz="4" w:space="0"/>
              <w:left w:val="single" w:color="auto" w:sz="4" w:space="0"/>
              <w:bottom w:val="single" w:color="auto" w:sz="4" w:space="0"/>
              <w:right w:val="single" w:color="auto" w:sz="4" w:space="0"/>
            </w:tcBorders>
            <w:shd w:val="clear" w:color="auto" w:fill="auto"/>
            <w:vAlign w:val="center"/>
          </w:tcPr>
          <w:p w14:paraId="21EEA57A">
            <w:pPr>
              <w:spacing w:line="400" w:lineRule="exact"/>
              <w:jc w:val="center"/>
              <w:rPr>
                <w:rFonts w:ascii="仿宋_GB2312" w:eastAsia="仿宋_GB2312" w:cs="仿宋_GB2312"/>
                <w:b/>
                <w:sz w:val="21"/>
                <w:szCs w:val="21"/>
              </w:rPr>
            </w:pPr>
            <w:r>
              <w:rPr>
                <w:rFonts w:hint="eastAsia" w:ascii="仿宋_GB2312" w:hAnsi="Calibri" w:eastAsia="仿宋_GB2312" w:cs="仿宋_GB2312"/>
                <w:b/>
                <w:sz w:val="21"/>
                <w:szCs w:val="21"/>
              </w:rPr>
              <w:t>采购需求情况</w:t>
            </w:r>
          </w:p>
        </w:tc>
        <w:tc>
          <w:tcPr>
            <w:tcW w:w="1431" w:type="dxa"/>
            <w:tcBorders>
              <w:top w:val="single" w:color="auto" w:sz="4" w:space="0"/>
              <w:left w:val="single" w:color="auto" w:sz="4" w:space="0"/>
              <w:bottom w:val="single" w:color="auto" w:sz="4" w:space="0"/>
              <w:right w:val="single" w:color="auto" w:sz="4" w:space="0"/>
            </w:tcBorders>
            <w:shd w:val="clear" w:color="auto" w:fill="auto"/>
            <w:vAlign w:val="center"/>
          </w:tcPr>
          <w:p w14:paraId="6EC661CB">
            <w:pPr>
              <w:spacing w:line="400" w:lineRule="exact"/>
              <w:jc w:val="center"/>
              <w:rPr>
                <w:rFonts w:ascii="仿宋_GB2312" w:eastAsia="仿宋_GB2312" w:cs="仿宋_GB2312"/>
                <w:b/>
                <w:sz w:val="21"/>
                <w:szCs w:val="21"/>
              </w:rPr>
            </w:pPr>
            <w:r>
              <w:rPr>
                <w:rFonts w:hint="eastAsia" w:ascii="仿宋_GB2312" w:hAnsi="Calibri" w:eastAsia="仿宋_GB2312" w:cs="仿宋_GB2312"/>
                <w:b/>
                <w:sz w:val="21"/>
                <w:szCs w:val="21"/>
              </w:rPr>
              <w:t>预算金额（万元）</w:t>
            </w:r>
          </w:p>
        </w:tc>
        <w:tc>
          <w:tcPr>
            <w:tcW w:w="1528" w:type="dxa"/>
            <w:tcBorders>
              <w:top w:val="single" w:color="auto" w:sz="4" w:space="0"/>
              <w:left w:val="single" w:color="auto" w:sz="4" w:space="0"/>
              <w:bottom w:val="single" w:color="auto" w:sz="4" w:space="0"/>
              <w:right w:val="single" w:color="auto" w:sz="4" w:space="0"/>
            </w:tcBorders>
            <w:shd w:val="clear" w:color="auto" w:fill="auto"/>
            <w:vAlign w:val="center"/>
          </w:tcPr>
          <w:p w14:paraId="2AA6874B">
            <w:pPr>
              <w:spacing w:line="400" w:lineRule="exact"/>
              <w:jc w:val="center"/>
              <w:rPr>
                <w:rFonts w:ascii="仿宋_GB2312" w:eastAsia="仿宋_GB2312" w:cs="仿宋_GB2312"/>
                <w:b/>
                <w:sz w:val="21"/>
                <w:szCs w:val="21"/>
              </w:rPr>
            </w:pPr>
            <w:r>
              <w:rPr>
                <w:rFonts w:hint="eastAsia" w:ascii="仿宋_GB2312" w:hAnsi="Calibri" w:eastAsia="仿宋_GB2312" w:cs="仿宋_GB2312"/>
                <w:b/>
                <w:sz w:val="21"/>
                <w:szCs w:val="21"/>
              </w:rPr>
              <w:t>预计采购时间（填写到月）</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364FB38C">
            <w:pPr>
              <w:spacing w:line="400" w:lineRule="exact"/>
              <w:jc w:val="center"/>
              <w:rPr>
                <w:rFonts w:ascii="仿宋_GB2312" w:eastAsia="仿宋_GB2312" w:cs="仿宋_GB2312"/>
                <w:b/>
                <w:sz w:val="21"/>
                <w:szCs w:val="21"/>
              </w:rPr>
            </w:pPr>
            <w:r>
              <w:rPr>
                <w:rFonts w:ascii="仿宋_GB2312" w:eastAsia="仿宋_GB2312" w:cs="仿宋_GB2312"/>
                <w:b/>
                <w:sz w:val="21"/>
                <w:szCs w:val="21"/>
              </w:rPr>
              <w:t>落实政府采购政策功能情况</w:t>
            </w:r>
          </w:p>
        </w:tc>
        <w:tc>
          <w:tcPr>
            <w:tcW w:w="5047" w:type="dxa"/>
            <w:tcBorders>
              <w:top w:val="single" w:color="auto" w:sz="4" w:space="0"/>
              <w:left w:val="single" w:color="auto" w:sz="4" w:space="0"/>
              <w:bottom w:val="single" w:color="auto" w:sz="4" w:space="0"/>
              <w:right w:val="single" w:color="auto" w:sz="4" w:space="0"/>
            </w:tcBorders>
            <w:shd w:val="clear" w:color="auto" w:fill="auto"/>
            <w:vAlign w:val="center"/>
          </w:tcPr>
          <w:p w14:paraId="607C020E">
            <w:pPr>
              <w:spacing w:line="400" w:lineRule="exact"/>
              <w:jc w:val="center"/>
              <w:rPr>
                <w:rFonts w:hint="eastAsia" w:ascii="仿宋_GB2312" w:hAnsi="Calibri" w:eastAsia="仿宋_GB2312" w:cs="仿宋_GB2312"/>
                <w:b/>
                <w:sz w:val="21"/>
                <w:szCs w:val="21"/>
              </w:rPr>
            </w:pPr>
            <w:r>
              <w:rPr>
                <w:rFonts w:hint="eastAsia" w:ascii="仿宋_GB2312" w:hAnsi="Calibri" w:eastAsia="仿宋_GB2312" w:cs="仿宋_GB2312"/>
                <w:b/>
                <w:sz w:val="21"/>
                <w:szCs w:val="21"/>
              </w:rPr>
              <w:t>备注</w:t>
            </w:r>
          </w:p>
        </w:tc>
      </w:tr>
      <w:tr w14:paraId="1A23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420" w:type="dxa"/>
            <w:tcBorders>
              <w:top w:val="single" w:color="auto" w:sz="4" w:space="0"/>
              <w:left w:val="single" w:color="auto" w:sz="4" w:space="0"/>
              <w:bottom w:val="single" w:color="auto" w:sz="4" w:space="0"/>
              <w:right w:val="single" w:color="auto" w:sz="4" w:space="0"/>
            </w:tcBorders>
            <w:shd w:val="clear" w:color="auto" w:fill="auto"/>
            <w:vAlign w:val="center"/>
          </w:tcPr>
          <w:p w14:paraId="7657F873">
            <w:pPr>
              <w:spacing w:line="400" w:lineRule="exact"/>
              <w:jc w:val="left"/>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auto"/>
          </w:tcPr>
          <w:p w14:paraId="5A06028F">
            <w:pPr>
              <w:spacing w:line="400" w:lineRule="exact"/>
              <w:jc w:val="center"/>
              <w:rPr>
                <w:rFonts w:hint="eastAsia" w:ascii="仿宋" w:hAnsi="仿宋" w:eastAsia="仿宋" w:cs="仿宋"/>
                <w:sz w:val="24"/>
                <w:szCs w:val="24"/>
              </w:rPr>
            </w:pPr>
          </w:p>
          <w:p w14:paraId="32D5EDFE">
            <w:pPr>
              <w:spacing w:line="400" w:lineRule="exact"/>
              <w:jc w:val="center"/>
              <w:rPr>
                <w:rFonts w:hint="eastAsia" w:ascii="仿宋" w:hAnsi="仿宋" w:eastAsia="仿宋" w:cs="仿宋"/>
                <w:sz w:val="24"/>
                <w:szCs w:val="24"/>
                <w:lang w:val="en-US"/>
              </w:rPr>
            </w:pPr>
            <w:r>
              <w:rPr>
                <w:rFonts w:hint="eastAsia" w:ascii="仿宋" w:hAnsi="仿宋" w:eastAsia="仿宋" w:cs="仿宋"/>
                <w:sz w:val="24"/>
                <w:szCs w:val="24"/>
                <w:lang w:eastAsia="zh-CN"/>
              </w:rPr>
              <w:t>环江毛南族自治县</w:t>
            </w:r>
            <w:r>
              <w:rPr>
                <w:rFonts w:hint="eastAsia" w:ascii="仿宋" w:hAnsi="仿宋" w:eastAsia="仿宋" w:cs="仿宋"/>
                <w:sz w:val="24"/>
                <w:szCs w:val="24"/>
                <w:lang w:val="en-US" w:eastAsia="zh-CN"/>
              </w:rPr>
              <w:t>社会福利院大安分院公建民营运营项目</w:t>
            </w:r>
          </w:p>
        </w:tc>
        <w:tc>
          <w:tcPr>
            <w:tcW w:w="2990" w:type="dxa"/>
            <w:tcBorders>
              <w:top w:val="single" w:color="auto" w:sz="4" w:space="0"/>
              <w:left w:val="single" w:color="auto" w:sz="4" w:space="0"/>
              <w:bottom w:val="single" w:color="auto" w:sz="4" w:space="0"/>
              <w:right w:val="single" w:color="auto" w:sz="4" w:space="0"/>
            </w:tcBorders>
            <w:shd w:val="clear" w:color="auto" w:fill="auto"/>
          </w:tcPr>
          <w:p w14:paraId="2C1B98C5">
            <w:pPr>
              <w:spacing w:line="400" w:lineRule="exact"/>
              <w:jc w:val="left"/>
              <w:rPr>
                <w:rFonts w:hint="default" w:ascii="Times New Roman" w:hAnsi="Times New Roman" w:eastAsia="仿宋_GB2312" w:cs="Times New Roman"/>
                <w:sz w:val="24"/>
                <w:szCs w:val="24"/>
                <w:lang w:val="en-US" w:eastAsia="zh-CN"/>
              </w:rPr>
            </w:pPr>
            <w:r>
              <w:rPr>
                <w:rFonts w:hint="default" w:ascii="仿宋" w:hAnsi="仿宋" w:eastAsia="仿宋" w:cs="仿宋"/>
                <w:sz w:val="24"/>
                <w:szCs w:val="24"/>
                <w:lang w:val="en-US" w:eastAsia="zh-CN"/>
              </w:rPr>
              <w:t>环江毛南族自治县社会福利院大安分院总建筑面积2140平方米</w:t>
            </w:r>
            <w:r>
              <w:rPr>
                <w:rFonts w:hint="eastAsia" w:ascii="仿宋" w:hAnsi="仿宋" w:eastAsia="仿宋" w:cs="仿宋"/>
                <w:sz w:val="24"/>
                <w:szCs w:val="24"/>
                <w:lang w:val="en-US" w:eastAsia="zh-CN"/>
              </w:rPr>
              <w:t>，</w:t>
            </w:r>
            <w:r>
              <w:rPr>
                <w:rFonts w:hint="eastAsia" w:ascii="仿宋" w:hAnsi="仿宋" w:eastAsia="仿宋" w:cs="仿宋"/>
                <w:sz w:val="24"/>
                <w:szCs w:val="24"/>
                <w:lang w:val="en-US" w:eastAsia="zh-CN"/>
              </w:rPr>
              <w:t>目前</w:t>
            </w:r>
            <w:r>
              <w:rPr>
                <w:rFonts w:hint="default" w:ascii="仿宋" w:hAnsi="仿宋" w:eastAsia="仿宋" w:cs="仿宋"/>
                <w:sz w:val="24"/>
                <w:szCs w:val="24"/>
                <w:lang w:val="en-US" w:eastAsia="zh-CN"/>
              </w:rPr>
              <w:t>机构核定养老床位52张，核心职能为承担全县特困供养人员、经济困难高龄、失能、残疾老人</w:t>
            </w:r>
            <w:r>
              <w:rPr>
                <w:rFonts w:hint="eastAsia" w:ascii="仿宋" w:hAnsi="仿宋" w:eastAsia="仿宋" w:cs="仿宋"/>
                <w:sz w:val="24"/>
                <w:szCs w:val="24"/>
                <w:lang w:val="en-US" w:eastAsia="zh-CN"/>
              </w:rPr>
              <w:t>的公建民营综合性</w:t>
            </w:r>
            <w:r>
              <w:rPr>
                <w:rFonts w:hint="eastAsia" w:ascii="仿宋" w:hAnsi="仿宋" w:eastAsia="仿宋" w:cs="仿宋"/>
                <w:sz w:val="24"/>
                <w:szCs w:val="24"/>
                <w:lang w:val="en-US" w:eastAsia="zh-CN"/>
              </w:rPr>
              <w:t>养老机构</w:t>
            </w:r>
            <w:r>
              <w:rPr>
                <w:rFonts w:hint="default" w:ascii="仿宋" w:hAnsi="仿宋" w:eastAsia="仿宋" w:cs="仿宋"/>
                <w:sz w:val="24"/>
                <w:szCs w:val="24"/>
                <w:lang w:val="en-US" w:eastAsia="zh-CN"/>
              </w:rPr>
              <w:t>兜底养老服务</w:t>
            </w:r>
            <w:r>
              <w:rPr>
                <w:rFonts w:hint="eastAsia" w:ascii="仿宋" w:hAnsi="仿宋" w:eastAsia="仿宋" w:cs="仿宋"/>
                <w:sz w:val="24"/>
                <w:szCs w:val="24"/>
                <w:lang w:val="en-US" w:eastAsia="zh-CN"/>
              </w:rPr>
              <w:t>，</w:t>
            </w:r>
            <w:r>
              <w:rPr>
                <w:rFonts w:hint="eastAsia" w:ascii="仿宋" w:hAnsi="仿宋" w:eastAsia="仿宋" w:cs="仿宋"/>
                <w:sz w:val="24"/>
                <w:szCs w:val="24"/>
                <w:lang w:val="en-US" w:eastAsia="zh-CN"/>
              </w:rPr>
              <w:t>采用政府购买服务的形式，委托第三方对该院实施运营管理项目</w:t>
            </w:r>
          </w:p>
          <w:p w14:paraId="5CAB8D4E">
            <w:pPr>
              <w:spacing w:line="400" w:lineRule="exact"/>
              <w:jc w:val="left"/>
              <w:rPr>
                <w:rFonts w:hint="default" w:ascii="Times New Roman" w:hAnsi="Times New Roman" w:eastAsia="仿宋_GB2312" w:cs="Times New Roman"/>
                <w:sz w:val="24"/>
                <w:szCs w:val="24"/>
                <w:lang w:val="en-US" w:eastAsia="zh-CN"/>
              </w:rPr>
            </w:pPr>
          </w:p>
          <w:p w14:paraId="2DFEAE3C">
            <w:pPr>
              <w:spacing w:line="400" w:lineRule="exact"/>
              <w:jc w:val="left"/>
              <w:rPr>
                <w:rFonts w:hint="eastAsia" w:ascii="仿宋" w:hAnsi="仿宋" w:eastAsia="仿宋" w:cs="仿宋"/>
                <w:sz w:val="24"/>
                <w:szCs w:val="24"/>
                <w:lang w:val="en-US" w:eastAsia="zh-CN"/>
              </w:rPr>
            </w:pPr>
          </w:p>
        </w:tc>
        <w:tc>
          <w:tcPr>
            <w:tcW w:w="1431" w:type="dxa"/>
            <w:tcBorders>
              <w:top w:val="single" w:color="auto" w:sz="4" w:space="0"/>
              <w:left w:val="single" w:color="auto" w:sz="4" w:space="0"/>
              <w:bottom w:val="single" w:color="auto" w:sz="4" w:space="0"/>
              <w:right w:val="single" w:color="auto" w:sz="4" w:space="0"/>
            </w:tcBorders>
            <w:shd w:val="clear" w:color="auto" w:fill="auto"/>
            <w:vAlign w:val="center"/>
          </w:tcPr>
          <w:p w14:paraId="64B17E15">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119万元</w:t>
            </w:r>
          </w:p>
          <w:p w14:paraId="38E60123">
            <w:pPr>
              <w:spacing w:line="400" w:lineRule="exact"/>
              <w:jc w:val="left"/>
              <w:rPr>
                <w:rFonts w:hint="eastAsia" w:ascii="仿宋" w:hAnsi="仿宋" w:eastAsia="仿宋" w:cs="仿宋"/>
                <w:sz w:val="24"/>
                <w:szCs w:val="24"/>
                <w:lang w:val="en-US" w:eastAsia="zh-CN"/>
              </w:rPr>
            </w:pPr>
            <w:bookmarkStart w:id="0" w:name="_GoBack"/>
            <w:bookmarkEnd w:id="0"/>
          </w:p>
        </w:tc>
        <w:tc>
          <w:tcPr>
            <w:tcW w:w="1528" w:type="dxa"/>
            <w:tcBorders>
              <w:top w:val="single" w:color="auto" w:sz="4" w:space="0"/>
              <w:left w:val="single" w:color="auto" w:sz="4" w:space="0"/>
              <w:bottom w:val="single" w:color="auto" w:sz="4" w:space="0"/>
              <w:right w:val="single" w:color="auto" w:sz="4" w:space="0"/>
            </w:tcBorders>
            <w:shd w:val="clear" w:color="auto" w:fill="auto"/>
            <w:vAlign w:val="center"/>
          </w:tcPr>
          <w:p w14:paraId="47208B86">
            <w:pPr>
              <w:spacing w:line="400" w:lineRule="exact"/>
              <w:jc w:val="left"/>
              <w:rPr>
                <w:rFonts w:hint="eastAsia"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9</w:t>
            </w:r>
            <w:r>
              <w:rPr>
                <w:rFonts w:hint="eastAsia" w:ascii="仿宋" w:hAnsi="仿宋" w:eastAsia="仿宋" w:cs="仿宋"/>
                <w:sz w:val="24"/>
                <w:szCs w:val="24"/>
              </w:rPr>
              <w:t>月</w:t>
            </w:r>
          </w:p>
        </w:tc>
        <w:tc>
          <w:tcPr>
            <w:tcW w:w="1281" w:type="dxa"/>
            <w:tcBorders>
              <w:top w:val="single" w:color="auto" w:sz="4" w:space="0"/>
              <w:left w:val="single" w:color="auto" w:sz="4" w:space="0"/>
              <w:bottom w:val="single" w:color="auto" w:sz="4" w:space="0"/>
              <w:right w:val="single" w:color="auto" w:sz="4" w:space="0"/>
            </w:tcBorders>
            <w:shd w:val="clear" w:color="auto" w:fill="auto"/>
            <w:vAlign w:val="center"/>
          </w:tcPr>
          <w:p w14:paraId="4C350AFA">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已落实</w:t>
            </w:r>
          </w:p>
        </w:tc>
        <w:tc>
          <w:tcPr>
            <w:tcW w:w="5047" w:type="dxa"/>
            <w:tcBorders>
              <w:top w:val="single" w:color="auto" w:sz="4" w:space="0"/>
              <w:left w:val="single" w:color="auto" w:sz="4" w:space="0"/>
              <w:bottom w:val="single" w:color="auto" w:sz="4" w:space="0"/>
              <w:right w:val="single" w:color="auto" w:sz="4" w:space="0"/>
            </w:tcBorders>
            <w:shd w:val="clear" w:color="auto" w:fill="auto"/>
            <w:vAlign w:val="center"/>
          </w:tcPr>
          <w:p w14:paraId="68B07765">
            <w:pPr>
              <w:spacing w:line="40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项目入住服务对象（特困人员）人数因自然减员、动态进出等原因具有不确定性。合同约定按实际入住床位数及实际服务天数进行据实结算，具体结算方式为：每月初由采购方（民政部门）与中标供应商共同核实上月实际集中供养服务人数。</w:t>
            </w:r>
          </w:p>
          <w:p w14:paraId="129D190F">
            <w:pPr>
              <w:spacing w:line="40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按月拨付结算。采购人根据核定人数及中标单价核算服务费用，经公示或确认无误后拨付上月款项。</w:t>
            </w:r>
          </w:p>
          <w:p w14:paraId="5E969C56">
            <w:pPr>
              <w:spacing w:line="400" w:lineRule="exact"/>
              <w:jc w:val="left"/>
              <w:rPr>
                <w:rFonts w:hint="eastAsia" w:ascii="仿宋" w:hAnsi="仿宋" w:eastAsia="仿宋" w:cs="仿宋"/>
                <w:sz w:val="21"/>
                <w:szCs w:val="21"/>
              </w:rPr>
            </w:pPr>
            <w:r>
              <w:rPr>
                <w:rFonts w:hint="eastAsia" w:ascii="仿宋" w:hAnsi="仿宋" w:eastAsia="仿宋" w:cs="仿宋"/>
                <w:sz w:val="21"/>
                <w:szCs w:val="21"/>
                <w:lang w:val="en-US" w:eastAsia="zh-CN"/>
              </w:rPr>
              <w:t>供应商不得以入住人数减少、床位空置为由要求采购人补足预算差额。每年预算控制数为119万元。上述金额均为预估上限，不作为最终支付依据。</w:t>
            </w:r>
            <w:r>
              <w:rPr>
                <w:rFonts w:hint="eastAsia" w:ascii="仿宋" w:hAnsi="仿宋" w:eastAsia="仿宋" w:cs="仿宋"/>
                <w:sz w:val="21"/>
                <w:szCs w:val="21"/>
                <w:lang w:val="en-US" w:eastAsia="zh-CN"/>
              </w:rPr>
              <w:br w:type="textWrapping"/>
            </w:r>
            <w:r>
              <w:rPr>
                <w:rFonts w:hint="eastAsia" w:ascii="仿宋" w:hAnsi="仿宋" w:eastAsia="仿宋" w:cs="仿宋"/>
                <w:sz w:val="21"/>
                <w:szCs w:val="21"/>
                <w:lang w:val="en-US" w:eastAsia="zh-CN"/>
              </w:rPr>
              <w:t>政策补助标准的动态调整机制：特困人员供养及护理补助标准严格按各级政府文件规定执行。合同履行期间，若遇国家或地方政策性标准调整，按最新文件规定的新标准执行。需要特别说明的是：因政策调整导致的服务单价或补贴金额变动，仅作为据实结算的调整因子，不纳入本项目投标报价的浮动基数计算，不对中标合同单价产生合同变更效力，仅在拨款结算时进行差额增减。</w:t>
            </w:r>
          </w:p>
        </w:tc>
      </w:tr>
    </w:tbl>
    <w:p w14:paraId="3EFB26C5">
      <w:pPr>
        <w:spacing w:line="400" w:lineRule="exact"/>
        <w:jc w:val="left"/>
        <w:rPr>
          <w:rFonts w:hint="eastAsia" w:ascii="仿宋_GB2312" w:hAnsi="Calibri" w:eastAsia="仿宋_GB2312" w:cs="仿宋_GB2312"/>
          <w:bCs/>
          <w:sz w:val="28"/>
          <w:szCs w:val="28"/>
        </w:rPr>
      </w:pPr>
    </w:p>
    <w:p w14:paraId="2E47DD95">
      <w:pPr>
        <w:spacing w:line="400" w:lineRule="exact"/>
        <w:ind w:firstLine="1440" w:firstLineChars="6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本次公开的政府购意向是本单位政府采购工作的初步安排，具体采购项目情况以相关采购公告和采购文件为准。</w:t>
      </w:r>
    </w:p>
    <w:p w14:paraId="4C170788">
      <w:pPr>
        <w:spacing w:line="400" w:lineRule="exact"/>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p w14:paraId="29040857">
      <w:pPr>
        <w:spacing w:line="400" w:lineRule="exact"/>
        <w:ind w:firstLine="480" w:firstLineChars="20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环江毛南族自治县民政局</w:t>
      </w:r>
    </w:p>
    <w:p w14:paraId="7AC1FFB7">
      <w:pPr>
        <w:spacing w:line="400" w:lineRule="exact"/>
        <w:ind w:firstLine="480" w:firstLineChars="20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2026年8月7日</w:t>
      </w:r>
    </w:p>
    <w:sectPr>
      <w:footerReference r:id="rId3" w:type="default"/>
      <w:pgSz w:w="16838" w:h="11906"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6FD1A28-E33A-4D54-8B1A-A2E8BEFE94B2}"/>
  </w:font>
  <w:font w:name="微软雅黑">
    <w:panose1 w:val="020B0503020204020204"/>
    <w:charset w:val="86"/>
    <w:family w:val="auto"/>
    <w:pitch w:val="default"/>
    <w:sig w:usb0="80000287" w:usb1="2ACF3C50" w:usb2="00000016" w:usb3="00000000" w:csb0="0004001F" w:csb1="00000000"/>
    <w:embedRegular r:id="rId2" w:fontKey="{EEDFB12A-0EB2-47C8-960F-7F10B7BFB15B}"/>
  </w:font>
  <w:font w:name="仿宋_GB2312">
    <w:panose1 w:val="02010609030101010101"/>
    <w:charset w:val="86"/>
    <w:family w:val="modern"/>
    <w:pitch w:val="default"/>
    <w:sig w:usb0="00000001" w:usb1="080E0000" w:usb2="00000000" w:usb3="00000000" w:csb0="00040000" w:csb1="00000000"/>
    <w:embedRegular r:id="rId3" w:fontKey="{71C7E8C6-19A6-4661-AC61-46A025CC89D4}"/>
  </w:font>
  <w:font w:name="仿宋">
    <w:panose1 w:val="02010609060101010101"/>
    <w:charset w:val="86"/>
    <w:family w:val="auto"/>
    <w:pitch w:val="default"/>
    <w:sig w:usb0="800002BF" w:usb1="38CF7CFA" w:usb2="00000016" w:usb3="00000000" w:csb0="00040001" w:csb1="00000000"/>
    <w:embedRegular r:id="rId4" w:fontKey="{37804E39-EDA9-4D29-AC9A-4785265E7972}"/>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2CFD4">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EE005B">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4yo2MsBAACc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7Ks&#10;VjfZoT5AjY2PAVvTcO+H3D3lAZNZ+KCizW+URLCO/p6v/sohEZE/Wq/W6wpLAmvzAXHY0+chQnor&#10;vSU5aGjECyy+8tN7SGPr3JKnOf+gjcE8r437K4GYOcMy95FjjtKwHybie9+eUU+Pd99Qh6tOiXnn&#10;0Nq8JnMQ52A/B8cQ9aFDasvCC8LdMSGJwi1PGGGnwXhpRd20YHkr/jyXrq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MqNjLAQAAnAMAAA4AAAAAAAAAAQAgAAAAHgEAAGRycy9lMm9E&#10;b2MueG1sUEsFBgAAAAAGAAYAWQEAAFsFAAAAAA==&#10;">
              <v:fill on="f" focussize="0,0"/>
              <v:stroke on="f"/>
              <v:imagedata o:title=""/>
              <o:lock v:ext="edit" aspectratio="f"/>
              <v:textbox inset="0mm,0mm,0mm,0mm" style="mso-fit-shape-to-text:t;">
                <w:txbxContent>
                  <w:p w14:paraId="64EE005B">
                    <w:pPr>
                      <w:pStyle w:val="3"/>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3ZDkwMGY2YjgyZDNkMzliMTQyOGQ3OWQ3NTZhYTAifQ=="/>
  </w:docVars>
  <w:rsids>
    <w:rsidRoot w:val="00435469"/>
    <w:rsid w:val="001C0CDE"/>
    <w:rsid w:val="002204B0"/>
    <w:rsid w:val="002C6786"/>
    <w:rsid w:val="00404E2E"/>
    <w:rsid w:val="00435469"/>
    <w:rsid w:val="004912C6"/>
    <w:rsid w:val="004D66BC"/>
    <w:rsid w:val="005549EF"/>
    <w:rsid w:val="006B0AD1"/>
    <w:rsid w:val="00701D6B"/>
    <w:rsid w:val="00706FF2"/>
    <w:rsid w:val="007709F3"/>
    <w:rsid w:val="007857FB"/>
    <w:rsid w:val="007C593A"/>
    <w:rsid w:val="009B08AF"/>
    <w:rsid w:val="009F6F63"/>
    <w:rsid w:val="00B54019"/>
    <w:rsid w:val="00B87295"/>
    <w:rsid w:val="00C3449B"/>
    <w:rsid w:val="00D1585E"/>
    <w:rsid w:val="00DB3BC0"/>
    <w:rsid w:val="00DF202F"/>
    <w:rsid w:val="00F4600F"/>
    <w:rsid w:val="00F5728F"/>
    <w:rsid w:val="00FD7D60"/>
    <w:rsid w:val="012E4840"/>
    <w:rsid w:val="08300CB5"/>
    <w:rsid w:val="09D539C4"/>
    <w:rsid w:val="0B8C1969"/>
    <w:rsid w:val="0EA32AAE"/>
    <w:rsid w:val="0F3D34DE"/>
    <w:rsid w:val="118B0D84"/>
    <w:rsid w:val="129D6F61"/>
    <w:rsid w:val="1559593A"/>
    <w:rsid w:val="1BF412D8"/>
    <w:rsid w:val="1C737230"/>
    <w:rsid w:val="1D297C66"/>
    <w:rsid w:val="1D8A4B94"/>
    <w:rsid w:val="1F8F4245"/>
    <w:rsid w:val="1FC50B5C"/>
    <w:rsid w:val="2012758D"/>
    <w:rsid w:val="23015060"/>
    <w:rsid w:val="23AE2415"/>
    <w:rsid w:val="25E81005"/>
    <w:rsid w:val="2E9C5041"/>
    <w:rsid w:val="30B7772E"/>
    <w:rsid w:val="350D5658"/>
    <w:rsid w:val="35B17C6B"/>
    <w:rsid w:val="370A421A"/>
    <w:rsid w:val="3A533025"/>
    <w:rsid w:val="3D6F486F"/>
    <w:rsid w:val="43F1116F"/>
    <w:rsid w:val="444B0354"/>
    <w:rsid w:val="4AD62F17"/>
    <w:rsid w:val="4DFD2790"/>
    <w:rsid w:val="53244871"/>
    <w:rsid w:val="5B350C9E"/>
    <w:rsid w:val="5C4D44A3"/>
    <w:rsid w:val="644C18DA"/>
    <w:rsid w:val="663C4348"/>
    <w:rsid w:val="68D32492"/>
    <w:rsid w:val="6AD66FD5"/>
    <w:rsid w:val="6BA17BFB"/>
    <w:rsid w:val="6C6C3C97"/>
    <w:rsid w:val="716220E7"/>
    <w:rsid w:val="73A6316F"/>
    <w:rsid w:val="782F1AA2"/>
    <w:rsid w:val="7F7543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styleId="8">
    <w:name w:val="List Paragraph"/>
    <w:basedOn w:val="1"/>
    <w:qFormat/>
    <w:uiPriority w:val="34"/>
    <w:pPr>
      <w:ind w:firstLine="420" w:firstLineChars="200"/>
    </w:pPr>
  </w:style>
  <w:style w:type="character" w:customStyle="1" w:styleId="9">
    <w:name w:val="批注框文本 Char"/>
    <w:basedOn w:val="7"/>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336</Words>
  <Characters>364</Characters>
  <Lines>2</Lines>
  <Paragraphs>1</Paragraphs>
  <TotalTime>4</TotalTime>
  <ScaleCrop>false</ScaleCrop>
  <LinksUpToDate>false</LinksUpToDate>
  <CharactersWithSpaces>385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2021-05-13T03:18:00Z</dcterms:created>
  <dc:creator>Administrator</dc:creator>
  <cp:lastModifiedBy>沉默</cp:lastModifiedBy>
  <cp:lastPrinted>2026-07-31T02:24:00Z</cp:lastPrinted>
  <dcterms:modified xsi:type="dcterms:W3CDTF">2026-08-07T01:24:59Z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4E5D62801B054802ADECF8809026C858</vt:lpwstr>
  </property>
  <property fmtid="{D5CDD505-2E9C-101B-9397-08002B2CF9AE}" pid="4" name="KSOTemplateDocerSaveRecord">
    <vt:lpwstr>eyJoZGlkIjoiMzk4MTQwYTMyZDllY2Y4ODhkZTgwNTIxN2M0NmQ4MzEiLCJ1c2VySWQiOiI2OTcyMDE3MDkifQ==</vt:lpwstr>
  </property>
</Properties>
</file>