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48"/>
          <w:szCs w:val="48"/>
          <w:lang w:val="en-US" w:eastAsia="zh-CN"/>
        </w:rPr>
      </w:pPr>
      <w:r>
        <w:rPr>
          <w:rFonts w:hint="eastAsia"/>
          <w:b/>
          <w:bCs/>
          <w:sz w:val="48"/>
          <w:szCs w:val="48"/>
          <w:lang w:val="en-US" w:eastAsia="zh-CN"/>
        </w:rPr>
        <w:t>象州县高标准农田建设底数核查实地核查工作服务</w:t>
      </w:r>
    </w:p>
    <w:p>
      <w:pPr>
        <w:ind w:left="0" w:leftChars="0" w:firstLine="0" w:firstLineChars="0"/>
        <w:jc w:val="center"/>
        <w:rPr>
          <w:rFonts w:hint="eastAsia"/>
          <w:b/>
          <w:bCs/>
          <w:sz w:val="48"/>
          <w:szCs w:val="48"/>
          <w:lang w:val="en-US" w:eastAsia="zh-CN"/>
        </w:rPr>
      </w:pPr>
      <w:r>
        <w:rPr>
          <w:rFonts w:hint="eastAsia"/>
          <w:b/>
          <w:bCs/>
          <w:sz w:val="48"/>
          <w:szCs w:val="48"/>
          <w:lang w:val="en-US" w:eastAsia="zh-CN"/>
        </w:rPr>
        <w:t>询价公告</w:t>
      </w:r>
    </w:p>
    <w:p>
      <w:pPr>
        <w:rPr>
          <w:rFonts w:hint="default"/>
          <w:b/>
          <w:bCs/>
          <w:lang w:val="en-US" w:eastAsia="zh-CN"/>
        </w:rPr>
      </w:pPr>
    </w:p>
    <w:p>
      <w:pPr>
        <w:pStyle w:val="2"/>
        <w:rPr>
          <w:rFonts w:hint="default"/>
          <w:lang w:val="en-US" w:eastAsia="zh-CN"/>
        </w:rPr>
      </w:pP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现以询价采购的方式，对</w:t>
      </w:r>
      <w:r>
        <w:rPr>
          <w:rFonts w:hint="eastAsia" w:ascii="宋体" w:hAnsi="宋体" w:cs="宋体"/>
          <w:kern w:val="2"/>
          <w:sz w:val="30"/>
          <w:szCs w:val="30"/>
          <w:u w:val="single"/>
          <w:lang w:val="en-US" w:eastAsia="zh-CN" w:bidi="ar-SA"/>
        </w:rPr>
        <w:t>象州县高标准农田建设底数核查实地核查工作服务</w:t>
      </w:r>
      <w:r>
        <w:rPr>
          <w:rFonts w:hint="eastAsia" w:ascii="宋体" w:hAnsi="宋体" w:eastAsia="宋体" w:cs="宋体"/>
          <w:kern w:val="2"/>
          <w:sz w:val="30"/>
          <w:szCs w:val="30"/>
          <w:lang w:val="en-US" w:eastAsia="zh-CN" w:bidi="ar-SA"/>
        </w:rPr>
        <w:t>进行询价，询价文件经采购单位象州县农业农村局审核、确认，欢迎符合资格条件的供应商参加投标报价。</w:t>
      </w:r>
    </w:p>
    <w:p>
      <w:pPr>
        <w:rPr>
          <w:rFonts w:hint="eastAsia"/>
          <w:b/>
          <w:bCs/>
          <w:sz w:val="30"/>
          <w:szCs w:val="30"/>
          <w:lang w:val="en-US" w:eastAsia="zh-CN"/>
        </w:rPr>
      </w:pPr>
      <w:r>
        <w:rPr>
          <w:rFonts w:hint="eastAsia"/>
          <w:b/>
          <w:bCs/>
          <w:sz w:val="30"/>
          <w:szCs w:val="30"/>
          <w:lang w:val="en-US" w:eastAsia="zh-CN"/>
        </w:rPr>
        <w:t>一、项目基本情况</w:t>
      </w:r>
    </w:p>
    <w:p>
      <w:pPr>
        <w:rPr>
          <w:rFonts w:hint="eastAsia"/>
          <w:b w:val="0"/>
          <w:bCs w:val="0"/>
          <w:sz w:val="30"/>
          <w:szCs w:val="30"/>
          <w:u w:val="single"/>
          <w:lang w:val="en-US" w:eastAsia="zh-CN"/>
        </w:rPr>
      </w:pPr>
      <w:r>
        <w:rPr>
          <w:rFonts w:hint="eastAsia"/>
          <w:b w:val="0"/>
          <w:bCs w:val="0"/>
          <w:sz w:val="30"/>
          <w:szCs w:val="30"/>
          <w:lang w:val="en-US" w:eastAsia="zh-CN"/>
        </w:rPr>
        <w:t>（一）项目名称：</w:t>
      </w:r>
      <w:r>
        <w:rPr>
          <w:rFonts w:hint="eastAsia"/>
          <w:b w:val="0"/>
          <w:bCs w:val="0"/>
          <w:sz w:val="30"/>
          <w:szCs w:val="30"/>
          <w:u w:val="single"/>
          <w:lang w:val="en-US" w:eastAsia="zh-CN"/>
        </w:rPr>
        <w:t>象州县高标准农田建设底数核查实地核查工作服务</w:t>
      </w:r>
    </w:p>
    <w:p>
      <w:pPr>
        <w:rPr>
          <w:rFonts w:hint="eastAsia"/>
          <w:b w:val="0"/>
          <w:bCs w:val="0"/>
          <w:sz w:val="30"/>
          <w:szCs w:val="30"/>
          <w:u w:val="none"/>
          <w:lang w:val="en-US" w:eastAsia="zh-CN"/>
        </w:rPr>
      </w:pPr>
      <w:r>
        <w:rPr>
          <w:rFonts w:hint="eastAsia"/>
          <w:b w:val="0"/>
          <w:bCs w:val="0"/>
          <w:sz w:val="30"/>
          <w:szCs w:val="30"/>
          <w:u w:val="none"/>
          <w:lang w:val="en-US" w:eastAsia="zh-CN"/>
        </w:rPr>
        <w:t>（二）合同履行期限：</w:t>
      </w:r>
      <w:r>
        <w:rPr>
          <w:rFonts w:hint="eastAsia"/>
          <w:b w:val="0"/>
          <w:bCs w:val="0"/>
          <w:sz w:val="30"/>
          <w:szCs w:val="30"/>
          <w:highlight w:val="none"/>
          <w:u w:val="none"/>
          <w:lang w:val="en-US" w:eastAsia="zh-CN"/>
        </w:rPr>
        <w:t>按照上级要求时间15个工作日内完成</w:t>
      </w:r>
      <w:r>
        <w:rPr>
          <w:rFonts w:hint="eastAsia"/>
          <w:b w:val="0"/>
          <w:bCs w:val="0"/>
          <w:sz w:val="30"/>
          <w:szCs w:val="30"/>
          <w:u w:val="none"/>
          <w:lang w:val="en-US" w:eastAsia="zh-CN"/>
        </w:rPr>
        <w:t>。</w:t>
      </w:r>
    </w:p>
    <w:p>
      <w:pPr>
        <w:pStyle w:val="2"/>
        <w:rPr>
          <w:rFonts w:hint="default"/>
          <w:lang w:val="en-US" w:eastAsia="zh-CN"/>
        </w:rPr>
      </w:pPr>
    </w:p>
    <w:p>
      <w:pPr>
        <w:rPr>
          <w:rFonts w:hint="eastAsia"/>
          <w:b/>
          <w:bCs/>
          <w:sz w:val="30"/>
          <w:szCs w:val="30"/>
          <w:u w:val="none"/>
          <w:lang w:val="en-US" w:eastAsia="zh-CN"/>
        </w:rPr>
      </w:pPr>
      <w:r>
        <w:rPr>
          <w:rFonts w:hint="eastAsia"/>
          <w:b/>
          <w:bCs/>
          <w:sz w:val="30"/>
          <w:szCs w:val="30"/>
          <w:u w:val="none"/>
          <w:lang w:val="en-US" w:eastAsia="zh-CN"/>
        </w:rPr>
        <w:t>二、采购方式、范围及要求</w:t>
      </w:r>
    </w:p>
    <w:p>
      <w:pPr>
        <w:rPr>
          <w:rFonts w:hint="eastAsia"/>
          <w:b w:val="0"/>
          <w:bCs w:val="0"/>
          <w:sz w:val="30"/>
          <w:szCs w:val="30"/>
          <w:u w:val="single"/>
          <w:lang w:val="en-US" w:eastAsia="zh-CN"/>
        </w:rPr>
      </w:pPr>
      <w:r>
        <w:rPr>
          <w:rFonts w:hint="eastAsia"/>
          <w:b w:val="0"/>
          <w:bCs w:val="0"/>
          <w:sz w:val="30"/>
          <w:szCs w:val="30"/>
          <w:u w:val="none"/>
          <w:lang w:val="en-US" w:eastAsia="zh-CN"/>
        </w:rPr>
        <w:t>（一）采购方式：</w:t>
      </w:r>
      <w:r>
        <w:rPr>
          <w:rFonts w:hint="eastAsia"/>
          <w:b w:val="0"/>
          <w:bCs w:val="0"/>
          <w:sz w:val="30"/>
          <w:szCs w:val="30"/>
          <w:u w:val="single"/>
          <w:lang w:val="en-US" w:eastAsia="zh-CN"/>
        </w:rPr>
        <w:t>询价报价</w:t>
      </w:r>
    </w:p>
    <w:p>
      <w:pPr>
        <w:rPr>
          <w:rFonts w:hint="eastAsia"/>
          <w:b w:val="0"/>
          <w:bCs w:val="0"/>
          <w:sz w:val="30"/>
          <w:szCs w:val="30"/>
          <w:u w:val="none"/>
          <w:lang w:val="en-US" w:eastAsia="zh-CN"/>
        </w:rPr>
      </w:pPr>
      <w:r>
        <w:rPr>
          <w:rFonts w:hint="eastAsia"/>
          <w:b w:val="0"/>
          <w:bCs w:val="0"/>
          <w:sz w:val="30"/>
          <w:szCs w:val="30"/>
          <w:u w:val="none"/>
          <w:lang w:val="en-US" w:eastAsia="zh-CN"/>
        </w:rPr>
        <w:t>（二）投标要求：</w:t>
      </w:r>
      <w:r>
        <w:rPr>
          <w:rFonts w:hint="eastAsia"/>
          <w:b w:val="0"/>
          <w:bCs w:val="0"/>
          <w:sz w:val="30"/>
          <w:szCs w:val="30"/>
          <w:u w:val="single"/>
          <w:lang w:val="en-US" w:eastAsia="zh-CN"/>
        </w:rPr>
        <w:t>该服务项目至少三家公司参与竞价投标，否则无效</w:t>
      </w:r>
      <w:r>
        <w:rPr>
          <w:rFonts w:hint="eastAsia"/>
          <w:b w:val="0"/>
          <w:bCs w:val="0"/>
          <w:sz w:val="30"/>
          <w:szCs w:val="30"/>
          <w:u w:val="none"/>
          <w:lang w:val="en-US" w:eastAsia="zh-CN"/>
        </w:rPr>
        <w:t>。</w:t>
      </w:r>
    </w:p>
    <w:p>
      <w:pPr>
        <w:rPr>
          <w:rFonts w:hint="eastAsia"/>
          <w:b w:val="0"/>
          <w:bCs w:val="0"/>
          <w:sz w:val="30"/>
          <w:szCs w:val="30"/>
          <w:u w:val="none"/>
          <w:lang w:val="en-US" w:eastAsia="zh-CN"/>
        </w:rPr>
      </w:pPr>
    </w:p>
    <w:p>
      <w:pPr>
        <w:pStyle w:val="15"/>
        <w:ind w:left="0" w:leftChars="0" w:firstLine="420" w:firstLineChars="0"/>
        <w:rPr>
          <w:rFonts w:hint="eastAsia" w:ascii="宋体" w:hAnsi="宋体" w:cs="宋体"/>
          <w:b/>
          <w:bCs/>
          <w:sz w:val="30"/>
          <w:szCs w:val="30"/>
          <w:lang w:val="en-US" w:eastAsia="zh-CN"/>
        </w:rPr>
      </w:pPr>
      <w:r>
        <w:rPr>
          <w:rFonts w:hint="eastAsia" w:ascii="宋体" w:hAnsi="宋体" w:cs="宋体"/>
          <w:b/>
          <w:bCs/>
          <w:sz w:val="30"/>
          <w:szCs w:val="30"/>
          <w:lang w:val="en-US" w:eastAsia="zh-CN"/>
        </w:rPr>
        <w:t>三、采购需求</w:t>
      </w:r>
    </w:p>
    <w:p>
      <w:pPr>
        <w:pStyle w:val="15"/>
        <w:ind w:left="0" w:leftChars="0" w:firstLine="0" w:firstLineChars="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采购需求表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71"/>
        <w:gridCol w:w="1212"/>
        <w:gridCol w:w="981"/>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34"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序号</w:t>
            </w:r>
          </w:p>
        </w:tc>
        <w:tc>
          <w:tcPr>
            <w:tcW w:w="7071"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项目名称</w:t>
            </w:r>
          </w:p>
        </w:tc>
        <w:tc>
          <w:tcPr>
            <w:tcW w:w="1212"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数量</w:t>
            </w:r>
          </w:p>
        </w:tc>
        <w:tc>
          <w:tcPr>
            <w:tcW w:w="981"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单位</w:t>
            </w:r>
          </w:p>
        </w:tc>
        <w:tc>
          <w:tcPr>
            <w:tcW w:w="2600"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trPr>
        <w:tc>
          <w:tcPr>
            <w:tcW w:w="1134"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1</w:t>
            </w:r>
          </w:p>
        </w:tc>
        <w:tc>
          <w:tcPr>
            <w:tcW w:w="7071"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象州县高标准农田建设底数核查实地核查工作服务</w:t>
            </w:r>
          </w:p>
        </w:tc>
        <w:tc>
          <w:tcPr>
            <w:tcW w:w="1212"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1</w:t>
            </w:r>
          </w:p>
        </w:tc>
        <w:tc>
          <w:tcPr>
            <w:tcW w:w="981"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项</w:t>
            </w:r>
          </w:p>
        </w:tc>
        <w:tc>
          <w:tcPr>
            <w:tcW w:w="2600" w:type="dxa"/>
            <w:vAlign w:val="center"/>
          </w:tcPr>
          <w:p>
            <w:pPr>
              <w:pStyle w:val="15"/>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default" w:ascii="宋体" w:hAnsi="宋体" w:cs="宋体"/>
                <w:sz w:val="30"/>
                <w:szCs w:val="30"/>
                <w:vertAlign w:val="baseline"/>
                <w:lang w:val="en-US" w:eastAsia="zh-CN"/>
              </w:rPr>
            </w:pPr>
            <w:r>
              <w:rPr>
                <w:rFonts w:hint="eastAsia" w:ascii="宋体" w:hAnsi="宋体" w:cs="宋体"/>
                <w:sz w:val="30"/>
                <w:szCs w:val="30"/>
                <w:vertAlign w:val="baseline"/>
                <w:lang w:val="en-US" w:eastAsia="zh-CN"/>
              </w:rPr>
              <w:t>25万元</w:t>
            </w:r>
          </w:p>
        </w:tc>
      </w:tr>
    </w:tbl>
    <w:p>
      <w:pPr>
        <w:rPr>
          <w:rFonts w:hint="eastAsia"/>
          <w:b w:val="0"/>
          <w:bCs w:val="0"/>
          <w:sz w:val="30"/>
          <w:szCs w:val="30"/>
          <w:u w:val="none"/>
          <w:lang w:val="en-US" w:eastAsia="zh-CN"/>
        </w:rPr>
      </w:pPr>
    </w:p>
    <w:p>
      <w:pPr>
        <w:rPr>
          <w:rFonts w:hint="eastAsia"/>
          <w:b w:val="0"/>
          <w:bCs w:val="0"/>
          <w:sz w:val="30"/>
          <w:szCs w:val="30"/>
          <w:u w:val="none"/>
          <w:lang w:val="en-US" w:eastAsia="zh-CN"/>
        </w:rPr>
      </w:pPr>
      <w:r>
        <w:rPr>
          <w:rFonts w:hint="eastAsia"/>
          <w:b w:val="0"/>
          <w:bCs w:val="0"/>
          <w:sz w:val="30"/>
          <w:szCs w:val="30"/>
          <w:u w:val="none"/>
          <w:lang w:val="en-US" w:eastAsia="zh-CN"/>
        </w:rPr>
        <w:t>（一）项目内容及要求</w:t>
      </w:r>
    </w:p>
    <w:p>
      <w:pPr>
        <w:rPr>
          <w:rFonts w:hint="default"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（1）核查对象</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象州县高标准农田建设底数核查工作服务，主要核查内容如下：</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1、审计等反映面积不实问题项目</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针对审计等反映面积不符的问题项目，结合整改情况开展实地核查。主要包括重复上图入库、图斑重叠且对重叠面积数量存疑、项目上图入库矢量图斑面积小于项目建设任务、建成后部分图斑变更为非耕地、在不具备耕作条件区域建设以及建成图斑位于限建或禁建区内等。</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2、上图入库数据与实地不符或套合分析结果存疑项目</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针对上图入库数据与实地不符或对套合分析结果存疑的项目，各地应据实开展实地核查。包括上图入库图斑与建成图斑边界不一致的，套合结果显示建成面积小于立项面积或对建成面积结果存疑的，项目范围内部分地块实际为耕作用途但未及时认定为耕地地类等。</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3、永久基本农田内“不具备条件”建设的地块</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不具备条件”建设的类型主要包括位于城镇开发边界内、生态保护红线内、河道湖区管理范围内、退耕还林耕地、严格管控类耕地、25°以上坡耕地等。各地结合下发的套合分析结果，根据实际工作需要开展实地核查。特别是数据套合分析结果显示“具备条件”,但与实地不符的待建图斑，要据实开展实地核查，包括坡度在25°以下但实地无法满足高标准农田配套工程布置条件的，严格管控类耕地以外但实际存在污染情况的等。</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4、其他应开展实地核查的情况</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通过内业套合分析不能核清、需要开展实地核查确定的其他情形。</w:t>
      </w:r>
    </w:p>
    <w:p>
      <w:pPr>
        <w:rPr>
          <w:rFonts w:hint="eastAsia" w:ascii="宋体" w:hAnsi="宋体" w:eastAsia="宋体" w:cs="宋体"/>
          <w:b/>
          <w:bCs/>
          <w:kern w:val="2"/>
          <w:sz w:val="30"/>
          <w:szCs w:val="30"/>
          <w:lang w:val="en-US" w:eastAsia="zh-CN" w:bidi="ar-SA"/>
        </w:rPr>
      </w:pPr>
      <w:r>
        <w:rPr>
          <w:rFonts w:hint="eastAsia" w:ascii="宋体" w:hAnsi="宋体" w:cs="宋体"/>
          <w:b/>
          <w:bCs/>
          <w:kern w:val="2"/>
          <w:sz w:val="30"/>
          <w:szCs w:val="30"/>
          <w:lang w:val="en-US" w:eastAsia="zh-CN" w:bidi="ar-SA"/>
        </w:rPr>
        <w:t>（2）</w:t>
      </w:r>
      <w:r>
        <w:rPr>
          <w:rFonts w:hint="eastAsia" w:ascii="宋体" w:hAnsi="宋体" w:eastAsia="宋体" w:cs="宋体"/>
          <w:b/>
          <w:bCs/>
          <w:kern w:val="2"/>
          <w:sz w:val="30"/>
          <w:szCs w:val="30"/>
          <w:lang w:val="en-US" w:eastAsia="zh-CN" w:bidi="ar-SA"/>
        </w:rPr>
        <w:t xml:space="preserve">核查要求 </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1、对审计等反映问题项目完成整改的，提供项目清单、整改后的项目图斑、现场照片等整改佐证材料。</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2、经核实需调整项目矢量范围的，按照《实地核查规则》提供相关调整前和调整后的项目矢量范围、实地核查记录表等佐证材料。</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经核实需将国土变更调查为非耕地地块确认为耕地的，按项目提供项目图斑立项时点或现状时点与实地核查地类矢量图层、实地核查记录表等佐证材料，矢量图层应按照《高标准农田底数核查套合分析技术规则》相关要求制作。</w:t>
      </w:r>
    </w:p>
    <w:p>
      <w:pP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4、经核实认为“具备条件”建设的永久基本农田待建地块与实地不符的，将实际不具备条件地块合并为一个矢量图层，说明不具备条件原因(如污染地块、零星地块等),并对图层内每个图斑设置一个唯一的标识码，提供该标识码对应的影像资料、实地核查举证照片、实地核查记录表等相关佐证材料。</w:t>
      </w:r>
    </w:p>
    <w:p>
      <w:pPr>
        <w:rPr>
          <w:rFonts w:hint="eastAsia"/>
          <w:b w:val="0"/>
          <w:bCs w:val="0"/>
          <w:sz w:val="30"/>
          <w:szCs w:val="30"/>
          <w:u w:val="none"/>
          <w:lang w:val="en-US" w:eastAsia="zh-CN"/>
        </w:rPr>
      </w:pPr>
      <w:r>
        <w:rPr>
          <w:rFonts w:hint="eastAsia" w:ascii="宋体" w:hAnsi="宋体" w:eastAsia="宋体" w:cs="宋体"/>
          <w:kern w:val="2"/>
          <w:sz w:val="30"/>
          <w:szCs w:val="30"/>
          <w:lang w:val="en-US" w:eastAsia="zh-CN" w:bidi="ar-SA"/>
        </w:rPr>
        <w:t>5、认真落实实地核查要求，按时限完成实地核查工作，提交核查成果及相关资料，确保成果真实性、数据准确性。单个项目的实地核查工作一般不超过7个工作日完成。</w:t>
      </w:r>
    </w:p>
    <w:p>
      <w:pPr>
        <w:rPr>
          <w:rFonts w:hint="eastAsia"/>
          <w:b w:val="0"/>
          <w:bCs w:val="0"/>
          <w:sz w:val="30"/>
          <w:szCs w:val="30"/>
          <w:u w:val="none"/>
          <w:lang w:val="en-US" w:eastAsia="zh-CN"/>
        </w:rPr>
      </w:pPr>
      <w:r>
        <w:rPr>
          <w:rFonts w:hint="eastAsia"/>
          <w:b w:val="0"/>
          <w:bCs w:val="0"/>
          <w:sz w:val="30"/>
          <w:szCs w:val="30"/>
          <w:u w:val="none"/>
          <w:lang w:val="en-US" w:eastAsia="zh-CN"/>
        </w:rPr>
        <w:t>6、将底数核查成果导入一张图监管系统，实现底数核查成果与一张图监管系统无缝衔接。</w:t>
      </w:r>
    </w:p>
    <w:p>
      <w:pPr>
        <w:pStyle w:val="15"/>
        <w:ind w:left="0" w:leftChars="0" w:firstLine="420" w:firstLineChars="0"/>
        <w:rPr>
          <w:rFonts w:hint="eastAsia" w:ascii="宋体" w:hAnsi="宋体" w:cs="宋体"/>
          <w:b/>
          <w:bCs/>
          <w:sz w:val="30"/>
          <w:szCs w:val="30"/>
          <w:lang w:val="en-US" w:eastAsia="zh-CN"/>
        </w:rPr>
      </w:pPr>
    </w:p>
    <w:p>
      <w:pPr>
        <w:pStyle w:val="15"/>
        <w:ind w:left="0" w:leftChars="0" w:firstLine="420" w:firstLineChars="0"/>
        <w:rPr>
          <w:rFonts w:hint="default" w:ascii="宋体" w:hAnsi="宋体" w:cs="宋体"/>
          <w:b/>
          <w:bCs/>
          <w:sz w:val="30"/>
          <w:szCs w:val="30"/>
          <w:lang w:val="en-US" w:eastAsia="zh-CN"/>
        </w:rPr>
      </w:pPr>
      <w:r>
        <w:rPr>
          <w:rFonts w:hint="eastAsia" w:ascii="宋体" w:hAnsi="宋体" w:cs="宋体"/>
          <w:b/>
          <w:bCs/>
          <w:sz w:val="30"/>
          <w:szCs w:val="30"/>
          <w:lang w:val="en-US" w:eastAsia="zh-CN"/>
        </w:rPr>
        <w:t>四、</w:t>
      </w:r>
      <w:r>
        <w:rPr>
          <w:rFonts w:hint="default" w:ascii="宋体" w:hAnsi="宋体" w:cs="宋体"/>
          <w:b/>
          <w:bCs/>
          <w:sz w:val="30"/>
          <w:szCs w:val="30"/>
          <w:lang w:val="en-US" w:eastAsia="zh-CN"/>
        </w:rPr>
        <w:t>供应商资质及其他要求</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cs="宋体"/>
          <w:sz w:val="30"/>
          <w:szCs w:val="30"/>
          <w:lang w:val="en-US" w:eastAsia="zh-CN"/>
        </w:rPr>
        <w:t>一</w:t>
      </w:r>
      <w:r>
        <w:rPr>
          <w:rFonts w:hint="default" w:ascii="宋体" w:hAnsi="宋体" w:eastAsia="宋体" w:cs="宋体"/>
          <w:sz w:val="30"/>
          <w:szCs w:val="30"/>
          <w:lang w:val="en-US" w:eastAsia="zh-CN"/>
        </w:rPr>
        <w:t>)满足《中华人民共和国政府采购法》第二十二条规定。</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cs="宋体"/>
          <w:sz w:val="30"/>
          <w:szCs w:val="30"/>
          <w:lang w:val="en-US" w:eastAsia="zh-CN"/>
        </w:rPr>
        <w:t>二</w:t>
      </w:r>
      <w:r>
        <w:rPr>
          <w:rFonts w:hint="default" w:ascii="宋体" w:hAnsi="宋体" w:eastAsia="宋体" w:cs="宋体"/>
          <w:sz w:val="30"/>
          <w:szCs w:val="30"/>
          <w:lang w:val="en-US" w:eastAsia="zh-CN"/>
        </w:rPr>
        <w:t>)同时具备测绘资质乙级以上（含乙级）资质和土地规划乙级以上（含乙级）资质</w:t>
      </w:r>
      <w:r>
        <w:rPr>
          <w:rFonts w:hint="eastAsia" w:ascii="宋体" w:hAnsi="宋体" w:cs="宋体"/>
          <w:sz w:val="30"/>
          <w:szCs w:val="30"/>
          <w:lang w:val="en-US" w:eastAsia="zh-CN"/>
        </w:rPr>
        <w:t>。</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cs="宋体"/>
          <w:sz w:val="30"/>
          <w:szCs w:val="30"/>
          <w:lang w:val="en-US" w:eastAsia="zh-CN"/>
        </w:rPr>
        <w:t>三</w:t>
      </w:r>
      <w:r>
        <w:rPr>
          <w:rFonts w:hint="default" w:ascii="宋体" w:hAnsi="宋体" w:eastAsia="宋体" w:cs="宋体"/>
          <w:sz w:val="30"/>
          <w:szCs w:val="30"/>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cs="宋体"/>
          <w:sz w:val="30"/>
          <w:szCs w:val="30"/>
          <w:lang w:val="en-US" w:eastAsia="zh-CN"/>
        </w:rPr>
        <w:t>四</w:t>
      </w:r>
      <w:r>
        <w:rPr>
          <w:rFonts w:hint="default" w:ascii="宋体" w:hAnsi="宋体" w:eastAsia="宋体" w:cs="宋体"/>
          <w:sz w:val="30"/>
          <w:szCs w:val="30"/>
          <w:lang w:val="en-US" w:eastAsia="zh-CN"/>
        </w:rPr>
        <w:t>)一家报价单位只能提交一份报价文件，多份报价无效。报价文件内须写明工作联系人及联系电话，否则为无效文件。</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cs="宋体"/>
          <w:sz w:val="30"/>
          <w:szCs w:val="30"/>
          <w:lang w:val="en-US" w:eastAsia="zh-CN"/>
        </w:rPr>
        <w:t>五</w:t>
      </w:r>
      <w:r>
        <w:rPr>
          <w:rFonts w:hint="default" w:ascii="宋体" w:hAnsi="宋体" w:eastAsia="宋体" w:cs="宋体"/>
          <w:sz w:val="30"/>
          <w:szCs w:val="30"/>
          <w:lang w:val="en-US" w:eastAsia="zh-CN"/>
        </w:rPr>
        <w:t>)报价文件经采购单位象州县农业农村局审核、确认符合条件方可参与评标。</w:t>
      </w:r>
    </w:p>
    <w:p>
      <w:pPr>
        <w:bidi w:val="0"/>
        <w:rPr>
          <w:rFonts w:hint="default"/>
          <w:sz w:val="30"/>
          <w:szCs w:val="30"/>
          <w:lang w:val="en-US" w:eastAsia="zh-CN"/>
        </w:rPr>
      </w:pPr>
    </w:p>
    <w:p>
      <w:pPr>
        <w:rPr>
          <w:rFonts w:hint="default"/>
          <w:b/>
          <w:bCs/>
          <w:sz w:val="30"/>
          <w:szCs w:val="30"/>
          <w:lang w:val="en-US" w:eastAsia="zh-CN"/>
        </w:rPr>
      </w:pPr>
      <w:r>
        <w:rPr>
          <w:rFonts w:hint="default"/>
          <w:b/>
          <w:bCs/>
          <w:sz w:val="30"/>
          <w:szCs w:val="30"/>
          <w:lang w:val="en-US" w:eastAsia="zh-CN"/>
        </w:rPr>
        <w:br w:type="page"/>
      </w:r>
    </w:p>
    <w:p>
      <w:pPr>
        <w:bidi w:val="0"/>
        <w:rPr>
          <w:rFonts w:hint="default"/>
          <w:b/>
          <w:bCs/>
          <w:sz w:val="30"/>
          <w:szCs w:val="30"/>
          <w:lang w:val="en-US" w:eastAsia="zh-CN"/>
        </w:rPr>
      </w:pPr>
      <w:r>
        <w:rPr>
          <w:rFonts w:hint="default"/>
          <w:b/>
          <w:bCs/>
          <w:sz w:val="30"/>
          <w:szCs w:val="30"/>
          <w:lang w:val="en-US" w:eastAsia="zh-CN"/>
        </w:rPr>
        <w:t>五、递交报价文件截止及询价时间</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(一)递交报价文件及截止时间:202</w:t>
      </w:r>
      <w:r>
        <w:rPr>
          <w:rFonts w:hint="eastAsia" w:ascii="宋体" w:hAnsi="宋体" w:cs="宋体"/>
          <w:sz w:val="30"/>
          <w:szCs w:val="30"/>
          <w:lang w:val="en-US" w:eastAsia="zh-CN"/>
        </w:rPr>
        <w:t>6</w:t>
      </w:r>
      <w:r>
        <w:rPr>
          <w:rFonts w:hint="default" w:ascii="宋体" w:hAnsi="宋体" w:eastAsia="宋体" w:cs="宋体"/>
          <w:sz w:val="30"/>
          <w:szCs w:val="30"/>
          <w:lang w:val="en-US" w:eastAsia="zh-CN"/>
        </w:rPr>
        <w:t>年</w:t>
      </w:r>
      <w:r>
        <w:rPr>
          <w:rFonts w:hint="eastAsia" w:ascii="宋体" w:hAnsi="宋体" w:cs="宋体"/>
          <w:sz w:val="30"/>
          <w:szCs w:val="30"/>
          <w:lang w:val="en-US" w:eastAsia="zh-CN"/>
        </w:rPr>
        <w:t xml:space="preserve"> 4</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default" w:ascii="宋体" w:hAnsi="宋体" w:eastAsia="宋体" w:cs="宋体"/>
          <w:sz w:val="30"/>
          <w:szCs w:val="30"/>
          <w:lang w:val="en-US" w:eastAsia="zh-CN"/>
        </w:rPr>
        <w:t>月</w:t>
      </w:r>
      <w:r>
        <w:rPr>
          <w:rFonts w:hint="eastAsia" w:ascii="宋体" w:hAnsi="宋体" w:cs="宋体"/>
          <w:sz w:val="30"/>
          <w:szCs w:val="30"/>
          <w:lang w:val="en-US" w:eastAsia="zh-CN"/>
        </w:rPr>
        <w:t xml:space="preserve"> 27 </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日至</w:t>
      </w:r>
      <w:r>
        <w:rPr>
          <w:rFonts w:hint="eastAsia" w:ascii="宋体" w:hAnsi="宋体" w:cs="宋体"/>
          <w:sz w:val="30"/>
          <w:szCs w:val="30"/>
          <w:lang w:val="en-US" w:eastAsia="zh-CN"/>
        </w:rPr>
        <w:t xml:space="preserve"> 5 </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月</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8  </w:t>
      </w:r>
      <w:r>
        <w:rPr>
          <w:rFonts w:hint="default" w:ascii="宋体" w:hAnsi="宋体" w:eastAsia="宋体" w:cs="宋体"/>
          <w:sz w:val="30"/>
          <w:szCs w:val="30"/>
          <w:lang w:val="en-US" w:eastAsia="zh-CN"/>
        </w:rPr>
        <w:t>日下午18:00时(北京时间)，共7天。</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(二)供应商应于递交响应文件截止时间之前将响应文件送达询价地点，逾期送达或没有</w:t>
      </w:r>
      <w:r>
        <w:rPr>
          <w:rFonts w:hint="eastAsia" w:ascii="宋体" w:hAnsi="宋体" w:cs="宋体"/>
          <w:sz w:val="30"/>
          <w:szCs w:val="30"/>
          <w:lang w:val="en-US" w:eastAsia="zh-CN"/>
        </w:rPr>
        <w:t>盖</w:t>
      </w:r>
      <w:r>
        <w:rPr>
          <w:rFonts w:hint="default" w:ascii="宋体" w:hAnsi="宋体" w:eastAsia="宋体" w:cs="宋体"/>
          <w:sz w:val="30"/>
          <w:szCs w:val="30"/>
          <w:lang w:val="en-US" w:eastAsia="zh-CN"/>
        </w:rPr>
        <w:t>章密封的将被拒绝。</w:t>
      </w:r>
    </w:p>
    <w:p>
      <w:pPr>
        <w:bidi w:val="0"/>
        <w:rPr>
          <w:rFonts w:hint="default"/>
          <w:b/>
          <w:bCs/>
          <w:sz w:val="30"/>
          <w:szCs w:val="30"/>
          <w:lang w:val="en-US" w:eastAsia="zh-CN"/>
        </w:rPr>
      </w:pPr>
    </w:p>
    <w:p>
      <w:pPr>
        <w:bidi w:val="0"/>
        <w:rPr>
          <w:rFonts w:hint="default"/>
          <w:b/>
          <w:bCs/>
          <w:sz w:val="30"/>
          <w:szCs w:val="30"/>
          <w:lang w:val="en-US" w:eastAsia="zh-CN"/>
        </w:rPr>
      </w:pPr>
      <w:r>
        <w:rPr>
          <w:rFonts w:hint="default"/>
          <w:b/>
          <w:bCs/>
          <w:sz w:val="30"/>
          <w:szCs w:val="30"/>
          <w:lang w:val="en-US" w:eastAsia="zh-CN"/>
        </w:rPr>
        <w:t>六、递交报价文件地点</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广西壮族自治区来宾市象州县金象路31号。</w:t>
      </w:r>
    </w:p>
    <w:p>
      <w:pPr>
        <w:bidi w:val="0"/>
        <w:rPr>
          <w:rFonts w:hint="default"/>
          <w:b/>
          <w:bCs/>
          <w:sz w:val="30"/>
          <w:szCs w:val="30"/>
          <w:lang w:val="en-US" w:eastAsia="zh-CN"/>
        </w:rPr>
      </w:pPr>
    </w:p>
    <w:p>
      <w:pPr>
        <w:bidi w:val="0"/>
        <w:rPr>
          <w:rFonts w:hint="default"/>
          <w:b/>
          <w:bCs/>
          <w:sz w:val="30"/>
          <w:szCs w:val="30"/>
          <w:lang w:val="en-US" w:eastAsia="zh-CN"/>
        </w:rPr>
      </w:pPr>
      <w:r>
        <w:rPr>
          <w:rFonts w:hint="default"/>
          <w:b/>
          <w:bCs/>
          <w:sz w:val="30"/>
          <w:szCs w:val="30"/>
          <w:lang w:val="en-US" w:eastAsia="zh-CN"/>
        </w:rPr>
        <w:t>七、评审方式</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(一)评审方式:由我局评标小组现场拆封报价密封件，采用综合评分法(具体评审内容及标准详见附件1)初步确定中标候选人，然后提交局领导班子会讨论决定中标人。</w:t>
      </w:r>
    </w:p>
    <w:p>
      <w:pPr>
        <w:bidi w:val="0"/>
        <w:rPr>
          <w:rFonts w:hint="default"/>
          <w:b/>
          <w:bCs/>
          <w:sz w:val="30"/>
          <w:szCs w:val="30"/>
          <w:lang w:val="en-US" w:eastAsia="zh-CN"/>
        </w:rPr>
      </w:pPr>
    </w:p>
    <w:p>
      <w:pPr>
        <w:bidi w:val="0"/>
        <w:rPr>
          <w:rFonts w:hint="default"/>
          <w:b/>
          <w:bCs/>
          <w:sz w:val="30"/>
          <w:szCs w:val="30"/>
          <w:lang w:val="en-US" w:eastAsia="zh-CN"/>
        </w:rPr>
      </w:pPr>
      <w:r>
        <w:rPr>
          <w:rFonts w:hint="default"/>
          <w:b/>
          <w:bCs/>
          <w:sz w:val="30"/>
          <w:szCs w:val="30"/>
          <w:lang w:val="en-US" w:eastAsia="zh-CN"/>
        </w:rPr>
        <w:t>八、其他事项</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(一)本询价文件由象州县农业农村局负责解释。</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(二)询价文件采购评审办法详见附件1。</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(三)询价人联系方式</w:t>
      </w:r>
    </w:p>
    <w:p>
      <w:pPr>
        <w:bidi w:val="0"/>
        <w:rPr>
          <w:rFonts w:hint="eastAsia" w:ascii="宋体" w:hAnsi="宋体" w:cs="宋体"/>
          <w:sz w:val="30"/>
          <w:szCs w:val="30"/>
          <w:lang w:val="en-US" w:eastAsia="zh-CN"/>
        </w:rPr>
      </w:pPr>
      <w:r>
        <w:rPr>
          <w:rFonts w:hint="default" w:ascii="宋体" w:hAnsi="宋体" w:eastAsia="宋体" w:cs="宋体"/>
          <w:sz w:val="30"/>
          <w:szCs w:val="30"/>
          <w:lang w:val="en-US" w:eastAsia="zh-CN"/>
        </w:rPr>
        <w:t>1.联系人及电话:</w:t>
      </w:r>
      <w:r>
        <w:rPr>
          <w:rFonts w:hint="eastAsia" w:ascii="宋体" w:hAnsi="宋体" w:cs="宋体"/>
          <w:sz w:val="30"/>
          <w:szCs w:val="30"/>
          <w:lang w:val="en-US" w:eastAsia="zh-CN"/>
        </w:rPr>
        <w:t>黄</w:t>
      </w:r>
      <w:r>
        <w:rPr>
          <w:rFonts w:hint="default" w:ascii="宋体" w:hAnsi="宋体" w:eastAsia="宋体" w:cs="宋体"/>
          <w:sz w:val="30"/>
          <w:szCs w:val="30"/>
          <w:lang w:val="en-US" w:eastAsia="zh-CN"/>
        </w:rPr>
        <w:t>工0772-43</w:t>
      </w:r>
      <w:r>
        <w:rPr>
          <w:rFonts w:hint="eastAsia" w:ascii="宋体" w:hAnsi="宋体" w:cs="宋体"/>
          <w:sz w:val="30"/>
          <w:szCs w:val="30"/>
          <w:lang w:val="en-US" w:eastAsia="zh-CN"/>
        </w:rPr>
        <w:t>65439</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13367792932</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3.联系地址:广西来宾市象州县金象路31号</w:t>
      </w:r>
    </w:p>
    <w:p>
      <w:pPr>
        <w:bidi w:val="0"/>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4.邮政编码:545800</w:t>
      </w:r>
    </w:p>
    <w:p>
      <w:pPr>
        <w:bidi w:val="0"/>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特此公告。</w:t>
      </w:r>
    </w:p>
    <w:p>
      <w:pPr>
        <w:jc w:val="right"/>
        <w:rPr>
          <w:rFonts w:hint="eastAsia" w:ascii="宋体" w:hAnsi="宋体" w:cs="宋体"/>
          <w:b w:val="0"/>
          <w:bCs w:val="0"/>
          <w:sz w:val="30"/>
          <w:szCs w:val="30"/>
          <w:lang w:val="en-US" w:eastAsia="zh-CN"/>
        </w:rPr>
      </w:pPr>
    </w:p>
    <w:p>
      <w:pPr>
        <w:jc w:val="center"/>
        <w:rPr>
          <w:rFonts w:hint="eastAsia" w:ascii="宋体" w:hAnsi="宋体" w:cs="宋体"/>
          <w:b w:val="0"/>
          <w:bCs w:val="0"/>
          <w:sz w:val="30"/>
          <w:szCs w:val="30"/>
          <w:lang w:val="en-US" w:eastAsia="zh-CN"/>
        </w:rPr>
      </w:pPr>
      <w:r>
        <w:rPr>
          <w:rFonts w:hint="eastAsia" w:ascii="宋体" w:hAnsi="宋体" w:cs="宋体"/>
          <w:b w:val="0"/>
          <w:bCs w:val="0"/>
          <w:sz w:val="30"/>
          <w:szCs w:val="30"/>
          <w:lang w:val="en-US" w:eastAsia="zh-CN"/>
        </w:rPr>
        <w:t xml:space="preserve">                                            象州县农业农村局</w:t>
      </w:r>
    </w:p>
    <w:p>
      <w:pPr>
        <w:jc w:val="center"/>
        <w:rPr>
          <w:rFonts w:hint="eastAsia" w:ascii="宋体" w:hAnsi="宋体" w:cs="宋体"/>
          <w:b/>
          <w:bCs/>
          <w:szCs w:val="21"/>
          <w:lang w:val="en-US" w:eastAsia="zh-CN"/>
        </w:rPr>
      </w:pPr>
      <w:r>
        <w:rPr>
          <w:rFonts w:hint="eastAsia" w:ascii="宋体" w:hAnsi="宋体" w:cs="宋体"/>
          <w:b w:val="0"/>
          <w:bCs w:val="0"/>
          <w:sz w:val="30"/>
          <w:szCs w:val="30"/>
          <w:lang w:val="en-US" w:eastAsia="zh-CN"/>
        </w:rPr>
        <w:t xml:space="preserve">                                            2026年  4  月  27</w:t>
      </w:r>
      <w:bookmarkStart w:id="0" w:name="_GoBack"/>
      <w:bookmarkEnd w:id="0"/>
      <w:r>
        <w:rPr>
          <w:rFonts w:hint="eastAsia" w:ascii="宋体" w:hAnsi="宋体" w:cs="宋体"/>
          <w:b w:val="0"/>
          <w:bCs w:val="0"/>
          <w:sz w:val="30"/>
          <w:szCs w:val="30"/>
          <w:lang w:val="en-US" w:eastAsia="zh-CN"/>
        </w:rPr>
        <w:t xml:space="preserve">  日</w:t>
      </w:r>
      <w:r>
        <w:rPr>
          <w:rFonts w:hint="eastAsia" w:ascii="宋体" w:hAnsi="宋体" w:cs="宋体"/>
          <w:b/>
          <w:bCs/>
          <w:szCs w:val="21"/>
          <w:lang w:val="en-US" w:eastAsia="zh-CN"/>
        </w:rPr>
        <w:br w:type="page"/>
      </w:r>
    </w:p>
    <w:p>
      <w:pPr>
        <w:rPr>
          <w:rFonts w:hint="eastAsia" w:ascii="宋体" w:hAnsi="宋体" w:cs="宋体"/>
          <w:b w:val="0"/>
          <w:bCs w:val="0"/>
          <w:szCs w:val="21"/>
          <w:lang w:val="en-US" w:eastAsia="zh-CN"/>
        </w:rPr>
      </w:pPr>
      <w:r>
        <w:rPr>
          <w:rFonts w:hint="eastAsia" w:ascii="宋体" w:hAnsi="宋体" w:cs="宋体"/>
          <w:b w:val="0"/>
          <w:bCs w:val="0"/>
          <w:szCs w:val="21"/>
          <w:lang w:val="en-US" w:eastAsia="zh-CN"/>
        </w:rPr>
        <w:t>附件1</w:t>
      </w:r>
    </w:p>
    <w:p>
      <w:pPr>
        <w:ind w:left="0" w:leftChars="0" w:firstLine="0" w:firstLineChars="0"/>
        <w:rPr>
          <w:rFonts w:hint="eastAsia" w:ascii="宋体" w:hAnsi="宋体" w:cs="宋体"/>
          <w:b/>
          <w:bCs/>
          <w:sz w:val="30"/>
          <w:szCs w:val="30"/>
          <w:lang w:val="en-US" w:eastAsia="zh-CN"/>
        </w:rPr>
      </w:pPr>
    </w:p>
    <w:p>
      <w:pPr>
        <w:ind w:left="0" w:leftChars="0" w:firstLine="0" w:firstLineChars="0"/>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象州县高标准农田建设底数核查实地核查工作服务询价采购评审办法</w:t>
      </w:r>
    </w:p>
    <w:p>
      <w:pPr>
        <w:rPr>
          <w:rFonts w:hint="eastAsia" w:ascii="宋体" w:hAnsi="宋体" w:cs="宋体"/>
          <w:b/>
          <w:bCs/>
          <w:szCs w:val="21"/>
          <w:lang w:val="en-US" w:eastAsia="zh-CN"/>
        </w:rPr>
      </w:pPr>
    </w:p>
    <w:p>
      <w:pPr>
        <w:numPr>
          <w:ilvl w:val="0"/>
          <w:numId w:val="0"/>
        </w:numPr>
        <w:ind w:left="0" w:leftChars="0" w:firstLine="0" w:firstLineChars="0"/>
        <w:rPr>
          <w:rFonts w:hint="eastAsia" w:ascii="宋体" w:hAnsi="宋体" w:cs="宋体"/>
          <w:b/>
          <w:bCs/>
          <w:sz w:val="30"/>
          <w:szCs w:val="30"/>
          <w:lang w:val="en-US" w:eastAsia="zh-CN"/>
        </w:rPr>
      </w:pPr>
      <w:r>
        <w:rPr>
          <w:rFonts w:hint="eastAsia" w:ascii="宋体" w:hAnsi="宋体" w:eastAsia="宋体" w:cs="宋体"/>
          <w:b/>
          <w:bCs/>
          <w:kern w:val="2"/>
          <w:sz w:val="30"/>
          <w:szCs w:val="30"/>
          <w:lang w:val="en-US" w:eastAsia="zh-CN" w:bidi="ar-SA"/>
        </w:rPr>
        <w:t>一、</w:t>
      </w:r>
      <w:r>
        <w:rPr>
          <w:rFonts w:hint="eastAsia" w:ascii="宋体" w:hAnsi="宋体" w:cs="宋体"/>
          <w:b/>
          <w:bCs/>
          <w:sz w:val="30"/>
          <w:szCs w:val="30"/>
          <w:lang w:val="en-US" w:eastAsia="zh-CN"/>
        </w:rPr>
        <w:t>评标原则</w:t>
      </w:r>
    </w:p>
    <w:p>
      <w:pPr>
        <w:bidi w:val="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(一)评标小组成员;本采购项目由采购人成立询价评标小组，成员由分管领导、综合股、</w:t>
      </w:r>
      <w:r>
        <w:rPr>
          <w:rFonts w:hint="eastAsia" w:ascii="宋体" w:hAnsi="宋体" w:cs="宋体"/>
          <w:sz w:val="30"/>
          <w:szCs w:val="30"/>
          <w:lang w:val="en-US" w:eastAsia="zh-CN"/>
        </w:rPr>
        <w:t>乡村产业发展股</w:t>
      </w:r>
      <w:r>
        <w:rPr>
          <w:rFonts w:hint="eastAsia" w:ascii="宋体" w:hAnsi="宋体" w:eastAsia="宋体" w:cs="宋体"/>
          <w:sz w:val="30"/>
          <w:szCs w:val="30"/>
          <w:lang w:val="en-US" w:eastAsia="zh-CN"/>
        </w:rPr>
        <w:t>、计财股、农田建设管理股、象州县农村水利建设管理站等代表组成。</w:t>
      </w:r>
    </w:p>
    <w:p>
      <w:pPr>
        <w:bidi w:val="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(二)评标依据:评标小组将以采购文件和响应文件为评标依据，对公司的资质、报价分、公司业绩分等方面进行打分。</w:t>
      </w:r>
    </w:p>
    <w:p>
      <w:pPr>
        <w:bidi w:val="0"/>
        <w:rPr>
          <w:rFonts w:hint="eastAsia"/>
          <w:sz w:val="30"/>
          <w:szCs w:val="30"/>
          <w:lang w:val="en-US" w:eastAsia="zh-CN"/>
        </w:rPr>
      </w:pPr>
      <w:r>
        <w:rPr>
          <w:rFonts w:hint="eastAsia" w:ascii="宋体" w:hAnsi="宋体" w:eastAsia="宋体" w:cs="宋体"/>
          <w:sz w:val="30"/>
          <w:szCs w:val="30"/>
          <w:lang w:val="en-US" w:eastAsia="zh-CN"/>
        </w:rPr>
        <w:t>(三)评标方法:以封闭方式进行。</w:t>
      </w:r>
    </w:p>
    <w:p>
      <w:pPr>
        <w:numPr>
          <w:ilvl w:val="0"/>
          <w:numId w:val="0"/>
        </w:numPr>
        <w:ind w:left="0" w:leftChars="0" w:firstLine="0" w:firstLineChars="0"/>
        <w:rPr>
          <w:rFonts w:hint="eastAsia" w:ascii="宋体" w:hAnsi="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二、</w:t>
      </w:r>
      <w:r>
        <w:rPr>
          <w:rFonts w:hint="eastAsia" w:ascii="宋体" w:hAnsi="宋体" w:cs="宋体"/>
          <w:b/>
          <w:bCs/>
          <w:kern w:val="2"/>
          <w:sz w:val="30"/>
          <w:szCs w:val="30"/>
          <w:lang w:val="en-US" w:eastAsia="zh-CN" w:bidi="ar-SA"/>
        </w:rPr>
        <w:t>评标方法</w:t>
      </w:r>
    </w:p>
    <w:tbl>
      <w:tblPr>
        <w:tblStyle w:val="16"/>
        <w:tblW w:w="13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916"/>
        <w:gridCol w:w="9024"/>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bCs/>
                <w:kern w:val="0"/>
                <w:sz w:val="30"/>
                <w:szCs w:val="30"/>
              </w:rPr>
            </w:pPr>
            <w:r>
              <w:rPr>
                <w:rFonts w:hint="eastAsia" w:ascii="宋体" w:hAnsi="宋体" w:cs="Tahoma"/>
                <w:b/>
                <w:bCs/>
                <w:kern w:val="0"/>
                <w:sz w:val="30"/>
                <w:szCs w:val="30"/>
              </w:rPr>
              <w:t>序号</w:t>
            </w:r>
          </w:p>
        </w:tc>
        <w:tc>
          <w:tcPr>
            <w:tcW w:w="1916"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bCs/>
                <w:kern w:val="0"/>
                <w:sz w:val="30"/>
                <w:szCs w:val="30"/>
              </w:rPr>
            </w:pPr>
            <w:r>
              <w:rPr>
                <w:rFonts w:hint="eastAsia" w:ascii="宋体" w:hAnsi="宋体" w:cs="Tahoma"/>
                <w:b/>
                <w:bCs/>
                <w:kern w:val="0"/>
                <w:sz w:val="30"/>
                <w:szCs w:val="30"/>
              </w:rPr>
              <w:t>评审因素</w:t>
            </w:r>
          </w:p>
        </w:tc>
        <w:tc>
          <w:tcPr>
            <w:tcW w:w="9024"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bCs/>
                <w:kern w:val="0"/>
                <w:sz w:val="30"/>
                <w:szCs w:val="30"/>
              </w:rPr>
            </w:pPr>
            <w:r>
              <w:rPr>
                <w:rFonts w:hint="eastAsia" w:ascii="宋体" w:hAnsi="宋体" w:cs="Tahoma"/>
                <w:b/>
                <w:bCs/>
                <w:kern w:val="0"/>
                <w:sz w:val="30"/>
                <w:szCs w:val="30"/>
              </w:rPr>
              <w:t>评审因素具体内容</w:t>
            </w:r>
          </w:p>
        </w:tc>
        <w:tc>
          <w:tcPr>
            <w:tcW w:w="1203"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bCs/>
                <w:kern w:val="0"/>
                <w:sz w:val="30"/>
                <w:szCs w:val="30"/>
              </w:rPr>
            </w:pPr>
            <w:r>
              <w:rPr>
                <w:rFonts w:hint="eastAsia" w:ascii="宋体" w:hAnsi="宋体" w:cs="Tahoma"/>
                <w:b/>
                <w:bCs/>
                <w:kern w:val="0"/>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rPr>
              <w:t>1</w:t>
            </w:r>
          </w:p>
        </w:tc>
        <w:tc>
          <w:tcPr>
            <w:tcW w:w="1916"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rPr>
              <w:t>价格分</w:t>
            </w:r>
          </w:p>
        </w:tc>
        <w:tc>
          <w:tcPr>
            <w:tcW w:w="9024" w:type="dxa"/>
            <w:noWrap w:val="0"/>
            <w:vAlign w:val="top"/>
          </w:tcPr>
          <w:p>
            <w:pPr>
              <w:pStyle w:val="10"/>
              <w:keepNext w:val="0"/>
              <w:keepLines w:val="0"/>
              <w:pageBreakBefore w:val="0"/>
              <w:kinsoku/>
              <w:wordWrap w:val="0"/>
              <w:overflowPunct/>
              <w:topLinePunct/>
              <w:autoSpaceDE/>
              <w:autoSpaceDN/>
              <w:bidi w:val="0"/>
              <w:spacing w:line="360" w:lineRule="auto"/>
              <w:ind w:firstLine="0" w:firstLineChars="0"/>
              <w:rPr>
                <w:rFonts w:hAnsi="宋体" w:cs="Courier New"/>
                <w:bCs/>
                <w:kern w:val="2"/>
                <w:sz w:val="30"/>
                <w:szCs w:val="30"/>
              </w:rPr>
            </w:pPr>
            <w:r>
              <w:rPr>
                <w:rFonts w:hint="eastAsia" w:hAnsi="宋体" w:cs="Courier New"/>
                <w:bCs/>
                <w:kern w:val="2"/>
                <w:sz w:val="30"/>
                <w:szCs w:val="30"/>
              </w:rPr>
              <w:t>（1）以进入比较与评价环节的最低的最后报价为基准价，基准价得分为</w:t>
            </w:r>
            <w:r>
              <w:rPr>
                <w:rFonts w:hint="eastAsia" w:hAnsi="宋体" w:cs="Courier New"/>
                <w:bCs/>
                <w:kern w:val="2"/>
                <w:sz w:val="30"/>
                <w:szCs w:val="30"/>
                <w:u w:val="single"/>
              </w:rPr>
              <w:t xml:space="preserve"> 10分</w:t>
            </w:r>
            <w:r>
              <w:rPr>
                <w:rFonts w:hint="eastAsia" w:hAnsi="宋体" w:cs="Courier New"/>
                <w:bCs/>
                <w:kern w:val="2"/>
                <w:sz w:val="30"/>
                <w:szCs w:val="30"/>
              </w:rPr>
              <w:t>。</w:t>
            </w:r>
          </w:p>
          <w:p>
            <w:pPr>
              <w:pStyle w:val="10"/>
              <w:keepNext w:val="0"/>
              <w:keepLines w:val="0"/>
              <w:pageBreakBefore w:val="0"/>
              <w:kinsoku/>
              <w:wordWrap w:val="0"/>
              <w:overflowPunct/>
              <w:topLinePunct/>
              <w:autoSpaceDE/>
              <w:autoSpaceDN/>
              <w:bidi w:val="0"/>
              <w:spacing w:line="360" w:lineRule="auto"/>
              <w:ind w:firstLine="0" w:firstLineChars="0"/>
              <w:rPr>
                <w:rFonts w:hAnsi="宋体" w:cs="Courier New"/>
                <w:bCs/>
                <w:kern w:val="2"/>
                <w:sz w:val="30"/>
                <w:szCs w:val="30"/>
              </w:rPr>
            </w:pPr>
            <w:r>
              <w:rPr>
                <w:rFonts w:hint="eastAsia" w:hAnsi="宋体" w:cs="Courier New"/>
                <w:bCs/>
                <w:kern w:val="2"/>
                <w:sz w:val="30"/>
                <w:szCs w:val="30"/>
              </w:rPr>
              <w:t>（2）价格分计算公式：</w:t>
            </w:r>
          </w:p>
          <w:p>
            <w:pPr>
              <w:pStyle w:val="10"/>
              <w:keepNext w:val="0"/>
              <w:keepLines w:val="0"/>
              <w:pageBreakBefore w:val="0"/>
              <w:kinsoku/>
              <w:wordWrap w:val="0"/>
              <w:overflowPunct/>
              <w:topLinePunct/>
              <w:autoSpaceDE/>
              <w:autoSpaceDN/>
              <w:bidi w:val="0"/>
              <w:spacing w:line="360" w:lineRule="auto"/>
              <w:ind w:firstLine="0" w:firstLineChars="0"/>
              <w:rPr>
                <w:rFonts w:hAnsi="宋体" w:cs="Courier New"/>
                <w:bCs/>
                <w:kern w:val="2"/>
                <w:sz w:val="30"/>
                <w:szCs w:val="30"/>
              </w:rPr>
            </w:pPr>
            <w:r>
              <w:rPr>
                <w:rFonts w:hint="eastAsia" w:hAnsi="宋体" w:cs="Courier New"/>
                <w:bCs/>
                <w:kern w:val="2"/>
                <w:sz w:val="30"/>
                <w:szCs w:val="30"/>
              </w:rPr>
              <w:t>报价得分=（基准价/最后报价）×</w:t>
            </w:r>
            <w:r>
              <w:rPr>
                <w:rFonts w:hint="eastAsia" w:hAnsi="宋体" w:cs="Courier New"/>
                <w:bCs/>
                <w:kern w:val="2"/>
                <w:sz w:val="30"/>
                <w:szCs w:val="30"/>
                <w:u w:val="single"/>
              </w:rPr>
              <w:t xml:space="preserve"> 10分</w:t>
            </w:r>
          </w:p>
        </w:tc>
        <w:tc>
          <w:tcPr>
            <w:tcW w:w="1203"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hint="eastAsia" w:ascii="宋体" w:hAnsi="宋体" w:cs="Tahoma"/>
                <w:b/>
                <w:kern w:val="0"/>
                <w:sz w:val="30"/>
                <w:szCs w:val="30"/>
              </w:rPr>
            </w:pPr>
            <w:r>
              <w:rPr>
                <w:rFonts w:hint="eastAsia" w:ascii="宋体" w:hAnsi="宋体"/>
                <w:b/>
                <w:kern w:val="0"/>
                <w:sz w:val="30"/>
                <w:szCs w:val="30"/>
              </w:rPr>
              <w:t>2</w:t>
            </w:r>
          </w:p>
        </w:tc>
        <w:tc>
          <w:tcPr>
            <w:tcW w:w="1916"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kern w:val="0"/>
                <w:sz w:val="30"/>
                <w:szCs w:val="30"/>
              </w:rPr>
            </w:pPr>
            <w:r>
              <w:rPr>
                <w:rFonts w:hint="eastAsia" w:ascii="宋体" w:hAnsi="宋体"/>
                <w:b/>
                <w:kern w:val="0"/>
                <w:sz w:val="30"/>
                <w:szCs w:val="30"/>
              </w:rPr>
              <w:t>技术方案分</w:t>
            </w:r>
          </w:p>
        </w:tc>
        <w:tc>
          <w:tcPr>
            <w:tcW w:w="10227" w:type="dxa"/>
            <w:gridSpan w:val="2"/>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hint="eastAsia" w:ascii="宋体" w:hAnsi="宋体" w:cs="Tahoma"/>
                <w:b/>
                <w:kern w:val="0"/>
                <w:sz w:val="30"/>
                <w:szCs w:val="30"/>
              </w:rPr>
            </w:pPr>
            <w:r>
              <w:rPr>
                <w:rFonts w:hint="eastAsia" w:ascii="宋体" w:hAnsi="宋体" w:cs="Tahoma"/>
                <w:b/>
                <w:kern w:val="0"/>
                <w:sz w:val="30"/>
                <w:szCs w:val="30"/>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kinsoku/>
              <w:wordWrap w:val="0"/>
              <w:overflowPunct/>
              <w:topLinePunct/>
              <w:autoSpaceDE/>
              <w:autoSpaceDN/>
              <w:bidi w:val="0"/>
              <w:adjustRightInd w:val="0"/>
              <w:spacing w:line="360" w:lineRule="auto"/>
              <w:ind w:left="-105" w:leftChars="-50" w:right="-105" w:rightChars="-50" w:firstLine="0" w:firstLineChars="0"/>
              <w:jc w:val="center"/>
              <w:textAlignment w:val="baseline"/>
              <w:rPr>
                <w:rFonts w:ascii="宋体" w:hAnsi="宋体"/>
                <w:bCs/>
                <w:kern w:val="0"/>
                <w:sz w:val="30"/>
                <w:szCs w:val="30"/>
              </w:rPr>
            </w:pPr>
            <w:r>
              <w:rPr>
                <w:rFonts w:hint="eastAsia" w:ascii="宋体" w:hAnsi="宋体"/>
                <w:bCs/>
                <w:kern w:val="0"/>
                <w:sz w:val="30"/>
                <w:szCs w:val="30"/>
              </w:rPr>
              <w:t>2.1</w:t>
            </w:r>
          </w:p>
        </w:tc>
        <w:tc>
          <w:tcPr>
            <w:tcW w:w="1916" w:type="dxa"/>
            <w:noWrap w:val="0"/>
            <w:vAlign w:val="center"/>
          </w:tcPr>
          <w:p>
            <w:pPr>
              <w:keepNext w:val="0"/>
              <w:keepLines w:val="0"/>
              <w:pageBreakBefore w:val="0"/>
              <w:kinsoku/>
              <w:wordWrap w:val="0"/>
              <w:overflowPunct/>
              <w:topLinePunct/>
              <w:autoSpaceDE/>
              <w:autoSpaceDN/>
              <w:bidi w:val="0"/>
              <w:adjustRightInd w:val="0"/>
              <w:spacing w:line="360" w:lineRule="auto"/>
              <w:ind w:firstLine="0" w:firstLineChars="0"/>
              <w:jc w:val="center"/>
              <w:textAlignment w:val="baseline"/>
              <w:rPr>
                <w:rFonts w:hint="default" w:ascii="宋体" w:hAnsi="宋体" w:eastAsia="宋体"/>
                <w:bCs/>
                <w:kern w:val="0"/>
                <w:sz w:val="30"/>
                <w:szCs w:val="30"/>
                <w:lang w:val="en-US" w:eastAsia="zh-CN"/>
              </w:rPr>
            </w:pPr>
            <w:r>
              <w:rPr>
                <w:rFonts w:hint="eastAsia" w:ascii="宋体" w:hAnsi="宋体"/>
                <w:bCs/>
                <w:kern w:val="0"/>
                <w:sz w:val="30"/>
                <w:szCs w:val="30"/>
                <w:lang w:val="en-US" w:eastAsia="zh-CN"/>
              </w:rPr>
              <w:t>项目建设方案</w:t>
            </w:r>
          </w:p>
        </w:tc>
        <w:tc>
          <w:tcPr>
            <w:tcW w:w="9024" w:type="dxa"/>
            <w:noWrap w:val="0"/>
            <w:vAlign w:val="center"/>
          </w:tcPr>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根据供应商对本项目的采购需求、建设内容的理解程度、项目建设方案和对验收交付标准的认识，进行综合评分。未提供不得分。</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一档（</w:t>
            </w:r>
            <w:r>
              <w:rPr>
                <w:rFonts w:hint="eastAsia" w:ascii="宋体" w:hAnsi="宋体" w:cs="Courier New"/>
                <w:bCs/>
                <w:sz w:val="30"/>
                <w:szCs w:val="30"/>
                <w:lang w:val="en-US" w:eastAsia="zh-CN"/>
              </w:rPr>
              <w:t>7</w:t>
            </w:r>
            <w:r>
              <w:rPr>
                <w:rFonts w:hint="eastAsia" w:ascii="宋体" w:hAnsi="宋体" w:cs="Courier New"/>
                <w:bCs/>
                <w:sz w:val="30"/>
                <w:szCs w:val="30"/>
              </w:rPr>
              <w:t>分）：对本项目的采购需求、建设内容理解不准确，项目建设方案总体思路及目标不清晰；对验收交付标准认识不到位的。</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二档（1</w:t>
            </w:r>
            <w:r>
              <w:rPr>
                <w:rFonts w:hint="eastAsia" w:ascii="宋体" w:hAnsi="宋体" w:cs="Courier New"/>
                <w:bCs/>
                <w:sz w:val="30"/>
                <w:szCs w:val="30"/>
                <w:lang w:val="en-US" w:eastAsia="zh-CN"/>
              </w:rPr>
              <w:t>4</w:t>
            </w:r>
            <w:r>
              <w:rPr>
                <w:rFonts w:hint="eastAsia" w:ascii="宋体" w:hAnsi="宋体" w:cs="Courier New"/>
                <w:bCs/>
                <w:sz w:val="30"/>
                <w:szCs w:val="30"/>
              </w:rPr>
              <w:t>分）：对本项目的采购需求、建设内容理解基本准确，项目建设方案总体思路和目标清晰，表述完整，基本能满足采购需求，且对验收交付标准认识准确的。</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三档（</w:t>
            </w:r>
            <w:r>
              <w:rPr>
                <w:rFonts w:hint="eastAsia" w:ascii="宋体" w:hAnsi="宋体" w:cs="Courier New"/>
                <w:bCs/>
                <w:sz w:val="30"/>
                <w:szCs w:val="30"/>
                <w:lang w:val="en-US" w:eastAsia="zh-CN"/>
              </w:rPr>
              <w:t>21</w:t>
            </w:r>
            <w:r>
              <w:rPr>
                <w:rFonts w:hint="eastAsia" w:ascii="宋体" w:hAnsi="宋体" w:cs="Courier New"/>
                <w:bCs/>
                <w:sz w:val="30"/>
                <w:szCs w:val="30"/>
              </w:rPr>
              <w:t>分）：对本项目的采购需求、建设内容理解非常准确，项目建设方案总体思路和目标清晰，表述完整详细，能提出有针对性的建议，</w:t>
            </w:r>
            <w:r>
              <w:rPr>
                <w:rFonts w:hint="eastAsia" w:hAnsi="宋体" w:cstheme="minorBidi"/>
                <w:bCs/>
                <w:kern w:val="2"/>
                <w:sz w:val="30"/>
                <w:szCs w:val="30"/>
                <w:lang w:val="en-US" w:eastAsia="zh-CN" w:bidi="ar-SA"/>
              </w:rPr>
              <w:t>项目工作进度计划</w:t>
            </w:r>
            <w:r>
              <w:rPr>
                <w:rFonts w:hint="eastAsia" w:ascii="宋体" w:hAnsi="宋体" w:cs="Courier New"/>
                <w:bCs/>
                <w:sz w:val="30"/>
                <w:szCs w:val="30"/>
              </w:rPr>
              <w:t>内容表述清晰，详细具体。</w:t>
            </w:r>
          </w:p>
        </w:tc>
        <w:tc>
          <w:tcPr>
            <w:tcW w:w="1203" w:type="dxa"/>
            <w:noWrap w:val="0"/>
            <w:vAlign w:val="center"/>
          </w:tcPr>
          <w:p>
            <w:pPr>
              <w:keepNext w:val="0"/>
              <w:keepLines w:val="0"/>
              <w:pageBreakBefore w:val="0"/>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lang w:val="en-US" w:eastAsia="zh-CN"/>
              </w:rPr>
              <w:t>21</w:t>
            </w:r>
            <w:r>
              <w:rPr>
                <w:rFonts w:hint="eastAsia" w:ascii="宋体" w:hAnsi="宋体" w:cs="Tahoma"/>
                <w:kern w:val="0"/>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kinsoku/>
              <w:wordWrap w:val="0"/>
              <w:overflowPunct/>
              <w:topLinePunct/>
              <w:autoSpaceDE/>
              <w:autoSpaceDN/>
              <w:bidi w:val="0"/>
              <w:adjustRightInd w:val="0"/>
              <w:spacing w:line="360" w:lineRule="auto"/>
              <w:ind w:left="-105" w:leftChars="-50" w:right="-105" w:rightChars="-50" w:firstLine="0" w:firstLineChars="0"/>
              <w:jc w:val="center"/>
              <w:textAlignment w:val="baseline"/>
              <w:rPr>
                <w:rFonts w:hint="eastAsia" w:ascii="宋体" w:hAnsi="宋体" w:eastAsia="宋体"/>
                <w:bCs/>
                <w:kern w:val="0"/>
                <w:sz w:val="30"/>
                <w:szCs w:val="30"/>
                <w:lang w:eastAsia="zh-CN"/>
              </w:rPr>
            </w:pPr>
            <w:r>
              <w:rPr>
                <w:rFonts w:hint="eastAsia" w:ascii="宋体" w:hAnsi="宋体"/>
                <w:bCs/>
                <w:kern w:val="0"/>
                <w:sz w:val="30"/>
                <w:szCs w:val="30"/>
              </w:rPr>
              <w:t>2.</w:t>
            </w:r>
            <w:r>
              <w:rPr>
                <w:rFonts w:hint="eastAsia" w:ascii="宋体" w:hAnsi="宋体"/>
                <w:bCs/>
                <w:kern w:val="0"/>
                <w:sz w:val="30"/>
                <w:szCs w:val="30"/>
                <w:lang w:val="en-US" w:eastAsia="zh-CN"/>
              </w:rPr>
              <w:t>2</w:t>
            </w:r>
          </w:p>
        </w:tc>
        <w:tc>
          <w:tcPr>
            <w:tcW w:w="1916" w:type="dxa"/>
            <w:shd w:val="clear" w:color="auto" w:fill="auto"/>
            <w:noWrap w:val="0"/>
            <w:vAlign w:val="center"/>
          </w:tcPr>
          <w:p>
            <w:pPr>
              <w:keepNext w:val="0"/>
              <w:keepLines w:val="0"/>
              <w:pageBreakBefore w:val="0"/>
              <w:kinsoku/>
              <w:wordWrap w:val="0"/>
              <w:overflowPunct/>
              <w:topLinePunct/>
              <w:autoSpaceDE/>
              <w:autoSpaceDN/>
              <w:bidi w:val="0"/>
              <w:adjustRightInd w:val="0"/>
              <w:spacing w:line="360" w:lineRule="auto"/>
              <w:ind w:firstLine="0" w:firstLineChars="0"/>
              <w:jc w:val="center"/>
              <w:textAlignment w:val="baseline"/>
              <w:rPr>
                <w:rFonts w:hint="default" w:hAnsi="宋体" w:eastAsia="宋体" w:asciiTheme="minorAscii" w:cstheme="minorBidi"/>
                <w:bCs/>
                <w:kern w:val="2"/>
                <w:sz w:val="30"/>
                <w:szCs w:val="30"/>
                <w:lang w:val="en-US" w:eastAsia="zh-CN" w:bidi="ar-SA"/>
              </w:rPr>
            </w:pPr>
            <w:r>
              <w:rPr>
                <w:rFonts w:hint="eastAsia" w:hAnsi="宋体"/>
                <w:bCs/>
                <w:sz w:val="30"/>
                <w:szCs w:val="30"/>
                <w:lang w:val="en-US" w:eastAsia="zh-CN"/>
              </w:rPr>
              <w:t>质量控制与保障措施</w:t>
            </w:r>
          </w:p>
        </w:tc>
        <w:tc>
          <w:tcPr>
            <w:tcW w:w="9024" w:type="dxa"/>
            <w:shd w:val="clear" w:color="auto" w:fill="auto"/>
            <w:noWrap w:val="0"/>
            <w:vAlign w:val="center"/>
          </w:tcPr>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根据供应商对本项目</w:t>
            </w:r>
            <w:r>
              <w:rPr>
                <w:rFonts w:hint="eastAsia" w:hAnsi="宋体"/>
                <w:bCs/>
                <w:sz w:val="30"/>
                <w:szCs w:val="30"/>
                <w:lang w:val="en-US" w:eastAsia="zh-CN"/>
              </w:rPr>
              <w:t>质量控制要求的理解与保障措施的建立</w:t>
            </w:r>
            <w:r>
              <w:rPr>
                <w:rFonts w:hint="eastAsia" w:ascii="宋体" w:hAnsi="宋体" w:cs="Courier New"/>
                <w:bCs/>
                <w:sz w:val="30"/>
                <w:szCs w:val="30"/>
              </w:rPr>
              <w:t>，进行综合评分。未提供不得分。</w:t>
            </w:r>
          </w:p>
          <w:p>
            <w:pPr>
              <w:keepNext w:val="0"/>
              <w:keepLines w:val="0"/>
              <w:pageBreakBefore w:val="0"/>
              <w:kinsoku/>
              <w:wordWrap w:val="0"/>
              <w:overflowPunct/>
              <w:topLinePunct/>
              <w:autoSpaceDE/>
              <w:autoSpaceDN/>
              <w:bidi w:val="0"/>
              <w:snapToGrid w:val="0"/>
              <w:spacing w:line="360" w:lineRule="auto"/>
              <w:ind w:firstLine="0" w:firstLineChars="0"/>
              <w:rPr>
                <w:rFonts w:hint="default" w:ascii="宋体" w:hAnsi="宋体" w:eastAsia="宋体" w:cs="Courier New"/>
                <w:bCs/>
                <w:sz w:val="30"/>
                <w:szCs w:val="30"/>
                <w:lang w:val="en-US" w:eastAsia="zh-CN"/>
              </w:rPr>
            </w:pPr>
            <w:r>
              <w:rPr>
                <w:rFonts w:hint="eastAsia" w:ascii="宋体" w:hAnsi="宋体" w:cs="Courier New"/>
                <w:bCs/>
                <w:sz w:val="30"/>
                <w:szCs w:val="30"/>
              </w:rPr>
              <w:t>一档（</w:t>
            </w:r>
            <w:r>
              <w:rPr>
                <w:rFonts w:hint="eastAsia" w:ascii="宋体" w:hAnsi="宋体" w:cs="Courier New"/>
                <w:bCs/>
                <w:sz w:val="30"/>
                <w:szCs w:val="30"/>
                <w:lang w:val="en-US" w:eastAsia="zh-CN"/>
              </w:rPr>
              <w:t>7</w:t>
            </w:r>
            <w:r>
              <w:rPr>
                <w:rFonts w:hint="eastAsia" w:ascii="宋体" w:hAnsi="宋体" w:cs="Courier New"/>
                <w:bCs/>
                <w:sz w:val="30"/>
                <w:szCs w:val="30"/>
              </w:rPr>
              <w:t>分）：对本项目质量控制要求</w:t>
            </w:r>
            <w:r>
              <w:rPr>
                <w:rFonts w:hint="eastAsia" w:ascii="宋体" w:hAnsi="宋体" w:cs="Courier New"/>
                <w:bCs/>
                <w:sz w:val="30"/>
                <w:szCs w:val="30"/>
                <w:lang w:val="en-US" w:eastAsia="zh-CN"/>
              </w:rPr>
              <w:t>不</w:t>
            </w:r>
            <w:r>
              <w:rPr>
                <w:rFonts w:hint="eastAsia" w:ascii="宋体" w:hAnsi="宋体" w:cs="Courier New"/>
                <w:bCs/>
                <w:sz w:val="30"/>
                <w:szCs w:val="30"/>
              </w:rPr>
              <w:t>理解</w:t>
            </w:r>
            <w:r>
              <w:rPr>
                <w:rFonts w:hint="eastAsia" w:ascii="宋体" w:hAnsi="宋体" w:cs="Courier New"/>
                <w:bCs/>
                <w:sz w:val="30"/>
                <w:szCs w:val="30"/>
                <w:lang w:eastAsia="zh-CN"/>
              </w:rPr>
              <w:t>，</w:t>
            </w:r>
            <w:r>
              <w:rPr>
                <w:rFonts w:hint="eastAsia" w:ascii="宋体" w:hAnsi="宋体" w:cs="Courier New"/>
                <w:bCs/>
                <w:sz w:val="30"/>
                <w:szCs w:val="30"/>
                <w:lang w:val="en-US" w:eastAsia="zh-CN"/>
              </w:rPr>
              <w:t>对质量保障措施的简建立不完整的。</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eastAsia="宋体" w:cs="Courier New"/>
                <w:b w:val="0"/>
                <w:bCs/>
                <w:kern w:val="2"/>
                <w:sz w:val="30"/>
                <w:szCs w:val="30"/>
                <w:lang w:val="en-US" w:eastAsia="zh-CN" w:bidi="ar-SA"/>
              </w:rPr>
            </w:pPr>
            <w:r>
              <w:rPr>
                <w:rFonts w:hint="eastAsia" w:ascii="宋体" w:hAnsi="宋体" w:eastAsia="宋体" w:cs="Courier New"/>
                <w:b w:val="0"/>
                <w:bCs/>
                <w:kern w:val="2"/>
                <w:sz w:val="30"/>
                <w:szCs w:val="30"/>
                <w:lang w:val="en-US" w:eastAsia="zh-CN" w:bidi="ar-SA"/>
              </w:rPr>
              <w:t>二档（14分）：</w:t>
            </w:r>
            <w:r>
              <w:rPr>
                <w:rFonts w:hint="eastAsia" w:ascii="宋体" w:hAnsi="宋体" w:cs="Courier New"/>
                <w:bCs/>
                <w:sz w:val="30"/>
                <w:szCs w:val="30"/>
              </w:rPr>
              <w:t>对本项目质量控制要求</w:t>
            </w:r>
            <w:r>
              <w:rPr>
                <w:rFonts w:hint="eastAsia" w:ascii="宋体" w:hAnsi="宋体" w:cs="Courier New"/>
                <w:bCs/>
                <w:sz w:val="30"/>
                <w:szCs w:val="30"/>
                <w:lang w:val="en-US" w:eastAsia="zh-CN"/>
              </w:rPr>
              <w:t>基本</w:t>
            </w:r>
            <w:r>
              <w:rPr>
                <w:rFonts w:hint="eastAsia" w:ascii="宋体" w:hAnsi="宋体" w:cs="Courier New"/>
                <w:bCs/>
                <w:sz w:val="30"/>
                <w:szCs w:val="30"/>
              </w:rPr>
              <w:t>理解</w:t>
            </w:r>
            <w:r>
              <w:rPr>
                <w:rFonts w:hint="eastAsia" w:ascii="宋体" w:hAnsi="宋体" w:cs="Courier New"/>
                <w:bCs/>
                <w:sz w:val="30"/>
                <w:szCs w:val="30"/>
                <w:lang w:eastAsia="zh-CN"/>
              </w:rPr>
              <w:t>，</w:t>
            </w:r>
            <w:r>
              <w:rPr>
                <w:rFonts w:hint="eastAsia" w:ascii="宋体" w:hAnsi="宋体" w:cs="Courier New"/>
                <w:bCs/>
                <w:sz w:val="30"/>
                <w:szCs w:val="30"/>
                <w:lang w:val="en-US" w:eastAsia="zh-CN"/>
              </w:rPr>
              <w:t>对质量保障措施的简建立基本完整的。</w:t>
            </w:r>
          </w:p>
          <w:p>
            <w:pPr>
              <w:keepNext w:val="0"/>
              <w:keepLines w:val="0"/>
              <w:pageBreakBefore w:val="0"/>
              <w:kinsoku/>
              <w:wordWrap w:val="0"/>
              <w:overflowPunct/>
              <w:topLinePunct/>
              <w:autoSpaceDE/>
              <w:autoSpaceDN/>
              <w:bidi w:val="0"/>
              <w:snapToGrid w:val="0"/>
              <w:spacing w:line="360" w:lineRule="auto"/>
              <w:ind w:firstLine="0" w:firstLineChars="0"/>
              <w:rPr>
                <w:rFonts w:hint="eastAsia"/>
                <w:lang w:val="en-US" w:eastAsia="zh-CN"/>
              </w:rPr>
            </w:pPr>
            <w:r>
              <w:rPr>
                <w:rFonts w:hint="eastAsia" w:ascii="宋体" w:hAnsi="宋体" w:cs="Courier New"/>
                <w:bCs/>
                <w:sz w:val="30"/>
                <w:szCs w:val="30"/>
              </w:rPr>
              <w:t>三档（</w:t>
            </w:r>
            <w:r>
              <w:rPr>
                <w:rFonts w:hint="eastAsia" w:ascii="宋体" w:hAnsi="宋体" w:cs="Courier New"/>
                <w:bCs/>
                <w:sz w:val="30"/>
                <w:szCs w:val="30"/>
                <w:lang w:val="en-US" w:eastAsia="zh-CN"/>
              </w:rPr>
              <w:t>21</w:t>
            </w:r>
            <w:r>
              <w:rPr>
                <w:rFonts w:hint="eastAsia" w:ascii="宋体" w:hAnsi="宋体" w:cs="Courier New"/>
                <w:bCs/>
                <w:sz w:val="30"/>
                <w:szCs w:val="30"/>
              </w:rPr>
              <w:t>分）：对本项目质量控制要求</w:t>
            </w:r>
            <w:r>
              <w:rPr>
                <w:rFonts w:hint="eastAsia" w:ascii="宋体" w:hAnsi="宋体" w:cs="Courier New"/>
                <w:bCs/>
                <w:sz w:val="30"/>
                <w:szCs w:val="30"/>
                <w:lang w:val="en-US" w:eastAsia="zh-CN"/>
              </w:rPr>
              <w:t>完全</w:t>
            </w:r>
            <w:r>
              <w:rPr>
                <w:rFonts w:hint="eastAsia" w:ascii="宋体" w:hAnsi="宋体" w:cs="Courier New"/>
                <w:bCs/>
                <w:sz w:val="30"/>
                <w:szCs w:val="30"/>
              </w:rPr>
              <w:t>理解</w:t>
            </w:r>
            <w:r>
              <w:rPr>
                <w:rFonts w:hint="eastAsia" w:ascii="宋体" w:hAnsi="宋体" w:cs="Courier New"/>
                <w:bCs/>
                <w:sz w:val="30"/>
                <w:szCs w:val="30"/>
                <w:lang w:eastAsia="zh-CN"/>
              </w:rPr>
              <w:t>，</w:t>
            </w:r>
            <w:r>
              <w:rPr>
                <w:rFonts w:hint="eastAsia" w:ascii="宋体" w:hAnsi="宋体" w:cs="Courier New"/>
                <w:bCs/>
                <w:sz w:val="30"/>
                <w:szCs w:val="30"/>
                <w:lang w:val="en-US" w:eastAsia="zh-CN"/>
              </w:rPr>
              <w:t>对质量保障措施的简建立完整且全面的。</w:t>
            </w:r>
          </w:p>
        </w:tc>
        <w:tc>
          <w:tcPr>
            <w:tcW w:w="1203" w:type="dxa"/>
            <w:shd w:val="clear" w:color="auto" w:fill="auto"/>
            <w:noWrap w:val="0"/>
            <w:vAlign w:val="center"/>
          </w:tcPr>
          <w:p>
            <w:pPr>
              <w:keepNext w:val="0"/>
              <w:keepLines w:val="0"/>
              <w:pageBreakBefore w:val="0"/>
              <w:kinsoku/>
              <w:wordWrap w:val="0"/>
              <w:overflowPunct/>
              <w:topLinePunct/>
              <w:autoSpaceDE/>
              <w:autoSpaceDN/>
              <w:bidi w:val="0"/>
              <w:spacing w:line="360" w:lineRule="auto"/>
              <w:ind w:firstLine="0" w:firstLineChars="0"/>
              <w:jc w:val="center"/>
              <w:rPr>
                <w:rFonts w:hint="default" w:ascii="宋体" w:hAnsi="宋体" w:eastAsia="宋体" w:cs="Tahoma"/>
                <w:kern w:val="0"/>
                <w:sz w:val="30"/>
                <w:szCs w:val="30"/>
                <w:lang w:val="en-US" w:eastAsia="zh-CN" w:bidi="ar-SA"/>
              </w:rPr>
            </w:pPr>
            <w:r>
              <w:rPr>
                <w:rFonts w:hint="eastAsia" w:ascii="宋体" w:hAnsi="宋体" w:cs="Tahoma"/>
                <w:kern w:val="0"/>
                <w:sz w:val="30"/>
                <w:szCs w:val="30"/>
                <w:lang w:val="en-US" w:eastAsia="zh-CN" w:bidi="ar-SA"/>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kinsoku/>
              <w:wordWrap w:val="0"/>
              <w:overflowPunct/>
              <w:topLinePunct/>
              <w:autoSpaceDE/>
              <w:autoSpaceDN/>
              <w:bidi w:val="0"/>
              <w:adjustRightInd w:val="0"/>
              <w:spacing w:line="360" w:lineRule="auto"/>
              <w:ind w:left="-105" w:leftChars="-50" w:right="-105" w:rightChars="-50" w:firstLine="0" w:firstLineChars="0"/>
              <w:jc w:val="center"/>
              <w:textAlignment w:val="baseline"/>
              <w:rPr>
                <w:rFonts w:hint="default" w:ascii="宋体" w:hAnsi="宋体" w:eastAsia="宋体"/>
                <w:bCs/>
                <w:kern w:val="0"/>
                <w:sz w:val="30"/>
                <w:szCs w:val="30"/>
                <w:lang w:val="en-US" w:eastAsia="zh-CN"/>
              </w:rPr>
            </w:pPr>
            <w:r>
              <w:rPr>
                <w:rFonts w:hint="eastAsia" w:ascii="宋体" w:hAnsi="宋体"/>
                <w:bCs/>
                <w:kern w:val="0"/>
                <w:sz w:val="30"/>
                <w:szCs w:val="30"/>
                <w:lang w:val="en-US" w:eastAsia="zh-CN"/>
              </w:rPr>
              <w:t>2.3</w:t>
            </w:r>
          </w:p>
        </w:tc>
        <w:tc>
          <w:tcPr>
            <w:tcW w:w="1916" w:type="dxa"/>
            <w:shd w:val="clear" w:color="auto" w:fill="auto"/>
            <w:noWrap w:val="0"/>
            <w:vAlign w:val="center"/>
          </w:tcPr>
          <w:p>
            <w:pPr>
              <w:keepNext w:val="0"/>
              <w:keepLines w:val="0"/>
              <w:pageBreakBefore w:val="0"/>
              <w:kinsoku/>
              <w:wordWrap w:val="0"/>
              <w:overflowPunct/>
              <w:topLinePunct/>
              <w:autoSpaceDE/>
              <w:autoSpaceDN/>
              <w:bidi w:val="0"/>
              <w:adjustRightInd w:val="0"/>
              <w:spacing w:line="360" w:lineRule="auto"/>
              <w:ind w:firstLine="0" w:firstLineChars="0"/>
              <w:jc w:val="center"/>
              <w:textAlignment w:val="baseline"/>
              <w:rPr>
                <w:rFonts w:hint="default" w:hAnsi="宋体" w:eastAsia="宋体"/>
                <w:bCs/>
                <w:sz w:val="30"/>
                <w:szCs w:val="30"/>
                <w:lang w:val="en-US" w:eastAsia="zh-CN"/>
              </w:rPr>
            </w:pPr>
            <w:r>
              <w:rPr>
                <w:rFonts w:hint="eastAsia" w:hAnsi="宋体"/>
                <w:bCs/>
                <w:sz w:val="30"/>
                <w:szCs w:val="30"/>
                <w:lang w:val="en-US" w:eastAsia="zh-CN"/>
              </w:rPr>
              <w:t>服务承诺方案</w:t>
            </w:r>
          </w:p>
        </w:tc>
        <w:tc>
          <w:tcPr>
            <w:tcW w:w="9024" w:type="dxa"/>
            <w:shd w:val="clear" w:color="auto" w:fill="auto"/>
            <w:noWrap w:val="0"/>
            <w:vAlign w:val="center"/>
          </w:tcPr>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根据供应商提供的服务承诺内容的完整性、可行性等方面进行综合评分。未提供不得分。</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一档（</w:t>
            </w:r>
            <w:r>
              <w:rPr>
                <w:rFonts w:hint="eastAsia" w:ascii="宋体" w:hAnsi="宋体" w:cs="Courier New"/>
                <w:bCs/>
                <w:sz w:val="30"/>
                <w:szCs w:val="30"/>
                <w:lang w:val="en-US" w:eastAsia="zh-CN"/>
              </w:rPr>
              <w:t>7</w:t>
            </w:r>
            <w:r>
              <w:rPr>
                <w:rFonts w:hint="eastAsia" w:ascii="宋体" w:hAnsi="宋体" w:cs="Courier New"/>
                <w:bCs/>
                <w:sz w:val="30"/>
                <w:szCs w:val="30"/>
              </w:rPr>
              <w:t>分）：服务承诺内容不全面，服务措施单一，对于服务质量的保障可行性不高。</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二档（1</w:t>
            </w:r>
            <w:r>
              <w:rPr>
                <w:rFonts w:hint="eastAsia" w:ascii="宋体" w:hAnsi="宋体" w:cs="Courier New"/>
                <w:bCs/>
                <w:sz w:val="30"/>
                <w:szCs w:val="30"/>
                <w:lang w:val="en-US" w:eastAsia="zh-CN"/>
              </w:rPr>
              <w:t>4</w:t>
            </w:r>
            <w:r>
              <w:rPr>
                <w:rFonts w:hint="eastAsia" w:ascii="宋体" w:hAnsi="宋体" w:cs="Courier New"/>
                <w:bCs/>
                <w:sz w:val="30"/>
                <w:szCs w:val="30"/>
              </w:rPr>
              <w:t>分）：服务承诺内容表述完整，针对服务质量提出的保障措施可行性较高，售后服务团队工作安排合理、分工明确。</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eastAsia="宋体" w:cs="Courier New"/>
                <w:bCs/>
                <w:kern w:val="2"/>
                <w:sz w:val="30"/>
                <w:szCs w:val="30"/>
                <w:lang w:val="en-US" w:eastAsia="zh-CN" w:bidi="ar-SA"/>
              </w:rPr>
            </w:pPr>
            <w:r>
              <w:rPr>
                <w:rFonts w:hint="eastAsia" w:ascii="宋体" w:hAnsi="宋体" w:cs="Courier New"/>
                <w:bCs/>
                <w:sz w:val="30"/>
                <w:szCs w:val="30"/>
              </w:rPr>
              <w:t>三档（</w:t>
            </w:r>
            <w:r>
              <w:rPr>
                <w:rFonts w:hint="eastAsia" w:ascii="宋体" w:hAnsi="宋体" w:cs="Courier New"/>
                <w:bCs/>
                <w:sz w:val="30"/>
                <w:szCs w:val="30"/>
                <w:lang w:val="en-US" w:eastAsia="zh-CN"/>
              </w:rPr>
              <w:t>21</w:t>
            </w:r>
            <w:r>
              <w:rPr>
                <w:rFonts w:hint="eastAsia" w:ascii="宋体" w:hAnsi="宋体" w:cs="Courier New"/>
                <w:bCs/>
                <w:sz w:val="30"/>
                <w:szCs w:val="30"/>
              </w:rPr>
              <w:t>分）：服务承诺内容全面，服务质量有保障，售后服务团队工作安排合理、分工明确，服务人员有保密意识，针对服务工作可能出现的问题均提出详细的应急方案</w:t>
            </w:r>
            <w:r>
              <w:rPr>
                <w:rFonts w:hint="eastAsia" w:ascii="宋体" w:hAnsi="宋体" w:cs="Courier New"/>
                <w:bCs/>
                <w:sz w:val="30"/>
                <w:szCs w:val="30"/>
                <w:lang w:eastAsia="zh-CN"/>
              </w:rPr>
              <w:t>。</w:t>
            </w:r>
          </w:p>
        </w:tc>
        <w:tc>
          <w:tcPr>
            <w:tcW w:w="1203" w:type="dxa"/>
            <w:shd w:val="clear" w:color="auto" w:fill="auto"/>
            <w:noWrap w:val="0"/>
            <w:vAlign w:val="center"/>
          </w:tcPr>
          <w:p>
            <w:pPr>
              <w:keepNext w:val="0"/>
              <w:keepLines w:val="0"/>
              <w:pageBreakBefore w:val="0"/>
              <w:kinsoku/>
              <w:wordWrap w:val="0"/>
              <w:overflowPunct/>
              <w:topLinePunct/>
              <w:autoSpaceDE/>
              <w:autoSpaceDN/>
              <w:bidi w:val="0"/>
              <w:spacing w:line="360" w:lineRule="auto"/>
              <w:ind w:firstLine="0" w:firstLineChars="0"/>
              <w:jc w:val="center"/>
              <w:rPr>
                <w:rFonts w:hint="eastAsia" w:ascii="宋体" w:hAnsi="宋体" w:eastAsia="宋体" w:cs="Tahoma"/>
                <w:kern w:val="0"/>
                <w:sz w:val="30"/>
                <w:szCs w:val="30"/>
                <w:lang w:val="en-US" w:eastAsia="zh-CN" w:bidi="ar-SA"/>
              </w:rPr>
            </w:pPr>
            <w:r>
              <w:rPr>
                <w:rFonts w:hint="eastAsia" w:ascii="宋体" w:hAnsi="宋体" w:cs="Tahoma"/>
                <w:kern w:val="0"/>
                <w:sz w:val="30"/>
                <w:szCs w:val="30"/>
                <w:lang w:val="en-US" w:eastAsia="zh-CN"/>
              </w:rPr>
              <w:t>21</w:t>
            </w:r>
            <w:r>
              <w:rPr>
                <w:rFonts w:hint="eastAsia" w:ascii="宋体" w:hAnsi="宋体" w:cs="Tahoma"/>
                <w:kern w:val="0"/>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kinsoku/>
              <w:wordWrap w:val="0"/>
              <w:overflowPunct/>
              <w:topLinePunct/>
              <w:autoSpaceDE/>
              <w:autoSpaceDN/>
              <w:bidi w:val="0"/>
              <w:adjustRightInd w:val="0"/>
              <w:spacing w:line="360" w:lineRule="auto"/>
              <w:ind w:left="-105" w:leftChars="-50" w:right="-105" w:rightChars="-50" w:firstLine="0" w:firstLineChars="0"/>
              <w:jc w:val="center"/>
              <w:textAlignment w:val="baseline"/>
              <w:rPr>
                <w:rFonts w:ascii="宋体" w:hAnsi="宋体"/>
                <w:bCs/>
                <w:kern w:val="0"/>
                <w:sz w:val="30"/>
                <w:szCs w:val="30"/>
              </w:rPr>
            </w:pPr>
            <w:r>
              <w:rPr>
                <w:rFonts w:hint="eastAsia" w:ascii="宋体" w:hAnsi="宋体"/>
                <w:bCs/>
                <w:kern w:val="0"/>
                <w:sz w:val="30"/>
                <w:szCs w:val="30"/>
              </w:rPr>
              <w:t>2.4</w:t>
            </w:r>
          </w:p>
        </w:tc>
        <w:tc>
          <w:tcPr>
            <w:tcW w:w="1916" w:type="dxa"/>
            <w:noWrap w:val="0"/>
            <w:vAlign w:val="center"/>
          </w:tcPr>
          <w:p>
            <w:pPr>
              <w:keepNext w:val="0"/>
              <w:keepLines w:val="0"/>
              <w:pageBreakBefore w:val="0"/>
              <w:kinsoku/>
              <w:wordWrap w:val="0"/>
              <w:overflowPunct/>
              <w:topLinePunct/>
              <w:autoSpaceDE/>
              <w:autoSpaceDN/>
              <w:bidi w:val="0"/>
              <w:adjustRightInd w:val="0"/>
              <w:spacing w:line="360" w:lineRule="auto"/>
              <w:ind w:firstLine="0" w:firstLineChars="0"/>
              <w:jc w:val="center"/>
              <w:textAlignment w:val="baseline"/>
              <w:rPr>
                <w:rFonts w:hAnsi="宋体"/>
                <w:bCs/>
                <w:sz w:val="30"/>
                <w:szCs w:val="30"/>
              </w:rPr>
            </w:pPr>
            <w:r>
              <w:rPr>
                <w:rFonts w:hint="eastAsia" w:hAnsi="宋体"/>
                <w:bCs/>
                <w:sz w:val="30"/>
                <w:szCs w:val="30"/>
              </w:rPr>
              <w:t>人员配备</w:t>
            </w:r>
          </w:p>
        </w:tc>
        <w:tc>
          <w:tcPr>
            <w:tcW w:w="9024" w:type="dxa"/>
            <w:noWrap w:val="0"/>
            <w:vAlign w:val="center"/>
          </w:tcPr>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hint="eastAsia" w:ascii="宋体" w:hAnsi="宋体" w:cs="Courier New"/>
                <w:bCs/>
                <w:sz w:val="30"/>
                <w:szCs w:val="30"/>
              </w:rPr>
              <w:t>1.拟投入项目负责人具有</w:t>
            </w:r>
            <w:r>
              <w:rPr>
                <w:rFonts w:hint="eastAsia" w:ascii="宋体" w:hAnsi="宋体" w:cs="Courier New"/>
                <w:bCs/>
                <w:sz w:val="30"/>
                <w:szCs w:val="30"/>
                <w:lang w:val="en-US" w:eastAsia="zh-CN"/>
              </w:rPr>
              <w:t>土地类、测绘类或规划类</w:t>
            </w:r>
            <w:r>
              <w:rPr>
                <w:rFonts w:hint="eastAsia" w:ascii="宋体" w:hAnsi="宋体" w:cs="Courier New"/>
                <w:bCs/>
                <w:sz w:val="30"/>
                <w:szCs w:val="30"/>
              </w:rPr>
              <w:t>中级职称的得</w:t>
            </w:r>
            <w:r>
              <w:rPr>
                <w:rFonts w:hint="eastAsia" w:ascii="宋体" w:hAnsi="宋体" w:cs="Courier New"/>
                <w:bCs/>
                <w:sz w:val="30"/>
                <w:szCs w:val="30"/>
                <w:lang w:val="en-US" w:eastAsia="zh-CN"/>
              </w:rPr>
              <w:t>1</w:t>
            </w:r>
            <w:r>
              <w:rPr>
                <w:rFonts w:hint="eastAsia" w:ascii="宋体" w:hAnsi="宋体" w:cs="Courier New"/>
                <w:bCs/>
                <w:sz w:val="30"/>
                <w:szCs w:val="30"/>
              </w:rPr>
              <w:t>分，具有具有土地类、测绘类或规划类高级职称的得</w:t>
            </w:r>
            <w:r>
              <w:rPr>
                <w:rFonts w:hint="eastAsia" w:ascii="宋体" w:hAnsi="宋体" w:cs="Courier New"/>
                <w:bCs/>
                <w:sz w:val="30"/>
                <w:szCs w:val="30"/>
                <w:lang w:val="en-US" w:eastAsia="zh-CN"/>
              </w:rPr>
              <w:t>3</w:t>
            </w:r>
            <w:r>
              <w:rPr>
                <w:rFonts w:hint="eastAsia" w:ascii="宋体" w:hAnsi="宋体" w:cs="Courier New"/>
                <w:bCs/>
                <w:sz w:val="30"/>
                <w:szCs w:val="30"/>
              </w:rPr>
              <w:t>分，满分</w:t>
            </w:r>
            <w:r>
              <w:rPr>
                <w:rFonts w:hint="eastAsia" w:ascii="宋体" w:hAnsi="宋体" w:cs="Courier New"/>
                <w:bCs/>
                <w:sz w:val="30"/>
                <w:szCs w:val="30"/>
                <w:lang w:val="en-US" w:eastAsia="zh-CN"/>
              </w:rPr>
              <w:t>3</w:t>
            </w:r>
            <w:r>
              <w:rPr>
                <w:rFonts w:hint="eastAsia" w:ascii="宋体" w:hAnsi="宋体" w:cs="Courier New"/>
                <w:bCs/>
                <w:sz w:val="30"/>
                <w:szCs w:val="30"/>
              </w:rPr>
              <w:t>分。</w:t>
            </w:r>
          </w:p>
          <w:p>
            <w:pPr>
              <w:keepNext w:val="0"/>
              <w:keepLines w:val="0"/>
              <w:pageBreakBefore w:val="0"/>
              <w:kinsoku/>
              <w:wordWrap w:val="0"/>
              <w:overflowPunct/>
              <w:topLinePunct/>
              <w:autoSpaceDE/>
              <w:autoSpaceDN/>
              <w:bidi w:val="0"/>
              <w:snapToGrid w:val="0"/>
              <w:spacing w:line="360" w:lineRule="auto"/>
              <w:ind w:firstLine="0" w:firstLineChars="0"/>
              <w:rPr>
                <w:rFonts w:hint="eastAsia" w:ascii="宋体" w:hAnsi="宋体" w:cs="Courier New"/>
                <w:bCs/>
                <w:sz w:val="30"/>
                <w:szCs w:val="30"/>
              </w:rPr>
            </w:pPr>
            <w:r>
              <w:rPr>
                <w:rFonts w:ascii="宋体" w:hAnsi="宋体" w:cs="Courier New"/>
                <w:bCs/>
                <w:sz w:val="30"/>
                <w:szCs w:val="30"/>
              </w:rPr>
              <w:t>2.</w:t>
            </w:r>
            <w:r>
              <w:rPr>
                <w:rFonts w:hint="eastAsia" w:ascii="宋体" w:hAnsi="宋体" w:cs="Courier New"/>
                <w:bCs/>
                <w:sz w:val="30"/>
                <w:szCs w:val="30"/>
              </w:rPr>
              <w:t>除项目负责人外，拟投入的其他技术人员中，具有中级职称的，每人得</w:t>
            </w:r>
            <w:r>
              <w:rPr>
                <w:rFonts w:hint="eastAsia" w:ascii="宋体" w:hAnsi="宋体" w:cs="Courier New"/>
                <w:bCs/>
                <w:sz w:val="30"/>
                <w:szCs w:val="30"/>
                <w:lang w:val="en-US" w:eastAsia="zh-CN"/>
              </w:rPr>
              <w:t>1</w:t>
            </w:r>
            <w:r>
              <w:rPr>
                <w:rFonts w:hint="eastAsia" w:ascii="宋体" w:hAnsi="宋体" w:cs="Courier New"/>
                <w:bCs/>
                <w:sz w:val="30"/>
                <w:szCs w:val="30"/>
              </w:rPr>
              <w:t>分，具有高级职称的，每人得</w:t>
            </w:r>
            <w:r>
              <w:rPr>
                <w:rFonts w:hint="eastAsia" w:ascii="宋体" w:hAnsi="宋体" w:cs="Courier New"/>
                <w:bCs/>
                <w:sz w:val="30"/>
                <w:szCs w:val="30"/>
                <w:lang w:val="en-US" w:eastAsia="zh-CN"/>
              </w:rPr>
              <w:t>3</w:t>
            </w:r>
            <w:r>
              <w:rPr>
                <w:rFonts w:hint="eastAsia" w:ascii="宋体" w:hAnsi="宋体" w:cs="Courier New"/>
                <w:bCs/>
                <w:sz w:val="30"/>
                <w:szCs w:val="30"/>
              </w:rPr>
              <w:t>分，满分</w:t>
            </w:r>
            <w:r>
              <w:rPr>
                <w:rFonts w:hint="eastAsia" w:ascii="宋体" w:hAnsi="宋体" w:cs="Courier New"/>
                <w:bCs/>
                <w:sz w:val="30"/>
                <w:szCs w:val="30"/>
                <w:lang w:val="en-US" w:eastAsia="zh-CN"/>
              </w:rPr>
              <w:t>10</w:t>
            </w:r>
            <w:r>
              <w:rPr>
                <w:rFonts w:hint="eastAsia" w:ascii="宋体" w:hAnsi="宋体" w:cs="Courier New"/>
                <w:bCs/>
                <w:sz w:val="30"/>
                <w:szCs w:val="30"/>
              </w:rPr>
              <w:t>分。</w:t>
            </w:r>
          </w:p>
          <w:p>
            <w:pPr>
              <w:keepNext w:val="0"/>
              <w:keepLines w:val="0"/>
              <w:pageBreakBefore w:val="0"/>
              <w:kinsoku/>
              <w:wordWrap w:val="0"/>
              <w:overflowPunct/>
              <w:topLinePunct/>
              <w:autoSpaceDE/>
              <w:autoSpaceDN/>
              <w:bidi w:val="0"/>
              <w:snapToGrid w:val="0"/>
              <w:spacing w:line="360" w:lineRule="auto"/>
              <w:ind w:firstLine="0" w:firstLineChars="0"/>
              <w:rPr>
                <w:rFonts w:hint="eastAsia" w:hAnsi="宋体" w:cs="宋体"/>
                <w:bCs/>
                <w:sz w:val="30"/>
                <w:szCs w:val="30"/>
              </w:rPr>
            </w:pPr>
            <w:r>
              <w:rPr>
                <w:rFonts w:hint="eastAsia" w:ascii="宋体" w:hAnsi="宋体" w:cs="Courier New"/>
                <w:bCs/>
                <w:sz w:val="30"/>
                <w:szCs w:val="30"/>
              </w:rPr>
              <w:t>3.</w:t>
            </w:r>
            <w:r>
              <w:rPr>
                <w:rFonts w:hint="eastAsia" w:hAnsi="宋体" w:cs="宋体"/>
                <w:bCs/>
                <w:sz w:val="30"/>
                <w:szCs w:val="30"/>
              </w:rPr>
              <w:t>以上拟投入人员中具有有效的涉密人员培训证书的，每人得</w:t>
            </w:r>
            <w:r>
              <w:rPr>
                <w:rFonts w:hint="eastAsia" w:hAnsi="宋体" w:cs="宋体"/>
                <w:bCs/>
                <w:sz w:val="30"/>
                <w:szCs w:val="30"/>
                <w:lang w:val="en-US" w:eastAsia="zh-CN"/>
              </w:rPr>
              <w:t>2</w:t>
            </w:r>
            <w:r>
              <w:rPr>
                <w:rFonts w:hint="eastAsia" w:hAnsi="宋体" w:cs="宋体"/>
                <w:bCs/>
                <w:sz w:val="30"/>
                <w:szCs w:val="30"/>
              </w:rPr>
              <w:t>分，满分</w:t>
            </w:r>
            <w:r>
              <w:rPr>
                <w:rFonts w:hint="eastAsia" w:hAnsi="宋体" w:cs="宋体"/>
                <w:bCs/>
                <w:sz w:val="30"/>
                <w:szCs w:val="30"/>
                <w:lang w:val="en-US" w:eastAsia="zh-CN"/>
              </w:rPr>
              <w:t>4</w:t>
            </w:r>
            <w:r>
              <w:rPr>
                <w:rFonts w:hint="eastAsia" w:hAnsi="宋体" w:cs="宋体"/>
                <w:bCs/>
                <w:sz w:val="30"/>
                <w:szCs w:val="30"/>
              </w:rPr>
              <w:t>分。</w:t>
            </w:r>
          </w:p>
          <w:p>
            <w:pPr>
              <w:keepNext w:val="0"/>
              <w:keepLines w:val="0"/>
              <w:pageBreakBefore w:val="0"/>
              <w:kinsoku/>
              <w:wordWrap w:val="0"/>
              <w:overflowPunct/>
              <w:topLinePunct/>
              <w:autoSpaceDE/>
              <w:autoSpaceDN/>
              <w:bidi w:val="0"/>
              <w:snapToGrid w:val="0"/>
              <w:spacing w:line="360" w:lineRule="auto"/>
              <w:ind w:firstLine="0" w:firstLineChars="0"/>
              <w:rPr>
                <w:rFonts w:ascii="宋体" w:hAnsi="宋体" w:cs="Courier New"/>
                <w:b/>
                <w:bCs/>
                <w:sz w:val="30"/>
                <w:szCs w:val="30"/>
              </w:rPr>
            </w:pPr>
            <w:r>
              <w:rPr>
                <w:rFonts w:hint="eastAsia" w:hAnsi="宋体" w:cs="宋体"/>
                <w:b/>
                <w:bCs/>
                <w:sz w:val="30"/>
                <w:szCs w:val="30"/>
              </w:rPr>
              <w:t>以上人员须在</w:t>
            </w:r>
            <w:r>
              <w:rPr>
                <w:rFonts w:hint="eastAsia" w:hAnsi="宋体" w:cs="宋体"/>
                <w:b/>
                <w:bCs/>
                <w:sz w:val="30"/>
                <w:szCs w:val="30"/>
                <w:lang w:val="en-US" w:eastAsia="zh-CN"/>
              </w:rPr>
              <w:t>报价</w:t>
            </w:r>
            <w:r>
              <w:rPr>
                <w:rFonts w:hint="eastAsia" w:hAnsi="宋体" w:cs="宋体"/>
                <w:b/>
                <w:bCs/>
                <w:sz w:val="30"/>
                <w:szCs w:val="30"/>
              </w:rPr>
              <w:t>文件中提供身份证、职称证或培训证书复印件并加盖公章，否则不计分。</w:t>
            </w:r>
          </w:p>
        </w:tc>
        <w:tc>
          <w:tcPr>
            <w:tcW w:w="1203" w:type="dxa"/>
            <w:noWrap w:val="0"/>
            <w:vAlign w:val="center"/>
          </w:tcPr>
          <w:p>
            <w:pPr>
              <w:keepNext w:val="0"/>
              <w:keepLines w:val="0"/>
              <w:pageBreakBefore w:val="0"/>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lang w:val="en-US" w:eastAsia="zh-CN"/>
              </w:rPr>
              <w:t>17</w:t>
            </w:r>
            <w:r>
              <w:rPr>
                <w:rFonts w:hint="eastAsia" w:ascii="宋体" w:hAnsi="宋体" w:cs="Tahoma"/>
                <w:kern w:val="0"/>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b/>
                <w:bCs/>
                <w:kern w:val="0"/>
                <w:sz w:val="30"/>
                <w:szCs w:val="30"/>
              </w:rPr>
            </w:pPr>
            <w:r>
              <w:rPr>
                <w:rFonts w:hint="eastAsia" w:ascii="宋体" w:hAnsi="宋体" w:cs="Tahoma"/>
                <w:b/>
                <w:bCs/>
                <w:kern w:val="0"/>
                <w:sz w:val="30"/>
                <w:szCs w:val="30"/>
              </w:rPr>
              <w:t>3</w:t>
            </w:r>
          </w:p>
        </w:tc>
        <w:tc>
          <w:tcPr>
            <w:tcW w:w="1916"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hint="eastAsia" w:ascii="宋体" w:hAnsi="宋体" w:cs="Courier New"/>
                <w:b/>
                <w:bCs/>
                <w:sz w:val="30"/>
                <w:szCs w:val="30"/>
              </w:rPr>
            </w:pPr>
            <w:r>
              <w:rPr>
                <w:rFonts w:hint="eastAsia" w:ascii="宋体" w:hAnsi="宋体" w:cs="Courier New"/>
                <w:b/>
                <w:bCs/>
                <w:sz w:val="30"/>
                <w:szCs w:val="30"/>
              </w:rPr>
              <w:t>商务分</w:t>
            </w:r>
          </w:p>
        </w:tc>
        <w:tc>
          <w:tcPr>
            <w:tcW w:w="10227" w:type="dxa"/>
            <w:gridSpan w:val="2"/>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hint="eastAsia" w:ascii="宋体" w:hAnsi="宋体" w:cs="Tahoma"/>
                <w:b/>
                <w:bCs/>
                <w:kern w:val="0"/>
                <w:sz w:val="30"/>
                <w:szCs w:val="30"/>
              </w:rPr>
            </w:pPr>
            <w:r>
              <w:rPr>
                <w:rFonts w:hint="eastAsia" w:ascii="宋体" w:hAnsi="宋体" w:cs="Tahoma"/>
                <w:b/>
                <w:bCs/>
                <w:kern w:val="0"/>
                <w:sz w:val="30"/>
                <w:szCs w:val="30"/>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dxa"/>
            <w:noWrap w:val="0"/>
            <w:vAlign w:val="center"/>
          </w:tcPr>
          <w:p>
            <w:pPr>
              <w:keepNext w:val="0"/>
              <w:keepLines w:val="0"/>
              <w:pageBreakBefore w:val="0"/>
              <w:kinsoku/>
              <w:wordWrap w:val="0"/>
              <w:overflowPunct/>
              <w:topLinePunct/>
              <w:autoSpaceDE/>
              <w:autoSpaceDN/>
              <w:bidi w:val="0"/>
              <w:spacing w:line="360" w:lineRule="auto"/>
              <w:ind w:firstLine="0" w:firstLineChars="0"/>
              <w:jc w:val="center"/>
              <w:rPr>
                <w:rFonts w:hint="eastAsia" w:ascii="宋体" w:hAnsi="宋体" w:cs="Tahoma"/>
                <w:kern w:val="0"/>
                <w:sz w:val="30"/>
                <w:szCs w:val="30"/>
              </w:rPr>
            </w:pPr>
            <w:r>
              <w:rPr>
                <w:rFonts w:hint="eastAsia" w:ascii="宋体" w:hAnsi="宋体" w:cs="Tahoma"/>
                <w:kern w:val="0"/>
                <w:sz w:val="30"/>
                <w:szCs w:val="30"/>
              </w:rPr>
              <w:t>3.1</w:t>
            </w:r>
          </w:p>
        </w:tc>
        <w:tc>
          <w:tcPr>
            <w:tcW w:w="1916" w:type="dxa"/>
            <w:noWrap w:val="0"/>
            <w:vAlign w:val="center"/>
          </w:tcPr>
          <w:p>
            <w:pPr>
              <w:keepNext w:val="0"/>
              <w:keepLines w:val="0"/>
              <w:pageBreakBefore w:val="0"/>
              <w:kinsoku/>
              <w:wordWrap w:val="0"/>
              <w:overflowPunct/>
              <w:topLinePunct/>
              <w:autoSpaceDE/>
              <w:autoSpaceDN/>
              <w:bidi w:val="0"/>
              <w:snapToGrid w:val="0"/>
              <w:spacing w:line="360" w:lineRule="auto"/>
              <w:ind w:firstLine="0" w:firstLineChars="0"/>
              <w:jc w:val="center"/>
              <w:rPr>
                <w:rFonts w:ascii="宋体" w:hAnsi="宋体" w:cs="Courier New"/>
                <w:bCs/>
                <w:sz w:val="30"/>
                <w:szCs w:val="30"/>
              </w:rPr>
            </w:pPr>
            <w:r>
              <w:rPr>
                <w:rFonts w:hint="eastAsia" w:ascii="宋体" w:hAnsi="宋体" w:cs="Courier New"/>
                <w:bCs/>
                <w:sz w:val="30"/>
                <w:szCs w:val="30"/>
              </w:rPr>
              <w:t>业绩分</w:t>
            </w:r>
          </w:p>
        </w:tc>
        <w:tc>
          <w:tcPr>
            <w:tcW w:w="9024" w:type="dxa"/>
            <w:noWrap w:val="0"/>
            <w:vAlign w:val="top"/>
          </w:tcPr>
          <w:p>
            <w:pPr>
              <w:pStyle w:val="10"/>
              <w:keepNext w:val="0"/>
              <w:keepLines w:val="0"/>
              <w:pageBreakBefore w:val="0"/>
              <w:kinsoku/>
              <w:wordWrap w:val="0"/>
              <w:overflowPunct/>
              <w:topLinePunct/>
              <w:autoSpaceDE/>
              <w:autoSpaceDN/>
              <w:bidi w:val="0"/>
              <w:spacing w:line="360" w:lineRule="auto"/>
              <w:ind w:firstLine="0" w:firstLineChars="0"/>
              <w:rPr>
                <w:rFonts w:hAnsi="宋体" w:cs="Courier New"/>
                <w:kern w:val="2"/>
                <w:sz w:val="30"/>
                <w:szCs w:val="30"/>
              </w:rPr>
            </w:pPr>
            <w:r>
              <w:rPr>
                <w:rFonts w:hint="eastAsia" w:hAnsi="宋体" w:cs="Courier New"/>
                <w:kern w:val="2"/>
                <w:sz w:val="30"/>
                <w:szCs w:val="30"/>
              </w:rPr>
              <w:t>供应商202</w:t>
            </w:r>
            <w:r>
              <w:rPr>
                <w:rFonts w:hint="eastAsia" w:hAnsi="宋体" w:cs="Courier New"/>
                <w:kern w:val="2"/>
                <w:sz w:val="30"/>
                <w:szCs w:val="30"/>
                <w:lang w:val="en-US" w:eastAsia="zh-CN"/>
              </w:rPr>
              <w:t>3</w:t>
            </w:r>
            <w:r>
              <w:rPr>
                <w:rFonts w:hint="eastAsia" w:hAnsi="宋体" w:cs="Courier New"/>
                <w:kern w:val="2"/>
                <w:sz w:val="30"/>
                <w:szCs w:val="30"/>
              </w:rPr>
              <w:t>年1月1日以来有类似项目业绩的，每提供1个项目得</w:t>
            </w:r>
            <w:r>
              <w:rPr>
                <w:rFonts w:hint="eastAsia" w:hAnsi="宋体" w:cs="Courier New"/>
                <w:kern w:val="2"/>
                <w:sz w:val="30"/>
                <w:szCs w:val="30"/>
                <w:lang w:val="en-US" w:eastAsia="zh-CN"/>
              </w:rPr>
              <w:t>5</w:t>
            </w:r>
            <w:r>
              <w:rPr>
                <w:rFonts w:hint="eastAsia" w:hAnsi="宋体" w:cs="Courier New"/>
                <w:kern w:val="2"/>
                <w:sz w:val="30"/>
                <w:szCs w:val="30"/>
              </w:rPr>
              <w:t>分，满分</w:t>
            </w:r>
            <w:r>
              <w:rPr>
                <w:rFonts w:hint="eastAsia" w:hAnsi="宋体" w:cs="Courier New"/>
                <w:kern w:val="2"/>
                <w:sz w:val="30"/>
                <w:szCs w:val="30"/>
                <w:lang w:val="en-US" w:eastAsia="zh-CN"/>
              </w:rPr>
              <w:t>10</w:t>
            </w:r>
            <w:r>
              <w:rPr>
                <w:rFonts w:hint="eastAsia" w:hAnsi="宋体" w:cs="Courier New"/>
                <w:kern w:val="2"/>
                <w:sz w:val="30"/>
                <w:szCs w:val="30"/>
              </w:rPr>
              <w:t>分。[在响应文件中提供合同或中标（成交）通知书复印件并加盖供应商</w:t>
            </w:r>
            <w:r>
              <w:rPr>
                <w:rFonts w:hint="eastAsia" w:hAnsi="宋体" w:cs="Courier New"/>
                <w:kern w:val="2"/>
                <w:sz w:val="30"/>
                <w:szCs w:val="30"/>
                <w:lang w:val="en-US" w:eastAsia="zh-CN"/>
              </w:rPr>
              <w:t>公章</w:t>
            </w:r>
            <w:r>
              <w:rPr>
                <w:rFonts w:hint="eastAsia" w:hAnsi="宋体" w:cs="Courier New"/>
                <w:kern w:val="2"/>
                <w:sz w:val="30"/>
                <w:szCs w:val="30"/>
              </w:rPr>
              <w:t>，</w:t>
            </w:r>
            <w:r>
              <w:rPr>
                <w:rFonts w:hint="eastAsia" w:hAnsi="宋体" w:cs="Courier New"/>
                <w:b/>
                <w:kern w:val="2"/>
                <w:sz w:val="30"/>
                <w:szCs w:val="30"/>
              </w:rPr>
              <w:t>否则不予加分</w:t>
            </w:r>
            <w:r>
              <w:rPr>
                <w:rFonts w:hint="eastAsia" w:hAnsi="宋体" w:cs="Courier New"/>
                <w:kern w:val="2"/>
                <w:sz w:val="30"/>
                <w:szCs w:val="30"/>
              </w:rPr>
              <w:t>]</w:t>
            </w:r>
          </w:p>
        </w:tc>
        <w:tc>
          <w:tcPr>
            <w:tcW w:w="1203"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lang w:val="en-US" w:eastAsia="zh-CN"/>
              </w:rPr>
              <w:t>10</w:t>
            </w:r>
            <w:r>
              <w:rPr>
                <w:rFonts w:hint="eastAsia" w:ascii="宋体" w:hAnsi="宋体" w:cs="Tahoma"/>
                <w:kern w:val="0"/>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955" w:type="dxa"/>
            <w:gridSpan w:val="3"/>
            <w:noWrap w:val="0"/>
            <w:vAlign w:val="top"/>
          </w:tcPr>
          <w:p>
            <w:pPr>
              <w:pStyle w:val="10"/>
              <w:keepNext w:val="0"/>
              <w:keepLines w:val="0"/>
              <w:pageBreakBefore w:val="0"/>
              <w:kinsoku/>
              <w:wordWrap w:val="0"/>
              <w:overflowPunct/>
              <w:topLinePunct/>
              <w:autoSpaceDE/>
              <w:autoSpaceDN/>
              <w:bidi w:val="0"/>
              <w:spacing w:line="360" w:lineRule="auto"/>
              <w:ind w:firstLine="0" w:firstLineChars="0"/>
              <w:rPr>
                <w:rFonts w:hAnsi="宋体" w:cs="Courier New"/>
                <w:bCs/>
                <w:kern w:val="2"/>
                <w:sz w:val="30"/>
                <w:szCs w:val="30"/>
              </w:rPr>
            </w:pPr>
            <w:r>
              <w:rPr>
                <w:rFonts w:hint="eastAsia" w:hAnsi="宋体" w:cs="Courier New"/>
                <w:bCs/>
                <w:kern w:val="2"/>
                <w:sz w:val="30"/>
                <w:szCs w:val="30"/>
              </w:rPr>
              <w:t>总得分＝1＋2＋3</w:t>
            </w:r>
          </w:p>
        </w:tc>
        <w:tc>
          <w:tcPr>
            <w:tcW w:w="1203" w:type="dxa"/>
            <w:noWrap w:val="0"/>
            <w:vAlign w:val="center"/>
          </w:tcPr>
          <w:p>
            <w:pPr>
              <w:keepNext w:val="0"/>
              <w:keepLines w:val="0"/>
              <w:pageBreakBefore w:val="0"/>
              <w:widowControl/>
              <w:kinsoku/>
              <w:wordWrap w:val="0"/>
              <w:overflowPunct/>
              <w:topLinePunct/>
              <w:autoSpaceDE/>
              <w:autoSpaceDN/>
              <w:bidi w:val="0"/>
              <w:spacing w:line="360" w:lineRule="auto"/>
              <w:ind w:firstLine="0" w:firstLineChars="0"/>
              <w:jc w:val="center"/>
              <w:rPr>
                <w:rFonts w:ascii="宋体" w:hAnsi="宋体" w:cs="Tahoma"/>
                <w:kern w:val="0"/>
                <w:sz w:val="30"/>
                <w:szCs w:val="30"/>
              </w:rPr>
            </w:pPr>
            <w:r>
              <w:rPr>
                <w:rFonts w:hint="eastAsia" w:ascii="宋体" w:hAnsi="宋体" w:cs="Tahoma"/>
                <w:kern w:val="0"/>
                <w:sz w:val="30"/>
                <w:szCs w:val="30"/>
              </w:rPr>
              <w:t>100</w:t>
            </w:r>
          </w:p>
        </w:tc>
      </w:tr>
    </w:tbl>
    <w:p>
      <w:pPr>
        <w:pStyle w:val="15"/>
        <w:ind w:left="0" w:leftChars="0" w:firstLine="420" w:firstLineChars="0"/>
        <w:rPr>
          <w:rFonts w:hint="default" w:ascii="宋体" w:hAnsi="宋体" w:cs="宋体"/>
          <w:szCs w:val="21"/>
          <w:lang w:val="en-US" w:eastAsia="zh-CN"/>
        </w:rPr>
      </w:pPr>
    </w:p>
    <w:sectPr>
      <w:footerReference r:id="rId5" w:type="default"/>
      <w:pgSz w:w="16838" w:h="23811"/>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61B75"/>
    <w:rsid w:val="00225378"/>
    <w:rsid w:val="0086459C"/>
    <w:rsid w:val="02C728F6"/>
    <w:rsid w:val="0451287C"/>
    <w:rsid w:val="05780CBB"/>
    <w:rsid w:val="079915D6"/>
    <w:rsid w:val="0949606C"/>
    <w:rsid w:val="096F50D5"/>
    <w:rsid w:val="09D76FCC"/>
    <w:rsid w:val="09F47AFE"/>
    <w:rsid w:val="0C8A1B40"/>
    <w:rsid w:val="0E1C6C7A"/>
    <w:rsid w:val="0E653000"/>
    <w:rsid w:val="12277CC9"/>
    <w:rsid w:val="12BE1B98"/>
    <w:rsid w:val="13B42940"/>
    <w:rsid w:val="15981F0D"/>
    <w:rsid w:val="169B16A6"/>
    <w:rsid w:val="177C6796"/>
    <w:rsid w:val="17B133ED"/>
    <w:rsid w:val="187327BD"/>
    <w:rsid w:val="19484788"/>
    <w:rsid w:val="195F46C7"/>
    <w:rsid w:val="197A163C"/>
    <w:rsid w:val="1B340314"/>
    <w:rsid w:val="1B5E59A7"/>
    <w:rsid w:val="1B911408"/>
    <w:rsid w:val="1B9E4013"/>
    <w:rsid w:val="1D412F68"/>
    <w:rsid w:val="1DAD243E"/>
    <w:rsid w:val="1EC808A0"/>
    <w:rsid w:val="204C400B"/>
    <w:rsid w:val="2185154A"/>
    <w:rsid w:val="22C01511"/>
    <w:rsid w:val="23804A87"/>
    <w:rsid w:val="238B13FB"/>
    <w:rsid w:val="23B95F8F"/>
    <w:rsid w:val="23D47D54"/>
    <w:rsid w:val="25983863"/>
    <w:rsid w:val="263F4DF8"/>
    <w:rsid w:val="26AA5CA6"/>
    <w:rsid w:val="271C4339"/>
    <w:rsid w:val="27C3516D"/>
    <w:rsid w:val="27D41350"/>
    <w:rsid w:val="28112CC9"/>
    <w:rsid w:val="28B11D40"/>
    <w:rsid w:val="2A0F66CC"/>
    <w:rsid w:val="2A7A6C99"/>
    <w:rsid w:val="2A81244C"/>
    <w:rsid w:val="2B447F8C"/>
    <w:rsid w:val="2CDF1F2B"/>
    <w:rsid w:val="2D614E83"/>
    <w:rsid w:val="2D996041"/>
    <w:rsid w:val="305F1B4D"/>
    <w:rsid w:val="30D342E9"/>
    <w:rsid w:val="312A215B"/>
    <w:rsid w:val="33335835"/>
    <w:rsid w:val="33D00377"/>
    <w:rsid w:val="33D07086"/>
    <w:rsid w:val="34AC732B"/>
    <w:rsid w:val="37846422"/>
    <w:rsid w:val="39F3307E"/>
    <w:rsid w:val="39F5707E"/>
    <w:rsid w:val="3B2D3798"/>
    <w:rsid w:val="3B415D0A"/>
    <w:rsid w:val="3CFE1700"/>
    <w:rsid w:val="3EE61B75"/>
    <w:rsid w:val="3F695DAF"/>
    <w:rsid w:val="3F833E5E"/>
    <w:rsid w:val="409C02AD"/>
    <w:rsid w:val="40E40806"/>
    <w:rsid w:val="41AF06D0"/>
    <w:rsid w:val="41F411C5"/>
    <w:rsid w:val="42CB7EBA"/>
    <w:rsid w:val="430D13D6"/>
    <w:rsid w:val="432D21C6"/>
    <w:rsid w:val="43A7080B"/>
    <w:rsid w:val="442E1B0B"/>
    <w:rsid w:val="45471922"/>
    <w:rsid w:val="45876549"/>
    <w:rsid w:val="466D7A8A"/>
    <w:rsid w:val="47783E01"/>
    <w:rsid w:val="48BF75E9"/>
    <w:rsid w:val="4950519C"/>
    <w:rsid w:val="4A791C54"/>
    <w:rsid w:val="4A7D441A"/>
    <w:rsid w:val="4BDE7186"/>
    <w:rsid w:val="4CBF5C1D"/>
    <w:rsid w:val="4E10612E"/>
    <w:rsid w:val="4E6E6E5D"/>
    <w:rsid w:val="4F4C48A4"/>
    <w:rsid w:val="4FD54787"/>
    <w:rsid w:val="508E3FB7"/>
    <w:rsid w:val="50C1350C"/>
    <w:rsid w:val="517806E3"/>
    <w:rsid w:val="51E27A91"/>
    <w:rsid w:val="52375E37"/>
    <w:rsid w:val="524514A1"/>
    <w:rsid w:val="52A336C4"/>
    <w:rsid w:val="537D0E07"/>
    <w:rsid w:val="54D213AD"/>
    <w:rsid w:val="55600570"/>
    <w:rsid w:val="560D2DDC"/>
    <w:rsid w:val="56121247"/>
    <w:rsid w:val="56C973BA"/>
    <w:rsid w:val="58EA2724"/>
    <w:rsid w:val="59130438"/>
    <w:rsid w:val="5A8C6BF5"/>
    <w:rsid w:val="5B14567A"/>
    <w:rsid w:val="5C21299A"/>
    <w:rsid w:val="5C7C6AAE"/>
    <w:rsid w:val="5C7D774D"/>
    <w:rsid w:val="5D6C6AD3"/>
    <w:rsid w:val="5DFD7092"/>
    <w:rsid w:val="5F4750E0"/>
    <w:rsid w:val="5FDC6D68"/>
    <w:rsid w:val="60CD4214"/>
    <w:rsid w:val="622D5870"/>
    <w:rsid w:val="63244136"/>
    <w:rsid w:val="636D033D"/>
    <w:rsid w:val="64372CCF"/>
    <w:rsid w:val="64BC57E2"/>
    <w:rsid w:val="65004B17"/>
    <w:rsid w:val="65220379"/>
    <w:rsid w:val="65293587"/>
    <w:rsid w:val="663B4718"/>
    <w:rsid w:val="66B51D15"/>
    <w:rsid w:val="66EF2CE9"/>
    <w:rsid w:val="671D6826"/>
    <w:rsid w:val="678E0472"/>
    <w:rsid w:val="67CF069A"/>
    <w:rsid w:val="67F81964"/>
    <w:rsid w:val="686F6F90"/>
    <w:rsid w:val="694E29D2"/>
    <w:rsid w:val="69593A40"/>
    <w:rsid w:val="6B8F25DF"/>
    <w:rsid w:val="6C513E75"/>
    <w:rsid w:val="6D450054"/>
    <w:rsid w:val="6E0565BD"/>
    <w:rsid w:val="6EED4B84"/>
    <w:rsid w:val="6EEECCB5"/>
    <w:rsid w:val="6F547DB4"/>
    <w:rsid w:val="6F6D2EDC"/>
    <w:rsid w:val="6FAC1505"/>
    <w:rsid w:val="7040659E"/>
    <w:rsid w:val="70D60C04"/>
    <w:rsid w:val="72124434"/>
    <w:rsid w:val="72397B93"/>
    <w:rsid w:val="72A67D12"/>
    <w:rsid w:val="77144843"/>
    <w:rsid w:val="77A613DD"/>
    <w:rsid w:val="77CC5F6D"/>
    <w:rsid w:val="7950694E"/>
    <w:rsid w:val="7D2C2AE8"/>
    <w:rsid w:val="7D5455CF"/>
    <w:rsid w:val="7D72325C"/>
    <w:rsid w:val="7E5341B2"/>
    <w:rsid w:val="7EB4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883" w:firstLineChars="200"/>
      <w:jc w:val="both"/>
    </w:pPr>
    <w:rPr>
      <w:rFonts w:eastAsia="宋体" w:asciiTheme="minorAscii" w:hAnsiTheme="minorAscii" w:cstheme="minorBidi"/>
      <w:kern w:val="2"/>
      <w:sz w:val="21"/>
      <w:szCs w:val="24"/>
      <w:lang w:val="en-US" w:eastAsia="zh-CN" w:bidi="ar-SA"/>
    </w:rPr>
  </w:style>
  <w:style w:type="paragraph" w:styleId="3">
    <w:name w:val="heading 1"/>
    <w:basedOn w:val="1"/>
    <w:next w:val="1"/>
    <w:qFormat/>
    <w:uiPriority w:val="0"/>
    <w:pPr>
      <w:spacing w:line="240" w:lineRule="auto"/>
      <w:ind w:firstLine="0" w:firstLineChars="0"/>
      <w:outlineLvl w:val="0"/>
    </w:pPr>
    <w:rPr>
      <w:b/>
      <w:sz w:val="32"/>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0" w:firstLineChars="0"/>
      <w:outlineLvl w:val="1"/>
    </w:pPr>
    <w:rPr>
      <w:rFonts w:ascii="Arial" w:hAnsi="Arial"/>
      <w:b/>
      <w:sz w:val="30"/>
      <w:lang w:val="zh-CN"/>
    </w:rPr>
  </w:style>
  <w:style w:type="paragraph" w:styleId="2">
    <w:name w:val="heading 3"/>
    <w:basedOn w:val="1"/>
    <w:next w:val="1"/>
    <w:semiHidden/>
    <w:unhideWhenUsed/>
    <w:qFormat/>
    <w:uiPriority w:val="0"/>
    <w:pPr>
      <w:keepNext/>
      <w:keepLines/>
      <w:spacing w:beforeLines="0" w:beforeAutospacing="0" w:afterLines="0" w:afterAutospacing="0" w:line="240" w:lineRule="auto"/>
      <w:outlineLvl w:val="2"/>
    </w:pPr>
    <w:rPr>
      <w:rFonts w:ascii="宋体" w:hAnsi="宋体" w:cs="宋体"/>
      <w:b/>
      <w:sz w:val="28"/>
      <w:lang w:val="zh-CN"/>
    </w:rPr>
  </w:style>
  <w:style w:type="paragraph" w:styleId="5">
    <w:name w:val="heading 4"/>
    <w:basedOn w:val="1"/>
    <w:next w:val="1"/>
    <w:semiHidden/>
    <w:unhideWhenUsed/>
    <w:qFormat/>
    <w:uiPriority w:val="0"/>
    <w:pPr>
      <w:keepNext/>
      <w:keepLines/>
      <w:wordWrap w:val="0"/>
      <w:topLinePunct/>
      <w:autoSpaceDE/>
      <w:autoSpaceDN/>
      <w:spacing w:beforeLines="0" w:beforeAutospacing="0" w:afterLines="0" w:afterAutospacing="0" w:line="240" w:lineRule="auto"/>
      <w:ind w:firstLine="480" w:firstLineChars="200"/>
      <w:outlineLvl w:val="3"/>
    </w:pPr>
    <w:rPr>
      <w:rFonts w:ascii="Arial" w:hAnsi="Arial"/>
      <w:b/>
      <w:sz w:val="24"/>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afterLines="0" w:afterAutospacing="0"/>
    </w:p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ascii="宋体" w:hAnsi="Courier New"/>
      <w:kern w:val="0"/>
      <w:sz w:val="20"/>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Body Text 2"/>
    <w:basedOn w:val="1"/>
    <w:qFormat/>
    <w:uiPriority w:val="0"/>
    <w:pPr>
      <w:spacing w:after="120" w:afterLines="0" w:afterAutospacing="0" w:line="480" w:lineRule="auto"/>
    </w:pPr>
  </w:style>
  <w:style w:type="paragraph" w:styleId="15">
    <w:name w:val="Body Text First Indent 2"/>
    <w:basedOn w:val="9"/>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3174</Words>
  <Characters>3296</Characters>
  <Lines>0</Lines>
  <Paragraphs>0</Paragraphs>
  <TotalTime>28</TotalTime>
  <ScaleCrop>false</ScaleCrop>
  <LinksUpToDate>false</LinksUpToDate>
  <CharactersWithSpaces>3409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2025-04-03T11:03:00Z</dcterms:created>
  <dc:creator>东方兄</dc:creator>
  <cp:lastModifiedBy>Administrator</cp:lastModifiedBy>
  <cp:lastPrinted>2025-04-21T09:17:00Z</cp:lastPrinted>
  <dcterms:modified xsi:type="dcterms:W3CDTF">2026-04-27T00:54:30Z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54D3DF15EB3F53C023AEEE69068AE1F8_43</vt:lpwstr>
  </property>
  <property fmtid="{D5CDD505-2E9C-101B-9397-08002B2CF9AE}" pid="4" name="KSOTemplateDocerSaveRecord">
    <vt:lpwstr>eyJoZGlkIjoiZjJiYzM5ZjJkZDMwYTdmYzRmM2U2NmI2ZjJhYjQzODgiLCJ1c2VySWQiOiIzOTE2MTgwOTUifQ==</vt:lpwstr>
  </property>
</Properties>
</file>