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B4" w:rsidRDefault="007E6440" w:rsidP="007E6440">
      <w:pPr>
        <w:spacing w:line="540" w:lineRule="exact"/>
        <w:jc w:val="center"/>
        <w:rPr>
          <w:rFonts w:asciiTheme="majorEastAsia" w:eastAsiaTheme="majorEastAsia" w:hAnsiTheme="majorEastAsia" w:cs="宋体"/>
          <w:sz w:val="32"/>
          <w:szCs w:val="32"/>
        </w:rPr>
      </w:pPr>
      <w:bookmarkStart w:id="0" w:name="OLE_LINK3"/>
      <w:bookmarkStart w:id="1" w:name="OLE_LINK4"/>
      <w:bookmarkStart w:id="2" w:name="OLE_LINK7"/>
      <w:r w:rsidRPr="00282A0F">
        <w:rPr>
          <w:rFonts w:asciiTheme="majorEastAsia" w:eastAsiaTheme="majorEastAsia" w:hAnsiTheme="majorEastAsia" w:cs="方正小标宋简体"/>
          <w:sz w:val="32"/>
          <w:szCs w:val="32"/>
        </w:rPr>
        <w:t>2026</w:t>
      </w:r>
      <w:r w:rsidRPr="00282A0F">
        <w:rPr>
          <w:rFonts w:asciiTheme="majorEastAsia" w:eastAsiaTheme="majorEastAsia" w:hAnsiTheme="majorEastAsia" w:cs="方正小标宋简体" w:hint="eastAsia"/>
          <w:sz w:val="32"/>
          <w:szCs w:val="32"/>
        </w:rPr>
        <w:t>年农作物病虫害绿色防控创新</w:t>
      </w:r>
      <w:bookmarkStart w:id="3" w:name="_GoBack"/>
      <w:r w:rsidRPr="00282A0F">
        <w:rPr>
          <w:rFonts w:asciiTheme="majorEastAsia" w:eastAsiaTheme="majorEastAsia" w:hAnsiTheme="majorEastAsia" w:cs="方正小标宋简体" w:hint="eastAsia"/>
          <w:sz w:val="32"/>
          <w:szCs w:val="32"/>
        </w:rPr>
        <w:t>推广项目象州县柑橘黄龙病综合防控技术</w:t>
      </w:r>
      <w:bookmarkEnd w:id="3"/>
      <w:r w:rsidRPr="00282A0F">
        <w:rPr>
          <w:rFonts w:asciiTheme="majorEastAsia" w:eastAsiaTheme="majorEastAsia" w:hAnsiTheme="majorEastAsia" w:cs="方正小标宋简体" w:hint="eastAsia"/>
          <w:sz w:val="32"/>
          <w:szCs w:val="32"/>
        </w:rPr>
        <w:t>展示</w:t>
      </w:r>
      <w:bookmarkEnd w:id="0"/>
      <w:bookmarkEnd w:id="1"/>
      <w:bookmarkEnd w:id="2"/>
      <w:r w:rsidR="00E66DB4" w:rsidRPr="00282A0F">
        <w:rPr>
          <w:rFonts w:asciiTheme="majorEastAsia" w:eastAsiaTheme="majorEastAsia" w:hAnsiTheme="majorEastAsia" w:cs="宋体" w:hint="eastAsia"/>
          <w:sz w:val="32"/>
          <w:szCs w:val="32"/>
        </w:rPr>
        <w:t>询价采购公告</w:t>
      </w:r>
    </w:p>
    <w:p w:rsidR="00282A0F" w:rsidRPr="00282A0F" w:rsidRDefault="00282A0F" w:rsidP="00123BA7">
      <w:pPr>
        <w:spacing w:line="400" w:lineRule="exact"/>
        <w:jc w:val="center"/>
        <w:rPr>
          <w:rFonts w:asciiTheme="majorEastAsia" w:eastAsiaTheme="majorEastAsia" w:hAnsiTheme="majorEastAsia" w:cs="方正小标宋简体"/>
          <w:sz w:val="32"/>
          <w:szCs w:val="32"/>
        </w:rPr>
      </w:pPr>
    </w:p>
    <w:p w:rsidR="00E66DB4" w:rsidRPr="00E2449D" w:rsidRDefault="007E6440" w:rsidP="00123BA7">
      <w:pPr>
        <w:spacing w:line="400" w:lineRule="exact"/>
        <w:rPr>
          <w:rFonts w:asciiTheme="majorEastAsia" w:eastAsiaTheme="majorEastAsia" w:hAnsiTheme="majorEastAsia" w:cs="方正小标宋简体"/>
          <w:sz w:val="28"/>
          <w:szCs w:val="28"/>
        </w:rPr>
      </w:pPr>
      <w:r w:rsidRPr="00E2449D">
        <w:rPr>
          <w:rFonts w:asciiTheme="majorEastAsia" w:eastAsiaTheme="majorEastAsia" w:hAnsiTheme="majorEastAsia" w:hint="eastAsia"/>
          <w:kern w:val="0"/>
          <w:sz w:val="28"/>
          <w:szCs w:val="28"/>
        </w:rPr>
        <w:t xml:space="preserve">     </w:t>
      </w:r>
      <w:r w:rsidR="00E66DB4" w:rsidRPr="00E2449D">
        <w:rPr>
          <w:rFonts w:asciiTheme="majorEastAsia" w:eastAsiaTheme="majorEastAsia" w:hAnsiTheme="majorEastAsia" w:hint="eastAsia"/>
          <w:kern w:val="0"/>
          <w:sz w:val="28"/>
          <w:szCs w:val="28"/>
        </w:rPr>
        <w:t>根据</w:t>
      </w:r>
      <w:r w:rsidRPr="00E2449D">
        <w:rPr>
          <w:rFonts w:asciiTheme="majorEastAsia" w:eastAsiaTheme="majorEastAsia" w:hAnsiTheme="majorEastAsia" w:cs="方正小标宋简体"/>
          <w:sz w:val="28"/>
          <w:szCs w:val="28"/>
        </w:rPr>
        <w:t>2026</w:t>
      </w:r>
      <w:r w:rsidRPr="00E2449D">
        <w:rPr>
          <w:rFonts w:asciiTheme="majorEastAsia" w:eastAsiaTheme="majorEastAsia" w:hAnsiTheme="majorEastAsia" w:cs="方正小标宋简体" w:hint="eastAsia"/>
          <w:sz w:val="28"/>
          <w:szCs w:val="28"/>
        </w:rPr>
        <w:t>年农作物病虫害绿色防控创新推广项目象州县柑橘黄龙病综合防控技术展示</w:t>
      </w:r>
      <w:r w:rsidR="00E66DB4" w:rsidRPr="00E2449D">
        <w:rPr>
          <w:rFonts w:asciiTheme="majorEastAsia" w:eastAsiaTheme="majorEastAsia" w:hAnsiTheme="majorEastAsia" w:hint="eastAsia"/>
          <w:kern w:val="0"/>
          <w:sz w:val="28"/>
          <w:szCs w:val="28"/>
        </w:rPr>
        <w:t>实施方案</w:t>
      </w:r>
      <w:r w:rsidRPr="00E2449D">
        <w:rPr>
          <w:rFonts w:asciiTheme="majorEastAsia" w:eastAsiaTheme="majorEastAsia" w:hAnsiTheme="majorEastAsia" w:hint="eastAsia"/>
          <w:kern w:val="0"/>
          <w:sz w:val="28"/>
          <w:szCs w:val="28"/>
        </w:rPr>
        <w:t>，该项目</w:t>
      </w:r>
      <w:r w:rsidR="00E66DB4" w:rsidRPr="00E2449D">
        <w:rPr>
          <w:rFonts w:asciiTheme="majorEastAsia" w:eastAsiaTheme="majorEastAsia" w:hAnsiTheme="majorEastAsia" w:cs="宋体" w:hint="eastAsia"/>
          <w:bCs/>
          <w:spacing w:val="-6"/>
          <w:sz w:val="28"/>
          <w:szCs w:val="28"/>
        </w:rPr>
        <w:t>资金总额为</w:t>
      </w:r>
      <w:r w:rsidRPr="00E2449D">
        <w:rPr>
          <w:rFonts w:asciiTheme="majorEastAsia" w:eastAsiaTheme="majorEastAsia" w:hAnsiTheme="majorEastAsia" w:cs="宋体" w:hint="eastAsia"/>
          <w:bCs/>
          <w:spacing w:val="-6"/>
          <w:sz w:val="28"/>
          <w:szCs w:val="28"/>
        </w:rPr>
        <w:t>3</w:t>
      </w:r>
      <w:r w:rsidR="00E66DB4" w:rsidRPr="00E2449D">
        <w:rPr>
          <w:rFonts w:asciiTheme="majorEastAsia" w:eastAsiaTheme="majorEastAsia" w:hAnsiTheme="majorEastAsia" w:cs="宋体" w:hint="eastAsia"/>
          <w:bCs/>
          <w:spacing w:val="-6"/>
          <w:sz w:val="28"/>
          <w:szCs w:val="28"/>
        </w:rPr>
        <w:t xml:space="preserve">0.00万元。 </w:t>
      </w:r>
      <w:r w:rsidR="00E66DB4" w:rsidRPr="00E2449D">
        <w:rPr>
          <w:rFonts w:asciiTheme="majorEastAsia" w:eastAsiaTheme="majorEastAsia" w:hAnsiTheme="majorEastAsia" w:cs="宋体" w:hint="eastAsia"/>
          <w:sz w:val="28"/>
          <w:szCs w:val="28"/>
        </w:rPr>
        <w:t>根据相关规定，以询价采购的方式招标采购，该</w:t>
      </w:r>
      <w:r w:rsidR="00E66DB4" w:rsidRPr="00E2449D">
        <w:rPr>
          <w:rFonts w:asciiTheme="majorEastAsia" w:eastAsiaTheme="majorEastAsia" w:hAnsiTheme="majorEastAsia" w:cs="宋体" w:hint="eastAsia"/>
          <w:bCs/>
          <w:spacing w:val="-6"/>
          <w:sz w:val="28"/>
          <w:szCs w:val="28"/>
        </w:rPr>
        <w:t>项目</w:t>
      </w:r>
      <w:r w:rsidR="00E66DB4" w:rsidRPr="00E2449D">
        <w:rPr>
          <w:rFonts w:asciiTheme="majorEastAsia" w:eastAsiaTheme="majorEastAsia" w:hAnsiTheme="majorEastAsia" w:cs="宋体" w:hint="eastAsia"/>
          <w:sz w:val="28"/>
          <w:szCs w:val="28"/>
        </w:rPr>
        <w:t>在政采云和象州农业农村局公告栏同时进行公示，公示时间从</w:t>
      </w:r>
      <w:r w:rsidRPr="00E2449D">
        <w:rPr>
          <w:rFonts w:asciiTheme="majorEastAsia" w:eastAsiaTheme="majorEastAsia" w:hAnsiTheme="majorEastAsia" w:cs="宋体" w:hint="eastAsia"/>
          <w:sz w:val="28"/>
          <w:szCs w:val="28"/>
        </w:rPr>
        <w:t>2026</w:t>
      </w:r>
      <w:r w:rsidR="00E66DB4" w:rsidRPr="00E2449D">
        <w:rPr>
          <w:rFonts w:asciiTheme="majorEastAsia" w:eastAsiaTheme="majorEastAsia" w:hAnsiTheme="majorEastAsia" w:cs="宋体" w:hint="eastAsia"/>
          <w:sz w:val="28"/>
          <w:szCs w:val="28"/>
        </w:rPr>
        <w:t>年</w:t>
      </w:r>
      <w:r w:rsidRPr="00E2449D">
        <w:rPr>
          <w:rFonts w:asciiTheme="majorEastAsia" w:eastAsiaTheme="majorEastAsia" w:hAnsiTheme="majorEastAsia" w:cs="宋体" w:hint="eastAsia"/>
          <w:sz w:val="28"/>
          <w:szCs w:val="28"/>
        </w:rPr>
        <w:t>5</w:t>
      </w:r>
      <w:r w:rsidR="00E66DB4" w:rsidRPr="00E2449D">
        <w:rPr>
          <w:rFonts w:asciiTheme="majorEastAsia" w:eastAsiaTheme="majorEastAsia" w:hAnsiTheme="majorEastAsia" w:cs="宋体" w:hint="eastAsia"/>
          <w:sz w:val="28"/>
          <w:szCs w:val="28"/>
        </w:rPr>
        <w:t>月</w:t>
      </w:r>
      <w:r w:rsidR="00016664">
        <w:rPr>
          <w:rFonts w:asciiTheme="majorEastAsia" w:eastAsiaTheme="majorEastAsia" w:hAnsiTheme="majorEastAsia" w:cs="宋体" w:hint="eastAsia"/>
          <w:sz w:val="28"/>
          <w:szCs w:val="28"/>
        </w:rPr>
        <w:t>11</w:t>
      </w:r>
      <w:r w:rsidR="00E66DB4" w:rsidRPr="00E2449D">
        <w:rPr>
          <w:rFonts w:asciiTheme="majorEastAsia" w:eastAsiaTheme="majorEastAsia" w:hAnsiTheme="majorEastAsia" w:cs="宋体" w:hint="eastAsia"/>
          <w:sz w:val="28"/>
          <w:szCs w:val="28"/>
        </w:rPr>
        <w:t>日起至</w:t>
      </w:r>
      <w:r w:rsidRPr="00E2449D">
        <w:rPr>
          <w:rFonts w:asciiTheme="majorEastAsia" w:eastAsiaTheme="majorEastAsia" w:hAnsiTheme="majorEastAsia" w:cs="宋体" w:hint="eastAsia"/>
          <w:sz w:val="28"/>
          <w:szCs w:val="28"/>
        </w:rPr>
        <w:t>2026</w:t>
      </w:r>
      <w:r w:rsidR="00E66DB4" w:rsidRPr="00E2449D">
        <w:rPr>
          <w:rFonts w:asciiTheme="majorEastAsia" w:eastAsiaTheme="majorEastAsia" w:hAnsiTheme="majorEastAsia" w:cs="宋体" w:hint="eastAsia"/>
          <w:sz w:val="28"/>
          <w:szCs w:val="28"/>
        </w:rPr>
        <w:t>年</w:t>
      </w:r>
      <w:r w:rsidRPr="00E2449D">
        <w:rPr>
          <w:rFonts w:asciiTheme="majorEastAsia" w:eastAsiaTheme="majorEastAsia" w:hAnsiTheme="majorEastAsia" w:cs="宋体" w:hint="eastAsia"/>
          <w:sz w:val="28"/>
          <w:szCs w:val="28"/>
        </w:rPr>
        <w:t>5</w:t>
      </w:r>
      <w:r w:rsidR="00E66DB4" w:rsidRPr="00E2449D">
        <w:rPr>
          <w:rFonts w:asciiTheme="majorEastAsia" w:eastAsiaTheme="majorEastAsia" w:hAnsiTheme="majorEastAsia" w:cs="宋体" w:hint="eastAsia"/>
          <w:sz w:val="28"/>
          <w:szCs w:val="28"/>
        </w:rPr>
        <w:t>月</w:t>
      </w:r>
      <w:r w:rsidRPr="00E2449D">
        <w:rPr>
          <w:rFonts w:asciiTheme="majorEastAsia" w:eastAsiaTheme="majorEastAsia" w:hAnsiTheme="majorEastAsia" w:cs="宋体" w:hint="eastAsia"/>
          <w:sz w:val="28"/>
          <w:szCs w:val="28"/>
        </w:rPr>
        <w:t>1</w:t>
      </w:r>
      <w:r w:rsidR="000F6C30">
        <w:rPr>
          <w:rFonts w:asciiTheme="majorEastAsia" w:eastAsiaTheme="majorEastAsia" w:hAnsiTheme="majorEastAsia" w:cs="宋体" w:hint="eastAsia"/>
          <w:sz w:val="28"/>
          <w:szCs w:val="28"/>
        </w:rPr>
        <w:t>9</w:t>
      </w:r>
      <w:r w:rsidR="00E66DB4" w:rsidRPr="00E2449D">
        <w:rPr>
          <w:rFonts w:asciiTheme="majorEastAsia" w:eastAsiaTheme="majorEastAsia" w:hAnsiTheme="majorEastAsia" w:cs="宋体" w:hint="eastAsia"/>
          <w:sz w:val="28"/>
          <w:szCs w:val="28"/>
        </w:rPr>
        <w:t>日止，共</w:t>
      </w:r>
      <w:r w:rsidR="000F6C30">
        <w:rPr>
          <w:rFonts w:asciiTheme="majorEastAsia" w:eastAsiaTheme="majorEastAsia" w:hAnsiTheme="majorEastAsia" w:cs="宋体" w:hint="eastAsia"/>
          <w:sz w:val="28"/>
          <w:szCs w:val="28"/>
        </w:rPr>
        <w:t>7</w:t>
      </w:r>
      <w:r w:rsidRPr="00E2449D">
        <w:rPr>
          <w:rFonts w:asciiTheme="majorEastAsia" w:eastAsiaTheme="majorEastAsia" w:hAnsiTheme="majorEastAsia" w:cs="宋体" w:hint="eastAsia"/>
          <w:sz w:val="28"/>
          <w:szCs w:val="28"/>
        </w:rPr>
        <w:t>个工作日。欢迎符合条件的供应商参加投标报</w:t>
      </w:r>
      <w:r w:rsidR="00E66DB4" w:rsidRPr="00E2449D">
        <w:rPr>
          <w:rFonts w:asciiTheme="majorEastAsia" w:eastAsiaTheme="majorEastAsia" w:hAnsiTheme="majorEastAsia" w:cs="宋体" w:hint="eastAsia"/>
          <w:sz w:val="28"/>
          <w:szCs w:val="28"/>
        </w:rPr>
        <w:t>价。</w:t>
      </w:r>
    </w:p>
    <w:p w:rsidR="00E66DB4" w:rsidRPr="00E2449D" w:rsidRDefault="00E66DB4" w:rsidP="00123BA7">
      <w:pPr>
        <w:numPr>
          <w:ilvl w:val="0"/>
          <w:numId w:val="1"/>
        </w:numPr>
        <w:tabs>
          <w:tab w:val="left" w:pos="1155"/>
        </w:tabs>
        <w:spacing w:line="400" w:lineRule="exact"/>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项目基本情况</w:t>
      </w:r>
    </w:p>
    <w:p w:rsidR="00E66DB4" w:rsidRPr="00E2449D" w:rsidRDefault="00E66DB4" w:rsidP="00123BA7">
      <w:pPr>
        <w:spacing w:line="400" w:lineRule="exact"/>
        <w:ind w:firstLineChars="200" w:firstLine="560"/>
        <w:rPr>
          <w:rFonts w:asciiTheme="majorEastAsia" w:eastAsiaTheme="majorEastAsia" w:hAnsiTheme="majorEastAsia" w:cs="方正小标宋简体"/>
          <w:sz w:val="28"/>
          <w:szCs w:val="28"/>
        </w:rPr>
      </w:pPr>
      <w:r w:rsidRPr="00E2449D">
        <w:rPr>
          <w:rFonts w:asciiTheme="majorEastAsia" w:eastAsiaTheme="majorEastAsia" w:hAnsiTheme="majorEastAsia" w:cs="宋体" w:hint="eastAsia"/>
          <w:sz w:val="28"/>
          <w:szCs w:val="28"/>
        </w:rPr>
        <w:t>1、项目名称:</w:t>
      </w:r>
      <w:r w:rsidRPr="00E2449D">
        <w:rPr>
          <w:rFonts w:asciiTheme="majorEastAsia" w:eastAsiaTheme="majorEastAsia" w:hAnsiTheme="majorEastAsia" w:hint="eastAsia"/>
          <w:sz w:val="28"/>
          <w:szCs w:val="28"/>
        </w:rPr>
        <w:t xml:space="preserve"> </w:t>
      </w:r>
      <w:r w:rsidR="007E6440" w:rsidRPr="00E2449D">
        <w:rPr>
          <w:rFonts w:asciiTheme="majorEastAsia" w:eastAsiaTheme="majorEastAsia" w:hAnsiTheme="majorEastAsia" w:cs="方正小标宋简体"/>
          <w:sz w:val="28"/>
          <w:szCs w:val="28"/>
        </w:rPr>
        <w:t>2026</w:t>
      </w:r>
      <w:r w:rsidR="007E6440" w:rsidRPr="00E2449D">
        <w:rPr>
          <w:rFonts w:asciiTheme="majorEastAsia" w:eastAsiaTheme="majorEastAsia" w:hAnsiTheme="majorEastAsia" w:cs="方正小标宋简体" w:hint="eastAsia"/>
          <w:sz w:val="28"/>
          <w:szCs w:val="28"/>
        </w:rPr>
        <w:t>年农作物病虫害绿色防控创新推广项目象州县柑橘黄龙病综合防控技术展示</w:t>
      </w:r>
    </w:p>
    <w:p w:rsidR="00E66DB4" w:rsidRPr="00E2449D" w:rsidRDefault="00E66DB4" w:rsidP="00123BA7">
      <w:pPr>
        <w:adjustRightInd w:val="0"/>
        <w:snapToGrid w:val="0"/>
        <w:spacing w:line="400" w:lineRule="exact"/>
        <w:ind w:firstLineChars="150" w:firstLine="420"/>
        <w:rPr>
          <w:rFonts w:asciiTheme="majorEastAsia" w:eastAsiaTheme="majorEastAsia" w:hAnsiTheme="majorEastAsia"/>
          <w:sz w:val="28"/>
          <w:szCs w:val="28"/>
        </w:rPr>
      </w:pPr>
      <w:r w:rsidRPr="00E2449D">
        <w:rPr>
          <w:rFonts w:asciiTheme="majorEastAsia" w:eastAsiaTheme="majorEastAsia" w:hAnsiTheme="majorEastAsia" w:cs="宋体" w:hint="eastAsia"/>
          <w:sz w:val="28"/>
          <w:szCs w:val="28"/>
        </w:rPr>
        <w:t>2、项目概况</w:t>
      </w:r>
    </w:p>
    <w:p w:rsidR="007E6440" w:rsidRPr="00E2449D" w:rsidRDefault="007E6440" w:rsidP="00123BA7">
      <w:pPr>
        <w:snapToGrid w:val="0"/>
        <w:spacing w:line="400" w:lineRule="exact"/>
        <w:ind w:firstLineChars="200" w:firstLine="560"/>
        <w:rPr>
          <w:rFonts w:asciiTheme="majorEastAsia" w:eastAsiaTheme="majorEastAsia" w:hAnsiTheme="majorEastAsia" w:cs="宋体"/>
          <w:sz w:val="28"/>
          <w:szCs w:val="28"/>
        </w:rPr>
      </w:pPr>
      <w:bookmarkStart w:id="4" w:name="OLE_LINK15"/>
      <w:bookmarkStart w:id="5" w:name="OLE_LINK16"/>
      <w:r w:rsidRPr="00E2449D">
        <w:rPr>
          <w:rFonts w:asciiTheme="majorEastAsia" w:eastAsiaTheme="majorEastAsia" w:hAnsiTheme="majorEastAsia" w:cs="仿宋_GB2312" w:hint="eastAsia"/>
          <w:sz w:val="28"/>
          <w:szCs w:val="28"/>
        </w:rPr>
        <w:t>建立</w:t>
      </w:r>
      <w:r w:rsidRPr="00E2449D">
        <w:rPr>
          <w:rFonts w:asciiTheme="majorEastAsia" w:eastAsiaTheme="majorEastAsia" w:hAnsiTheme="majorEastAsia" w:cs="仿宋_GB2312"/>
          <w:sz w:val="28"/>
          <w:szCs w:val="28"/>
        </w:rPr>
        <w:t>1</w:t>
      </w:r>
      <w:r w:rsidRPr="00E2449D">
        <w:rPr>
          <w:rFonts w:asciiTheme="majorEastAsia" w:eastAsiaTheme="majorEastAsia" w:hAnsiTheme="majorEastAsia" w:cs="仿宋_GB2312" w:hint="eastAsia"/>
          <w:sz w:val="28"/>
          <w:szCs w:val="28"/>
        </w:rPr>
        <w:t>个</w:t>
      </w:r>
      <w:r w:rsidRPr="00E2449D">
        <w:rPr>
          <w:rFonts w:asciiTheme="majorEastAsia" w:eastAsiaTheme="majorEastAsia" w:hAnsiTheme="majorEastAsia" w:cs="仿宋_GB2312"/>
          <w:sz w:val="28"/>
          <w:szCs w:val="28"/>
        </w:rPr>
        <w:t>2000</w:t>
      </w:r>
      <w:r w:rsidRPr="00E2449D">
        <w:rPr>
          <w:rFonts w:asciiTheme="majorEastAsia" w:eastAsiaTheme="majorEastAsia" w:hAnsiTheme="majorEastAsia" w:cs="仿宋_GB2312" w:hint="eastAsia"/>
          <w:sz w:val="28"/>
          <w:szCs w:val="28"/>
        </w:rPr>
        <w:t xml:space="preserve"> 亩以上柑橘黄龙病综合防控技术展示区。推广综合治理技术。建设一个柑橘木虱田间实时监控点，掌握木虱发生动态。 </w:t>
      </w:r>
    </w:p>
    <w:bookmarkEnd w:id="4"/>
    <w:bookmarkEnd w:id="5"/>
    <w:p w:rsidR="00E66DB4" w:rsidRPr="00E2449D" w:rsidRDefault="00E66DB4" w:rsidP="00123BA7">
      <w:pPr>
        <w:snapToGrid w:val="0"/>
        <w:spacing w:line="400" w:lineRule="exact"/>
        <w:ind w:firstLineChars="200" w:firstLine="560"/>
        <w:rPr>
          <w:rFonts w:asciiTheme="majorEastAsia" w:eastAsiaTheme="majorEastAsia" w:hAnsiTheme="majorEastAsia" w:cs="宋体"/>
          <w:sz w:val="28"/>
          <w:szCs w:val="28"/>
        </w:rPr>
      </w:pPr>
      <w:r w:rsidRPr="00E2449D">
        <w:rPr>
          <w:rFonts w:asciiTheme="majorEastAsia" w:eastAsiaTheme="majorEastAsia" w:hAnsiTheme="majorEastAsia" w:cs="宋体" w:hint="eastAsia"/>
          <w:color w:val="000000"/>
          <w:kern w:val="0"/>
          <w:sz w:val="28"/>
          <w:szCs w:val="28"/>
        </w:rPr>
        <w:t>实施地点：</w:t>
      </w:r>
      <w:r w:rsidRPr="00E2449D">
        <w:rPr>
          <w:rFonts w:asciiTheme="majorEastAsia" w:eastAsiaTheme="majorEastAsia" w:hAnsiTheme="majorEastAsia" w:hint="eastAsia"/>
          <w:b/>
          <w:sz w:val="28"/>
          <w:szCs w:val="28"/>
        </w:rPr>
        <w:t>象州县</w:t>
      </w:r>
      <w:r w:rsidR="007E6440" w:rsidRPr="00E2449D">
        <w:rPr>
          <w:rFonts w:asciiTheme="majorEastAsia" w:eastAsiaTheme="majorEastAsia" w:hAnsiTheme="majorEastAsia" w:hint="eastAsia"/>
          <w:b/>
          <w:sz w:val="28"/>
          <w:szCs w:val="28"/>
        </w:rPr>
        <w:t>百丈乡</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二、采购方式:</w:t>
      </w:r>
      <w:r w:rsidRPr="00E2449D">
        <w:rPr>
          <w:rFonts w:asciiTheme="majorEastAsia" w:eastAsiaTheme="majorEastAsia" w:hAnsiTheme="majorEastAsia" w:cs="宋体" w:hint="eastAsia"/>
          <w:sz w:val="28"/>
          <w:szCs w:val="28"/>
          <w:u w:val="single"/>
        </w:rPr>
        <w:t>询价采购</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三、项目采购需求</w:t>
      </w:r>
    </w:p>
    <w:p w:rsidR="007E6440" w:rsidRPr="00E2449D" w:rsidRDefault="007E6440" w:rsidP="00123BA7">
      <w:pPr>
        <w:spacing w:line="400" w:lineRule="exact"/>
        <w:ind w:firstLineChars="200" w:firstLine="560"/>
        <w:rPr>
          <w:rFonts w:asciiTheme="majorEastAsia" w:eastAsiaTheme="majorEastAsia" w:hAnsiTheme="majorEastAsia" w:cs="仿宋_GB2312"/>
          <w:sz w:val="28"/>
          <w:szCs w:val="28"/>
        </w:rPr>
      </w:pPr>
      <w:r w:rsidRPr="00123BA7">
        <w:rPr>
          <w:rFonts w:asciiTheme="majorEastAsia" w:eastAsiaTheme="majorEastAsia" w:hAnsiTheme="majorEastAsia" w:cs="仿宋_GB2312"/>
          <w:bCs/>
          <w:sz w:val="28"/>
          <w:szCs w:val="28"/>
        </w:rPr>
        <w:t>1</w:t>
      </w:r>
      <w:r w:rsidRPr="00123BA7">
        <w:rPr>
          <w:rFonts w:asciiTheme="majorEastAsia" w:eastAsiaTheme="majorEastAsia" w:hAnsiTheme="majorEastAsia" w:cs="仿宋_GB2312" w:hint="eastAsia"/>
          <w:bCs/>
          <w:sz w:val="28"/>
          <w:szCs w:val="28"/>
        </w:rPr>
        <w:t>.建立展示区，推广综合治理技术。</w:t>
      </w:r>
      <w:r w:rsidRPr="00E2449D">
        <w:rPr>
          <w:rFonts w:asciiTheme="majorEastAsia" w:eastAsiaTheme="majorEastAsia" w:hAnsiTheme="majorEastAsia" w:cs="仿宋_GB2312" w:hint="eastAsia"/>
          <w:sz w:val="28"/>
          <w:szCs w:val="28"/>
        </w:rPr>
        <w:t>在百丈乡</w:t>
      </w:r>
      <w:bookmarkStart w:id="6" w:name="OLE_LINK6"/>
      <w:bookmarkStart w:id="7" w:name="OLE_LINK5"/>
      <w:r w:rsidRPr="00E2449D">
        <w:rPr>
          <w:rFonts w:asciiTheme="majorEastAsia" w:eastAsiaTheme="majorEastAsia" w:hAnsiTheme="majorEastAsia" w:cs="仿宋_GB2312" w:hint="eastAsia"/>
          <w:sz w:val="28"/>
          <w:szCs w:val="28"/>
        </w:rPr>
        <w:t xml:space="preserve">建立 </w:t>
      </w:r>
      <w:r w:rsidRPr="00E2449D">
        <w:rPr>
          <w:rFonts w:asciiTheme="majorEastAsia" w:eastAsiaTheme="majorEastAsia" w:hAnsiTheme="majorEastAsia" w:cs="仿宋_GB2312"/>
          <w:sz w:val="28"/>
          <w:szCs w:val="28"/>
        </w:rPr>
        <w:t>1</w:t>
      </w:r>
      <w:r w:rsidRPr="00E2449D">
        <w:rPr>
          <w:rFonts w:asciiTheme="majorEastAsia" w:eastAsiaTheme="majorEastAsia" w:hAnsiTheme="majorEastAsia" w:cs="仿宋_GB2312" w:hint="eastAsia"/>
          <w:sz w:val="28"/>
          <w:szCs w:val="28"/>
        </w:rPr>
        <w:t xml:space="preserve"> 个</w:t>
      </w:r>
      <w:r w:rsidRPr="00E2449D">
        <w:rPr>
          <w:rFonts w:asciiTheme="majorEastAsia" w:eastAsiaTheme="majorEastAsia" w:hAnsiTheme="majorEastAsia" w:cs="仿宋_GB2312"/>
          <w:sz w:val="28"/>
          <w:szCs w:val="28"/>
        </w:rPr>
        <w:t>2000</w:t>
      </w:r>
      <w:r w:rsidRPr="00E2449D">
        <w:rPr>
          <w:rFonts w:asciiTheme="majorEastAsia" w:eastAsiaTheme="majorEastAsia" w:hAnsiTheme="majorEastAsia" w:cs="仿宋_GB2312" w:hint="eastAsia"/>
          <w:sz w:val="28"/>
          <w:szCs w:val="28"/>
        </w:rPr>
        <w:t xml:space="preserve"> 亩以上柑橘黄龙病综合防控技术展示区。 </w:t>
      </w:r>
    </w:p>
    <w:bookmarkEnd w:id="6"/>
    <w:bookmarkEnd w:id="7"/>
    <w:p w:rsidR="007E6440" w:rsidRPr="00E2449D" w:rsidRDefault="007E6440" w:rsidP="00123BA7">
      <w:pPr>
        <w:spacing w:line="400" w:lineRule="exact"/>
        <w:ind w:firstLineChars="200" w:firstLine="560"/>
        <w:rPr>
          <w:rFonts w:asciiTheme="majorEastAsia" w:eastAsiaTheme="majorEastAsia" w:hAnsiTheme="majorEastAsia" w:cs="仿宋_GB2312"/>
          <w:sz w:val="28"/>
          <w:szCs w:val="28"/>
        </w:rPr>
      </w:pPr>
      <w:r w:rsidRPr="00123BA7">
        <w:rPr>
          <w:rFonts w:asciiTheme="majorEastAsia" w:eastAsiaTheme="majorEastAsia" w:hAnsiTheme="majorEastAsia" w:cs="仿宋_GB2312"/>
          <w:bCs/>
          <w:sz w:val="28"/>
          <w:szCs w:val="28"/>
        </w:rPr>
        <w:t>2</w:t>
      </w:r>
      <w:r w:rsidRPr="00123BA7">
        <w:rPr>
          <w:rFonts w:asciiTheme="majorEastAsia" w:eastAsiaTheme="majorEastAsia" w:hAnsiTheme="majorEastAsia" w:cs="仿宋_GB2312" w:hint="eastAsia"/>
          <w:bCs/>
          <w:sz w:val="28"/>
          <w:szCs w:val="28"/>
        </w:rPr>
        <w:t>.建立一个柑橘木虱监测点，掌握发生动态。</w:t>
      </w:r>
      <w:r w:rsidRPr="00E2449D">
        <w:rPr>
          <w:rFonts w:asciiTheme="majorEastAsia" w:eastAsiaTheme="majorEastAsia" w:hAnsiTheme="majorEastAsia" w:cs="仿宋_GB2312" w:hint="eastAsia"/>
          <w:sz w:val="28"/>
          <w:szCs w:val="28"/>
        </w:rPr>
        <w:t xml:space="preserve">柑橘木虱田间实时监控系统，田间监测设备应确保分辨率，能够实时监测柑橘木虱。智能监测设备采集的数据应通过省级平台，统一管理。 </w:t>
      </w:r>
    </w:p>
    <w:p w:rsidR="00C167A9" w:rsidRPr="00E2449D" w:rsidRDefault="00E66DB4" w:rsidP="00123BA7">
      <w:pPr>
        <w:autoSpaceDE w:val="0"/>
        <w:spacing w:line="400" w:lineRule="exact"/>
        <w:ind w:firstLineChars="200" w:firstLine="560"/>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四、相关要求</w:t>
      </w:r>
      <w:r w:rsidR="00123BA7">
        <w:rPr>
          <w:rFonts w:asciiTheme="majorEastAsia" w:eastAsiaTheme="majorEastAsia" w:hAnsiTheme="majorEastAsia" w:cs="宋体" w:hint="eastAsia"/>
          <w:sz w:val="28"/>
          <w:szCs w:val="28"/>
        </w:rPr>
        <w:t>：</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1、所供产品必须为符合国家各项有关质量标准的合格产品。</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2、供应商要符合《中华人民共和国政府采购法》第二十二条所规定的条件，国内注册（指按国家有关规定要求注册的）具有独立法人资格。</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3、能完成采购需求，且符合采购参数及条件。</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4、本项目不接受联合体招标。</w:t>
      </w:r>
    </w:p>
    <w:p w:rsidR="00E66DB4"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5、由供应商送到采购方指定地点负责安装调试直到能正常使用。</w:t>
      </w:r>
    </w:p>
    <w:p w:rsidR="00C97E44" w:rsidRPr="00123BA7" w:rsidRDefault="00123BA7" w:rsidP="00123BA7">
      <w:pPr>
        <w:spacing w:line="400" w:lineRule="exact"/>
        <w:ind w:firstLineChars="150" w:firstLine="480"/>
        <w:rPr>
          <w:rFonts w:asciiTheme="majorEastAsia" w:eastAsiaTheme="majorEastAsia" w:hAnsiTheme="majorEastAsia" w:cs="仿宋"/>
          <w:sz w:val="28"/>
          <w:szCs w:val="28"/>
        </w:rPr>
      </w:pPr>
      <w:r>
        <w:rPr>
          <w:rFonts w:ascii="仿宋" w:eastAsia="仿宋" w:hAnsi="仿宋" w:cs="仿宋" w:hint="eastAsia"/>
          <w:sz w:val="32"/>
          <w:szCs w:val="32"/>
        </w:rPr>
        <w:t>6、</w:t>
      </w:r>
      <w:r w:rsidR="00C97E44" w:rsidRPr="00123BA7">
        <w:rPr>
          <w:rFonts w:asciiTheme="majorEastAsia" w:eastAsiaTheme="majorEastAsia" w:hAnsiTheme="majorEastAsia" w:cs="仿宋" w:hint="eastAsia"/>
          <w:sz w:val="28"/>
          <w:szCs w:val="28"/>
        </w:rPr>
        <w:t>投标材料包括以下几方面：</w:t>
      </w:r>
      <w:r w:rsidRPr="00123BA7">
        <w:rPr>
          <w:rFonts w:asciiTheme="majorEastAsia" w:eastAsiaTheme="majorEastAsia" w:hAnsiTheme="majorEastAsia" w:cs="仿宋" w:hint="eastAsia"/>
          <w:sz w:val="28"/>
          <w:szCs w:val="28"/>
        </w:rPr>
        <w:t>(</w:t>
      </w:r>
      <w:r w:rsidR="00C97E44" w:rsidRPr="00123BA7">
        <w:rPr>
          <w:rFonts w:asciiTheme="majorEastAsia" w:eastAsiaTheme="majorEastAsia" w:hAnsiTheme="majorEastAsia" w:cs="仿宋" w:hint="eastAsia"/>
          <w:sz w:val="28"/>
          <w:szCs w:val="28"/>
        </w:rPr>
        <w:t>1</w:t>
      </w:r>
      <w:r w:rsidRPr="00123BA7">
        <w:rPr>
          <w:rFonts w:asciiTheme="majorEastAsia" w:eastAsiaTheme="majorEastAsia" w:hAnsiTheme="majorEastAsia" w:cs="仿宋" w:hint="eastAsia"/>
          <w:sz w:val="28"/>
          <w:szCs w:val="28"/>
        </w:rPr>
        <w:t>)</w:t>
      </w:r>
      <w:r w:rsidR="00C97E44" w:rsidRPr="00123BA7">
        <w:rPr>
          <w:rFonts w:asciiTheme="majorEastAsia" w:eastAsiaTheme="majorEastAsia" w:hAnsiTheme="majorEastAsia" w:cs="仿宋" w:hint="eastAsia"/>
          <w:sz w:val="28"/>
          <w:szCs w:val="28"/>
        </w:rPr>
        <w:t>具有独立法人资格</w:t>
      </w:r>
      <w:r w:rsidRPr="00123BA7">
        <w:rPr>
          <w:rFonts w:asciiTheme="majorEastAsia" w:eastAsiaTheme="majorEastAsia" w:hAnsiTheme="majorEastAsia" w:cs="仿宋" w:hint="eastAsia"/>
          <w:sz w:val="28"/>
          <w:szCs w:val="28"/>
        </w:rPr>
        <w:t>(</w:t>
      </w:r>
      <w:r w:rsidR="00C97E44" w:rsidRPr="00123BA7">
        <w:rPr>
          <w:rFonts w:asciiTheme="majorEastAsia" w:eastAsiaTheme="majorEastAsia" w:hAnsiTheme="majorEastAsia" w:cs="仿宋" w:hint="eastAsia"/>
          <w:sz w:val="28"/>
          <w:szCs w:val="28"/>
        </w:rPr>
        <w:t xml:space="preserve"> 2</w:t>
      </w:r>
      <w:r w:rsidRPr="00123BA7">
        <w:rPr>
          <w:rFonts w:asciiTheme="majorEastAsia" w:eastAsiaTheme="majorEastAsia" w:hAnsiTheme="majorEastAsia" w:cs="仿宋" w:hint="eastAsia"/>
          <w:sz w:val="28"/>
          <w:szCs w:val="28"/>
        </w:rPr>
        <w:t>)能完成采购需求。如产品合格证类（3</w:t>
      </w:r>
      <w:r w:rsidRPr="00123BA7">
        <w:rPr>
          <w:rFonts w:asciiTheme="majorEastAsia" w:eastAsiaTheme="majorEastAsia" w:hAnsiTheme="majorEastAsia" w:cs="仿宋"/>
          <w:sz w:val="28"/>
          <w:szCs w:val="28"/>
        </w:rPr>
        <w:t>）</w:t>
      </w:r>
      <w:r w:rsidR="00C97E44" w:rsidRPr="00123BA7">
        <w:rPr>
          <w:rFonts w:asciiTheme="majorEastAsia" w:eastAsiaTheme="majorEastAsia" w:hAnsiTheme="majorEastAsia" w:cs="仿宋" w:hint="eastAsia"/>
          <w:sz w:val="28"/>
          <w:szCs w:val="28"/>
        </w:rPr>
        <w:t>项目技术负责人具有农艺师</w:t>
      </w:r>
      <w:r w:rsidR="00016664">
        <w:rPr>
          <w:rFonts w:asciiTheme="majorEastAsia" w:eastAsiaTheme="majorEastAsia" w:hAnsiTheme="majorEastAsia" w:cs="仿宋" w:hint="eastAsia"/>
          <w:sz w:val="28"/>
          <w:szCs w:val="28"/>
        </w:rPr>
        <w:t>（含）</w:t>
      </w:r>
      <w:r w:rsidR="00C97E44" w:rsidRPr="00123BA7">
        <w:rPr>
          <w:rFonts w:asciiTheme="majorEastAsia" w:eastAsiaTheme="majorEastAsia" w:hAnsiTheme="majorEastAsia" w:cs="仿宋" w:hint="eastAsia"/>
          <w:sz w:val="28"/>
          <w:szCs w:val="28"/>
        </w:rPr>
        <w:t>以上资格证；提供最近3个月的社保有关证明复印件</w:t>
      </w:r>
      <w:r w:rsidRPr="00123BA7">
        <w:rPr>
          <w:rFonts w:asciiTheme="majorEastAsia" w:eastAsiaTheme="majorEastAsia" w:hAnsiTheme="majorEastAsia" w:cs="仿宋" w:hint="eastAsia"/>
          <w:sz w:val="28"/>
          <w:szCs w:val="28"/>
        </w:rPr>
        <w:t>或者返</w:t>
      </w:r>
      <w:r w:rsidR="00C97E44" w:rsidRPr="00123BA7">
        <w:rPr>
          <w:rFonts w:asciiTheme="majorEastAsia" w:eastAsiaTheme="majorEastAsia" w:hAnsiTheme="majorEastAsia" w:cs="仿宋" w:hint="eastAsia"/>
          <w:sz w:val="28"/>
          <w:szCs w:val="28"/>
        </w:rPr>
        <w:t>聘合同和</w:t>
      </w:r>
      <w:r w:rsidR="00C97E44" w:rsidRPr="00123BA7">
        <w:rPr>
          <w:rFonts w:asciiTheme="majorEastAsia" w:eastAsiaTheme="majorEastAsia" w:hAnsiTheme="majorEastAsia" w:cs="仿宋" w:hint="eastAsia"/>
          <w:sz w:val="28"/>
          <w:szCs w:val="28"/>
        </w:rPr>
        <w:lastRenderedPageBreak/>
        <w:t>工资发放明细</w:t>
      </w:r>
      <w:r w:rsidRPr="00123BA7">
        <w:rPr>
          <w:rFonts w:asciiTheme="majorEastAsia" w:eastAsiaTheme="majorEastAsia" w:hAnsiTheme="majorEastAsia" w:cs="仿宋" w:hint="eastAsia"/>
          <w:sz w:val="28"/>
          <w:szCs w:val="28"/>
        </w:rPr>
        <w:t>。(4)</w:t>
      </w:r>
      <w:r w:rsidR="00C97E44" w:rsidRPr="00123BA7">
        <w:rPr>
          <w:rFonts w:asciiTheme="majorEastAsia" w:eastAsiaTheme="majorEastAsia" w:hAnsiTheme="majorEastAsia" w:cs="仿宋" w:hint="eastAsia"/>
          <w:sz w:val="28"/>
          <w:szCs w:val="28"/>
        </w:rPr>
        <w:t>提供近三年来（2023-2025年）</w:t>
      </w:r>
      <w:r w:rsidRPr="00123BA7">
        <w:rPr>
          <w:rFonts w:asciiTheme="majorEastAsia" w:eastAsiaTheme="majorEastAsia" w:hAnsiTheme="majorEastAsia" w:cs="仿宋" w:hint="eastAsia"/>
          <w:sz w:val="28"/>
          <w:szCs w:val="28"/>
        </w:rPr>
        <w:t>实施相关</w:t>
      </w:r>
      <w:r w:rsidR="005151FF">
        <w:rPr>
          <w:rFonts w:asciiTheme="majorEastAsia" w:eastAsiaTheme="majorEastAsia" w:hAnsiTheme="majorEastAsia" w:cs="仿宋" w:hint="eastAsia"/>
          <w:sz w:val="28"/>
          <w:szCs w:val="28"/>
        </w:rPr>
        <w:t>类似项目</w:t>
      </w:r>
      <w:r w:rsidRPr="00123BA7">
        <w:rPr>
          <w:rFonts w:asciiTheme="majorEastAsia" w:eastAsiaTheme="majorEastAsia" w:hAnsiTheme="majorEastAsia" w:cs="仿宋" w:hint="eastAsia"/>
          <w:sz w:val="28"/>
          <w:szCs w:val="28"/>
        </w:rPr>
        <w:t>的服务项目证明材料。</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五、递交报价截止时间及询价时间</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(一) 递交报价文件截止时间</w:t>
      </w:r>
      <w:r w:rsidR="000F0F7E" w:rsidRPr="00E2449D">
        <w:rPr>
          <w:rFonts w:asciiTheme="majorEastAsia" w:eastAsiaTheme="majorEastAsia" w:hAnsiTheme="majorEastAsia" w:cs="宋体" w:hint="eastAsia"/>
          <w:sz w:val="28"/>
          <w:szCs w:val="28"/>
        </w:rPr>
        <w:t>: 2026</w:t>
      </w:r>
      <w:r w:rsidRPr="00E2449D">
        <w:rPr>
          <w:rFonts w:asciiTheme="majorEastAsia" w:eastAsiaTheme="majorEastAsia" w:hAnsiTheme="majorEastAsia" w:cs="宋体" w:hint="eastAsia"/>
          <w:sz w:val="28"/>
          <w:szCs w:val="28"/>
        </w:rPr>
        <w:t>年</w:t>
      </w:r>
      <w:r w:rsidR="000F0F7E" w:rsidRPr="00E2449D">
        <w:rPr>
          <w:rFonts w:asciiTheme="majorEastAsia" w:eastAsiaTheme="majorEastAsia" w:hAnsiTheme="majorEastAsia" w:cs="宋体" w:hint="eastAsia"/>
          <w:sz w:val="28"/>
          <w:szCs w:val="28"/>
        </w:rPr>
        <w:t>5</w:t>
      </w:r>
      <w:r w:rsidRPr="00E2449D">
        <w:rPr>
          <w:rFonts w:asciiTheme="majorEastAsia" w:eastAsiaTheme="majorEastAsia" w:hAnsiTheme="majorEastAsia" w:cs="宋体" w:hint="eastAsia"/>
          <w:sz w:val="28"/>
          <w:szCs w:val="28"/>
        </w:rPr>
        <w:t>月</w:t>
      </w:r>
      <w:r w:rsidR="00016664">
        <w:rPr>
          <w:rFonts w:asciiTheme="majorEastAsia" w:eastAsiaTheme="majorEastAsia" w:hAnsiTheme="majorEastAsia" w:cs="宋体" w:hint="eastAsia"/>
          <w:sz w:val="28"/>
          <w:szCs w:val="28"/>
        </w:rPr>
        <w:t>11</w:t>
      </w:r>
      <w:r w:rsidRPr="00E2449D">
        <w:rPr>
          <w:rFonts w:asciiTheme="majorEastAsia" w:eastAsiaTheme="majorEastAsia" w:hAnsiTheme="majorEastAsia" w:cs="宋体" w:hint="eastAsia"/>
          <w:sz w:val="28"/>
          <w:szCs w:val="28"/>
        </w:rPr>
        <w:t>日至</w:t>
      </w:r>
      <w:r w:rsidR="000F0F7E" w:rsidRPr="00E2449D">
        <w:rPr>
          <w:rFonts w:asciiTheme="majorEastAsia" w:eastAsiaTheme="majorEastAsia" w:hAnsiTheme="majorEastAsia" w:cs="宋体" w:hint="eastAsia"/>
          <w:sz w:val="28"/>
          <w:szCs w:val="28"/>
        </w:rPr>
        <w:t>2026</w:t>
      </w:r>
      <w:r w:rsidRPr="00E2449D">
        <w:rPr>
          <w:rFonts w:asciiTheme="majorEastAsia" w:eastAsiaTheme="majorEastAsia" w:hAnsiTheme="majorEastAsia" w:cs="宋体" w:hint="eastAsia"/>
          <w:sz w:val="28"/>
          <w:szCs w:val="28"/>
        </w:rPr>
        <w:t>年</w:t>
      </w:r>
      <w:r w:rsidR="000F0F7E" w:rsidRPr="00E2449D">
        <w:rPr>
          <w:rFonts w:asciiTheme="majorEastAsia" w:eastAsiaTheme="majorEastAsia" w:hAnsiTheme="majorEastAsia" w:cs="宋体" w:hint="eastAsia"/>
          <w:sz w:val="28"/>
          <w:szCs w:val="28"/>
        </w:rPr>
        <w:t>5</w:t>
      </w:r>
      <w:r w:rsidRPr="00E2449D">
        <w:rPr>
          <w:rFonts w:asciiTheme="majorEastAsia" w:eastAsiaTheme="majorEastAsia" w:hAnsiTheme="majorEastAsia" w:cs="宋体" w:hint="eastAsia"/>
          <w:sz w:val="28"/>
          <w:szCs w:val="28"/>
        </w:rPr>
        <w:t>月</w:t>
      </w:r>
      <w:r w:rsidR="000F0F7E" w:rsidRPr="00E2449D">
        <w:rPr>
          <w:rFonts w:asciiTheme="majorEastAsia" w:eastAsiaTheme="majorEastAsia" w:hAnsiTheme="majorEastAsia" w:cs="宋体" w:hint="eastAsia"/>
          <w:sz w:val="28"/>
          <w:szCs w:val="28"/>
        </w:rPr>
        <w:t>1</w:t>
      </w:r>
      <w:r w:rsidR="000F6C30">
        <w:rPr>
          <w:rFonts w:asciiTheme="majorEastAsia" w:eastAsiaTheme="majorEastAsia" w:hAnsiTheme="majorEastAsia" w:cs="宋体" w:hint="eastAsia"/>
          <w:sz w:val="28"/>
          <w:szCs w:val="28"/>
        </w:rPr>
        <w:t>9</w:t>
      </w:r>
      <w:r w:rsidRPr="00E2449D">
        <w:rPr>
          <w:rFonts w:asciiTheme="majorEastAsia" w:eastAsiaTheme="majorEastAsia" w:hAnsiTheme="majorEastAsia" w:cs="宋体" w:hint="eastAsia"/>
          <w:sz w:val="28"/>
          <w:szCs w:val="28"/>
        </w:rPr>
        <w:t>日止。</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(二)供应商应于递交文件截止时间前将响应文件以邮递或现场方式送达询价地点，逾期未送达或没有盖章密封的将被拒绝。</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六、递交报价文件及询价地点</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广西来宾市象州县温泉大道130号象州县农业农村局植物保护检疫站</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七、评审方式</w:t>
      </w:r>
    </w:p>
    <w:p w:rsidR="00E66DB4" w:rsidRPr="00E2449D" w:rsidRDefault="00E66DB4" w:rsidP="00123BA7">
      <w:pPr>
        <w:autoSpaceDE w:val="0"/>
        <w:spacing w:line="400" w:lineRule="exact"/>
        <w:ind w:firstLineChars="195" w:firstLine="546"/>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 xml:space="preserve"> 由象州县农业农村局评标小组现场拆封报价密封件，按项目评分细则作为评分标准，采用分值高的方式确定中标候选人，然后递交局领导班子会讨论确定中标公司。</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八、其他事项</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(一)本询价文件由象州县农业农村局负责解释。</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(二)询价人联系方式</w:t>
      </w:r>
    </w:p>
    <w:p w:rsidR="00E66DB4" w:rsidRPr="00E2449D" w:rsidRDefault="00E66DB4" w:rsidP="00123BA7">
      <w:pPr>
        <w:spacing w:line="400" w:lineRule="exact"/>
        <w:ind w:left="435"/>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1、联系人:余先生</w:t>
      </w:r>
      <w:r w:rsidR="00E2449D">
        <w:rPr>
          <w:rFonts w:asciiTheme="majorEastAsia" w:eastAsiaTheme="majorEastAsia" w:hAnsiTheme="majorEastAsia" w:cs="宋体" w:hint="eastAsia"/>
          <w:sz w:val="28"/>
          <w:szCs w:val="28"/>
        </w:rPr>
        <w:t xml:space="preserve">  </w:t>
      </w:r>
      <w:r w:rsidRPr="00E2449D">
        <w:rPr>
          <w:rFonts w:asciiTheme="majorEastAsia" w:eastAsiaTheme="majorEastAsia" w:hAnsiTheme="majorEastAsia" w:cs="宋体" w:hint="eastAsia"/>
          <w:sz w:val="28"/>
          <w:szCs w:val="28"/>
        </w:rPr>
        <w:t>联系电话：</w:t>
      </w:r>
      <w:r w:rsidR="00E2449D">
        <w:rPr>
          <w:rFonts w:asciiTheme="majorEastAsia" w:eastAsiaTheme="majorEastAsia" w:hAnsiTheme="majorEastAsia" w:cs="宋体" w:hint="eastAsia"/>
          <w:sz w:val="28"/>
          <w:szCs w:val="28"/>
        </w:rPr>
        <w:t xml:space="preserve">0772-4362717   </w:t>
      </w:r>
      <w:r w:rsidRPr="00E2449D">
        <w:rPr>
          <w:rFonts w:asciiTheme="majorEastAsia" w:eastAsiaTheme="majorEastAsia" w:hAnsiTheme="majorEastAsia" w:cs="宋体" w:hint="eastAsia"/>
          <w:sz w:val="28"/>
          <w:szCs w:val="28"/>
        </w:rPr>
        <w:t>13977246639</w:t>
      </w:r>
    </w:p>
    <w:p w:rsidR="00DB1753" w:rsidRDefault="00E2449D" w:rsidP="00123BA7">
      <w:pPr>
        <w:spacing w:line="400" w:lineRule="exact"/>
        <w:ind w:left="435"/>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2</w:t>
      </w:r>
      <w:r w:rsidR="00E66DB4" w:rsidRPr="00E2449D">
        <w:rPr>
          <w:rFonts w:asciiTheme="majorEastAsia" w:eastAsiaTheme="majorEastAsia" w:hAnsiTheme="majorEastAsia" w:cs="宋体" w:hint="eastAsia"/>
          <w:sz w:val="28"/>
          <w:szCs w:val="28"/>
        </w:rPr>
        <w:t>、联系地址: 广西来宾市象州县温泉大道130号</w:t>
      </w:r>
    </w:p>
    <w:p w:rsidR="00E66DB4" w:rsidRPr="00E2449D" w:rsidRDefault="00E66DB4" w:rsidP="00123BA7">
      <w:pPr>
        <w:spacing w:line="400" w:lineRule="exact"/>
        <w:ind w:left="435" w:firstLineChars="150" w:firstLine="420"/>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邮政编码:545800</w:t>
      </w:r>
    </w:p>
    <w:p w:rsidR="00E66DB4" w:rsidRPr="00E2449D" w:rsidRDefault="00E66DB4" w:rsidP="00123BA7">
      <w:pPr>
        <w:spacing w:line="400" w:lineRule="exact"/>
        <w:ind w:leftChars="207" w:left="435" w:firstLineChars="150" w:firstLine="420"/>
        <w:rPr>
          <w:rFonts w:asciiTheme="majorEastAsia" w:eastAsiaTheme="majorEastAsia" w:hAnsiTheme="majorEastAsia" w:cs="宋体"/>
          <w:sz w:val="28"/>
          <w:szCs w:val="28"/>
        </w:rPr>
      </w:pPr>
      <w:r w:rsidRPr="00E2449D">
        <w:rPr>
          <w:rFonts w:asciiTheme="majorEastAsia" w:eastAsiaTheme="majorEastAsia" w:hAnsiTheme="majorEastAsia" w:cs="宋体" w:hint="eastAsia"/>
          <w:sz w:val="28"/>
          <w:szCs w:val="28"/>
        </w:rPr>
        <w:t>特此公告</w:t>
      </w:r>
    </w:p>
    <w:p w:rsidR="002046C5" w:rsidRPr="00E2449D" w:rsidRDefault="00E66DB4" w:rsidP="00123BA7">
      <w:pPr>
        <w:spacing w:line="400" w:lineRule="exact"/>
        <w:rPr>
          <w:rFonts w:asciiTheme="majorEastAsia" w:eastAsiaTheme="majorEastAsia" w:hAnsiTheme="majorEastAsia"/>
          <w:sz w:val="28"/>
          <w:szCs w:val="28"/>
        </w:rPr>
      </w:pPr>
      <w:r w:rsidRPr="00E2449D">
        <w:rPr>
          <w:rFonts w:asciiTheme="majorEastAsia" w:eastAsiaTheme="majorEastAsia" w:hAnsiTheme="majorEastAsia" w:hint="eastAsia"/>
          <w:sz w:val="28"/>
          <w:szCs w:val="28"/>
        </w:rPr>
        <w:t xml:space="preserve">                                           象州县农业农村局</w:t>
      </w:r>
    </w:p>
    <w:p w:rsidR="00E66DB4" w:rsidRPr="00E2449D" w:rsidRDefault="000F0F7E" w:rsidP="00123BA7">
      <w:pPr>
        <w:spacing w:line="400" w:lineRule="exact"/>
        <w:ind w:firstLineChars="2200" w:firstLine="6160"/>
        <w:rPr>
          <w:rFonts w:asciiTheme="majorEastAsia" w:eastAsiaTheme="majorEastAsia" w:hAnsiTheme="majorEastAsia"/>
          <w:sz w:val="28"/>
          <w:szCs w:val="28"/>
        </w:rPr>
      </w:pPr>
      <w:r w:rsidRPr="00E2449D">
        <w:rPr>
          <w:rFonts w:asciiTheme="majorEastAsia" w:eastAsiaTheme="majorEastAsia" w:hAnsiTheme="majorEastAsia" w:hint="eastAsia"/>
          <w:sz w:val="28"/>
          <w:szCs w:val="28"/>
        </w:rPr>
        <w:t>2026</w:t>
      </w:r>
      <w:r w:rsidR="00E66DB4" w:rsidRPr="00E2449D">
        <w:rPr>
          <w:rFonts w:asciiTheme="majorEastAsia" w:eastAsiaTheme="majorEastAsia" w:hAnsiTheme="majorEastAsia" w:hint="eastAsia"/>
          <w:sz w:val="28"/>
          <w:szCs w:val="28"/>
        </w:rPr>
        <w:t>年</w:t>
      </w:r>
      <w:r w:rsidRPr="00E2449D">
        <w:rPr>
          <w:rFonts w:asciiTheme="majorEastAsia" w:eastAsiaTheme="majorEastAsia" w:hAnsiTheme="majorEastAsia" w:hint="eastAsia"/>
          <w:sz w:val="28"/>
          <w:szCs w:val="28"/>
        </w:rPr>
        <w:t>5</w:t>
      </w:r>
      <w:r w:rsidR="00E66DB4" w:rsidRPr="00E2449D">
        <w:rPr>
          <w:rFonts w:asciiTheme="majorEastAsia" w:eastAsiaTheme="majorEastAsia" w:hAnsiTheme="majorEastAsia" w:hint="eastAsia"/>
          <w:sz w:val="28"/>
          <w:szCs w:val="28"/>
        </w:rPr>
        <w:t>月</w:t>
      </w:r>
      <w:r w:rsidR="00016664">
        <w:rPr>
          <w:rFonts w:asciiTheme="majorEastAsia" w:eastAsiaTheme="majorEastAsia" w:hAnsiTheme="majorEastAsia" w:hint="eastAsia"/>
          <w:sz w:val="28"/>
          <w:szCs w:val="28"/>
        </w:rPr>
        <w:t>11</w:t>
      </w:r>
      <w:r w:rsidR="00E66DB4" w:rsidRPr="00E2449D">
        <w:rPr>
          <w:rFonts w:asciiTheme="majorEastAsia" w:eastAsiaTheme="majorEastAsia" w:hAnsiTheme="majorEastAsia" w:hint="eastAsia"/>
          <w:sz w:val="28"/>
          <w:szCs w:val="28"/>
        </w:rPr>
        <w:t>日</w:t>
      </w:r>
    </w:p>
    <w:p w:rsidR="00E66DB4" w:rsidRPr="00E2449D" w:rsidRDefault="00E66DB4" w:rsidP="00123BA7">
      <w:pPr>
        <w:spacing w:line="400" w:lineRule="exact"/>
        <w:ind w:firstLineChars="2200" w:firstLine="6160"/>
        <w:rPr>
          <w:rFonts w:asciiTheme="majorEastAsia" w:eastAsiaTheme="majorEastAsia" w:hAnsiTheme="major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DE15EF" w:rsidRDefault="00DE15EF" w:rsidP="000F0F7E">
      <w:pPr>
        <w:adjustRightInd w:val="0"/>
        <w:snapToGrid w:val="0"/>
        <w:spacing w:line="600" w:lineRule="exact"/>
        <w:rPr>
          <w:rFonts w:asciiTheme="majorEastAsia" w:eastAsiaTheme="majorEastAsia" w:hAnsiTheme="majorEastAsia" w:hint="eastAsia"/>
          <w:sz w:val="28"/>
          <w:szCs w:val="28"/>
        </w:rPr>
      </w:pPr>
    </w:p>
    <w:p w:rsidR="000F0F7E" w:rsidRPr="00DE15EF" w:rsidRDefault="00E66DB4" w:rsidP="000F0F7E">
      <w:pPr>
        <w:adjustRightInd w:val="0"/>
        <w:snapToGrid w:val="0"/>
        <w:spacing w:line="600" w:lineRule="exact"/>
        <w:rPr>
          <w:rFonts w:asciiTheme="majorEastAsia" w:eastAsiaTheme="majorEastAsia" w:hAnsiTheme="majorEastAsia"/>
          <w:sz w:val="28"/>
          <w:szCs w:val="28"/>
        </w:rPr>
      </w:pPr>
      <w:r w:rsidRPr="00DE15EF">
        <w:rPr>
          <w:rFonts w:asciiTheme="majorEastAsia" w:eastAsiaTheme="majorEastAsia" w:hAnsiTheme="majorEastAsia" w:hint="eastAsia"/>
          <w:sz w:val="28"/>
          <w:szCs w:val="28"/>
        </w:rPr>
        <w:t>附件1：</w:t>
      </w:r>
      <w:r w:rsidR="000F0F7E" w:rsidRPr="00DE15EF">
        <w:rPr>
          <w:rFonts w:asciiTheme="majorEastAsia" w:eastAsiaTheme="majorEastAsia" w:hAnsiTheme="majorEastAsia" w:hint="eastAsia"/>
          <w:sz w:val="28"/>
          <w:szCs w:val="28"/>
        </w:rPr>
        <w:t xml:space="preserve"> 采购</w:t>
      </w:r>
      <w:r w:rsidR="00DE15EF" w:rsidRPr="00DE15EF">
        <w:rPr>
          <w:rFonts w:asciiTheme="majorEastAsia" w:eastAsiaTheme="majorEastAsia" w:hAnsiTheme="majorEastAsia" w:hint="eastAsia"/>
          <w:sz w:val="28"/>
          <w:szCs w:val="28"/>
        </w:rPr>
        <w:t>服务</w:t>
      </w:r>
      <w:r w:rsidR="000F0F7E" w:rsidRPr="00DE15EF">
        <w:rPr>
          <w:rFonts w:asciiTheme="majorEastAsia" w:eastAsiaTheme="majorEastAsia" w:hAnsiTheme="majorEastAsia" w:hint="eastAsia"/>
          <w:sz w:val="28"/>
          <w:szCs w:val="28"/>
        </w:rPr>
        <w:t>需求</w:t>
      </w:r>
    </w:p>
    <w:tbl>
      <w:tblPr>
        <w:tblW w:w="937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1485"/>
        <w:gridCol w:w="1902"/>
        <w:gridCol w:w="934"/>
        <w:gridCol w:w="4111"/>
      </w:tblGrid>
      <w:tr w:rsidR="000F0F7E" w:rsidRPr="00C26971" w:rsidTr="00D34ABC">
        <w:trPr>
          <w:trHeight w:val="23"/>
        </w:trPr>
        <w:tc>
          <w:tcPr>
            <w:tcW w:w="939"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序号</w:t>
            </w:r>
          </w:p>
        </w:tc>
        <w:tc>
          <w:tcPr>
            <w:tcW w:w="1485"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品名（项目）</w:t>
            </w:r>
          </w:p>
        </w:tc>
        <w:tc>
          <w:tcPr>
            <w:tcW w:w="1902"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价格（万元）</w:t>
            </w:r>
          </w:p>
        </w:tc>
        <w:tc>
          <w:tcPr>
            <w:tcW w:w="934"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单位</w:t>
            </w:r>
          </w:p>
        </w:tc>
        <w:tc>
          <w:tcPr>
            <w:tcW w:w="4111"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备 注</w:t>
            </w:r>
          </w:p>
        </w:tc>
      </w:tr>
      <w:tr w:rsidR="000F0F7E" w:rsidRPr="00C26971" w:rsidTr="00D34ABC">
        <w:trPr>
          <w:trHeight w:val="23"/>
        </w:trPr>
        <w:tc>
          <w:tcPr>
            <w:tcW w:w="939"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bookmarkStart w:id="8" w:name="_Hlk227837448"/>
            <w:r w:rsidRPr="00C26971">
              <w:rPr>
                <w:rFonts w:asciiTheme="majorEastAsia" w:eastAsiaTheme="majorEastAsia" w:hAnsiTheme="majorEastAsia" w:cs="仿宋_GB2312" w:hint="eastAsia"/>
                <w:kern w:val="0"/>
                <w:sz w:val="24"/>
              </w:rPr>
              <w:t>1</w:t>
            </w:r>
          </w:p>
        </w:tc>
        <w:tc>
          <w:tcPr>
            <w:tcW w:w="1485" w:type="dxa"/>
            <w:shd w:val="clear" w:color="auto" w:fill="auto"/>
            <w:vAlign w:val="center"/>
          </w:tcPr>
          <w:p w:rsidR="000F0F7E" w:rsidRPr="00C26971" w:rsidRDefault="000F0F7E" w:rsidP="00D34ABC">
            <w:pPr>
              <w:widowControl/>
              <w:spacing w:line="400" w:lineRule="exact"/>
              <w:jc w:val="center"/>
              <w:rPr>
                <w:rFonts w:asciiTheme="majorEastAsia" w:eastAsiaTheme="majorEastAsia" w:hAnsiTheme="majorEastAsia" w:cs="仿宋_GB2312"/>
                <w:color w:val="000000"/>
                <w:kern w:val="0"/>
                <w:sz w:val="24"/>
              </w:rPr>
            </w:pPr>
            <w:r w:rsidRPr="00C26971">
              <w:rPr>
                <w:rFonts w:asciiTheme="majorEastAsia" w:eastAsiaTheme="majorEastAsia" w:hAnsiTheme="majorEastAsia" w:cs="仿宋_GB2312" w:hint="eastAsia"/>
                <w:kern w:val="0"/>
                <w:sz w:val="24"/>
              </w:rPr>
              <w:t>购置柑橘木虱监测备</w:t>
            </w:r>
          </w:p>
        </w:tc>
        <w:tc>
          <w:tcPr>
            <w:tcW w:w="1902" w:type="dxa"/>
            <w:shd w:val="clear" w:color="auto" w:fill="auto"/>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10.0</w:t>
            </w:r>
          </w:p>
        </w:tc>
        <w:tc>
          <w:tcPr>
            <w:tcW w:w="934" w:type="dxa"/>
            <w:shd w:val="clear" w:color="000000" w:fill="FFFFFF"/>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1</w:t>
            </w:r>
          </w:p>
        </w:tc>
        <w:tc>
          <w:tcPr>
            <w:tcW w:w="4111" w:type="dxa"/>
            <w:shd w:val="clear" w:color="000000" w:fill="FFFFFF"/>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柑橘木虱监测设备采购、维护、信息采集的通讯网络、监测点土地租赁等费用。</w:t>
            </w:r>
          </w:p>
        </w:tc>
      </w:tr>
      <w:tr w:rsidR="000F0F7E" w:rsidRPr="00C26971" w:rsidTr="00D34ABC">
        <w:trPr>
          <w:trHeight w:val="90"/>
        </w:trPr>
        <w:tc>
          <w:tcPr>
            <w:tcW w:w="939" w:type="dxa"/>
            <w:shd w:val="clear" w:color="auto" w:fill="auto"/>
            <w:noWrap/>
            <w:vAlign w:val="center"/>
          </w:tcPr>
          <w:p w:rsidR="000F0F7E" w:rsidRPr="00C26971" w:rsidRDefault="000F0F7E" w:rsidP="00D34ABC">
            <w:pPr>
              <w:widowControl/>
              <w:snapToGrid w:val="0"/>
              <w:spacing w:line="400" w:lineRule="exact"/>
              <w:jc w:val="center"/>
              <w:rPr>
                <w:rFonts w:asciiTheme="majorEastAsia" w:eastAsiaTheme="majorEastAsia" w:hAnsiTheme="majorEastAsia" w:cs="仿宋_GB2312"/>
                <w:kern w:val="0"/>
                <w:sz w:val="24"/>
              </w:rPr>
            </w:pPr>
            <w:bookmarkStart w:id="9" w:name="_Hlk227837479"/>
            <w:bookmarkEnd w:id="8"/>
            <w:r w:rsidRPr="00C26971">
              <w:rPr>
                <w:rFonts w:asciiTheme="majorEastAsia" w:eastAsiaTheme="majorEastAsia" w:hAnsiTheme="majorEastAsia" w:cs="仿宋_GB2312" w:hint="eastAsia"/>
                <w:kern w:val="0"/>
                <w:sz w:val="24"/>
              </w:rPr>
              <w:t>2</w:t>
            </w:r>
          </w:p>
        </w:tc>
        <w:tc>
          <w:tcPr>
            <w:tcW w:w="1485" w:type="dxa"/>
            <w:shd w:val="clear" w:color="auto" w:fill="auto"/>
            <w:vAlign w:val="center"/>
          </w:tcPr>
          <w:p w:rsidR="000F0F7E" w:rsidRPr="00C26971" w:rsidRDefault="000F0F7E" w:rsidP="00D34ABC">
            <w:pPr>
              <w:widowControl/>
              <w:snapToGrid w:val="0"/>
              <w:spacing w:line="400" w:lineRule="exact"/>
              <w:jc w:val="center"/>
              <w:rPr>
                <w:rFonts w:asciiTheme="majorEastAsia" w:eastAsiaTheme="majorEastAsia" w:hAnsiTheme="majorEastAsia" w:cs="仿宋_GB2312"/>
                <w:color w:val="000000"/>
                <w:kern w:val="0"/>
                <w:sz w:val="24"/>
              </w:rPr>
            </w:pPr>
            <w:bookmarkStart w:id="10" w:name="OLE_LINK10"/>
            <w:bookmarkStart w:id="11" w:name="OLE_LINK11"/>
            <w:bookmarkStart w:id="12" w:name="OLE_LINK14"/>
            <w:r w:rsidRPr="00C26971">
              <w:rPr>
                <w:rFonts w:asciiTheme="majorEastAsia" w:eastAsiaTheme="majorEastAsia" w:hAnsiTheme="majorEastAsia" w:cs="仿宋_GB2312" w:hint="eastAsia"/>
                <w:color w:val="000000"/>
                <w:kern w:val="0"/>
                <w:sz w:val="24"/>
              </w:rPr>
              <w:t>柑橘黄龙病综合治理</w:t>
            </w:r>
            <w:bookmarkEnd w:id="10"/>
            <w:bookmarkEnd w:id="11"/>
            <w:bookmarkEnd w:id="12"/>
          </w:p>
        </w:tc>
        <w:tc>
          <w:tcPr>
            <w:tcW w:w="1902" w:type="dxa"/>
            <w:shd w:val="clear" w:color="auto" w:fill="auto"/>
            <w:vAlign w:val="center"/>
          </w:tcPr>
          <w:p w:rsidR="000F0F7E" w:rsidRPr="00C26971" w:rsidRDefault="000F0F7E" w:rsidP="00D34ABC">
            <w:pPr>
              <w:widowControl/>
              <w:snapToGrid w:val="0"/>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18.5</w:t>
            </w:r>
          </w:p>
        </w:tc>
        <w:tc>
          <w:tcPr>
            <w:tcW w:w="934" w:type="dxa"/>
            <w:shd w:val="clear" w:color="000000" w:fill="FFFFFF"/>
            <w:vAlign w:val="center"/>
          </w:tcPr>
          <w:p w:rsidR="000F0F7E" w:rsidRPr="00C26971" w:rsidRDefault="000F0F7E" w:rsidP="00D34ABC">
            <w:pPr>
              <w:widowControl/>
              <w:snapToGrid w:val="0"/>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1</w:t>
            </w:r>
          </w:p>
        </w:tc>
        <w:tc>
          <w:tcPr>
            <w:tcW w:w="4111" w:type="dxa"/>
            <w:shd w:val="clear" w:color="000000" w:fill="FFFFFF"/>
            <w:vAlign w:val="center"/>
          </w:tcPr>
          <w:p w:rsidR="000F0F7E" w:rsidRPr="00C26971" w:rsidRDefault="000F0F7E" w:rsidP="00D34ABC">
            <w:pPr>
              <w:snapToGrid w:val="0"/>
              <w:spacing w:line="400" w:lineRule="exact"/>
              <w:jc w:val="center"/>
              <w:rPr>
                <w:rFonts w:asciiTheme="majorEastAsia" w:eastAsiaTheme="majorEastAsia" w:hAnsiTheme="majorEastAsia" w:cs="仿宋_GB2312"/>
                <w:sz w:val="24"/>
              </w:rPr>
            </w:pPr>
            <w:r w:rsidRPr="00C26971">
              <w:rPr>
                <w:rFonts w:asciiTheme="majorEastAsia" w:eastAsiaTheme="majorEastAsia" w:hAnsiTheme="majorEastAsia" w:cs="仿宋_GB2312" w:hint="eastAsia"/>
                <w:sz w:val="24"/>
              </w:rPr>
              <w:t>购置</w:t>
            </w:r>
            <w:bookmarkStart w:id="13" w:name="OLE_LINK12"/>
            <w:bookmarkStart w:id="14" w:name="OLE_LINK13"/>
            <w:r w:rsidRPr="00C26971">
              <w:rPr>
                <w:rFonts w:asciiTheme="majorEastAsia" w:eastAsiaTheme="majorEastAsia" w:hAnsiTheme="majorEastAsia" w:cs="仿宋_GB2312" w:hint="eastAsia"/>
                <w:sz w:val="24"/>
              </w:rPr>
              <w:t>防控物资、药剂、统防统治补贴、试验展示以及</w:t>
            </w:r>
            <w:bookmarkStart w:id="15" w:name="OLE_LINK1"/>
            <w:bookmarkStart w:id="16" w:name="OLE_LINK2"/>
            <w:r w:rsidRPr="00C26971">
              <w:rPr>
                <w:rFonts w:asciiTheme="majorEastAsia" w:eastAsiaTheme="majorEastAsia" w:hAnsiTheme="majorEastAsia" w:cs="仿宋_GB2312" w:hint="eastAsia"/>
                <w:sz w:val="24"/>
              </w:rPr>
              <w:t>技术指导、培训等</w:t>
            </w:r>
            <w:bookmarkEnd w:id="13"/>
            <w:bookmarkEnd w:id="14"/>
            <w:r w:rsidRPr="00C26971">
              <w:rPr>
                <w:rFonts w:asciiTheme="majorEastAsia" w:eastAsiaTheme="majorEastAsia" w:hAnsiTheme="majorEastAsia" w:cs="仿宋_GB2312" w:hint="eastAsia"/>
                <w:sz w:val="24"/>
              </w:rPr>
              <w:t>方面支出</w:t>
            </w:r>
            <w:bookmarkEnd w:id="15"/>
            <w:bookmarkEnd w:id="16"/>
            <w:r w:rsidRPr="00C26971">
              <w:rPr>
                <w:rFonts w:asciiTheme="majorEastAsia" w:eastAsiaTheme="majorEastAsia" w:hAnsiTheme="majorEastAsia" w:cs="仿宋_GB2312" w:hint="eastAsia"/>
                <w:sz w:val="24"/>
              </w:rPr>
              <w:t>。</w:t>
            </w:r>
          </w:p>
          <w:p w:rsidR="000F0F7E" w:rsidRPr="00C26971" w:rsidRDefault="000F0F7E" w:rsidP="00D34ABC">
            <w:pPr>
              <w:widowControl/>
              <w:snapToGrid w:val="0"/>
              <w:spacing w:line="400" w:lineRule="exact"/>
              <w:jc w:val="center"/>
              <w:rPr>
                <w:rFonts w:asciiTheme="majorEastAsia" w:eastAsiaTheme="majorEastAsia" w:hAnsiTheme="majorEastAsia" w:cs="仿宋_GB2312"/>
                <w:kern w:val="0"/>
                <w:sz w:val="24"/>
              </w:rPr>
            </w:pPr>
          </w:p>
        </w:tc>
      </w:tr>
      <w:bookmarkEnd w:id="9"/>
      <w:tr w:rsidR="000F0F7E" w:rsidRPr="00C26971" w:rsidTr="00D34ABC">
        <w:trPr>
          <w:trHeight w:val="23"/>
        </w:trPr>
        <w:tc>
          <w:tcPr>
            <w:tcW w:w="939" w:type="dxa"/>
            <w:shd w:val="clear" w:color="auto" w:fill="auto"/>
            <w:noWrap/>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合计</w:t>
            </w:r>
          </w:p>
        </w:tc>
        <w:tc>
          <w:tcPr>
            <w:tcW w:w="1485" w:type="dxa"/>
            <w:shd w:val="clear" w:color="auto" w:fill="auto"/>
            <w:vAlign w:val="center"/>
          </w:tcPr>
          <w:p w:rsidR="000F0F7E" w:rsidRPr="00C26971" w:rsidRDefault="000F0F7E" w:rsidP="00D34ABC">
            <w:pPr>
              <w:widowControl/>
              <w:spacing w:line="400" w:lineRule="exact"/>
              <w:jc w:val="center"/>
              <w:rPr>
                <w:rFonts w:asciiTheme="majorEastAsia" w:eastAsiaTheme="majorEastAsia" w:hAnsiTheme="majorEastAsia" w:cs="仿宋_GB2312"/>
                <w:color w:val="000000"/>
                <w:kern w:val="0"/>
                <w:sz w:val="24"/>
              </w:rPr>
            </w:pPr>
          </w:p>
        </w:tc>
        <w:tc>
          <w:tcPr>
            <w:tcW w:w="1902" w:type="dxa"/>
            <w:shd w:val="clear" w:color="auto" w:fill="auto"/>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r w:rsidRPr="00C26971">
              <w:rPr>
                <w:rFonts w:asciiTheme="majorEastAsia" w:eastAsiaTheme="majorEastAsia" w:hAnsiTheme="majorEastAsia" w:cs="仿宋_GB2312" w:hint="eastAsia"/>
                <w:kern w:val="0"/>
                <w:sz w:val="24"/>
              </w:rPr>
              <w:t>28.5</w:t>
            </w:r>
          </w:p>
        </w:tc>
        <w:tc>
          <w:tcPr>
            <w:tcW w:w="934" w:type="dxa"/>
            <w:shd w:val="clear" w:color="000000" w:fill="FFFFFF"/>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p>
        </w:tc>
        <w:tc>
          <w:tcPr>
            <w:tcW w:w="4111" w:type="dxa"/>
            <w:shd w:val="clear" w:color="000000" w:fill="FFFFFF"/>
            <w:vAlign w:val="center"/>
          </w:tcPr>
          <w:p w:rsidR="000F0F7E" w:rsidRPr="00C26971" w:rsidRDefault="000F0F7E" w:rsidP="00D34ABC">
            <w:pPr>
              <w:widowControl/>
              <w:spacing w:line="400" w:lineRule="exact"/>
              <w:jc w:val="center"/>
              <w:rPr>
                <w:rFonts w:asciiTheme="majorEastAsia" w:eastAsiaTheme="majorEastAsia" w:hAnsiTheme="majorEastAsia" w:cs="仿宋_GB2312"/>
                <w:kern w:val="0"/>
                <w:sz w:val="24"/>
              </w:rPr>
            </w:pPr>
          </w:p>
        </w:tc>
      </w:tr>
    </w:tbl>
    <w:p w:rsidR="00E66DB4" w:rsidRPr="0092471A" w:rsidRDefault="00E2449D" w:rsidP="0092471A">
      <w:pPr>
        <w:rPr>
          <w:rFonts w:asciiTheme="majorEastAsia" w:eastAsiaTheme="majorEastAsia" w:hAnsiTheme="majorEastAsia"/>
          <w:sz w:val="28"/>
          <w:szCs w:val="28"/>
        </w:rPr>
      </w:pPr>
      <w:r w:rsidRPr="0092471A">
        <w:rPr>
          <w:rFonts w:asciiTheme="majorEastAsia" w:eastAsiaTheme="majorEastAsia" w:hAnsiTheme="majorEastAsia" w:hint="eastAsia"/>
          <w:sz w:val="28"/>
          <w:szCs w:val="28"/>
        </w:rPr>
        <w:t>附件2：采购技术要求</w:t>
      </w:r>
    </w:p>
    <w:p w:rsidR="00697D07" w:rsidRPr="00C26971" w:rsidRDefault="00E2449D" w:rsidP="00697D07">
      <w:pPr>
        <w:rPr>
          <w:sz w:val="24"/>
        </w:rPr>
      </w:pPr>
      <w:r w:rsidRPr="00C26971">
        <w:rPr>
          <w:rFonts w:asciiTheme="majorEastAsia" w:eastAsiaTheme="majorEastAsia" w:hAnsiTheme="majorEastAsia" w:hint="eastAsia"/>
          <w:sz w:val="24"/>
        </w:rPr>
        <w:t>1、</w:t>
      </w:r>
      <w:r w:rsidR="00697D07" w:rsidRPr="00C26971">
        <w:rPr>
          <w:rFonts w:ascii="宋体" w:hAnsi="宋体" w:cs="宋体" w:hint="eastAsia"/>
          <w:sz w:val="24"/>
        </w:rPr>
        <w:t>柑橘黄龙病（木虱）田间实时监测设备</w:t>
      </w:r>
    </w:p>
    <w:tbl>
      <w:tblPr>
        <w:tblW w:w="7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199"/>
        <w:gridCol w:w="952"/>
        <w:gridCol w:w="4987"/>
      </w:tblGrid>
      <w:tr w:rsidR="00697D07" w:rsidTr="00697D07">
        <w:trPr>
          <w:trHeight w:val="679"/>
        </w:trPr>
        <w:tc>
          <w:tcPr>
            <w:tcW w:w="446" w:type="dxa"/>
            <w:tcBorders>
              <w:top w:val="single" w:sz="4" w:space="0" w:color="auto"/>
              <w:left w:val="single" w:sz="4" w:space="0" w:color="auto"/>
              <w:bottom w:val="single" w:sz="4" w:space="0" w:color="auto"/>
              <w:right w:val="single" w:sz="4" w:space="0" w:color="auto"/>
            </w:tcBorders>
            <w:vAlign w:val="center"/>
            <w:hideMark/>
          </w:tcPr>
          <w:p w:rsidR="00697D07" w:rsidRDefault="00697D07">
            <w:pPr>
              <w:pStyle w:val="a6"/>
              <w:snapToGrid w:val="0"/>
              <w:spacing w:line="300" w:lineRule="auto"/>
              <w:jc w:val="center"/>
              <w:rPr>
                <w:rFonts w:hAnsi="宋体" w:cs="宋体"/>
                <w:szCs w:val="21"/>
              </w:rPr>
            </w:pPr>
            <w:r>
              <w:rPr>
                <w:rFonts w:hAnsi="宋体" w:cs="宋体" w:hint="eastAsia"/>
                <w:szCs w:val="21"/>
              </w:rPr>
              <w:t>序号</w:t>
            </w:r>
          </w:p>
        </w:tc>
        <w:tc>
          <w:tcPr>
            <w:tcW w:w="1199" w:type="dxa"/>
            <w:tcBorders>
              <w:top w:val="single" w:sz="4" w:space="0" w:color="auto"/>
              <w:left w:val="single" w:sz="4" w:space="0" w:color="auto"/>
              <w:bottom w:val="single" w:sz="4" w:space="0" w:color="auto"/>
              <w:right w:val="single" w:sz="4" w:space="0" w:color="auto"/>
            </w:tcBorders>
            <w:vAlign w:val="center"/>
            <w:hideMark/>
          </w:tcPr>
          <w:p w:rsidR="00697D07" w:rsidRDefault="00697D07">
            <w:pPr>
              <w:pStyle w:val="a6"/>
              <w:snapToGrid w:val="0"/>
              <w:spacing w:line="300" w:lineRule="auto"/>
              <w:jc w:val="center"/>
              <w:rPr>
                <w:rFonts w:hAnsi="宋体" w:cs="宋体"/>
                <w:szCs w:val="21"/>
              </w:rPr>
            </w:pPr>
            <w:r>
              <w:rPr>
                <w:rFonts w:hAnsi="宋体" w:cs="宋体" w:hint="eastAsia"/>
                <w:szCs w:val="21"/>
              </w:rPr>
              <w:t>货物名称</w:t>
            </w:r>
          </w:p>
        </w:tc>
        <w:tc>
          <w:tcPr>
            <w:tcW w:w="952" w:type="dxa"/>
            <w:tcBorders>
              <w:top w:val="single" w:sz="4" w:space="0" w:color="auto"/>
              <w:left w:val="single" w:sz="4" w:space="0" w:color="auto"/>
              <w:bottom w:val="single" w:sz="4" w:space="0" w:color="auto"/>
              <w:right w:val="single" w:sz="4" w:space="0" w:color="auto"/>
            </w:tcBorders>
            <w:vAlign w:val="center"/>
            <w:hideMark/>
          </w:tcPr>
          <w:p w:rsidR="00697D07" w:rsidRDefault="00697D07">
            <w:pPr>
              <w:pStyle w:val="a6"/>
              <w:snapToGrid w:val="0"/>
              <w:spacing w:line="300" w:lineRule="auto"/>
              <w:jc w:val="center"/>
              <w:rPr>
                <w:rFonts w:hAnsi="宋体" w:cs="宋体"/>
                <w:szCs w:val="21"/>
              </w:rPr>
            </w:pPr>
            <w:r>
              <w:rPr>
                <w:rFonts w:hAnsi="宋体" w:cs="宋体" w:hint="eastAsia"/>
                <w:szCs w:val="21"/>
              </w:rPr>
              <w:t>数量/单位</w:t>
            </w:r>
          </w:p>
        </w:tc>
        <w:tc>
          <w:tcPr>
            <w:tcW w:w="4987" w:type="dxa"/>
            <w:tcBorders>
              <w:top w:val="single" w:sz="4" w:space="0" w:color="auto"/>
              <w:left w:val="single" w:sz="4" w:space="0" w:color="auto"/>
              <w:bottom w:val="single" w:sz="4" w:space="0" w:color="auto"/>
              <w:right w:val="single" w:sz="4" w:space="0" w:color="auto"/>
            </w:tcBorders>
            <w:vAlign w:val="center"/>
            <w:hideMark/>
          </w:tcPr>
          <w:p w:rsidR="00697D07" w:rsidRDefault="00697D07">
            <w:pPr>
              <w:pStyle w:val="a6"/>
              <w:snapToGrid w:val="0"/>
              <w:spacing w:line="300" w:lineRule="auto"/>
              <w:jc w:val="center"/>
              <w:rPr>
                <w:rFonts w:hAnsi="宋体" w:cs="宋体"/>
                <w:szCs w:val="21"/>
              </w:rPr>
            </w:pPr>
            <w:r>
              <w:rPr>
                <w:rFonts w:hAnsi="宋体" w:cs="宋体" w:hint="eastAsia"/>
                <w:szCs w:val="21"/>
              </w:rPr>
              <w:t>技术参数及性能配置</w:t>
            </w:r>
          </w:p>
        </w:tc>
      </w:tr>
      <w:tr w:rsidR="00697D07" w:rsidTr="00697D07">
        <w:trPr>
          <w:trHeight w:val="23"/>
        </w:trPr>
        <w:tc>
          <w:tcPr>
            <w:tcW w:w="446" w:type="dxa"/>
            <w:tcBorders>
              <w:top w:val="single" w:sz="4" w:space="0" w:color="auto"/>
              <w:left w:val="single" w:sz="4" w:space="0" w:color="auto"/>
              <w:bottom w:val="single" w:sz="4" w:space="0" w:color="auto"/>
              <w:right w:val="single" w:sz="4" w:space="0" w:color="auto"/>
            </w:tcBorders>
            <w:vAlign w:val="center"/>
            <w:hideMark/>
          </w:tcPr>
          <w:p w:rsidR="00697D07" w:rsidRDefault="00697D07">
            <w:pPr>
              <w:snapToGrid w:val="0"/>
              <w:spacing w:after="160" w:line="300" w:lineRule="auto"/>
              <w:jc w:val="center"/>
              <w:rPr>
                <w:rFonts w:ascii="宋体" w:eastAsiaTheme="minorEastAsia" w:hAnsi="宋体" w:cs="宋体"/>
                <w:sz w:val="22"/>
                <w:szCs w:val="21"/>
              </w:rPr>
            </w:pPr>
            <w:r>
              <w:rPr>
                <w:rFonts w:ascii="宋体" w:hAnsi="宋体" w:cs="宋体" w:hint="eastAsia"/>
                <w:szCs w:val="21"/>
              </w:rPr>
              <w:t>1</w:t>
            </w:r>
          </w:p>
        </w:tc>
        <w:tc>
          <w:tcPr>
            <w:tcW w:w="1199" w:type="dxa"/>
            <w:tcBorders>
              <w:top w:val="single" w:sz="4" w:space="0" w:color="auto"/>
              <w:left w:val="single" w:sz="4" w:space="0" w:color="auto"/>
              <w:bottom w:val="single" w:sz="4" w:space="0" w:color="auto"/>
              <w:right w:val="single" w:sz="4" w:space="0" w:color="auto"/>
            </w:tcBorders>
            <w:vAlign w:val="center"/>
            <w:hideMark/>
          </w:tcPr>
          <w:p w:rsidR="00697D07" w:rsidRDefault="00697D07">
            <w:pPr>
              <w:spacing w:line="120" w:lineRule="auto"/>
              <w:rPr>
                <w:rFonts w:ascii="宋体" w:eastAsiaTheme="minorEastAsia" w:hAnsi="宋体" w:cs="宋体"/>
                <w:sz w:val="22"/>
                <w:szCs w:val="21"/>
              </w:rPr>
            </w:pPr>
            <w:bookmarkStart w:id="17" w:name="OLE_LINK8"/>
            <w:bookmarkStart w:id="18" w:name="OLE_LINK9"/>
            <w:r>
              <w:rPr>
                <w:rFonts w:ascii="宋体" w:hAnsi="宋体" w:cs="宋体" w:hint="eastAsia"/>
                <w:szCs w:val="21"/>
              </w:rPr>
              <w:t>柑橘黄龙病（木虱）田间实时监测设备</w:t>
            </w:r>
            <w:bookmarkEnd w:id="17"/>
            <w:bookmarkEnd w:id="18"/>
            <w:r>
              <w:rPr>
                <w:rFonts w:ascii="宋体" w:hAnsi="宋体" w:cs="宋体" w:hint="eastAsia"/>
                <w:szCs w:val="21"/>
              </w:rPr>
              <w:t>（交流电）</w:t>
            </w:r>
          </w:p>
        </w:tc>
        <w:tc>
          <w:tcPr>
            <w:tcW w:w="952" w:type="dxa"/>
            <w:tcBorders>
              <w:top w:val="single" w:sz="4" w:space="0" w:color="auto"/>
              <w:left w:val="single" w:sz="4" w:space="0" w:color="auto"/>
              <w:bottom w:val="single" w:sz="4" w:space="0" w:color="auto"/>
              <w:right w:val="single" w:sz="4" w:space="0" w:color="auto"/>
            </w:tcBorders>
            <w:vAlign w:val="center"/>
            <w:hideMark/>
          </w:tcPr>
          <w:p w:rsidR="00697D07" w:rsidRDefault="00697D07">
            <w:pPr>
              <w:spacing w:after="160" w:line="276" w:lineRule="auto"/>
              <w:jc w:val="center"/>
              <w:rPr>
                <w:rFonts w:ascii="宋体" w:eastAsiaTheme="minorEastAsia" w:hAnsi="宋体" w:cs="宋体"/>
                <w:sz w:val="22"/>
                <w:szCs w:val="21"/>
              </w:rPr>
            </w:pPr>
            <w:r>
              <w:rPr>
                <w:rFonts w:ascii="宋体" w:hAnsi="宋体" w:cs="宋体" w:hint="eastAsia"/>
                <w:szCs w:val="21"/>
              </w:rPr>
              <w:t>1/套</w:t>
            </w:r>
          </w:p>
        </w:tc>
        <w:tc>
          <w:tcPr>
            <w:tcW w:w="4987" w:type="dxa"/>
            <w:tcBorders>
              <w:top w:val="single" w:sz="4" w:space="0" w:color="auto"/>
              <w:left w:val="single" w:sz="4" w:space="0" w:color="auto"/>
              <w:bottom w:val="single" w:sz="4" w:space="0" w:color="auto"/>
              <w:right w:val="single" w:sz="4" w:space="0" w:color="auto"/>
            </w:tcBorders>
            <w:hideMark/>
          </w:tcPr>
          <w:p w:rsidR="00697D07" w:rsidRDefault="00697D07">
            <w:pPr>
              <w:spacing w:line="120" w:lineRule="auto"/>
              <w:rPr>
                <w:rFonts w:ascii="宋体" w:hAnsi="宋体" w:cs="宋体"/>
                <w:sz w:val="22"/>
                <w:szCs w:val="21"/>
              </w:rPr>
            </w:pPr>
            <w:r>
              <w:rPr>
                <w:rFonts w:ascii="宋体" w:hAnsi="宋体" w:cs="宋体" w:hint="eastAsia"/>
                <w:szCs w:val="21"/>
              </w:rPr>
              <w:t>1、支持标准协议(ONVIF、ISAPI)、支持GB/T28181协议。</w:t>
            </w:r>
          </w:p>
          <w:p w:rsidR="00697D07" w:rsidRDefault="00697D07">
            <w:pPr>
              <w:spacing w:line="120" w:lineRule="auto"/>
              <w:rPr>
                <w:rFonts w:ascii="宋体" w:hAnsi="宋体" w:cs="宋体"/>
                <w:szCs w:val="21"/>
              </w:rPr>
            </w:pPr>
            <w:r>
              <w:rPr>
                <w:rFonts w:ascii="宋体" w:hAnsi="宋体" w:cs="宋体" w:hint="eastAsia"/>
                <w:szCs w:val="21"/>
              </w:rPr>
              <w:t xml:space="preserve">2、供电方式：DC12V，支持 </w:t>
            </w:r>
            <w:proofErr w:type="spellStart"/>
            <w:r>
              <w:rPr>
                <w:rFonts w:ascii="宋体" w:hAnsi="宋体" w:cs="宋体" w:hint="eastAsia"/>
                <w:szCs w:val="21"/>
              </w:rPr>
              <w:t>PoE</w:t>
            </w:r>
            <w:proofErr w:type="spellEnd"/>
            <w:r>
              <w:rPr>
                <w:rFonts w:ascii="宋体" w:hAnsi="宋体" w:cs="宋体" w:hint="eastAsia"/>
                <w:szCs w:val="21"/>
              </w:rPr>
              <w:t>（802.3at）供电，全天候无人值守连续自动工作。</w:t>
            </w:r>
          </w:p>
          <w:p w:rsidR="00697D07" w:rsidRDefault="00697D07">
            <w:pPr>
              <w:spacing w:line="120" w:lineRule="auto"/>
              <w:rPr>
                <w:rFonts w:ascii="宋体" w:hAnsi="宋体" w:cs="宋体"/>
                <w:szCs w:val="21"/>
              </w:rPr>
            </w:pPr>
            <w:r>
              <w:rPr>
                <w:rFonts w:ascii="宋体" w:hAnsi="宋体" w:cs="宋体" w:hint="eastAsia"/>
                <w:szCs w:val="21"/>
              </w:rPr>
              <w:t>3、气象采集数据：空气温度范围-40℃—80℃，分辨率0.1℃；湿度范围0-100%RH，分辨率0.1%RH；风速范围0-30m/s,精度±1m/s；风向方向测量，动态响应速度≤0.5s；降雨量测量范围≤30mm/min，误差±2%；RS485通信，所采集的数据每10分钟自动上传一次。</w:t>
            </w:r>
          </w:p>
          <w:p w:rsidR="00697D07" w:rsidRDefault="00697D07">
            <w:pPr>
              <w:spacing w:line="120" w:lineRule="auto"/>
              <w:rPr>
                <w:rFonts w:ascii="宋体" w:hAnsi="宋体" w:cs="宋体"/>
                <w:szCs w:val="21"/>
              </w:rPr>
            </w:pPr>
            <w:r>
              <w:rPr>
                <w:rFonts w:ascii="宋体" w:hAnsi="宋体" w:cs="宋体" w:hint="eastAsia"/>
                <w:szCs w:val="21"/>
              </w:rPr>
              <w:t>4、防护：IP66；TVS 4000V防雷、防浪涌、防突波，符合GB/T17626.5 四级标准。</w:t>
            </w:r>
          </w:p>
          <w:p w:rsidR="00697D07" w:rsidRDefault="00697D07">
            <w:pPr>
              <w:spacing w:line="120" w:lineRule="auto"/>
              <w:rPr>
                <w:rFonts w:ascii="宋体" w:hAnsi="宋体" w:cs="宋体"/>
                <w:szCs w:val="21"/>
              </w:rPr>
            </w:pPr>
            <w:r>
              <w:rPr>
                <w:rFonts w:ascii="宋体" w:hAnsi="宋体" w:cs="宋体" w:hint="eastAsia"/>
                <w:szCs w:val="21"/>
              </w:rPr>
              <w:t>5、无线标准：IEEE802.11b, 802.11g, 802.11n；传输距离：50米（无遮挡无干扰,因环境而异）；频率范围：2.4 GHz 至 2.4835 GHz。</w:t>
            </w:r>
          </w:p>
          <w:p w:rsidR="00697D07" w:rsidRDefault="00697D07">
            <w:pPr>
              <w:spacing w:line="120" w:lineRule="auto"/>
              <w:rPr>
                <w:rFonts w:ascii="宋体" w:hAnsi="宋体" w:cs="宋体"/>
                <w:color w:val="000000" w:themeColor="text1"/>
                <w:szCs w:val="21"/>
              </w:rPr>
            </w:pPr>
            <w:r>
              <w:rPr>
                <w:rFonts w:ascii="宋体" w:hAnsi="宋体" w:cs="宋体" w:hint="eastAsia"/>
                <w:szCs w:val="21"/>
              </w:rPr>
              <w:t>▲6、智能巡检机器人系统一套：可在水平和垂直方向进行调整。运行速度2cm/s。水平视角360°；垂直视角-15°-90°；水平键控速度0.1°-80°/s，速度可设；水平预置点速度80°/s；垂直键控速度0.1°-80°/s，速度可设；垂直预置点速度80°/s；焦距4.8-110㎜，23倍光学；变倍速度：约3.4秒(光学，广角-望远)；水平视角：55-2.7度(广角-望远)；近摄距：100-1500㎜(广角-望远)；光圈数：</w:t>
            </w:r>
            <w:r>
              <w:rPr>
                <w:rFonts w:ascii="宋体" w:hAnsi="宋体" w:cs="宋体" w:hint="eastAsia"/>
                <w:szCs w:val="21"/>
              </w:rPr>
              <w:lastRenderedPageBreak/>
              <w:t>F1.6-F3.5；400万4寸红外WIFI；100米红外照射距离；分辨率2560×1440@30fps</w:t>
            </w:r>
            <w:r>
              <w:rPr>
                <w:rFonts w:ascii="宋体" w:hAnsi="宋体" w:cs="宋体" w:hint="eastAsia"/>
                <w:color w:val="000000" w:themeColor="text1"/>
                <w:szCs w:val="21"/>
              </w:rPr>
              <w:t>；彩色：0.005Lux@（F1.6，AGC ON）；黑白：0.001Lux@（F1.6，AGC ON）；128G存储；</w:t>
            </w:r>
          </w:p>
          <w:p w:rsidR="00697D07" w:rsidRDefault="00697D07">
            <w:pPr>
              <w:spacing w:line="120" w:lineRule="auto"/>
              <w:rPr>
                <w:rFonts w:ascii="宋体" w:hAnsi="宋体" w:cs="宋体"/>
                <w:color w:val="000000" w:themeColor="text1"/>
                <w:szCs w:val="21"/>
              </w:rPr>
            </w:pPr>
            <w:r>
              <w:rPr>
                <w:rFonts w:ascii="宋体" w:hAnsi="宋体" w:cs="宋体" w:hint="eastAsia"/>
                <w:szCs w:val="21"/>
              </w:rPr>
              <w:t>7、水平视角360°一套；垂直视角-15°-90°；水平键控速度0.1°-80°/s，速度可设；水平预置点速度80°/s；垂直键控速度0.1°-80°/s，速度可设；垂直预置点速度80°/s；焦距4.8-110㎜，23倍光学；变倍速度：约3.4秒(光学，广角-望远)；水平视角：55-2.7度(广角-望远)；近摄距：100-1500㎜(广角-望远)；光圈数：F1.6-F3.5；400万4寸红外WIFI；100米红外照射距离；分辨率2560×1440@30fps；</w:t>
            </w:r>
            <w:r>
              <w:rPr>
                <w:rFonts w:ascii="宋体" w:hAnsi="宋体" w:cs="宋体" w:hint="eastAsia"/>
                <w:color w:val="000000" w:themeColor="text1"/>
                <w:szCs w:val="21"/>
              </w:rPr>
              <w:t xml:space="preserve">彩色：0.005Lux@（F1.6，AGC ON）；黑白：0.001Lux@（F1.6，AGC ON）；零照度：0 </w:t>
            </w:r>
            <w:proofErr w:type="spellStart"/>
            <w:r>
              <w:rPr>
                <w:rFonts w:ascii="宋体" w:hAnsi="宋体" w:cs="宋体" w:hint="eastAsia"/>
                <w:color w:val="000000" w:themeColor="text1"/>
                <w:szCs w:val="21"/>
              </w:rPr>
              <w:t>Lux</w:t>
            </w:r>
            <w:proofErr w:type="spellEnd"/>
            <w:r>
              <w:rPr>
                <w:rFonts w:ascii="宋体" w:hAnsi="宋体" w:cs="宋体" w:hint="eastAsia"/>
                <w:color w:val="000000" w:themeColor="text1"/>
                <w:szCs w:val="21"/>
              </w:rPr>
              <w:t xml:space="preserve"> with IR ;128G存储；</w:t>
            </w:r>
          </w:p>
          <w:p w:rsidR="00697D07" w:rsidRDefault="00697D07">
            <w:pPr>
              <w:spacing w:line="120" w:lineRule="auto"/>
              <w:rPr>
                <w:rFonts w:ascii="宋体" w:hAnsi="宋体" w:cs="宋体"/>
                <w:szCs w:val="21"/>
              </w:rPr>
            </w:pPr>
            <w:r>
              <w:rPr>
                <w:rFonts w:ascii="宋体" w:hAnsi="宋体" w:cs="宋体" w:hint="eastAsia"/>
                <w:szCs w:val="21"/>
              </w:rPr>
              <w:t xml:space="preserve">8、视角：红外照射距离 50米 采用高效红外阵列，低功耗，照射距离达100m，观察精度：镜头4㎜,水平视场角：88.9°；128G存储。 </w:t>
            </w:r>
          </w:p>
          <w:p w:rsidR="00697D07" w:rsidRDefault="00697D07">
            <w:pPr>
              <w:spacing w:line="120" w:lineRule="auto"/>
              <w:rPr>
                <w:rFonts w:ascii="宋体" w:hAnsi="宋体" w:cs="宋体"/>
                <w:szCs w:val="21"/>
              </w:rPr>
            </w:pPr>
            <w:r>
              <w:rPr>
                <w:rFonts w:ascii="宋体" w:hAnsi="宋体" w:cs="宋体" w:hint="eastAsia"/>
                <w:szCs w:val="21"/>
              </w:rPr>
              <w:t>▲9、通过网页版、PC客户端、手机APP实时数据同步。可将采集的图片、气象数据自动上传到远程物联网监控服务平台，实现植保监测人员的远程观测，实时作物的生长时间、生长速度、生长状态和气象情况，抓拍存储上传农作物病虫害危害前、危害中及危害后的图像及视频等。实现图像信息的自动采集。10m以内可以分辨柑橘木虱等害虫，25m内可以看到病虫害的发生状况。</w:t>
            </w:r>
          </w:p>
          <w:p w:rsidR="00697D07" w:rsidRDefault="00697D07">
            <w:pPr>
              <w:spacing w:line="120" w:lineRule="auto"/>
              <w:rPr>
                <w:rFonts w:ascii="宋体" w:hAnsi="宋体" w:cs="宋体"/>
                <w:szCs w:val="21"/>
              </w:rPr>
            </w:pPr>
            <w:r>
              <w:rPr>
                <w:rFonts w:ascii="宋体" w:hAnsi="宋体" w:cs="宋体" w:hint="eastAsia"/>
                <w:szCs w:val="21"/>
              </w:rPr>
              <w:t>▲10、系统有专用软件（非公用平台），可将实时监测的环境数据情况每隔10秒钟就上传到服务器平台，工作人员只要登录手机APP或PC客户端，就可以远程随时随地查看作物生长状态及历史数据。可通过手机APP或PC客户端实时根据作物生长情况可在垂直行程，水平行程上调节智能巡检机器人系统。也可以拉近或拉远。</w:t>
            </w:r>
          </w:p>
          <w:p w:rsidR="00697D07" w:rsidRDefault="00697D07">
            <w:pPr>
              <w:spacing w:line="120" w:lineRule="auto"/>
              <w:rPr>
                <w:rFonts w:ascii="宋体" w:hAnsi="宋体" w:cs="宋体"/>
                <w:szCs w:val="21"/>
              </w:rPr>
            </w:pPr>
            <w:r>
              <w:rPr>
                <w:rFonts w:ascii="宋体" w:hAnsi="宋体" w:cs="宋体" w:hint="eastAsia"/>
                <w:szCs w:val="21"/>
              </w:rPr>
              <w:t>11、电源控制部分（AC220V/50HZ）：断路器开关箱。防雷自动重合闸漏电保护开关。</w:t>
            </w:r>
          </w:p>
          <w:p w:rsidR="00697D07" w:rsidRDefault="00697D07">
            <w:pPr>
              <w:spacing w:line="120" w:lineRule="auto"/>
              <w:rPr>
                <w:rFonts w:ascii="宋体" w:hAnsi="宋体" w:cs="宋体"/>
                <w:szCs w:val="21"/>
              </w:rPr>
            </w:pPr>
            <w:r>
              <w:rPr>
                <w:rFonts w:ascii="宋体" w:hAnsi="宋体" w:cs="宋体" w:hint="eastAsia"/>
                <w:szCs w:val="21"/>
              </w:rPr>
              <w:t>12、立杆：高3M，直径80㎜，4个；地脚笼，4个。水泥基座大小：30㎝×30㎝×60㎝。</w:t>
            </w:r>
          </w:p>
          <w:p w:rsidR="00697D07" w:rsidRDefault="00697D07">
            <w:pPr>
              <w:spacing w:line="120" w:lineRule="auto"/>
              <w:rPr>
                <w:rFonts w:ascii="宋体" w:hAnsi="宋体" w:cs="宋体"/>
                <w:szCs w:val="21"/>
              </w:rPr>
            </w:pPr>
            <w:r>
              <w:rPr>
                <w:rFonts w:ascii="宋体" w:hAnsi="宋体" w:cs="宋体" w:hint="eastAsia"/>
                <w:szCs w:val="21"/>
              </w:rPr>
              <w:t>13、信息处理终端及辅材：包含物联网卡一张、网费和木虱专用黄板一年。</w:t>
            </w:r>
          </w:p>
          <w:p w:rsidR="00697D07" w:rsidRDefault="00697D07">
            <w:pPr>
              <w:spacing w:line="120" w:lineRule="auto"/>
              <w:rPr>
                <w:rFonts w:ascii="宋体" w:hAnsi="宋体" w:cs="宋体"/>
                <w:szCs w:val="21"/>
              </w:rPr>
            </w:pPr>
            <w:r>
              <w:rPr>
                <w:rFonts w:ascii="宋体" w:hAnsi="宋体" w:cs="宋体" w:hint="eastAsia"/>
                <w:szCs w:val="21"/>
              </w:rPr>
              <w:t>14、物联网数据对接：将各田间监测点数据采集设备及植物生长环境监控设备产出的数据通过网络传输到系统内实现田间物联网设备数据接入。实现监测点物联网数据对接、物联网设备图片数据对接及全区物联网数据的查询。</w:t>
            </w:r>
          </w:p>
          <w:p w:rsidR="00697D07" w:rsidRDefault="00697D07">
            <w:pPr>
              <w:spacing w:line="120" w:lineRule="auto"/>
              <w:rPr>
                <w:rFonts w:ascii="宋体" w:hAnsi="宋体" w:cs="宋体"/>
                <w:szCs w:val="21"/>
              </w:rPr>
            </w:pPr>
            <w:r>
              <w:rPr>
                <w:rFonts w:ascii="宋体" w:hAnsi="宋体" w:cs="宋体" w:hint="eastAsia"/>
                <w:szCs w:val="21"/>
              </w:rPr>
              <w:lastRenderedPageBreak/>
              <w:t>15、物联网数据分析：通过时间、地域等不同维度和类型、指标、时间等查询条件，以折线图、GIS地图的形式完成物联网数据分析展示功能。实现对多个指标进行叠加分析，辅助判断病虫害发生趋势和规律；数据运算可利用多色曲线实现在同一坐标系叠加数据最大值、最小值、算术平均值等多项指标；各项监控环境指标可以在地图上显示实时热点图</w:t>
            </w:r>
          </w:p>
          <w:p w:rsidR="00697D07" w:rsidRDefault="00697D07">
            <w:pPr>
              <w:spacing w:line="120" w:lineRule="auto"/>
              <w:rPr>
                <w:rFonts w:ascii="宋体" w:eastAsiaTheme="minorEastAsia" w:hAnsi="宋体" w:cs="宋体"/>
                <w:sz w:val="22"/>
                <w:szCs w:val="21"/>
              </w:rPr>
            </w:pPr>
            <w:r>
              <w:rPr>
                <w:rFonts w:ascii="宋体" w:hAnsi="宋体" w:cs="宋体" w:hint="eastAsia"/>
                <w:szCs w:val="21"/>
              </w:rPr>
              <w:t>16、系统有专用软件（非公用平台），实现不同级别的权限管理，日志管理。</w:t>
            </w:r>
          </w:p>
        </w:tc>
      </w:tr>
    </w:tbl>
    <w:p w:rsidR="0092471A" w:rsidRDefault="0092471A" w:rsidP="00697D07">
      <w:pPr>
        <w:rPr>
          <w:rFonts w:asciiTheme="majorEastAsia" w:eastAsiaTheme="majorEastAsia" w:hAnsiTheme="majorEastAsia"/>
          <w:sz w:val="24"/>
        </w:rPr>
      </w:pPr>
    </w:p>
    <w:p w:rsidR="00866730" w:rsidRPr="0092471A" w:rsidRDefault="00697D07" w:rsidP="00697D07">
      <w:pPr>
        <w:rPr>
          <w:rFonts w:asciiTheme="majorEastAsia" w:eastAsiaTheme="majorEastAsia" w:hAnsiTheme="majorEastAsia" w:cs="仿宋_GB2312"/>
          <w:color w:val="000000"/>
          <w:kern w:val="0"/>
          <w:sz w:val="28"/>
          <w:szCs w:val="28"/>
        </w:rPr>
      </w:pPr>
      <w:r w:rsidRPr="0092471A">
        <w:rPr>
          <w:rFonts w:asciiTheme="majorEastAsia" w:eastAsiaTheme="majorEastAsia" w:hAnsiTheme="majorEastAsia" w:hint="eastAsia"/>
          <w:sz w:val="28"/>
          <w:szCs w:val="28"/>
        </w:rPr>
        <w:t>2、</w:t>
      </w:r>
      <w:r w:rsidRPr="0092471A">
        <w:rPr>
          <w:rFonts w:asciiTheme="majorEastAsia" w:eastAsiaTheme="majorEastAsia" w:hAnsiTheme="majorEastAsia" w:cs="仿宋_GB2312" w:hint="eastAsia"/>
          <w:color w:val="000000"/>
          <w:kern w:val="0"/>
          <w:sz w:val="28"/>
          <w:szCs w:val="28"/>
        </w:rPr>
        <w:t>柑橘黄龙病综合治理（</w:t>
      </w:r>
      <w:r w:rsidR="0092471A">
        <w:rPr>
          <w:rFonts w:asciiTheme="majorEastAsia" w:eastAsiaTheme="majorEastAsia" w:hAnsiTheme="majorEastAsia" w:cs="仿宋_GB2312" w:hint="eastAsia"/>
          <w:color w:val="000000"/>
          <w:kern w:val="0"/>
          <w:sz w:val="28"/>
          <w:szCs w:val="28"/>
        </w:rPr>
        <w:t>采购</w:t>
      </w:r>
      <w:r w:rsidRPr="0092471A">
        <w:rPr>
          <w:rFonts w:asciiTheme="majorEastAsia" w:eastAsiaTheme="majorEastAsia" w:hAnsiTheme="majorEastAsia" w:cs="仿宋_GB2312" w:hint="eastAsia"/>
          <w:sz w:val="28"/>
          <w:szCs w:val="28"/>
        </w:rPr>
        <w:t>防控物资、药剂、试验展示以及技术指导、培训等</w:t>
      </w:r>
      <w:r w:rsidRPr="0092471A">
        <w:rPr>
          <w:rFonts w:asciiTheme="majorEastAsia" w:eastAsiaTheme="majorEastAsia" w:hAnsiTheme="majorEastAsia" w:cs="仿宋_GB2312" w:hint="eastAsia"/>
          <w:color w:val="000000"/>
          <w:kern w:val="0"/>
          <w:sz w:val="28"/>
          <w:szCs w:val="28"/>
        </w:rPr>
        <w:t>）</w:t>
      </w:r>
    </w:p>
    <w:p w:rsidR="00866730" w:rsidRDefault="00866730" w:rsidP="00697D07">
      <w:pPr>
        <w:rPr>
          <w:rFonts w:asciiTheme="majorEastAsia" w:eastAsiaTheme="majorEastAsia" w:hAnsiTheme="majorEastAsia" w:cs="仿宋_GB2312"/>
          <w:color w:val="000000"/>
          <w:kern w:val="0"/>
          <w:sz w:val="24"/>
        </w:rPr>
      </w:pPr>
    </w:p>
    <w:p w:rsidR="00866730" w:rsidRDefault="00866730" w:rsidP="00697D07">
      <w:pPr>
        <w:rPr>
          <w:rFonts w:asciiTheme="majorEastAsia" w:eastAsiaTheme="majorEastAsia" w:hAnsiTheme="majorEastAsia" w:cs="仿宋_GB2312"/>
          <w:color w:val="000000"/>
          <w:kern w:val="0"/>
          <w:sz w:val="24"/>
        </w:rPr>
      </w:pPr>
    </w:p>
    <w:p w:rsidR="00866730" w:rsidRDefault="00866730" w:rsidP="00697D07">
      <w:pPr>
        <w:rPr>
          <w:rFonts w:asciiTheme="majorEastAsia" w:eastAsiaTheme="majorEastAsia" w:hAnsiTheme="majorEastAsia" w:cs="仿宋_GB2312"/>
          <w:color w:val="000000"/>
          <w:kern w:val="0"/>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2440"/>
        <w:gridCol w:w="2126"/>
        <w:gridCol w:w="992"/>
        <w:gridCol w:w="2930"/>
      </w:tblGrid>
      <w:tr w:rsidR="0092471A" w:rsidTr="001E59BD">
        <w:trPr>
          <w:trHeight w:val="564"/>
          <w:jc w:val="center"/>
        </w:trPr>
        <w:tc>
          <w:tcPr>
            <w:tcW w:w="690" w:type="dxa"/>
            <w:vAlign w:val="center"/>
          </w:tcPr>
          <w:p w:rsidR="0092471A" w:rsidRPr="0092471A" w:rsidRDefault="0092471A" w:rsidP="006372CD">
            <w:pPr>
              <w:snapToGrid w:val="0"/>
              <w:jc w:val="center"/>
              <w:rPr>
                <w:rFonts w:asciiTheme="majorEastAsia" w:eastAsiaTheme="majorEastAsia" w:hAnsiTheme="majorEastAsia" w:cs="宋体"/>
                <w:b/>
                <w:color w:val="000000"/>
                <w:sz w:val="24"/>
              </w:rPr>
            </w:pPr>
            <w:r w:rsidRPr="0092471A">
              <w:rPr>
                <w:rFonts w:asciiTheme="majorEastAsia" w:eastAsiaTheme="majorEastAsia" w:hAnsiTheme="majorEastAsia" w:cs="宋体" w:hint="eastAsia"/>
                <w:b/>
                <w:color w:val="000000"/>
                <w:sz w:val="24"/>
              </w:rPr>
              <w:t>序号</w:t>
            </w:r>
          </w:p>
        </w:tc>
        <w:tc>
          <w:tcPr>
            <w:tcW w:w="2440" w:type="dxa"/>
            <w:vAlign w:val="center"/>
          </w:tcPr>
          <w:p w:rsidR="0092471A" w:rsidRPr="0092471A" w:rsidRDefault="00B84145" w:rsidP="006372CD">
            <w:pPr>
              <w:snapToGrid w:val="0"/>
              <w:jc w:val="center"/>
              <w:rPr>
                <w:rFonts w:asciiTheme="majorEastAsia" w:eastAsiaTheme="majorEastAsia" w:hAnsiTheme="majorEastAsia" w:cs="宋体"/>
                <w:b/>
                <w:color w:val="000000"/>
                <w:sz w:val="24"/>
              </w:rPr>
            </w:pPr>
            <w:r>
              <w:rPr>
                <w:rFonts w:asciiTheme="majorEastAsia" w:eastAsiaTheme="majorEastAsia" w:hAnsiTheme="majorEastAsia" w:cs="宋体" w:hint="eastAsia"/>
                <w:b/>
                <w:color w:val="000000"/>
                <w:sz w:val="24"/>
              </w:rPr>
              <w:t>服务内容</w:t>
            </w:r>
          </w:p>
        </w:tc>
        <w:tc>
          <w:tcPr>
            <w:tcW w:w="2126" w:type="dxa"/>
            <w:vAlign w:val="center"/>
          </w:tcPr>
          <w:p w:rsidR="0092471A" w:rsidRPr="0092471A" w:rsidRDefault="0092471A" w:rsidP="006372CD">
            <w:pPr>
              <w:snapToGrid w:val="0"/>
              <w:jc w:val="center"/>
              <w:rPr>
                <w:rFonts w:asciiTheme="majorEastAsia" w:eastAsiaTheme="majorEastAsia" w:hAnsiTheme="majorEastAsia" w:cs="宋体"/>
                <w:b/>
                <w:color w:val="000000"/>
                <w:kern w:val="0"/>
                <w:sz w:val="24"/>
              </w:rPr>
            </w:pPr>
            <w:r w:rsidRPr="0092471A">
              <w:rPr>
                <w:rFonts w:asciiTheme="majorEastAsia" w:eastAsiaTheme="majorEastAsia" w:hAnsiTheme="majorEastAsia" w:cs="宋体" w:hint="eastAsia"/>
                <w:b/>
                <w:color w:val="000000"/>
                <w:kern w:val="0"/>
                <w:sz w:val="24"/>
              </w:rPr>
              <w:t>规格</w:t>
            </w:r>
          </w:p>
        </w:tc>
        <w:tc>
          <w:tcPr>
            <w:tcW w:w="992" w:type="dxa"/>
            <w:vAlign w:val="center"/>
          </w:tcPr>
          <w:p w:rsidR="0092471A" w:rsidRPr="0092471A" w:rsidRDefault="0092471A" w:rsidP="006372CD">
            <w:pPr>
              <w:snapToGrid w:val="0"/>
              <w:jc w:val="center"/>
              <w:rPr>
                <w:rFonts w:asciiTheme="majorEastAsia" w:eastAsiaTheme="majorEastAsia" w:hAnsiTheme="majorEastAsia" w:cs="宋体"/>
                <w:b/>
                <w:color w:val="000000"/>
                <w:kern w:val="0"/>
                <w:sz w:val="24"/>
              </w:rPr>
            </w:pPr>
            <w:r w:rsidRPr="0092471A">
              <w:rPr>
                <w:rFonts w:asciiTheme="majorEastAsia" w:eastAsiaTheme="majorEastAsia" w:hAnsiTheme="majorEastAsia" w:cs="宋体" w:hint="eastAsia"/>
                <w:b/>
                <w:color w:val="000000"/>
                <w:kern w:val="0"/>
                <w:sz w:val="24"/>
              </w:rPr>
              <w:t>数量</w:t>
            </w:r>
          </w:p>
        </w:tc>
        <w:tc>
          <w:tcPr>
            <w:tcW w:w="2930" w:type="dxa"/>
            <w:vAlign w:val="center"/>
          </w:tcPr>
          <w:p w:rsidR="0092471A" w:rsidRPr="0092471A" w:rsidRDefault="0092471A" w:rsidP="006372CD">
            <w:pPr>
              <w:snapToGrid w:val="0"/>
              <w:jc w:val="center"/>
              <w:rPr>
                <w:rFonts w:asciiTheme="majorEastAsia" w:eastAsiaTheme="majorEastAsia" w:hAnsiTheme="majorEastAsia" w:cs="宋体"/>
                <w:b/>
                <w:bCs/>
                <w:color w:val="000000"/>
                <w:sz w:val="24"/>
              </w:rPr>
            </w:pPr>
            <w:r w:rsidRPr="0092471A">
              <w:rPr>
                <w:rFonts w:asciiTheme="majorEastAsia" w:eastAsiaTheme="majorEastAsia" w:hAnsiTheme="majorEastAsia" w:cs="宋体" w:hint="eastAsia"/>
                <w:b/>
                <w:bCs/>
                <w:color w:val="000000"/>
                <w:sz w:val="24"/>
              </w:rPr>
              <w:t>备注</w:t>
            </w:r>
          </w:p>
        </w:tc>
      </w:tr>
      <w:tr w:rsidR="0092471A" w:rsidTr="001E59BD">
        <w:trPr>
          <w:jc w:val="center"/>
        </w:trPr>
        <w:tc>
          <w:tcPr>
            <w:tcW w:w="690" w:type="dxa"/>
            <w:vAlign w:val="center"/>
          </w:tcPr>
          <w:p w:rsidR="0092471A" w:rsidRPr="0092471A" w:rsidRDefault="0092471A" w:rsidP="006372CD">
            <w:pPr>
              <w:snapToGrid w:val="0"/>
              <w:jc w:val="center"/>
              <w:rPr>
                <w:rFonts w:asciiTheme="majorEastAsia" w:eastAsiaTheme="majorEastAsia" w:hAnsiTheme="majorEastAsia" w:cs="宋体"/>
                <w:sz w:val="24"/>
              </w:rPr>
            </w:pPr>
            <w:r w:rsidRPr="0092471A">
              <w:rPr>
                <w:rFonts w:asciiTheme="majorEastAsia" w:eastAsiaTheme="majorEastAsia" w:hAnsiTheme="majorEastAsia" w:cs="宋体" w:hint="eastAsia"/>
                <w:sz w:val="24"/>
              </w:rPr>
              <w:t>1</w:t>
            </w:r>
          </w:p>
        </w:tc>
        <w:tc>
          <w:tcPr>
            <w:tcW w:w="2440" w:type="dxa"/>
            <w:vAlign w:val="center"/>
          </w:tcPr>
          <w:p w:rsidR="0092471A" w:rsidRPr="0092471A" w:rsidRDefault="0092471A" w:rsidP="00866730">
            <w:pPr>
              <w:autoSpaceDE w:val="0"/>
              <w:spacing w:line="530" w:lineRule="exact"/>
              <w:rPr>
                <w:rFonts w:asciiTheme="majorEastAsia" w:eastAsiaTheme="majorEastAsia" w:hAnsiTheme="majorEastAsia" w:cs="宋体"/>
                <w:sz w:val="24"/>
              </w:rPr>
            </w:pPr>
            <w:r w:rsidRPr="0092471A">
              <w:rPr>
                <w:rFonts w:asciiTheme="majorEastAsia" w:eastAsiaTheme="majorEastAsia" w:hAnsiTheme="majorEastAsia" w:cs="宋体" w:hint="eastAsia"/>
                <w:sz w:val="24"/>
              </w:rPr>
              <w:t>螺虫乙酯 .唑虫酰胺</w:t>
            </w:r>
          </w:p>
          <w:p w:rsidR="0092471A" w:rsidRPr="0092471A" w:rsidRDefault="0092471A" w:rsidP="006372CD">
            <w:pPr>
              <w:snapToGrid w:val="0"/>
              <w:jc w:val="center"/>
              <w:rPr>
                <w:rFonts w:asciiTheme="majorEastAsia" w:eastAsiaTheme="majorEastAsia" w:hAnsiTheme="majorEastAsia" w:cs="宋体"/>
                <w:sz w:val="24"/>
              </w:rPr>
            </w:pPr>
            <w:r w:rsidRPr="0092471A">
              <w:rPr>
                <w:rFonts w:asciiTheme="majorEastAsia" w:eastAsiaTheme="majorEastAsia" w:hAnsiTheme="majorEastAsia" w:cs="宋体" w:hint="eastAsia"/>
                <w:sz w:val="24"/>
              </w:rPr>
              <w:t xml:space="preserve"> </w:t>
            </w:r>
          </w:p>
        </w:tc>
        <w:tc>
          <w:tcPr>
            <w:tcW w:w="2126" w:type="dxa"/>
            <w:vAlign w:val="center"/>
          </w:tcPr>
          <w:p w:rsidR="0092471A" w:rsidRPr="0092471A" w:rsidRDefault="000D5987" w:rsidP="0092471A">
            <w:pPr>
              <w:snapToGrid w:val="0"/>
              <w:rPr>
                <w:rFonts w:asciiTheme="majorEastAsia" w:eastAsiaTheme="majorEastAsia" w:hAnsiTheme="majorEastAsia" w:cs="宋体"/>
                <w:sz w:val="24"/>
              </w:rPr>
            </w:pPr>
            <w:r>
              <w:rPr>
                <w:rFonts w:asciiTheme="majorEastAsia" w:eastAsiaTheme="majorEastAsia" w:hAnsiTheme="majorEastAsia" w:cs="宋体" w:hint="eastAsia"/>
                <w:sz w:val="24"/>
              </w:rPr>
              <w:t>500ml*</w:t>
            </w:r>
            <w:r w:rsidR="0092471A" w:rsidRPr="0092471A">
              <w:rPr>
                <w:rFonts w:asciiTheme="majorEastAsia" w:eastAsiaTheme="majorEastAsia" w:hAnsiTheme="majorEastAsia" w:cs="宋体" w:hint="eastAsia"/>
                <w:sz w:val="24"/>
              </w:rPr>
              <w:t>20瓶/</w:t>
            </w:r>
            <w:r w:rsidR="0092471A">
              <w:rPr>
                <w:rFonts w:asciiTheme="majorEastAsia" w:eastAsiaTheme="majorEastAsia" w:hAnsiTheme="majorEastAsia" w:cs="宋体" w:hint="eastAsia"/>
                <w:sz w:val="24"/>
              </w:rPr>
              <w:t>件</w:t>
            </w:r>
          </w:p>
        </w:tc>
        <w:tc>
          <w:tcPr>
            <w:tcW w:w="992" w:type="dxa"/>
            <w:vAlign w:val="center"/>
          </w:tcPr>
          <w:p w:rsidR="0092471A" w:rsidRPr="0092471A" w:rsidRDefault="000D5987" w:rsidP="006372CD">
            <w:pPr>
              <w:snapToGrid w:val="0"/>
              <w:rPr>
                <w:rFonts w:asciiTheme="majorEastAsia" w:eastAsiaTheme="majorEastAsia" w:hAnsiTheme="majorEastAsia" w:cs="宋体"/>
                <w:sz w:val="24"/>
              </w:rPr>
            </w:pPr>
            <w:r>
              <w:rPr>
                <w:rFonts w:asciiTheme="majorEastAsia" w:eastAsiaTheme="majorEastAsia" w:hAnsiTheme="majorEastAsia" w:cs="宋体" w:hint="eastAsia"/>
                <w:sz w:val="24"/>
              </w:rPr>
              <w:t>70</w:t>
            </w:r>
            <w:r w:rsidR="0092471A" w:rsidRPr="0092471A">
              <w:rPr>
                <w:rFonts w:asciiTheme="majorEastAsia" w:eastAsiaTheme="majorEastAsia" w:hAnsiTheme="majorEastAsia" w:cs="宋体" w:hint="eastAsia"/>
                <w:sz w:val="24"/>
              </w:rPr>
              <w:t>件</w:t>
            </w:r>
          </w:p>
        </w:tc>
        <w:tc>
          <w:tcPr>
            <w:tcW w:w="2930" w:type="dxa"/>
            <w:vAlign w:val="center"/>
          </w:tcPr>
          <w:p w:rsidR="0092471A" w:rsidRPr="0092471A" w:rsidRDefault="001E59BD" w:rsidP="006372CD">
            <w:pPr>
              <w:snapToGrid w:val="0"/>
              <w:jc w:val="left"/>
              <w:rPr>
                <w:rFonts w:asciiTheme="majorEastAsia" w:eastAsiaTheme="majorEastAsia" w:hAnsiTheme="majorEastAsia" w:cs="宋体"/>
                <w:sz w:val="24"/>
              </w:rPr>
            </w:pPr>
            <w:r>
              <w:rPr>
                <w:rFonts w:asciiTheme="majorEastAsia" w:eastAsiaTheme="majorEastAsia" w:hAnsiTheme="majorEastAsia" w:cs="宋体" w:hint="eastAsia"/>
                <w:sz w:val="24"/>
              </w:rPr>
              <w:t>总有效成分18%（含）以上</w:t>
            </w:r>
          </w:p>
        </w:tc>
      </w:tr>
      <w:tr w:rsidR="0092471A" w:rsidTr="001E59BD">
        <w:trPr>
          <w:trHeight w:val="1049"/>
          <w:jc w:val="center"/>
        </w:trPr>
        <w:tc>
          <w:tcPr>
            <w:tcW w:w="690" w:type="dxa"/>
            <w:vAlign w:val="center"/>
          </w:tcPr>
          <w:p w:rsidR="0092471A" w:rsidRPr="0092471A" w:rsidRDefault="0092471A" w:rsidP="006372CD">
            <w:pPr>
              <w:snapToGrid w:val="0"/>
              <w:jc w:val="center"/>
              <w:rPr>
                <w:rFonts w:asciiTheme="majorEastAsia" w:eastAsiaTheme="majorEastAsia" w:hAnsiTheme="majorEastAsia" w:cs="宋体"/>
                <w:sz w:val="24"/>
              </w:rPr>
            </w:pPr>
            <w:r w:rsidRPr="0092471A">
              <w:rPr>
                <w:rFonts w:asciiTheme="majorEastAsia" w:eastAsiaTheme="majorEastAsia" w:hAnsiTheme="majorEastAsia" w:cs="宋体" w:hint="eastAsia"/>
                <w:sz w:val="24"/>
              </w:rPr>
              <w:t>2</w:t>
            </w:r>
          </w:p>
        </w:tc>
        <w:tc>
          <w:tcPr>
            <w:tcW w:w="2440" w:type="dxa"/>
            <w:vAlign w:val="center"/>
          </w:tcPr>
          <w:p w:rsidR="0092471A" w:rsidRPr="0092471A" w:rsidRDefault="0092471A" w:rsidP="00866730">
            <w:pPr>
              <w:snapToGrid w:val="0"/>
              <w:rPr>
                <w:rFonts w:asciiTheme="majorEastAsia" w:eastAsiaTheme="majorEastAsia" w:hAnsiTheme="majorEastAsia" w:cs="宋体"/>
                <w:bCs/>
                <w:color w:val="000000"/>
                <w:kern w:val="0"/>
                <w:sz w:val="24"/>
              </w:rPr>
            </w:pPr>
            <w:r w:rsidRPr="0092471A">
              <w:rPr>
                <w:rFonts w:asciiTheme="majorEastAsia" w:eastAsiaTheme="majorEastAsia" w:hAnsiTheme="majorEastAsia" w:cs="宋体" w:hint="eastAsia"/>
                <w:sz w:val="24"/>
              </w:rPr>
              <w:t xml:space="preserve">螺虫.噻虫嗪 </w:t>
            </w:r>
          </w:p>
        </w:tc>
        <w:tc>
          <w:tcPr>
            <w:tcW w:w="2126" w:type="dxa"/>
            <w:vAlign w:val="center"/>
          </w:tcPr>
          <w:p w:rsidR="0092471A" w:rsidRPr="0092471A" w:rsidRDefault="0092471A" w:rsidP="0092471A">
            <w:pPr>
              <w:snapToGrid w:val="0"/>
              <w:rPr>
                <w:rFonts w:asciiTheme="majorEastAsia" w:eastAsiaTheme="majorEastAsia" w:hAnsiTheme="majorEastAsia" w:cs="宋体"/>
                <w:color w:val="FF0000"/>
                <w:kern w:val="0"/>
                <w:sz w:val="24"/>
              </w:rPr>
            </w:pPr>
            <w:r w:rsidRPr="0092471A">
              <w:rPr>
                <w:rFonts w:asciiTheme="majorEastAsia" w:eastAsiaTheme="majorEastAsia" w:hAnsiTheme="majorEastAsia" w:cs="宋体" w:hint="eastAsia"/>
                <w:kern w:val="0"/>
                <w:sz w:val="24"/>
              </w:rPr>
              <w:t>30g*100瓶/件</w:t>
            </w:r>
          </w:p>
        </w:tc>
        <w:tc>
          <w:tcPr>
            <w:tcW w:w="992" w:type="dxa"/>
            <w:vAlign w:val="center"/>
          </w:tcPr>
          <w:p w:rsidR="0092471A" w:rsidRPr="0092471A" w:rsidRDefault="000D5987" w:rsidP="0092471A">
            <w:pPr>
              <w:snapToGrid w:val="0"/>
              <w:rPr>
                <w:rFonts w:asciiTheme="majorEastAsia" w:eastAsiaTheme="majorEastAsia" w:hAnsiTheme="majorEastAsia" w:cs="宋体"/>
                <w:color w:val="FF0000"/>
                <w:kern w:val="0"/>
                <w:sz w:val="24"/>
              </w:rPr>
            </w:pPr>
            <w:r>
              <w:rPr>
                <w:rFonts w:asciiTheme="majorEastAsia" w:eastAsiaTheme="majorEastAsia" w:hAnsiTheme="majorEastAsia" w:cs="宋体" w:hint="eastAsia"/>
                <w:kern w:val="0"/>
                <w:sz w:val="24"/>
              </w:rPr>
              <w:t>15</w:t>
            </w:r>
            <w:r w:rsidR="0092471A" w:rsidRPr="0092471A">
              <w:rPr>
                <w:rFonts w:asciiTheme="majorEastAsia" w:eastAsiaTheme="majorEastAsia" w:hAnsiTheme="majorEastAsia" w:cs="宋体" w:hint="eastAsia"/>
                <w:kern w:val="0"/>
                <w:sz w:val="24"/>
              </w:rPr>
              <w:t>件</w:t>
            </w:r>
          </w:p>
        </w:tc>
        <w:tc>
          <w:tcPr>
            <w:tcW w:w="2930" w:type="dxa"/>
            <w:vAlign w:val="center"/>
          </w:tcPr>
          <w:p w:rsidR="0092471A" w:rsidRPr="0092471A" w:rsidRDefault="001E59BD" w:rsidP="006372CD">
            <w:pPr>
              <w:snapToGrid w:val="0"/>
              <w:rPr>
                <w:rFonts w:asciiTheme="majorEastAsia" w:eastAsiaTheme="majorEastAsia" w:hAnsiTheme="majorEastAsia" w:cs="宋体"/>
                <w:color w:val="FF0000"/>
                <w:sz w:val="24"/>
              </w:rPr>
            </w:pPr>
            <w:r>
              <w:rPr>
                <w:rFonts w:asciiTheme="majorEastAsia" w:eastAsiaTheme="majorEastAsia" w:hAnsiTheme="majorEastAsia" w:cs="宋体" w:hint="eastAsia"/>
                <w:sz w:val="24"/>
              </w:rPr>
              <w:t>总有效成分30%（含）以上</w:t>
            </w:r>
          </w:p>
        </w:tc>
      </w:tr>
      <w:tr w:rsidR="0092471A" w:rsidTr="001E59BD">
        <w:trPr>
          <w:trHeight w:val="688"/>
          <w:jc w:val="center"/>
        </w:trPr>
        <w:tc>
          <w:tcPr>
            <w:tcW w:w="690" w:type="dxa"/>
            <w:vAlign w:val="center"/>
          </w:tcPr>
          <w:p w:rsidR="0092471A" w:rsidRPr="0092471A" w:rsidRDefault="0092471A" w:rsidP="006372CD">
            <w:pPr>
              <w:snapToGrid w:val="0"/>
              <w:jc w:val="center"/>
              <w:rPr>
                <w:rFonts w:asciiTheme="majorEastAsia" w:eastAsiaTheme="majorEastAsia" w:hAnsiTheme="majorEastAsia" w:cs="宋体"/>
                <w:sz w:val="24"/>
              </w:rPr>
            </w:pPr>
            <w:r w:rsidRPr="0092471A">
              <w:rPr>
                <w:rFonts w:asciiTheme="majorEastAsia" w:eastAsiaTheme="majorEastAsia" w:hAnsiTheme="majorEastAsia" w:cs="宋体" w:hint="eastAsia"/>
                <w:sz w:val="24"/>
              </w:rPr>
              <w:t xml:space="preserve"> 3 </w:t>
            </w:r>
          </w:p>
        </w:tc>
        <w:tc>
          <w:tcPr>
            <w:tcW w:w="2440" w:type="dxa"/>
          </w:tcPr>
          <w:p w:rsidR="0092471A" w:rsidRPr="0092471A" w:rsidRDefault="0092471A" w:rsidP="00C160DE">
            <w:pPr>
              <w:rPr>
                <w:rFonts w:asciiTheme="majorEastAsia" w:eastAsiaTheme="majorEastAsia" w:hAnsiTheme="majorEastAsia" w:cs="仿宋_GB2312"/>
                <w:color w:val="000000"/>
                <w:kern w:val="0"/>
                <w:sz w:val="24"/>
              </w:rPr>
            </w:pPr>
            <w:r w:rsidRPr="0092471A">
              <w:rPr>
                <w:rFonts w:asciiTheme="majorEastAsia" w:eastAsiaTheme="majorEastAsia" w:hAnsiTheme="majorEastAsia" w:cs="仿宋_GB2312" w:hint="eastAsia"/>
                <w:color w:val="000000"/>
                <w:kern w:val="0"/>
                <w:sz w:val="24"/>
              </w:rPr>
              <w:t>开展技术培训</w:t>
            </w:r>
          </w:p>
        </w:tc>
        <w:tc>
          <w:tcPr>
            <w:tcW w:w="2126" w:type="dxa"/>
            <w:vAlign w:val="center"/>
          </w:tcPr>
          <w:p w:rsidR="0092471A" w:rsidRPr="0092471A" w:rsidRDefault="0092471A" w:rsidP="0092471A">
            <w:pPr>
              <w:snapToGrid w:val="0"/>
              <w:rPr>
                <w:rFonts w:asciiTheme="majorEastAsia" w:eastAsiaTheme="majorEastAsia" w:hAnsiTheme="majorEastAsia" w:cs="宋体"/>
                <w:kern w:val="0"/>
                <w:sz w:val="24"/>
              </w:rPr>
            </w:pPr>
            <w:r w:rsidRPr="0092471A">
              <w:rPr>
                <w:rFonts w:asciiTheme="majorEastAsia" w:eastAsiaTheme="majorEastAsia" w:hAnsiTheme="majorEastAsia" w:cs="宋体" w:hint="eastAsia"/>
                <w:kern w:val="0"/>
                <w:sz w:val="24"/>
              </w:rPr>
              <w:t>30人次以上</w:t>
            </w:r>
          </w:p>
        </w:tc>
        <w:tc>
          <w:tcPr>
            <w:tcW w:w="992" w:type="dxa"/>
            <w:vAlign w:val="center"/>
          </w:tcPr>
          <w:p w:rsidR="0092471A" w:rsidRPr="0092471A" w:rsidRDefault="0092471A" w:rsidP="0092471A">
            <w:pPr>
              <w:snapToGrid w:val="0"/>
              <w:rPr>
                <w:rFonts w:asciiTheme="majorEastAsia" w:eastAsiaTheme="majorEastAsia" w:hAnsiTheme="majorEastAsia" w:cs="宋体"/>
                <w:kern w:val="0"/>
                <w:sz w:val="24"/>
              </w:rPr>
            </w:pPr>
            <w:r w:rsidRPr="0092471A">
              <w:rPr>
                <w:rFonts w:asciiTheme="majorEastAsia" w:eastAsiaTheme="majorEastAsia" w:hAnsiTheme="majorEastAsia" w:cs="宋体" w:hint="eastAsia"/>
                <w:kern w:val="0"/>
                <w:sz w:val="24"/>
              </w:rPr>
              <w:t>1次</w:t>
            </w:r>
          </w:p>
        </w:tc>
        <w:tc>
          <w:tcPr>
            <w:tcW w:w="2930" w:type="dxa"/>
            <w:vAlign w:val="center"/>
          </w:tcPr>
          <w:p w:rsidR="0092471A" w:rsidRPr="0092471A" w:rsidRDefault="0092471A" w:rsidP="006372CD">
            <w:pPr>
              <w:snapToGrid w:val="0"/>
              <w:rPr>
                <w:rFonts w:asciiTheme="majorEastAsia" w:eastAsiaTheme="majorEastAsia" w:hAnsiTheme="majorEastAsia" w:cs="宋体"/>
                <w:sz w:val="24"/>
              </w:rPr>
            </w:pPr>
            <w:r w:rsidRPr="0092471A">
              <w:rPr>
                <w:rFonts w:asciiTheme="majorEastAsia" w:eastAsiaTheme="majorEastAsia" w:hAnsiTheme="majorEastAsia" w:cs="宋体" w:hint="eastAsia"/>
                <w:color w:val="000000"/>
                <w:sz w:val="24"/>
              </w:rPr>
              <w:t xml:space="preserve"> </w:t>
            </w:r>
          </w:p>
        </w:tc>
      </w:tr>
      <w:tr w:rsidR="0092471A" w:rsidTr="001E59BD">
        <w:trPr>
          <w:trHeight w:val="688"/>
          <w:jc w:val="center"/>
        </w:trPr>
        <w:tc>
          <w:tcPr>
            <w:tcW w:w="690" w:type="dxa"/>
            <w:vAlign w:val="center"/>
          </w:tcPr>
          <w:p w:rsidR="0092471A" w:rsidRPr="0092471A" w:rsidRDefault="0092471A" w:rsidP="006372CD">
            <w:pPr>
              <w:snapToGrid w:val="0"/>
              <w:jc w:val="center"/>
              <w:rPr>
                <w:rFonts w:asciiTheme="majorEastAsia" w:eastAsiaTheme="majorEastAsia" w:hAnsiTheme="majorEastAsia" w:cs="宋体"/>
                <w:sz w:val="24"/>
              </w:rPr>
            </w:pPr>
            <w:r w:rsidRPr="0092471A">
              <w:rPr>
                <w:rFonts w:asciiTheme="majorEastAsia" w:eastAsiaTheme="majorEastAsia" w:hAnsiTheme="majorEastAsia" w:cs="宋体" w:hint="eastAsia"/>
                <w:sz w:val="24"/>
              </w:rPr>
              <w:t>4</w:t>
            </w:r>
          </w:p>
        </w:tc>
        <w:tc>
          <w:tcPr>
            <w:tcW w:w="2440" w:type="dxa"/>
          </w:tcPr>
          <w:p w:rsidR="0092471A" w:rsidRPr="0092471A" w:rsidRDefault="0092471A" w:rsidP="00866730">
            <w:pPr>
              <w:autoSpaceDE w:val="0"/>
              <w:spacing w:line="530" w:lineRule="exact"/>
              <w:rPr>
                <w:rFonts w:asciiTheme="majorEastAsia" w:eastAsiaTheme="majorEastAsia" w:hAnsiTheme="majorEastAsia" w:cs="宋体"/>
                <w:sz w:val="24"/>
              </w:rPr>
            </w:pPr>
            <w:r w:rsidRPr="0092471A">
              <w:rPr>
                <w:rFonts w:asciiTheme="majorEastAsia" w:eastAsiaTheme="majorEastAsia" w:hAnsiTheme="majorEastAsia" w:cs="仿宋_GB2312" w:hint="eastAsia"/>
                <w:color w:val="000000"/>
                <w:kern w:val="0"/>
                <w:sz w:val="24"/>
              </w:rPr>
              <w:t>树立展示牌</w:t>
            </w:r>
            <w:r w:rsidRPr="0092471A">
              <w:rPr>
                <w:rFonts w:asciiTheme="majorEastAsia" w:eastAsiaTheme="majorEastAsia" w:hAnsiTheme="majorEastAsia" w:cs="宋体" w:hint="eastAsia"/>
                <w:sz w:val="24"/>
              </w:rPr>
              <w:t xml:space="preserve"> </w:t>
            </w:r>
          </w:p>
          <w:p w:rsidR="0092471A" w:rsidRPr="0092471A" w:rsidRDefault="0092471A" w:rsidP="00C160DE">
            <w:pPr>
              <w:rPr>
                <w:rFonts w:asciiTheme="majorEastAsia" w:eastAsiaTheme="majorEastAsia" w:hAnsiTheme="majorEastAsia" w:cs="仿宋_GB2312"/>
                <w:color w:val="000000"/>
                <w:kern w:val="0"/>
                <w:sz w:val="24"/>
              </w:rPr>
            </w:pPr>
          </w:p>
        </w:tc>
        <w:tc>
          <w:tcPr>
            <w:tcW w:w="2126" w:type="dxa"/>
            <w:vAlign w:val="center"/>
          </w:tcPr>
          <w:p w:rsidR="0092471A" w:rsidRPr="0092471A" w:rsidRDefault="0092471A" w:rsidP="0092471A">
            <w:pPr>
              <w:snapToGrid w:val="0"/>
              <w:rPr>
                <w:rFonts w:asciiTheme="majorEastAsia" w:eastAsiaTheme="majorEastAsia" w:hAnsiTheme="majorEastAsia" w:cs="宋体"/>
                <w:kern w:val="0"/>
                <w:sz w:val="24"/>
              </w:rPr>
            </w:pPr>
            <w:r w:rsidRPr="0092471A">
              <w:rPr>
                <w:rFonts w:asciiTheme="majorEastAsia" w:eastAsiaTheme="majorEastAsia" w:hAnsiTheme="majorEastAsia" w:cs="宋体" w:hint="eastAsia"/>
                <w:kern w:val="0"/>
                <w:sz w:val="24"/>
              </w:rPr>
              <w:t>244cm*122cm</w:t>
            </w:r>
          </w:p>
        </w:tc>
        <w:tc>
          <w:tcPr>
            <w:tcW w:w="992" w:type="dxa"/>
            <w:vAlign w:val="center"/>
          </w:tcPr>
          <w:p w:rsidR="0092471A" w:rsidRPr="0092471A" w:rsidRDefault="0092471A" w:rsidP="0092471A">
            <w:pPr>
              <w:snapToGrid w:val="0"/>
              <w:rPr>
                <w:rFonts w:asciiTheme="majorEastAsia" w:eastAsiaTheme="majorEastAsia" w:hAnsiTheme="majorEastAsia" w:cs="宋体"/>
                <w:kern w:val="0"/>
                <w:sz w:val="24"/>
              </w:rPr>
            </w:pPr>
            <w:r w:rsidRPr="0092471A">
              <w:rPr>
                <w:rFonts w:asciiTheme="majorEastAsia" w:eastAsiaTheme="majorEastAsia" w:hAnsiTheme="majorEastAsia" w:cs="宋体" w:hint="eastAsia"/>
                <w:kern w:val="0"/>
                <w:sz w:val="24"/>
              </w:rPr>
              <w:t>1块</w:t>
            </w:r>
          </w:p>
        </w:tc>
        <w:tc>
          <w:tcPr>
            <w:tcW w:w="2930" w:type="dxa"/>
            <w:vAlign w:val="center"/>
          </w:tcPr>
          <w:p w:rsidR="0092471A" w:rsidRPr="0092471A" w:rsidRDefault="0092471A" w:rsidP="006372CD">
            <w:pPr>
              <w:snapToGrid w:val="0"/>
              <w:rPr>
                <w:rFonts w:asciiTheme="majorEastAsia" w:eastAsiaTheme="majorEastAsia" w:hAnsiTheme="majorEastAsia" w:cs="宋体"/>
                <w:color w:val="000000"/>
                <w:sz w:val="24"/>
              </w:rPr>
            </w:pPr>
          </w:p>
        </w:tc>
      </w:tr>
    </w:tbl>
    <w:p w:rsidR="00866730" w:rsidRPr="00C26971" w:rsidRDefault="00866730" w:rsidP="00866730">
      <w:pPr>
        <w:autoSpaceDE w:val="0"/>
        <w:spacing w:line="530" w:lineRule="exact"/>
        <w:rPr>
          <w:rFonts w:ascii="宋体" w:hAnsi="宋体" w:cs="宋体"/>
          <w:sz w:val="24"/>
        </w:rPr>
      </w:pPr>
    </w:p>
    <w:p w:rsidR="00697D07" w:rsidRPr="00282A0F" w:rsidRDefault="0092471A" w:rsidP="00697D07">
      <w:pPr>
        <w:rPr>
          <w:rFonts w:asciiTheme="majorEastAsia" w:eastAsiaTheme="majorEastAsia" w:hAnsiTheme="majorEastAsia" w:cs="仿宋_GB2312"/>
          <w:color w:val="000000"/>
          <w:kern w:val="0"/>
          <w:sz w:val="28"/>
          <w:szCs w:val="28"/>
        </w:rPr>
      </w:pPr>
      <w:r>
        <w:rPr>
          <w:rFonts w:asciiTheme="majorEastAsia" w:eastAsiaTheme="majorEastAsia" w:hAnsiTheme="majorEastAsia" w:cs="仿宋_GB2312" w:hint="eastAsia"/>
          <w:color w:val="000000"/>
          <w:kern w:val="0"/>
          <w:sz w:val="28"/>
          <w:szCs w:val="28"/>
        </w:rPr>
        <w:t xml:space="preserve">             </w:t>
      </w:r>
    </w:p>
    <w:sectPr w:rsidR="00697D07" w:rsidRPr="00282A0F" w:rsidSect="002046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BDC" w:rsidRDefault="00B60BDC" w:rsidP="007D6C90">
      <w:r>
        <w:separator/>
      </w:r>
    </w:p>
  </w:endnote>
  <w:endnote w:type="continuationSeparator" w:id="0">
    <w:p w:rsidR="00B60BDC" w:rsidRDefault="00B60BDC" w:rsidP="007D6C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Microsoft YaHei U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BDC" w:rsidRDefault="00B60BDC" w:rsidP="007D6C90">
      <w:r>
        <w:separator/>
      </w:r>
    </w:p>
  </w:footnote>
  <w:footnote w:type="continuationSeparator" w:id="0">
    <w:p w:rsidR="00B60BDC" w:rsidRDefault="00B60BDC" w:rsidP="007D6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D01A"/>
    <w:multiLevelType w:val="singleLevel"/>
    <w:tmpl w:val="08A5D01A"/>
    <w:lvl w:ilvl="0">
      <w:start w:val="1"/>
      <w:numFmt w:val="decimal"/>
      <w:suff w:val="nothing"/>
      <w:lvlText w:val="%1、"/>
      <w:lvlJc w:val="left"/>
    </w:lvl>
  </w:abstractNum>
  <w:abstractNum w:abstractNumId="1">
    <w:nsid w:val="29A96336"/>
    <w:multiLevelType w:val="multilevel"/>
    <w:tmpl w:val="29A96336"/>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
    <w:nsid w:val="3E296B7A"/>
    <w:multiLevelType w:val="multilevel"/>
    <w:tmpl w:val="3E296B7A"/>
    <w:lvl w:ilvl="0">
      <w:start w:val="1"/>
      <w:numFmt w:val="japaneseCounting"/>
      <w:lvlText w:val="%1、"/>
      <w:lvlJc w:val="left"/>
      <w:pPr>
        <w:tabs>
          <w:tab w:val="num" w:pos="1155"/>
        </w:tabs>
        <w:ind w:left="1155" w:hanging="72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DB4"/>
    <w:rsid w:val="00016664"/>
    <w:rsid w:val="00096B5B"/>
    <w:rsid w:val="000B5F85"/>
    <w:rsid w:val="000D5987"/>
    <w:rsid w:val="000F0F7E"/>
    <w:rsid w:val="000F6C30"/>
    <w:rsid w:val="00123BA7"/>
    <w:rsid w:val="00151AE7"/>
    <w:rsid w:val="001C6842"/>
    <w:rsid w:val="001E59BD"/>
    <w:rsid w:val="002046C5"/>
    <w:rsid w:val="00204E81"/>
    <w:rsid w:val="00282A0F"/>
    <w:rsid w:val="002A77F3"/>
    <w:rsid w:val="002C100D"/>
    <w:rsid w:val="00377586"/>
    <w:rsid w:val="003864DC"/>
    <w:rsid w:val="00422C05"/>
    <w:rsid w:val="00473183"/>
    <w:rsid w:val="004C14F7"/>
    <w:rsid w:val="005151FF"/>
    <w:rsid w:val="00623157"/>
    <w:rsid w:val="00623CA4"/>
    <w:rsid w:val="00670656"/>
    <w:rsid w:val="00697D07"/>
    <w:rsid w:val="006E7886"/>
    <w:rsid w:val="00773BAD"/>
    <w:rsid w:val="007D6C90"/>
    <w:rsid w:val="007E6440"/>
    <w:rsid w:val="00866730"/>
    <w:rsid w:val="00880D33"/>
    <w:rsid w:val="0092471A"/>
    <w:rsid w:val="009446FE"/>
    <w:rsid w:val="00A30896"/>
    <w:rsid w:val="00A33D4B"/>
    <w:rsid w:val="00B4762C"/>
    <w:rsid w:val="00B60BDC"/>
    <w:rsid w:val="00B84145"/>
    <w:rsid w:val="00C167A9"/>
    <w:rsid w:val="00C26971"/>
    <w:rsid w:val="00C97E44"/>
    <w:rsid w:val="00DB1753"/>
    <w:rsid w:val="00DE15EF"/>
    <w:rsid w:val="00E2449D"/>
    <w:rsid w:val="00E6655A"/>
    <w:rsid w:val="00E66DB4"/>
    <w:rsid w:val="00F02927"/>
    <w:rsid w:val="00F73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66DB4"/>
    <w:pPr>
      <w:ind w:leftChars="2500" w:left="100"/>
    </w:pPr>
  </w:style>
  <w:style w:type="character" w:customStyle="1" w:styleId="Char">
    <w:name w:val="日期 Char"/>
    <w:basedOn w:val="a0"/>
    <w:link w:val="a3"/>
    <w:uiPriority w:val="99"/>
    <w:semiHidden/>
    <w:rsid w:val="00E66DB4"/>
    <w:rPr>
      <w:rFonts w:ascii="Times New Roman" w:eastAsia="宋体" w:hAnsi="Times New Roman" w:cs="Times New Roman"/>
      <w:szCs w:val="24"/>
    </w:rPr>
  </w:style>
  <w:style w:type="paragraph" w:styleId="a4">
    <w:name w:val="Body Text"/>
    <w:basedOn w:val="a"/>
    <w:link w:val="Char0"/>
    <w:uiPriority w:val="99"/>
    <w:semiHidden/>
    <w:unhideWhenUsed/>
    <w:rsid w:val="00E66DB4"/>
    <w:pPr>
      <w:spacing w:after="120"/>
    </w:pPr>
  </w:style>
  <w:style w:type="character" w:customStyle="1" w:styleId="Char0">
    <w:name w:val="正文文本 Char"/>
    <w:basedOn w:val="a0"/>
    <w:link w:val="a4"/>
    <w:uiPriority w:val="99"/>
    <w:semiHidden/>
    <w:rsid w:val="00E66DB4"/>
    <w:rPr>
      <w:rFonts w:ascii="Times New Roman" w:eastAsia="宋体" w:hAnsi="Times New Roman" w:cs="Times New Roman"/>
      <w:szCs w:val="24"/>
    </w:rPr>
  </w:style>
  <w:style w:type="paragraph" w:styleId="a5">
    <w:name w:val="Body Text First Indent"/>
    <w:basedOn w:val="a4"/>
    <w:link w:val="Char1"/>
    <w:uiPriority w:val="99"/>
    <w:semiHidden/>
    <w:unhideWhenUsed/>
    <w:rsid w:val="00E66DB4"/>
    <w:pPr>
      <w:ind w:firstLineChars="100" w:firstLine="420"/>
    </w:pPr>
    <w:rPr>
      <w:rFonts w:eastAsia="仿宋_GB2312"/>
      <w:sz w:val="28"/>
      <w:szCs w:val="20"/>
    </w:rPr>
  </w:style>
  <w:style w:type="character" w:customStyle="1" w:styleId="Char1">
    <w:name w:val="正文首行缩进 Char"/>
    <w:basedOn w:val="Char0"/>
    <w:link w:val="a5"/>
    <w:uiPriority w:val="99"/>
    <w:semiHidden/>
    <w:rsid w:val="00E66DB4"/>
    <w:rPr>
      <w:rFonts w:eastAsia="仿宋_GB2312"/>
      <w:sz w:val="28"/>
      <w:szCs w:val="20"/>
    </w:rPr>
  </w:style>
  <w:style w:type="paragraph" w:styleId="a6">
    <w:name w:val="Plain Text"/>
    <w:basedOn w:val="a"/>
    <w:link w:val="Char2"/>
    <w:unhideWhenUsed/>
    <w:qFormat/>
    <w:rsid w:val="00697D07"/>
    <w:pPr>
      <w:spacing w:after="160" w:line="276" w:lineRule="auto"/>
      <w:jc w:val="left"/>
    </w:pPr>
    <w:rPr>
      <w:rFonts w:ascii="宋体" w:eastAsiaTheme="minorEastAsia" w:hAnsi="Courier New" w:cstheme="minorBidi"/>
      <w:sz w:val="22"/>
    </w:rPr>
  </w:style>
  <w:style w:type="character" w:customStyle="1" w:styleId="Char2">
    <w:name w:val="纯文本 Char"/>
    <w:basedOn w:val="a0"/>
    <w:link w:val="a6"/>
    <w:rsid w:val="00697D07"/>
    <w:rPr>
      <w:rFonts w:ascii="宋体" w:hAnsi="Courier New"/>
      <w:sz w:val="22"/>
      <w:szCs w:val="24"/>
    </w:rPr>
  </w:style>
  <w:style w:type="paragraph" w:styleId="a7">
    <w:name w:val="header"/>
    <w:basedOn w:val="a"/>
    <w:link w:val="Char3"/>
    <w:uiPriority w:val="99"/>
    <w:semiHidden/>
    <w:unhideWhenUsed/>
    <w:rsid w:val="007D6C9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7D6C90"/>
    <w:rPr>
      <w:rFonts w:ascii="Times New Roman" w:eastAsia="宋体" w:hAnsi="Times New Roman" w:cs="Times New Roman"/>
      <w:sz w:val="18"/>
      <w:szCs w:val="18"/>
    </w:rPr>
  </w:style>
  <w:style w:type="paragraph" w:styleId="a8">
    <w:name w:val="footer"/>
    <w:basedOn w:val="a"/>
    <w:link w:val="Char4"/>
    <w:uiPriority w:val="99"/>
    <w:unhideWhenUsed/>
    <w:qFormat/>
    <w:rsid w:val="007D6C90"/>
    <w:pPr>
      <w:tabs>
        <w:tab w:val="center" w:pos="4153"/>
        <w:tab w:val="right" w:pos="8306"/>
      </w:tabs>
      <w:snapToGrid w:val="0"/>
      <w:jc w:val="left"/>
    </w:pPr>
    <w:rPr>
      <w:sz w:val="18"/>
      <w:szCs w:val="18"/>
    </w:rPr>
  </w:style>
  <w:style w:type="character" w:customStyle="1" w:styleId="Char4">
    <w:name w:val="页脚 Char"/>
    <w:basedOn w:val="a0"/>
    <w:link w:val="a8"/>
    <w:rsid w:val="007D6C90"/>
    <w:rPr>
      <w:rFonts w:ascii="Times New Roman" w:eastAsia="宋体" w:hAnsi="Times New Roman" w:cs="Times New Roman"/>
      <w:sz w:val="18"/>
      <w:szCs w:val="18"/>
    </w:rPr>
  </w:style>
  <w:style w:type="table" w:styleId="a9">
    <w:name w:val="Table Grid"/>
    <w:basedOn w:val="a1"/>
    <w:uiPriority w:val="59"/>
    <w:rsid w:val="00866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首行缩进 21"/>
    <w:basedOn w:val="a"/>
    <w:uiPriority w:val="99"/>
    <w:qFormat/>
    <w:rsid w:val="00866730"/>
    <w:pPr>
      <w:adjustRightInd w:val="0"/>
      <w:snapToGrid w:val="0"/>
      <w:spacing w:line="400" w:lineRule="exact"/>
      <w:ind w:firstLineChars="200" w:firstLine="420"/>
    </w:pPr>
    <w:rPr>
      <w:sz w:val="28"/>
    </w:rPr>
  </w:style>
</w:styles>
</file>

<file path=word/webSettings.xml><?xml version="1.0" encoding="utf-8"?>
<w:webSettings xmlns:r="http://schemas.openxmlformats.org/officeDocument/2006/relationships" xmlns:w="http://schemas.openxmlformats.org/wordprocessingml/2006/main">
  <w:divs>
    <w:div w:id="337850694">
      <w:bodyDiv w:val="1"/>
      <w:marLeft w:val="0"/>
      <w:marRight w:val="0"/>
      <w:marTop w:val="0"/>
      <w:marBottom w:val="0"/>
      <w:divBdr>
        <w:top w:val="none" w:sz="0" w:space="0" w:color="auto"/>
        <w:left w:val="none" w:sz="0" w:space="0" w:color="auto"/>
        <w:bottom w:val="none" w:sz="0" w:space="0" w:color="auto"/>
        <w:right w:val="none" w:sz="0" w:space="0" w:color="auto"/>
      </w:divBdr>
    </w:div>
    <w:div w:id="633371969">
      <w:bodyDiv w:val="1"/>
      <w:marLeft w:val="0"/>
      <w:marRight w:val="0"/>
      <w:marTop w:val="0"/>
      <w:marBottom w:val="0"/>
      <w:divBdr>
        <w:top w:val="none" w:sz="0" w:space="0" w:color="auto"/>
        <w:left w:val="none" w:sz="0" w:space="0" w:color="auto"/>
        <w:bottom w:val="none" w:sz="0" w:space="0" w:color="auto"/>
        <w:right w:val="none" w:sz="0" w:space="0" w:color="auto"/>
      </w:divBdr>
    </w:div>
    <w:div w:id="1394431072">
      <w:bodyDiv w:val="1"/>
      <w:marLeft w:val="0"/>
      <w:marRight w:val="0"/>
      <w:marTop w:val="0"/>
      <w:marBottom w:val="0"/>
      <w:divBdr>
        <w:top w:val="none" w:sz="0" w:space="0" w:color="auto"/>
        <w:left w:val="none" w:sz="0" w:space="0" w:color="auto"/>
        <w:bottom w:val="none" w:sz="0" w:space="0" w:color="auto"/>
        <w:right w:val="none" w:sz="0" w:space="0" w:color="auto"/>
      </w:divBdr>
    </w:div>
    <w:div w:id="1640304687">
      <w:bodyDiv w:val="1"/>
      <w:marLeft w:val="0"/>
      <w:marRight w:val="0"/>
      <w:marTop w:val="0"/>
      <w:marBottom w:val="0"/>
      <w:divBdr>
        <w:top w:val="none" w:sz="0" w:space="0" w:color="auto"/>
        <w:left w:val="none" w:sz="0" w:space="0" w:color="auto"/>
        <w:bottom w:val="none" w:sz="0" w:space="0" w:color="auto"/>
        <w:right w:val="none" w:sz="0" w:space="0" w:color="auto"/>
      </w:divBdr>
    </w:div>
    <w:div w:id="1924144726">
      <w:bodyDiv w:val="1"/>
      <w:marLeft w:val="0"/>
      <w:marRight w:val="0"/>
      <w:marTop w:val="0"/>
      <w:marBottom w:val="0"/>
      <w:divBdr>
        <w:top w:val="none" w:sz="0" w:space="0" w:color="auto"/>
        <w:left w:val="none" w:sz="0" w:space="0" w:color="auto"/>
        <w:bottom w:val="none" w:sz="0" w:space="0" w:color="auto"/>
        <w:right w:val="none" w:sz="0" w:space="0" w:color="auto"/>
      </w:divBdr>
    </w:div>
    <w:div w:id="205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2025-07-23T07:46:00Z</dcterms:created>
  <dcterms:modified xsi:type="dcterms:W3CDTF">2026-05-11T03:34:00Z</dcterms:modified>
</cp:coreProperties>
</file>