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龙州县财政局投诉处理公告（2026年第1号）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CZZC2026-J1-230024-GXXP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采购流式细胞仪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三、采购日期：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2026-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四、相关当事人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南宁三木顺风商贸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址：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广西壮族自治区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南宁市良庆区百灵路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100号吉丽嘉逸A区一期集中商业05号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龙州县疾病预防控制中心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仿宋_GB2312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地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址：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zh-CN" w:eastAsia="zh-CN"/>
        </w:rPr>
        <w:t>广西壮族自治区崇左市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龙州县龙州镇同顾大道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广西鑫磐工程项目管理有限责任公司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址：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广西壮族自治区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南宁市兴宁区苏州路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15号7层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相关供应商：无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地址：无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当事人：无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地址：无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五、基本情况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投诉人对质疑答复不满意，向本机关提起投诉。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投诉事项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《采购需求》文件中规格参数（技术参数）属于设定的资格、技术、商务条件与采购项目的具体特点和实际需要不相适应情形，并以该不合理条件限制或者排斥潜在供应商，不符合相关规定。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投诉事项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《采购需求》文件中规格参数（技术参数）属于设定的资格、技术、商务条件与采购项目的具体特点和实际需要不相适应情形，并以该不合理条件限制或者排斥潜在供应商，不符合相关规定。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投诉事项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采购需求》文件中规格参数（技术参数）属于设定的资格、技术、商务条件与采购项目的具体特点和实际需要不相适应情形，并以该不合理条件限制或者排斥潜在供应商；以“参加实验室数量”的规模条件对中小企业实施差别待遇或者歧视待遇，不符合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投诉事项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质疑答复书内容表述笼统、含糊不清、避重就轻、敷衍答复等一系列问题。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六、处理依据及结果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（一）处理依据：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《政府采购质疑和投诉办法》（财政部令第94号）第三十一条“投诉人对采购文件提起的投诉事项，财政部门经查证属实的，应当认定投诉事项成立。经认定成立的投诉事项不影响采购结果的，继续开展采购活动；影响或者可能影响采购结果的，财政部门按照下列情况处理：……（二）已确定中标或者成交供应商但尚未签订政府采购合同的，认定中标或者成交结果无效，责令重新开展采购活动。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2.《政府采购质疑和投诉办法》（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财政部令第94号）第二十九条“投诉处理过程中，有下列情形之一的，财政部门应当驳回投诉……（二）投诉事项缺乏事实依据，投诉事项不成立。……”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（二）处理结果：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认定投诉事项1、2、3成立，中标结果无效，责令重新开展采购活动。2.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缺乏事实依据，投诉事项不成立，驳回投诉事项。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七、其他补充事宜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龙州县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财政局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2026年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928" w:right="1531" w:bottom="1587" w:left="1531" w:header="1928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80AF9"/>
    <w:rsid w:val="00C02FC6"/>
    <w:rsid w:val="0FDB6785"/>
    <w:rsid w:val="159445D2"/>
    <w:rsid w:val="162F4479"/>
    <w:rsid w:val="171D50F7"/>
    <w:rsid w:val="1B680AF9"/>
    <w:rsid w:val="204849B9"/>
    <w:rsid w:val="22FB6F02"/>
    <w:rsid w:val="2B5C4797"/>
    <w:rsid w:val="361A2835"/>
    <w:rsid w:val="38474B47"/>
    <w:rsid w:val="557F6867"/>
    <w:rsid w:val="5E1D3074"/>
    <w:rsid w:val="6C470B19"/>
    <w:rsid w:val="6D0515B9"/>
    <w:rsid w:val="700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2026-05-27T07:19:00Z</dcterms:created>
  <dc:creator>Administrator</dc:creator>
  <cp:lastModifiedBy>Administrator</cp:lastModifiedBy>
  <dcterms:modified xsi:type="dcterms:W3CDTF">2026-06-05T03:01:53Z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06503D1CF393415D9A9240226D782FEE</vt:lpwstr>
  </property>
</Properties>
</file>