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武鸣校区7#礼堂及5#学生活动综合楼一层会议</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空间显示系统及家具采购项目</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（GXZC2026-G1-000650-CGZX）</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460" w:lineRule="exact"/>
        <w:rPr>
          <w:rFonts w:hint="eastAsia" w:hAnsi="宋体"/>
          <w:color w:val="auto"/>
          <w:sz w:val="32"/>
          <w:szCs w:val="32"/>
          <w:highlight w:val="none"/>
        </w:rPr>
      </w:pPr>
      <w:bookmarkStart w:id="12" w:name="_GoBack"/>
      <w:r>
        <w:rPr>
          <w:rFonts w:hint="eastAsia" w:hAnsi="宋体"/>
          <w:color w:val="auto"/>
          <w:sz w:val="32"/>
          <w:szCs w:val="32"/>
          <w:highlight w:val="none"/>
        </w:rPr>
        <w:t>各有关供应商：</w:t>
      </w:r>
    </w:p>
    <w:p>
      <w:pPr>
        <w:spacing w:line="460" w:lineRule="exact"/>
        <w:ind w:firstLine="640"/>
        <w:jc w:val="left"/>
        <w:rPr>
          <w:rFonts w:hint="eastAsia" w:hAnsi="宋体"/>
          <w:color w:val="auto"/>
          <w:sz w:val="32"/>
          <w:szCs w:val="32"/>
          <w:highlight w:val="none"/>
          <w:u w:val="single"/>
        </w:rPr>
      </w:pPr>
      <w:r>
        <w:rPr>
          <w:rFonts w:hint="eastAsia" w:hAnsi="宋体"/>
          <w:color w:val="auto"/>
          <w:sz w:val="32"/>
          <w:szCs w:val="32"/>
          <w:highlight w:val="none"/>
        </w:rPr>
        <w:t>我中心受</w:t>
      </w:r>
      <w:r>
        <w:rPr>
          <w:rFonts w:hint="eastAsia" w:hAnsi="宋体"/>
          <w:color w:val="auto"/>
          <w:sz w:val="32"/>
          <w:szCs w:val="32"/>
          <w:highlight w:val="none"/>
          <w:lang w:eastAsia="zh-CN"/>
        </w:rPr>
        <w:t>采购单位</w:t>
      </w:r>
      <w:r>
        <w:rPr>
          <w:rFonts w:hint="eastAsia" w:hAnsi="宋体"/>
          <w:color w:val="auto"/>
          <w:sz w:val="32"/>
          <w:szCs w:val="32"/>
          <w:highlight w:val="none"/>
        </w:rPr>
        <w:t>委托，拟对</w:t>
      </w:r>
      <w:r>
        <w:rPr>
          <w:rFonts w:hint="eastAsia" w:hAnsi="宋体"/>
          <w:color w:val="auto"/>
          <w:sz w:val="32"/>
          <w:szCs w:val="32"/>
          <w:highlight w:val="none"/>
          <w:u w:val="single"/>
        </w:rPr>
        <w:t>武鸣校区7#礼堂及5#学生活动综合楼一层会议空间显示系统及家具采购（GXZC2026-G1-000650-CG</w:t>
      </w:r>
    </w:p>
    <w:p>
      <w:pPr>
        <w:spacing w:line="460" w:lineRule="exact"/>
        <w:jc w:val="both"/>
        <w:rPr>
          <w:rFonts w:hint="eastAsia" w:hAnsi="宋体"/>
          <w:color w:val="auto"/>
          <w:sz w:val="32"/>
          <w:szCs w:val="32"/>
          <w:highlight w:val="none"/>
        </w:rPr>
      </w:pPr>
      <w:r>
        <w:rPr>
          <w:rFonts w:hint="eastAsia" w:hAnsi="宋体"/>
          <w:color w:val="auto"/>
          <w:sz w:val="32"/>
          <w:szCs w:val="32"/>
          <w:highlight w:val="none"/>
          <w:u w:val="single"/>
        </w:rPr>
        <w:t>ZX）</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hAnsi="宋体"/>
          <w:b/>
          <w:bCs/>
          <w:color w:val="auto"/>
          <w:sz w:val="32"/>
          <w:szCs w:val="32"/>
          <w:highlight w:val="none"/>
          <w:u w:val="single"/>
        </w:rPr>
        <w:t>202</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5</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日1</w:t>
      </w:r>
      <w:r>
        <w:rPr>
          <w:rFonts w:hint="eastAsia" w:hAnsi="宋体"/>
          <w:b/>
          <w:bCs/>
          <w:color w:val="auto"/>
          <w:sz w:val="32"/>
          <w:szCs w:val="32"/>
          <w:highlight w:val="none"/>
          <w:u w:val="single"/>
          <w:lang w:val="en-US" w:eastAsia="zh-CN"/>
        </w:rPr>
        <w:t>7</w:t>
      </w:r>
      <w:r>
        <w:rPr>
          <w:rFonts w:hint="eastAsia" w:hAnsi="宋体"/>
          <w:b/>
          <w:bCs/>
          <w:color w:val="auto"/>
          <w:sz w:val="32"/>
          <w:szCs w:val="32"/>
          <w:highlight w:val="none"/>
          <w:u w:val="single"/>
        </w:rPr>
        <w:t>时</w:t>
      </w:r>
      <w:r>
        <w:rPr>
          <w:rFonts w:hint="eastAsia" w:hAnsi="宋体"/>
          <w:color w:val="auto"/>
          <w:sz w:val="32"/>
          <w:szCs w:val="32"/>
          <w:highlight w:val="none"/>
        </w:rPr>
        <w:t>前以书面形式(意见函须加盖公章)向我中心反映，以便我中心完善采购文件。</w:t>
      </w:r>
      <w:r>
        <w:rPr>
          <w:rFonts w:hint="eastAsia" w:hAnsi="宋体"/>
          <w:b/>
          <w:bCs/>
          <w:color w:val="auto"/>
          <w:sz w:val="32"/>
          <w:szCs w:val="32"/>
          <w:highlight w:val="none"/>
        </w:rPr>
        <w:t>如供应商需提交意见函</w:t>
      </w:r>
      <w:r>
        <w:rPr>
          <w:rFonts w:hint="eastAsia" w:hAnsi="宋体"/>
          <w:color w:val="auto"/>
          <w:sz w:val="32"/>
          <w:szCs w:val="32"/>
          <w:highlight w:val="none"/>
        </w:rPr>
        <w:t>，请携带</w:t>
      </w:r>
      <w:r>
        <w:rPr>
          <w:rFonts w:hint="eastAsia" w:hAnsi="宋体"/>
          <w:b/>
          <w:bCs/>
          <w:color w:val="auto"/>
          <w:sz w:val="32"/>
          <w:szCs w:val="32"/>
          <w:highlight w:val="none"/>
        </w:rPr>
        <w:t>企业营业执照（或事业单位法人证书）副本复印件</w:t>
      </w:r>
      <w:r>
        <w:rPr>
          <w:rFonts w:hint="eastAsia" w:hAnsi="宋体"/>
          <w:color w:val="auto"/>
          <w:sz w:val="32"/>
          <w:szCs w:val="32"/>
          <w:highlight w:val="none"/>
        </w:rPr>
        <w:t>（加盖公章，一份）、</w:t>
      </w:r>
      <w:r>
        <w:rPr>
          <w:rFonts w:hint="eastAsia" w:hAnsi="宋体"/>
          <w:b/>
          <w:bCs/>
          <w:color w:val="auto"/>
          <w:sz w:val="32"/>
          <w:szCs w:val="32"/>
          <w:highlight w:val="none"/>
        </w:rPr>
        <w:t>经办人身份证原件及复印件</w:t>
      </w:r>
      <w:r>
        <w:rPr>
          <w:rFonts w:hint="eastAsia" w:hAnsi="宋体"/>
          <w:color w:val="auto"/>
          <w:sz w:val="32"/>
          <w:szCs w:val="32"/>
          <w:highlight w:val="none"/>
        </w:rPr>
        <w:t>（加盖公章，一份）</w:t>
      </w:r>
      <w:r>
        <w:rPr>
          <w:rFonts w:hint="eastAsia" w:hAnsi="宋体"/>
          <w:b/>
          <w:bCs/>
          <w:color w:val="auto"/>
          <w:sz w:val="32"/>
          <w:szCs w:val="32"/>
          <w:highlight w:val="none"/>
        </w:rPr>
        <w:t>提交意见函原件</w:t>
      </w:r>
      <w:r>
        <w:rPr>
          <w:rFonts w:hint="eastAsia" w:hAnsi="宋体"/>
          <w:color w:val="auto"/>
          <w:sz w:val="32"/>
          <w:szCs w:val="32"/>
          <w:highlight w:val="none"/>
        </w:rPr>
        <w:t>。意见函应注明联系人和联系方式。专业人员个人请提交意见签名，并附身份证、职称等复印件。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联系地址：广西南宁市青秀区</w:t>
      </w:r>
      <w:r>
        <w:rPr>
          <w:rFonts w:hint="eastAsia" w:hAnsi="宋体"/>
          <w:b/>
          <w:bCs/>
          <w:color w:val="auto"/>
          <w:sz w:val="32"/>
          <w:szCs w:val="32"/>
          <w:highlight w:val="none"/>
        </w:rPr>
        <w:t>星湖路22号</w:t>
      </w:r>
      <w:r>
        <w:rPr>
          <w:rFonts w:hint="eastAsia" w:hAnsi="宋体"/>
          <w:b w:val="0"/>
          <w:bCs w:val="0"/>
          <w:color w:val="auto"/>
          <w:sz w:val="32"/>
          <w:szCs w:val="32"/>
          <w:highlight w:val="none"/>
        </w:rPr>
        <w:t>广西壮族自治区公</w:t>
      </w:r>
      <w:r>
        <w:rPr>
          <w:rFonts w:hint="eastAsia" w:hAnsi="宋体"/>
          <w:b w:val="0"/>
          <w:bCs w:val="0"/>
          <w:color w:val="auto"/>
          <w:sz w:val="32"/>
          <w:szCs w:val="32"/>
          <w:highlight w:val="none"/>
          <w:lang w:eastAsia="zh-CN"/>
        </w:rPr>
        <w:t>共</w:t>
      </w:r>
      <w:r>
        <w:rPr>
          <w:rFonts w:hint="eastAsia" w:hAnsi="宋体"/>
          <w:b w:val="0"/>
          <w:bCs w:val="0"/>
          <w:color w:val="auto"/>
          <w:sz w:val="32"/>
          <w:szCs w:val="32"/>
          <w:highlight w:val="none"/>
        </w:rPr>
        <w:t>资源交易中心（广西壮族自治区政府采购中心）</w:t>
      </w:r>
      <w:r>
        <w:rPr>
          <w:rFonts w:hint="eastAsia" w:hAnsi="宋体"/>
          <w:b/>
          <w:bCs/>
          <w:color w:val="auto"/>
          <w:sz w:val="32"/>
          <w:szCs w:val="32"/>
          <w:highlight w:val="none"/>
        </w:rPr>
        <w:t xml:space="preserve">综合楼二楼208室 </w:t>
      </w:r>
      <w:r>
        <w:rPr>
          <w:rFonts w:hint="eastAsia" w:hAnsi="宋体"/>
          <w:color w:val="auto"/>
          <w:sz w:val="32"/>
          <w:szCs w:val="32"/>
          <w:highlight w:val="none"/>
        </w:rPr>
        <w:t xml:space="preserve">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联系人：张国铨       联系电话：0771-</w:t>
      </w:r>
      <w:r>
        <w:rPr>
          <w:rFonts w:hint="eastAsia" w:hAnsi="宋体"/>
          <w:color w:val="auto"/>
          <w:sz w:val="32"/>
          <w:szCs w:val="32"/>
          <w:highlight w:val="none"/>
          <w:lang w:val="en-US" w:eastAsia="zh-CN"/>
        </w:rPr>
        <w:t>8600343</w:t>
      </w:r>
    </w:p>
    <w:p>
      <w:pPr>
        <w:spacing w:line="460" w:lineRule="exact"/>
        <w:ind w:firstLine="800" w:firstLineChars="250"/>
        <w:rPr>
          <w:rFonts w:hint="eastAsia" w:hAnsi="宋体"/>
          <w:color w:val="auto"/>
          <w:sz w:val="32"/>
          <w:szCs w:val="32"/>
          <w:highlight w:val="none"/>
        </w:rPr>
      </w:pPr>
      <w:r>
        <w:rPr>
          <w:rFonts w:hint="eastAsia" w:hAnsi="宋体"/>
          <w:color w:val="auto"/>
          <w:sz w:val="32"/>
          <w:szCs w:val="32"/>
          <w:highlight w:val="none"/>
        </w:rPr>
        <w:t>附：武鸣校区7#礼堂及5#学生活动综合楼一层会议空间显示系统及家具采购项目（GXZC2026-G1-000650-CGZX）公开招标文件预公示内容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4</w:t>
      </w:r>
      <w:r>
        <w:rPr>
          <w:rFonts w:hint="eastAsia" w:hAnsi="宋体"/>
          <w:color w:val="auto"/>
          <w:sz w:val="32"/>
          <w:szCs w:val="32"/>
          <w:highlight w:val="none"/>
        </w:rPr>
        <w:t>月</w:t>
      </w:r>
      <w:r>
        <w:rPr>
          <w:rFonts w:hint="eastAsia" w:hAnsi="宋体"/>
          <w:color w:val="auto"/>
          <w:sz w:val="32"/>
          <w:szCs w:val="32"/>
          <w:highlight w:val="none"/>
          <w:lang w:val="en-US" w:eastAsia="zh-CN"/>
        </w:rPr>
        <w:t>29</w:t>
      </w:r>
      <w:r>
        <w:rPr>
          <w:rFonts w:hint="eastAsia" w:hAnsi="宋体"/>
          <w:color w:val="auto"/>
          <w:sz w:val="32"/>
          <w:szCs w:val="32"/>
          <w:highlight w:val="none"/>
        </w:rPr>
        <w:t>日</w:t>
      </w:r>
    </w:p>
    <w:bookmarkEnd w:id="12"/>
    <w:p>
      <w:pPr>
        <w:spacing w:line="460" w:lineRule="exact"/>
        <w:ind w:left="640" w:hanging="640" w:hangingChars="200"/>
        <w:rPr>
          <w:rFonts w:hint="eastAsia" w:hAnsi="宋体"/>
          <w:color w:val="auto"/>
          <w:sz w:val="32"/>
          <w:szCs w:val="32"/>
          <w:highlight w:val="none"/>
        </w:rPr>
      </w:pPr>
    </w:p>
    <w:p>
      <w:pPr>
        <w:spacing w:before="156" w:beforeLines="50"/>
        <w:jc w:val="center"/>
        <w:rPr>
          <w:rFonts w:hint="eastAsia" w:ascii="仿宋_GB2312" w:eastAsia="仿宋_GB2312"/>
          <w:b/>
          <w:color w:val="auto"/>
          <w:sz w:val="72"/>
          <w:szCs w:val="72"/>
          <w:highlight w:val="none"/>
        </w:rPr>
      </w:pPr>
    </w:p>
    <w:p>
      <w:pPr>
        <w:pStyle w:val="229"/>
        <w:widowControl w:val="0"/>
        <w:spacing w:afterLines="0"/>
        <w:ind w:firstLine="3855" w:firstLineChars="1200"/>
        <w:rPr>
          <w:b/>
          <w:color w:val="auto"/>
          <w:sz w:val="32"/>
          <w:szCs w:val="32"/>
          <w:highlight w:val="none"/>
          <w:shd w:val="clear" w:color="auto" w:fill="auto"/>
        </w:rPr>
      </w:pP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color w:val="auto"/>
          <w:highlight w:val="none"/>
          <w:u w:val="single"/>
          <w:shd w:val="clear" w:color="auto" w:fill="auto"/>
        </w:rPr>
        <w:t>武鸣校区7#礼堂及5#学生活动综合楼一层会议空间显示系统及家具采购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 xml:space="preserve"> </w:t>
      </w:r>
      <w:r>
        <w:rPr>
          <w:color w:val="auto"/>
          <w:highlight w:val="none"/>
          <w:shd w:val="clear" w:color="auto" w:fill="auto"/>
          <w:lang w:val="en"/>
        </w:rPr>
        <w:t>月</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项目编号：GXZC2026-G1-000650-CGZX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项目名称：武鸣校区7#礼堂及5#学生活动综合楼一层会议空间显示系统及家具采购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预算总金额（元）：3516000.00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hAnsi="Times New Roman" w:eastAsia="宋体" w:cs="Times New Roman"/>
          <w:color w:val="auto"/>
          <w:highlight w:val="none"/>
          <w:shd w:val="clear" w:color="auto" w:fill="auto"/>
          <w:lang w:val="en-US" w:eastAsia="zh-CN"/>
        </w:rPr>
        <w:t xml:space="preserve"> </w:t>
      </w:r>
      <w:r>
        <w:rPr>
          <w:rFonts w:hint="eastAsia"/>
          <w:color w:val="auto"/>
          <w:highlight w:val="none"/>
          <w:shd w:val="clear" w:color="auto" w:fill="auto"/>
        </w:rPr>
        <w:t>武鸣校区7#礼堂及5#学生活动综合楼一层会议空间显示系统采购</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hAnsi="宋体" w:cs="宋体"/>
          <w:b w:val="0"/>
          <w:color w:val="auto"/>
          <w:kern w:val="0"/>
          <w:szCs w:val="21"/>
          <w:highlight w:val="none"/>
          <w:lang w:val="en-US" w:eastAsia="zh-CN"/>
        </w:rPr>
        <w:t>2535100.</w:t>
      </w:r>
      <w:r>
        <w:rPr>
          <w:rFonts w:hint="eastAsia" w:hAnsi="宋体" w:cs="宋体"/>
          <w:b w:val="0"/>
          <w:color w:val="auto"/>
          <w:kern w:val="0"/>
          <w:szCs w:val="21"/>
          <w:highlight w:val="none"/>
          <w:u w:val="single"/>
          <w:lang w:val="en-US" w:eastAsia="zh-CN"/>
        </w:rPr>
        <w:t>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ascii="宋体" w:hAnsi="宋体" w:eastAsia="宋体" w:cs="宋体"/>
          <w:i w:val="0"/>
          <w:iCs w:val="0"/>
          <w:color w:val="auto"/>
          <w:kern w:val="0"/>
          <w:sz w:val="21"/>
          <w:szCs w:val="21"/>
          <w:highlight w:val="none"/>
          <w:u w:val="none"/>
          <w:lang w:val="en-US" w:eastAsia="zh-CN" w:bidi="ar"/>
        </w:rPr>
        <w:t>舞台背景显示大屏112.5平方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观众席左侧显示大屏4.608平方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观众席右侧显示大屏平方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后舞台背景大屏52.2平方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4K发送卡6套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大屏管理软件1套、背景大屏除湿降温主机4套、管路系统4套、主舞台大屏安装钢结构126平方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观众席大屏安装钢结构12平方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后舞台背景大屏安装钢结构55平方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光纤收发器6套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网络交换机2台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高清硬盘播放器1套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高清云台摄像机3台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196人厅会议显示终端</w:t>
      </w:r>
      <w:r>
        <w:rPr>
          <w:rFonts w:hint="eastAsia" w:ascii="宋体" w:hAnsi="宋体" w:cs="宋体"/>
          <w:i w:val="0"/>
          <w:iCs w:val="0"/>
          <w:color w:val="auto"/>
          <w:kern w:val="0"/>
          <w:sz w:val="21"/>
          <w:szCs w:val="21"/>
          <w:highlight w:val="none"/>
          <w:u w:val="none"/>
          <w:lang w:val="en-US" w:eastAsia="zh-CN" w:bidi="ar"/>
        </w:rPr>
        <w:t>21.5平方；</w:t>
      </w:r>
      <w:r>
        <w:rPr>
          <w:rFonts w:hint="eastAsia" w:ascii="宋体" w:hAnsi="宋体" w:eastAsia="宋体" w:cs="宋体"/>
          <w:i w:val="0"/>
          <w:iCs w:val="0"/>
          <w:color w:val="auto"/>
          <w:kern w:val="0"/>
          <w:sz w:val="21"/>
          <w:szCs w:val="21"/>
          <w:highlight w:val="none"/>
          <w:u w:val="none"/>
          <w:lang w:val="en-US" w:eastAsia="zh-CN" w:bidi="ar"/>
        </w:rPr>
        <w:t>72人厅会议显示终端</w:t>
      </w:r>
      <w:r>
        <w:rPr>
          <w:rFonts w:hint="eastAsia" w:ascii="宋体" w:hAnsi="宋体" w:cs="宋体"/>
          <w:i w:val="0"/>
          <w:iCs w:val="0"/>
          <w:color w:val="auto"/>
          <w:kern w:val="0"/>
          <w:sz w:val="21"/>
          <w:szCs w:val="21"/>
          <w:highlight w:val="none"/>
          <w:u w:val="none"/>
          <w:lang w:val="en-US" w:eastAsia="zh-CN" w:bidi="ar"/>
        </w:rPr>
        <w:t>13平方；</w:t>
      </w:r>
      <w:r>
        <w:rPr>
          <w:rFonts w:hint="eastAsia" w:ascii="宋体" w:hAnsi="宋体" w:eastAsia="宋体" w:cs="宋体"/>
          <w:i w:val="0"/>
          <w:iCs w:val="0"/>
          <w:color w:val="auto"/>
          <w:kern w:val="0"/>
          <w:sz w:val="21"/>
          <w:szCs w:val="21"/>
          <w:highlight w:val="none"/>
          <w:u w:val="none"/>
          <w:lang w:val="en-US" w:eastAsia="zh-CN" w:bidi="ar"/>
        </w:rPr>
        <w:t>LED视频处理器</w:t>
      </w:r>
      <w:r>
        <w:rPr>
          <w:rFonts w:hint="eastAsia" w:ascii="宋体" w:hAnsi="宋体" w:cs="宋体"/>
          <w:i w:val="0"/>
          <w:iCs w:val="0"/>
          <w:color w:val="auto"/>
          <w:kern w:val="0"/>
          <w:sz w:val="21"/>
          <w:szCs w:val="21"/>
          <w:highlight w:val="none"/>
          <w:u w:val="none"/>
          <w:lang w:val="en-US" w:eastAsia="zh-CN" w:bidi="ar"/>
        </w:rPr>
        <w:t>2台；</w:t>
      </w:r>
      <w:r>
        <w:rPr>
          <w:rFonts w:hint="eastAsia" w:ascii="宋体" w:hAnsi="宋体" w:eastAsia="宋体" w:cs="宋体"/>
          <w:i w:val="0"/>
          <w:iCs w:val="0"/>
          <w:color w:val="auto"/>
          <w:kern w:val="0"/>
          <w:sz w:val="21"/>
          <w:szCs w:val="21"/>
          <w:highlight w:val="none"/>
          <w:u w:val="none"/>
          <w:lang w:val="en-US" w:eastAsia="zh-CN" w:bidi="ar"/>
        </w:rPr>
        <w:t>无纸化显示终端电子桌牌</w:t>
      </w:r>
      <w:r>
        <w:rPr>
          <w:rFonts w:hint="eastAsia" w:ascii="宋体" w:hAnsi="宋体" w:cs="宋体"/>
          <w:i w:val="0"/>
          <w:iCs w:val="0"/>
          <w:color w:val="auto"/>
          <w:kern w:val="0"/>
          <w:sz w:val="21"/>
          <w:szCs w:val="21"/>
          <w:highlight w:val="none"/>
          <w:u w:val="none"/>
          <w:lang w:val="en-US" w:eastAsia="zh-CN" w:bidi="ar"/>
        </w:rPr>
        <w:t>10套；</w:t>
      </w:r>
      <w:r>
        <w:rPr>
          <w:rFonts w:hint="eastAsia" w:ascii="宋体" w:hAnsi="宋体" w:eastAsia="宋体" w:cs="宋体"/>
          <w:i w:val="0"/>
          <w:iCs w:val="0"/>
          <w:color w:val="auto"/>
          <w:kern w:val="0"/>
          <w:sz w:val="21"/>
          <w:szCs w:val="21"/>
          <w:highlight w:val="none"/>
          <w:u w:val="none"/>
          <w:lang w:val="en-US" w:eastAsia="zh-CN" w:bidi="ar"/>
        </w:rPr>
        <w:t>交互电子白板</w:t>
      </w:r>
      <w:r>
        <w:rPr>
          <w:rFonts w:hint="eastAsia" w:ascii="宋体" w:hAnsi="宋体" w:cs="宋体"/>
          <w:i w:val="0"/>
          <w:iCs w:val="0"/>
          <w:color w:val="auto"/>
          <w:kern w:val="0"/>
          <w:sz w:val="21"/>
          <w:szCs w:val="21"/>
          <w:highlight w:val="none"/>
          <w:u w:val="none"/>
          <w:lang w:val="en-US" w:eastAsia="zh-CN" w:bidi="ar"/>
        </w:rPr>
        <w:t>1套；</w:t>
      </w:r>
      <w:r>
        <w:rPr>
          <w:rFonts w:hint="eastAsia" w:ascii="宋体" w:hAnsi="宋体" w:eastAsia="宋体" w:cs="宋体"/>
          <w:i w:val="0"/>
          <w:iCs w:val="0"/>
          <w:color w:val="auto"/>
          <w:kern w:val="0"/>
          <w:sz w:val="21"/>
          <w:szCs w:val="21"/>
          <w:highlight w:val="none"/>
          <w:u w:val="none"/>
          <w:lang w:val="en-US" w:eastAsia="zh-CN" w:bidi="ar"/>
        </w:rPr>
        <w:t>视频工作站</w:t>
      </w:r>
      <w:r>
        <w:rPr>
          <w:rFonts w:hint="eastAsia" w:ascii="宋体" w:hAnsi="宋体" w:cs="宋体"/>
          <w:i w:val="0"/>
          <w:iCs w:val="0"/>
          <w:color w:val="auto"/>
          <w:kern w:val="0"/>
          <w:sz w:val="21"/>
          <w:szCs w:val="21"/>
          <w:highlight w:val="none"/>
          <w:u w:val="none"/>
          <w:lang w:val="en-US" w:eastAsia="zh-CN" w:bidi="ar"/>
        </w:rPr>
        <w:t>2套</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二</w:t>
      </w:r>
      <w:r>
        <w:rPr>
          <w:rFonts w:hint="eastAsia" w:ascii="Times New Roman" w:hAnsi="Times New Roman" w:eastAsia="宋体" w:cs="Times New Roman"/>
          <w:color w:val="auto"/>
          <w:highlight w:val="none"/>
          <w:shd w:val="clear" w:color="auto" w:fill="auto"/>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cs="Times New Roman"/>
          <w:color w:val="auto"/>
          <w:highlight w:val="none"/>
          <w:shd w:val="clear" w:color="auto" w:fill="auto"/>
          <w:lang w:eastAsia="zh-CN"/>
        </w:rPr>
        <w:t>：</w:t>
      </w:r>
      <w:r>
        <w:rPr>
          <w:rFonts w:hint="eastAsia"/>
          <w:color w:val="auto"/>
          <w:highlight w:val="none"/>
          <w:shd w:val="clear" w:color="auto" w:fill="auto"/>
        </w:rPr>
        <w:t>武鸣校区7#礼堂及5#学生活动综合楼一层会议空间家具采购</w:t>
      </w:r>
      <w:r>
        <w:rPr>
          <w:rFonts w:hint="eastAsia" w:ascii="Times New Roman" w:hAnsi="Times New Roman" w:eastAsia="宋体" w:cs="Times New Roman"/>
          <w:color w:val="auto"/>
          <w:highlight w:val="none"/>
          <w:shd w:val="clear" w:color="auto" w:fill="auto"/>
        </w:rPr>
        <w:t xml:space="preserve"> </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hAnsi="宋体" w:cs="宋体"/>
          <w:b w:val="0"/>
          <w:color w:val="auto"/>
          <w:kern w:val="0"/>
          <w:szCs w:val="21"/>
          <w:highlight w:val="none"/>
          <w:lang w:val="en-US" w:eastAsia="zh-CN"/>
        </w:rPr>
        <w:t>980900.</w:t>
      </w:r>
      <w:r>
        <w:rPr>
          <w:rFonts w:hint="eastAsia" w:hAnsi="宋体" w:cs="宋体"/>
          <w:b w:val="0"/>
          <w:color w:val="auto"/>
          <w:kern w:val="0"/>
          <w:szCs w:val="21"/>
          <w:highlight w:val="none"/>
          <w:u w:val="single"/>
          <w:lang w:val="en-US" w:eastAsia="zh-CN"/>
        </w:rPr>
        <w:t>00</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简要规格描述或项目基本概况介绍、用途：</w:t>
      </w:r>
      <w:r>
        <w:rPr>
          <w:rFonts w:hint="eastAsia" w:ascii="宋体" w:hAnsi="宋体" w:eastAsia="宋体" w:cs="宋体"/>
          <w:i w:val="0"/>
          <w:iCs w:val="0"/>
          <w:color w:val="auto"/>
          <w:kern w:val="0"/>
          <w:sz w:val="21"/>
          <w:szCs w:val="21"/>
          <w:highlight w:val="none"/>
          <w:u w:val="none"/>
          <w:lang w:val="en-US" w:eastAsia="zh-CN" w:bidi="ar"/>
        </w:rPr>
        <w:t>550mm中心距礼堂椅999张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600mm中心距礼堂椅19张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舞台会议椅72张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1400mm舞台会议桌4张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2100mm舞台会议桌1张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演讲台1个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1500mm会议桌2张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9500mm会议桌1张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办公椅20把</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接待沙发16张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1400mm会议桌40张等。</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eastAsia="zh-CN"/>
        </w:rPr>
      </w:pPr>
      <w:r>
        <w:rPr>
          <w:rFonts w:hint="eastAsia" w:ascii="Times New Roman" w:hAnsi="Times New Roman" w:eastAsia="宋体" w:cs="Times New Roman"/>
          <w:color w:val="auto"/>
          <w:highlight w:val="none"/>
          <w:shd w:val="clear" w:color="auto" w:fill="auto"/>
        </w:rPr>
        <w:t>最高限价（如有）：</w:t>
      </w:r>
      <w:r>
        <w:rPr>
          <w:rFonts w:hint="default" w:ascii="Times New Roman" w:hAnsi="Times New Roman" w:eastAsia="宋体" w:cs="Times New Roman"/>
          <w:color w:val="auto"/>
          <w:highlight w:val="none"/>
          <w:shd w:val="clear" w:color="auto" w:fill="auto"/>
          <w:lang w:val="en" w:eastAsia="zh-C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color w:val="auto"/>
          <w:highlight w:val="none"/>
          <w:shd w:val="clear" w:color="auto" w:fill="auto"/>
          <w:lang w:val="en"/>
        </w:rPr>
        <w:t>分标1</w:t>
      </w:r>
      <w:r>
        <w:rPr>
          <w:rFonts w:hint="eastAsia"/>
          <w:color w:val="auto"/>
          <w:highlight w:val="none"/>
          <w:shd w:val="clear" w:color="auto" w:fill="auto"/>
          <w:lang w:val="en" w:eastAsia="zh-CN"/>
        </w:rPr>
        <w:t>、</w:t>
      </w:r>
      <w:r>
        <w:rPr>
          <w:rFonts w:hint="eastAsia"/>
          <w:color w:val="auto"/>
          <w:highlight w:val="none"/>
          <w:shd w:val="clear" w:color="auto" w:fill="auto"/>
          <w:lang w:val="en-US" w:eastAsia="zh-CN"/>
        </w:rPr>
        <w:t>2</w:t>
      </w:r>
      <w:r>
        <w:rPr>
          <w:rFonts w:hint="eastAsia"/>
          <w:color w:val="auto"/>
          <w:highlight w:val="none"/>
          <w:shd w:val="clear" w:color="auto" w:fill="auto"/>
        </w:rPr>
        <w:t xml:space="preserve">无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color w:val="auto"/>
          <w:highlight w:val="none"/>
          <w:shd w:val="clear" w:color="auto" w:fill="auto"/>
        </w:rPr>
        <w:t>，每天上午0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rFonts w:hint="eastAsia"/>
          <w:color w:val="auto"/>
          <w:highlight w:val="none"/>
          <w:u w:val="single"/>
          <w:shd w:val="clear" w:color="auto" w:fill="auto"/>
          <w:lang w:val="en"/>
        </w:rPr>
        <w:t>202</w:t>
      </w:r>
      <w:r>
        <w:rPr>
          <w:rFonts w:hint="eastAsia"/>
          <w:color w:val="auto"/>
          <w:highlight w:val="none"/>
          <w:u w:val="single"/>
          <w:shd w:val="clear" w:color="auto" w:fill="auto"/>
          <w:lang w:val="en-US" w:eastAsia="zh-CN"/>
        </w:rPr>
        <w:t>6</w:t>
      </w:r>
      <w:r>
        <w:rPr>
          <w:rFonts w:hint="eastAsia"/>
          <w:color w:val="auto"/>
          <w:highlight w:val="none"/>
          <w:u w:val="single"/>
          <w:shd w:val="clear" w:color="auto" w:fill="auto"/>
          <w:lang w:val="en"/>
        </w:rPr>
        <w:t>年</w:t>
      </w:r>
      <w:r>
        <w:rPr>
          <w:rFonts w:hint="eastAsia"/>
          <w:color w:val="auto"/>
          <w:highlight w:val="none"/>
          <w:u w:val="single"/>
          <w:shd w:val="clear" w:color="auto" w:fill="auto"/>
          <w:lang w:val="en-US" w:eastAsia="zh-CN"/>
        </w:rPr>
        <w:t xml:space="preserve"> </w:t>
      </w:r>
      <w:r>
        <w:rPr>
          <w:rFonts w:hint="default"/>
          <w:color w:val="auto"/>
          <w:highlight w:val="none"/>
          <w:u w:val="single"/>
          <w:shd w:val="clear" w:color="auto" w:fill="auto"/>
          <w:lang w:val="en" w:eastAsia="zh-CN"/>
        </w:rPr>
        <w:t xml:space="preserve">  </w:t>
      </w:r>
      <w:r>
        <w:rPr>
          <w:rFonts w:hint="eastAsia"/>
          <w:color w:val="auto"/>
          <w:highlight w:val="none"/>
          <w:u w:val="single"/>
          <w:shd w:val="clear" w:color="auto" w:fill="auto"/>
          <w:lang w:val="en"/>
        </w:rPr>
        <w:t>月</w:t>
      </w:r>
      <w:r>
        <w:rPr>
          <w:rFonts w:hint="default"/>
          <w:color w:val="auto"/>
          <w:highlight w:val="none"/>
          <w:u w:val="single"/>
          <w:shd w:val="clear" w:color="auto" w:fill="auto"/>
          <w:lang w:val="en"/>
        </w:rPr>
        <w:t xml:space="preserve">   </w:t>
      </w:r>
      <w:r>
        <w:rPr>
          <w:rFonts w:hint="default"/>
          <w:color w:val="auto"/>
          <w:highlight w:val="none"/>
          <w:u w:val="single"/>
          <w:shd w:val="clear" w:color="auto" w:fill="auto"/>
          <w:lang w:val="en-US"/>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开标时间：</w:t>
      </w:r>
      <w:r>
        <w:rPr>
          <w:rFonts w:hint="eastAsia"/>
          <w:color w:val="auto"/>
          <w:highlight w:val="none"/>
          <w:u w:val="single"/>
          <w:shd w:val="clear" w:color="auto" w:fill="auto"/>
          <w:lang w:val="en"/>
        </w:rPr>
        <w:t>202</w:t>
      </w:r>
      <w:r>
        <w:rPr>
          <w:rFonts w:hint="eastAsia"/>
          <w:color w:val="auto"/>
          <w:highlight w:val="none"/>
          <w:u w:val="single"/>
          <w:shd w:val="clear" w:color="auto" w:fill="auto"/>
          <w:lang w:val="en-US" w:eastAsia="zh-CN"/>
        </w:rPr>
        <w:t>6</w:t>
      </w:r>
      <w:r>
        <w:rPr>
          <w:rFonts w:hint="eastAsia"/>
          <w:color w:val="auto"/>
          <w:highlight w:val="none"/>
          <w:u w:val="single"/>
          <w:shd w:val="clear" w:color="auto" w:fill="auto"/>
          <w:lang w:val="en"/>
        </w:rPr>
        <w:t>年</w:t>
      </w:r>
      <w:r>
        <w:rPr>
          <w:rFonts w:hint="eastAsia"/>
          <w:color w:val="auto"/>
          <w:highlight w:val="none"/>
          <w:u w:val="single"/>
          <w:shd w:val="clear" w:color="auto" w:fill="auto"/>
          <w:lang w:val="en-US" w:eastAsia="zh-CN"/>
        </w:rPr>
        <w:t xml:space="preserve"> </w:t>
      </w:r>
      <w:r>
        <w:rPr>
          <w:rFonts w:hint="default"/>
          <w:color w:val="auto"/>
          <w:highlight w:val="none"/>
          <w:u w:val="single"/>
          <w:shd w:val="clear" w:color="auto" w:fill="auto"/>
          <w:lang w:val="en" w:eastAsia="zh-CN"/>
        </w:rPr>
        <w:t xml:space="preserve">  </w:t>
      </w:r>
      <w:r>
        <w:rPr>
          <w:rFonts w:hint="eastAsia"/>
          <w:color w:val="auto"/>
          <w:highlight w:val="none"/>
          <w:u w:val="single"/>
          <w:shd w:val="clear" w:color="auto" w:fill="auto"/>
          <w:lang w:val="en"/>
        </w:rPr>
        <w:t>月</w:t>
      </w:r>
      <w:r>
        <w:rPr>
          <w:rFonts w:hint="default"/>
          <w:color w:val="auto"/>
          <w:highlight w:val="none"/>
          <w:u w:val="single"/>
          <w:shd w:val="clear" w:color="auto" w:fill="auto"/>
          <w:lang w:val="en"/>
        </w:rPr>
        <w:t xml:space="preserve">   </w:t>
      </w:r>
      <w:r>
        <w:rPr>
          <w:rFonts w:hint="default"/>
          <w:color w:val="auto"/>
          <w:highlight w:val="none"/>
          <w:u w:val="single"/>
          <w:shd w:val="clear" w:color="auto" w:fill="auto"/>
          <w:lang w:val="en-US"/>
        </w:rPr>
        <w:t>日</w:t>
      </w:r>
      <w:r>
        <w:rPr>
          <w:rFonts w:hint="eastAsia"/>
          <w:color w:val="auto"/>
          <w:highlight w:val="none"/>
          <w:shd w:val="clear" w:color="auto" w:fill="auto"/>
        </w:rPr>
        <w:t>10:00</w:t>
      </w:r>
      <w:r>
        <w:rPr>
          <w:rFonts w:hint="eastAsia"/>
          <w:color w:val="auto"/>
          <w:highlight w:val="none"/>
          <w:u w:val="single"/>
          <w:shd w:val="clear" w:color="auto" w:fill="auto"/>
        </w:rPr>
        <w:t>（北京时间）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 xml:space="preserve"> 2 </w:t>
      </w:r>
      <w:r>
        <w:rPr>
          <w:rFonts w:hint="eastAsia"/>
          <w:b/>
          <w:bCs/>
          <w:color w:val="auto"/>
          <w:highlight w:val="none"/>
          <w:shd w:val="clear" w:color="auto" w:fill="auto"/>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2：</w:t>
      </w:r>
      <w:r>
        <w:rPr>
          <w:rFonts w:hint="eastAsia"/>
          <w:b/>
          <w:bCs/>
          <w:color w:val="auto"/>
          <w:highlight w:val="none"/>
          <w:u w:val="single"/>
          <w:shd w:val="clear" w:color="auto" w:fill="auto"/>
          <w:lang w:val="en-US" w:eastAsia="zh-CN"/>
        </w:rPr>
        <w:t xml:space="preserve"> 0.9 </w:t>
      </w:r>
      <w:r>
        <w:rPr>
          <w:rFonts w:hint="eastAsia"/>
          <w:b/>
          <w:bCs/>
          <w:color w:val="auto"/>
          <w:highlight w:val="none"/>
          <w:shd w:val="clear" w:color="auto" w:fill="auto"/>
          <w:lang w:val="en-US" w:eastAsia="zh-CN"/>
        </w:rPr>
        <w:t>万元。</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int="eastAsia" w:hAnsi="Times New Roman" w:cs="Times New Roman"/>
          <w:b w:val="0"/>
          <w:color w:val="auto"/>
          <w:kern w:val="2"/>
          <w:szCs w:val="24"/>
          <w:highlight w:val="none"/>
          <w:shd w:val="clear" w:color="auto" w:fill="auto"/>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名   称：广西建设职业技术学院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地   址：广西南宁市西乡塘区罗文大道33号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项目联系人：朱国伟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项目联系方式：0771-3822569 </w:t>
      </w:r>
      <w:r>
        <w:rPr>
          <w:rFonts w:hint="eastAsia"/>
          <w:color w:val="auto"/>
          <w:highlight w:val="none"/>
          <w:u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0771-8600343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 xml:space="preserve">                                </w:t>
      </w:r>
    </w:p>
    <w:p>
      <w:pPr>
        <w:pageBreakBefore w:val="0"/>
        <w:widowControl w:val="0"/>
        <w:kinsoku/>
        <w:wordWrap/>
        <w:overflowPunct/>
        <w:topLinePunct w:val="0"/>
        <w:autoSpaceDE/>
        <w:autoSpaceDN/>
        <w:bidi w:val="0"/>
        <w:snapToGrid w:val="0"/>
        <w:spacing w:line="320" w:lineRule="exact"/>
        <w:ind w:left="238"/>
        <w:jc w:val="center"/>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snapToGrid w:val="0"/>
        <w:spacing w:line="320" w:lineRule="exact"/>
        <w:ind w:left="238"/>
        <w:jc w:val="center"/>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snapToGrid w:val="0"/>
        <w:spacing w:line="320" w:lineRule="exact"/>
        <w:ind w:left="238"/>
        <w:jc w:val="center"/>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default" w:ascii="宋体" w:hAnsi="宋体" w:cs="宋体"/>
          <w:color w:val="auto"/>
          <w:highlight w:val="none"/>
          <w:shd w:val="clear" w:color="auto" w:fill="auto"/>
          <w:lang w:val="en"/>
        </w:rPr>
        <w:t xml:space="preserve">                                            </w:t>
      </w:r>
      <w:r>
        <w:rPr>
          <w:rFonts w:hint="eastAsia" w:ascii="宋体" w:hAnsi="宋体" w:cs="宋体"/>
          <w:color w:val="auto"/>
          <w:highlight w:val="none"/>
          <w:shd w:val="clear" w:color="auto" w:fill="auto"/>
        </w:rPr>
        <w:t>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hint="default" w:ascii="宋体" w:hAnsi="宋体" w:cs="宋体"/>
          <w:color w:val="auto"/>
          <w:highlight w:val="none"/>
          <w:shd w:val="clear" w:color="auto" w:fill="auto"/>
          <w:lang w:val="en"/>
        </w:rPr>
        <w:t xml:space="preserve">              </w:t>
      </w: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jc w:val="center"/>
        <w:rPr>
          <w:rFonts w:hint="eastAsia"/>
          <w:color w:val="auto"/>
          <w:highlight w:val="none"/>
        </w:rPr>
      </w:pPr>
      <w:r>
        <w:rPr>
          <w:rFonts w:hint="eastAsia" w:ascii="宋体" w:hAnsi="宋体"/>
          <w:b/>
          <w:bCs/>
          <w:color w:val="auto"/>
          <w:sz w:val="36"/>
          <w:szCs w:val="36"/>
          <w:highlight w:val="none"/>
        </w:rPr>
        <w:t>招标项目采购需求</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3、凡在“技术参数及性能（配置）要求”中表述为“标配”或“标准配置”的设备，投标人应在投标报价明细表中将其标配参数详细列明。</w:t>
      </w:r>
    </w:p>
    <w:p>
      <w:pPr>
        <w:snapToGrid w:val="0"/>
        <w:spacing w:line="400" w:lineRule="exact"/>
        <w:ind w:firstLine="421"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4、招标文件中标记“</w:t>
      </w:r>
      <w:bookmarkStart w:id="2" w:name="OLE_LINK13"/>
      <w:r>
        <w:rPr>
          <w:rFonts w:hint="eastAsia" w:asciiTheme="minorEastAsia" w:hAnsiTheme="minorEastAsia" w:eastAsiaTheme="minorEastAsia" w:cstheme="minorEastAsia"/>
          <w:b/>
          <w:bCs/>
          <w:color w:val="auto"/>
          <w:sz w:val="21"/>
          <w:szCs w:val="21"/>
          <w:highlight w:val="none"/>
        </w:rPr>
        <w:t>▲</w:t>
      </w:r>
      <w:bookmarkEnd w:id="2"/>
      <w:r>
        <w:rPr>
          <w:rFonts w:hint="eastAsia" w:asciiTheme="minorEastAsia" w:hAnsiTheme="minorEastAsia" w:eastAsiaTheme="minorEastAsia" w:cstheme="minorEastAsia"/>
          <w:b/>
          <w:bCs/>
          <w:color w:val="auto"/>
          <w:sz w:val="21"/>
          <w:szCs w:val="21"/>
          <w:highlight w:val="none"/>
        </w:rPr>
        <w:t>”的条款为本次采购的实质性(关键性)的商务、技术或服务要求，投标人须满足或优于，否则，将会被认定为无效投标。</w:t>
      </w:r>
      <w:bookmarkStart w:id="3" w:name="OLE_LINK7"/>
      <w:r>
        <w:rPr>
          <w:rFonts w:hint="eastAsia" w:asciiTheme="minorEastAsia" w:hAnsiTheme="minorEastAsia" w:eastAsiaTheme="minorEastAsia" w:cstheme="minorEastAsia"/>
          <w:b/>
          <w:bCs/>
          <w:color w:val="auto"/>
          <w:sz w:val="21"/>
          <w:szCs w:val="21"/>
          <w:highlight w:val="none"/>
        </w:rPr>
        <w:t>标记“</w:t>
      </w:r>
      <w:bookmarkStart w:id="4" w:name="OLE_LINK6"/>
      <w:r>
        <w:rPr>
          <w:rFonts w:hint="eastAsia" w:asciiTheme="minorEastAsia" w:hAnsiTheme="minorEastAsia" w:eastAsiaTheme="minorEastAsia" w:cstheme="minorEastAsia"/>
          <w:b/>
          <w:bCs/>
          <w:color w:val="auto"/>
          <w:sz w:val="21"/>
          <w:szCs w:val="21"/>
          <w:highlight w:val="none"/>
        </w:rPr>
        <w:t>★</w:t>
      </w:r>
      <w:bookmarkEnd w:id="4"/>
      <w:r>
        <w:rPr>
          <w:rFonts w:hint="eastAsia" w:asciiTheme="minorEastAsia" w:hAnsiTheme="minorEastAsia" w:eastAsiaTheme="minorEastAsia" w:cstheme="minorEastAsia"/>
          <w:b/>
          <w:bCs/>
          <w:color w:val="auto"/>
          <w:sz w:val="21"/>
          <w:szCs w:val="21"/>
          <w:highlight w:val="none"/>
        </w:rPr>
        <w:t>”的</w:t>
      </w:r>
      <w:bookmarkEnd w:id="3"/>
      <w:r>
        <w:rPr>
          <w:rFonts w:hint="eastAsia" w:asciiTheme="minorEastAsia" w:hAnsiTheme="minorEastAsia" w:eastAsiaTheme="minorEastAsia" w:cstheme="minorEastAsia"/>
          <w:b/>
          <w:bCs/>
          <w:color w:val="auto"/>
          <w:sz w:val="21"/>
          <w:szCs w:val="21"/>
          <w:highlight w:val="none"/>
        </w:rPr>
        <w:t>技术参数正偏离作为加分项。</w:t>
      </w:r>
    </w:p>
    <w:p>
      <w:pPr>
        <w:snapToGrid w:val="0"/>
        <w:spacing w:line="400" w:lineRule="exact"/>
        <w:ind w:firstLine="421"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5、本项目标的所属行业均为：</w:t>
      </w:r>
      <w:r>
        <w:rPr>
          <w:rFonts w:hint="eastAsia" w:asciiTheme="minorEastAsia" w:hAnsiTheme="minorEastAsia" w:eastAsiaTheme="minorEastAsia" w:cstheme="minorEastAsia"/>
          <w:b/>
          <w:bCs/>
          <w:color w:val="auto"/>
          <w:sz w:val="21"/>
          <w:szCs w:val="21"/>
          <w:highlight w:val="none"/>
          <w:u w:val="single"/>
        </w:rPr>
        <w:t xml:space="preserve">   工业    </w:t>
      </w:r>
      <w:r>
        <w:rPr>
          <w:rFonts w:hint="eastAsia" w:asciiTheme="minorEastAsia" w:hAnsiTheme="minorEastAsia" w:eastAsiaTheme="minorEastAsia" w:cstheme="minorEastAsia"/>
          <w:b/>
          <w:bCs/>
          <w:color w:val="auto"/>
          <w:sz w:val="21"/>
          <w:szCs w:val="21"/>
          <w:highlight w:val="none"/>
        </w:rPr>
        <w:t>；划分依据：《关于印发中小企业划型标准规定的通知》（工信部联企业[2011]300号）</w:t>
      </w:r>
      <w:r>
        <w:rPr>
          <w:rFonts w:hint="eastAsia" w:asciiTheme="minorEastAsia" w:hAnsiTheme="minorEastAsia" w:eastAsiaTheme="minorEastAsia" w:cstheme="minorEastAsia"/>
          <w:b/>
          <w:bCs/>
          <w:color w:val="auto"/>
          <w:sz w:val="21"/>
          <w:szCs w:val="21"/>
          <w:highlight w:val="none"/>
          <w:lang w:eastAsia="zh-CN"/>
        </w:rPr>
        <w:t>。</w:t>
      </w: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rPr>
        <w:t>6、本项目采购预算：</w:t>
      </w:r>
      <w:r>
        <w:rPr>
          <w:rFonts w:hint="eastAsia" w:asciiTheme="minorEastAsia" w:hAnsiTheme="minorEastAsia" w:eastAsiaTheme="minorEastAsia" w:cstheme="minorEastAsia"/>
          <w:b/>
          <w:bCs/>
          <w:color w:val="auto"/>
          <w:kern w:val="0"/>
          <w:sz w:val="21"/>
          <w:szCs w:val="21"/>
          <w:highlight w:val="none"/>
          <w:u w:val="none"/>
          <w:lang w:val="en-US" w:eastAsia="zh-CN"/>
        </w:rPr>
        <w:t>3516000.00</w:t>
      </w:r>
      <w:r>
        <w:rPr>
          <w:rFonts w:hint="eastAsia" w:asciiTheme="minorEastAsia" w:hAnsiTheme="minorEastAsia" w:eastAsiaTheme="minorEastAsia" w:cstheme="minorEastAsia"/>
          <w:b/>
          <w:bCs/>
          <w:color w:val="auto"/>
          <w:kern w:val="0"/>
          <w:sz w:val="21"/>
          <w:szCs w:val="21"/>
          <w:highlight w:val="none"/>
        </w:rPr>
        <w:t>元。</w:t>
      </w:r>
      <w:r>
        <w:rPr>
          <w:rFonts w:hint="eastAsia" w:asciiTheme="minorEastAsia" w:hAnsiTheme="minorEastAsia" w:eastAsiaTheme="minorEastAsia" w:cstheme="minorEastAsia"/>
          <w:b/>
          <w:bCs/>
          <w:color w:val="auto"/>
          <w:kern w:val="0"/>
          <w:sz w:val="21"/>
          <w:szCs w:val="21"/>
          <w:highlight w:val="none"/>
          <w:lang w:eastAsia="zh-CN"/>
        </w:rPr>
        <w:t>分标</w:t>
      </w:r>
      <w:r>
        <w:rPr>
          <w:rFonts w:hint="eastAsia" w:asciiTheme="minorEastAsia" w:hAnsiTheme="minorEastAsia" w:eastAsiaTheme="minorEastAsia" w:cstheme="minorEastAsia"/>
          <w:b/>
          <w:bCs/>
          <w:color w:val="auto"/>
          <w:kern w:val="0"/>
          <w:sz w:val="21"/>
          <w:szCs w:val="21"/>
          <w:highlight w:val="none"/>
          <w:lang w:val="en-US" w:eastAsia="zh-CN"/>
        </w:rPr>
        <w:t>1：2535100.00元；</w:t>
      </w:r>
      <w:r>
        <w:rPr>
          <w:rFonts w:hint="eastAsia" w:asciiTheme="minorEastAsia" w:hAnsiTheme="minorEastAsia" w:eastAsiaTheme="minorEastAsia" w:cstheme="minorEastAsia"/>
          <w:b/>
          <w:bCs/>
          <w:color w:val="auto"/>
          <w:kern w:val="0"/>
          <w:sz w:val="21"/>
          <w:szCs w:val="21"/>
          <w:highlight w:val="none"/>
          <w:lang w:eastAsia="zh-CN"/>
        </w:rPr>
        <w:t>分标</w:t>
      </w:r>
      <w:r>
        <w:rPr>
          <w:rFonts w:hint="eastAsia" w:asciiTheme="minorEastAsia" w:hAnsiTheme="minorEastAsia" w:eastAsiaTheme="minorEastAsia" w:cstheme="minorEastAsia"/>
          <w:b/>
          <w:bCs/>
          <w:color w:val="auto"/>
          <w:kern w:val="0"/>
          <w:sz w:val="21"/>
          <w:szCs w:val="21"/>
          <w:highlight w:val="none"/>
          <w:lang w:val="en-US" w:eastAsia="zh-CN"/>
        </w:rPr>
        <w:t xml:space="preserve">2：980900.00元。    </w:t>
      </w: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分标1：</w:t>
      </w:r>
    </w:p>
    <w:tbl>
      <w:tblPr>
        <w:tblStyle w:val="53"/>
        <w:tblW w:w="9734" w:type="dxa"/>
        <w:tblInd w:w="-2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105"/>
        <w:gridCol w:w="320"/>
        <w:gridCol w:w="788"/>
        <w:gridCol w:w="700"/>
        <w:gridCol w:w="6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项号</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舞台背景</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显示大屏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112.5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default" w:eastAsia="宋体" w:asciiTheme="minorEastAsia" w:hAnsi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1、全彩显示屏净尺寸：≥15360mm宽*7200mm高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3、整屏分辨率：≥5K</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4、像素点间距≤2.5mm</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5、像素点组成：1R1G1B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6、支持前后安装箱体结构，包含电源模块及接收模块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亮度范围：0-1800cd/㎡无级调节（白平衡亮度≥1000cd/㎡）</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8、刷新率/换帧频率：≥3840Hz/60Hz </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静态对比度：≥15000:1，动态对比度：≥10000000:1</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屏体可靠性：符合GB/T2423.9-2001国家标准，裸机在50℃、湿度90%环境内连续工作≥200个小时无故障</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17、</w:t>
            </w:r>
            <w:r>
              <w:rPr>
                <w:rFonts w:hint="eastAsia" w:ascii="宋体" w:hAnsi="宋体" w:cs="宋体"/>
                <w:b/>
                <w:bCs/>
                <w:i w:val="0"/>
                <w:iCs w:val="0"/>
                <w:color w:val="auto"/>
                <w:kern w:val="0"/>
                <w:sz w:val="21"/>
                <w:szCs w:val="21"/>
                <w:highlight w:val="none"/>
                <w:u w:val="none"/>
                <w:lang w:val="en-US" w:eastAsia="zh-CN" w:bidi="ar"/>
              </w:rPr>
              <w:t>投标时须提供</w:t>
            </w:r>
            <w:r>
              <w:rPr>
                <w:rFonts w:hint="eastAsia" w:ascii="宋体" w:hAnsi="宋体" w:eastAsia="宋体" w:cs="宋体"/>
                <w:b/>
                <w:bCs/>
                <w:i w:val="0"/>
                <w:iCs w:val="0"/>
                <w:color w:val="auto"/>
                <w:kern w:val="0"/>
                <w:sz w:val="21"/>
                <w:szCs w:val="21"/>
                <w:highlight w:val="none"/>
                <w:u w:val="none"/>
                <w:lang w:val="en-US" w:eastAsia="zh-CN" w:bidi="ar"/>
              </w:rPr>
              <w:t>LED显示屏产品通过CCC、节能认证</w:t>
            </w:r>
            <w:r>
              <w:rPr>
                <w:rFonts w:hint="eastAsia"/>
                <w:b/>
                <w:bCs/>
                <w:color w:val="auto"/>
                <w:highlight w:val="none"/>
                <w:lang w:val="en-US" w:eastAsia="zh-CN"/>
              </w:rPr>
              <w:t>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观众席左侧显示大屏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4.608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top"/>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1、全彩显示屏净尺寸：≥2880mm宽*1600mm高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表贴三合一LED或采用全倒装芯片·COB·封装(集成三合一)技术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w:t>
            </w:r>
            <w:r>
              <w:rPr>
                <w:rFonts w:hint="eastAsia" w:ascii="宋体" w:hAnsi="宋体" w:cs="宋体"/>
                <w:i w:val="0"/>
                <w:iCs w:val="0"/>
                <w:color w:val="auto"/>
                <w:kern w:val="0"/>
                <w:sz w:val="21"/>
                <w:szCs w:val="21"/>
                <w:highlight w:val="none"/>
                <w:u w:val="none"/>
                <w:lang w:val="en-US" w:eastAsia="zh-CN" w:bidi="ar"/>
              </w:rPr>
              <w:t>2K；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4、像素点间距≤1.</w:t>
            </w:r>
            <w:r>
              <w:rPr>
                <w:rFonts w:hint="eastAsia" w:ascii="宋体" w:hAnsi="宋体" w:cs="宋体"/>
                <w:b/>
                <w:bCs/>
                <w:i w:val="0"/>
                <w:iCs w:val="0"/>
                <w:color w:val="auto"/>
                <w:kern w:val="0"/>
                <w:sz w:val="21"/>
                <w:szCs w:val="21"/>
                <w:highlight w:val="none"/>
                <w:u w:val="none"/>
                <w:lang w:val="en-US" w:eastAsia="zh-CN" w:bidi="ar"/>
              </w:rPr>
              <w:t>56</w:t>
            </w:r>
            <w:r>
              <w:rPr>
                <w:rFonts w:hint="eastAsia" w:ascii="宋体" w:hAnsi="宋体" w:eastAsia="宋体" w:cs="宋体"/>
                <w:b/>
                <w:bCs/>
                <w:i w:val="0"/>
                <w:iCs w:val="0"/>
                <w:color w:val="auto"/>
                <w:kern w:val="0"/>
                <w:sz w:val="21"/>
                <w:szCs w:val="21"/>
                <w:highlight w:val="none"/>
                <w:u w:val="none"/>
                <w:lang w:val="en-US" w:eastAsia="zh-CN" w:bidi="ar"/>
              </w:rPr>
              <w:t>mm</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5、单元厚度（含箱体）≤15mm，单元重量≤3KG</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6、</w:t>
            </w:r>
            <w:r>
              <w:rPr>
                <w:rFonts w:hint="eastAsia" w:ascii="宋体" w:hAnsi="宋体"/>
                <w:b/>
                <w:bCs/>
                <w:color w:val="auto"/>
                <w:highlight w:val="none"/>
              </w:rPr>
              <w:t>安装方式：LED显示单元采用免</w:t>
            </w:r>
            <w:r>
              <w:rPr>
                <w:rFonts w:hint="eastAsia" w:ascii="宋体" w:hAnsi="宋体"/>
                <w:b/>
                <w:bCs/>
                <w:color w:val="auto"/>
                <w:highlight w:val="none"/>
                <w:lang w:val="en-US" w:eastAsia="zh-CN"/>
              </w:rPr>
              <w:t>结构</w:t>
            </w:r>
            <w:r>
              <w:rPr>
                <w:rFonts w:hint="eastAsia" w:ascii="宋体" w:hAnsi="宋体"/>
                <w:b/>
                <w:bCs/>
                <w:color w:val="auto"/>
                <w:highlight w:val="none"/>
              </w:rPr>
              <w:t>支架设计，支持墙体</w:t>
            </w:r>
            <w:r>
              <w:rPr>
                <w:rFonts w:hint="eastAsia" w:ascii="宋体" w:hAnsi="宋体"/>
                <w:b/>
                <w:bCs/>
                <w:color w:val="auto"/>
                <w:highlight w:val="none"/>
                <w:lang w:val="en-US" w:eastAsia="zh-CN"/>
              </w:rPr>
              <w:t>装饰面</w:t>
            </w:r>
            <w:r>
              <w:rPr>
                <w:rFonts w:hint="eastAsia" w:ascii="宋体" w:hAnsi="宋体"/>
                <w:b/>
                <w:bCs/>
                <w:color w:val="auto"/>
                <w:highlight w:val="none"/>
              </w:rPr>
              <w:t>贴装和落地安装、吊装</w:t>
            </w:r>
            <w:r>
              <w:rPr>
                <w:rFonts w:hint="eastAsia" w:ascii="宋体" w:hAnsi="宋体"/>
                <w:b/>
                <w:bCs/>
                <w:color w:val="auto"/>
                <w:highlight w:val="none"/>
                <w:lang w:val="en-US" w:eastAsia="zh-CN"/>
              </w:rPr>
              <w:t>等</w:t>
            </w:r>
            <w:r>
              <w:rPr>
                <w:rFonts w:hint="eastAsia" w:ascii="宋体" w:hAnsi="宋体"/>
                <w:b/>
                <w:bCs/>
                <w:color w:val="auto"/>
                <w:highlight w:val="none"/>
              </w:rPr>
              <w:t>安装方式</w:t>
            </w:r>
            <w:r>
              <w:rPr>
                <w:rFonts w:hint="eastAsia" w:ascii="宋体" w:hAnsi="宋体"/>
                <w:b/>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亮度范围：0-1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00cd/㎡无级调节（白平衡亮度≥</w:t>
            </w:r>
            <w:r>
              <w:rPr>
                <w:rFonts w:hint="eastAsia" w:ascii="宋体" w:hAnsi="宋体" w:cs="宋体"/>
                <w:i w:val="0"/>
                <w:iCs w:val="0"/>
                <w:color w:val="auto"/>
                <w:kern w:val="0"/>
                <w:sz w:val="21"/>
                <w:szCs w:val="21"/>
                <w:highlight w:val="none"/>
                <w:u w:val="none"/>
                <w:lang w:val="en-US" w:eastAsia="zh-CN" w:bidi="ar"/>
              </w:rPr>
              <w:t>650</w:t>
            </w:r>
            <w:r>
              <w:rPr>
                <w:rFonts w:hint="eastAsia" w:ascii="宋体" w:hAnsi="宋体" w:eastAsia="宋体" w:cs="宋体"/>
                <w:i w:val="0"/>
                <w:iCs w:val="0"/>
                <w:color w:val="auto"/>
                <w:kern w:val="0"/>
                <w:sz w:val="21"/>
                <w:szCs w:val="21"/>
                <w:highlight w:val="none"/>
                <w:u w:val="none"/>
                <w:lang w:val="en-US" w:eastAsia="zh-CN" w:bidi="ar"/>
              </w:rPr>
              <w:t>cd/㎡）</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刷新率/换帧频率：≥3840Hz/60Hz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olor w:val="auto"/>
                <w:highlight w:val="none"/>
              </w:rPr>
              <w:t>LED显示屏静态对比度≥100000:1，动态对比度≥1000000:1</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9、</w:t>
            </w:r>
            <w:r>
              <w:rPr>
                <w:rFonts w:hint="eastAsia" w:ascii="宋体" w:hAnsi="宋体"/>
                <w:color w:val="auto"/>
                <w:highlight w:val="none"/>
              </w:rPr>
              <w:t>LED显示单元采用恒流低压降驱动技术和超低行扫阻抗设计，</w:t>
            </w:r>
            <w:r>
              <w:rPr>
                <w:rFonts w:hint="eastAsia" w:ascii="宋体" w:hAnsi="宋体"/>
                <w:color w:val="auto"/>
                <w:highlight w:val="none"/>
                <w:lang w:val="en-US" w:eastAsia="zh-CN"/>
              </w:rPr>
              <w:t>平均</w:t>
            </w:r>
            <w:r>
              <w:rPr>
                <w:rFonts w:hint="eastAsia" w:ascii="宋体" w:hAnsi="宋体"/>
                <w:color w:val="auto"/>
                <w:highlight w:val="none"/>
              </w:rPr>
              <w:t>功耗</w:t>
            </w:r>
            <w:r>
              <w:rPr>
                <w:rFonts w:hint="eastAsia" w:ascii="宋体" w:hAnsi="宋体"/>
                <w:color w:val="auto"/>
                <w:highlight w:val="none"/>
                <w:lang w:val="en-US" w:eastAsia="zh-CN"/>
              </w:rPr>
              <w:t>小于12</w:t>
            </w:r>
            <w:r>
              <w:rPr>
                <w:rFonts w:hint="eastAsia" w:ascii="宋体" w:hAnsi="宋体"/>
                <w:color w:val="auto"/>
                <w:highlight w:val="none"/>
              </w:rPr>
              <w:t>0W</w:t>
            </w:r>
            <w:r>
              <w:rPr>
                <w:rFonts w:hint="eastAsia" w:ascii="宋体" w:hAnsi="宋体"/>
                <w:color w:val="auto"/>
                <w:highlight w:val="none"/>
                <w:lang w:val="en-US" w:eastAsia="zh-CN"/>
              </w:rPr>
              <w:t>/</w:t>
            </w:r>
            <w:r>
              <w:rPr>
                <w:rFonts w:hint="eastAsia" w:ascii="宋体" w:hAnsi="宋体"/>
                <w:color w:val="auto"/>
                <w:highlight w:val="none"/>
              </w:rPr>
              <w:t>㎡，实现</w:t>
            </w:r>
            <w:r>
              <w:rPr>
                <w:rFonts w:hint="eastAsia" w:ascii="宋体" w:hAnsi="宋体"/>
                <w:color w:val="auto"/>
                <w:highlight w:val="none"/>
                <w:lang w:val="en-US" w:eastAsia="zh-CN"/>
              </w:rPr>
              <w:t>用电安全与</w:t>
            </w:r>
            <w:r>
              <w:rPr>
                <w:rFonts w:hint="eastAsia" w:ascii="宋体" w:hAnsi="宋体"/>
                <w:color w:val="auto"/>
                <w:highlight w:val="none"/>
              </w:rPr>
              <w:t>节能</w:t>
            </w:r>
            <w:r>
              <w:rPr>
                <w:rFonts w:hint="eastAsia" w:ascii="宋体" w:hAnsi="宋体"/>
                <w:color w:val="auto"/>
                <w:highlight w:val="none"/>
                <w:lang w:val="en-US" w:eastAsia="zh-CN"/>
              </w:rPr>
              <w:t>环保</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屏体可靠性：</w:t>
            </w:r>
            <w:r>
              <w:rPr>
                <w:rFonts w:hint="eastAsia" w:ascii="宋体" w:hAnsi="宋体"/>
                <w:color w:val="auto"/>
                <w:highlight w:val="none"/>
              </w:rPr>
              <w:t>L</w:t>
            </w:r>
            <w:r>
              <w:rPr>
                <w:rFonts w:ascii="宋体" w:hAnsi="宋体"/>
                <w:color w:val="auto"/>
                <w:highlight w:val="none"/>
              </w:rPr>
              <w:t>ED</w:t>
            </w:r>
            <w:r>
              <w:rPr>
                <w:rFonts w:hint="eastAsia" w:ascii="宋体" w:hAnsi="宋体"/>
                <w:color w:val="auto"/>
                <w:highlight w:val="none"/>
              </w:rPr>
              <w:t>显示屏的平均使用寿命≥</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MTBF</w:t>
            </w:r>
            <w:r>
              <w:rPr>
                <w:rFonts w:hint="eastAsia" w:ascii="宋体" w:hAnsi="宋体"/>
                <w:color w:val="auto"/>
                <w:highlight w:val="none"/>
              </w:rPr>
              <w:t>≥</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MTTR</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分钟，可用度≥</w:t>
            </w:r>
            <w:r>
              <w:rPr>
                <w:rFonts w:ascii="宋体" w:hAnsi="宋体"/>
                <w:color w:val="auto"/>
                <w:highlight w:val="none"/>
              </w:rPr>
              <w:t>9</w:t>
            </w:r>
            <w:r>
              <w:rPr>
                <w:rFonts w:hint="eastAsia" w:ascii="宋体" w:hAnsi="宋体"/>
                <w:color w:val="auto"/>
                <w:highlight w:val="none"/>
                <w:lang w:val="en-US" w:eastAsia="zh-CN"/>
              </w:rPr>
              <w:t>8</w:t>
            </w:r>
            <w:r>
              <w:rPr>
                <w:rFonts w:hint="eastAsia" w:ascii="宋体" w:hAnsi="宋体"/>
                <w:color w:val="auto"/>
                <w:highlight w:val="none"/>
              </w:rPr>
              <w:t>%</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15、显示单元内无220V开关电源，实现强电隔离，屏体内采用24V直流低电压设计，</w:t>
            </w:r>
            <w:r>
              <w:rPr>
                <w:rFonts w:hint="eastAsia" w:ascii="宋体" w:hAnsi="宋体"/>
                <w:b/>
                <w:bCs/>
                <w:color w:val="auto"/>
                <w:highlight w:val="none"/>
                <w:lang w:val="en-US" w:eastAsia="zh-CN"/>
              </w:rPr>
              <w:t>屏体采用单模单芯光纤通讯接口；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17、</w:t>
            </w:r>
            <w:r>
              <w:rPr>
                <w:rFonts w:hint="eastAsia" w:ascii="宋体" w:hAnsi="宋体" w:cs="宋体"/>
                <w:b/>
                <w:bCs/>
                <w:i w:val="0"/>
                <w:iCs w:val="0"/>
                <w:color w:val="auto"/>
                <w:kern w:val="0"/>
                <w:sz w:val="21"/>
                <w:szCs w:val="21"/>
                <w:highlight w:val="none"/>
                <w:u w:val="none"/>
                <w:lang w:val="en-US" w:eastAsia="zh-CN" w:bidi="ar"/>
              </w:rPr>
              <w:t>投标时须提供</w:t>
            </w:r>
            <w:r>
              <w:rPr>
                <w:rFonts w:hint="eastAsia" w:ascii="宋体" w:hAnsi="宋体" w:eastAsia="宋体" w:cs="宋体"/>
                <w:b/>
                <w:bCs/>
                <w:i w:val="0"/>
                <w:iCs w:val="0"/>
                <w:color w:val="auto"/>
                <w:kern w:val="0"/>
                <w:sz w:val="21"/>
                <w:szCs w:val="21"/>
                <w:highlight w:val="none"/>
                <w:u w:val="none"/>
                <w:lang w:val="en-US" w:eastAsia="zh-CN" w:bidi="ar"/>
              </w:rPr>
              <w:t>LED显示屏产品通过CCC、节能认证</w:t>
            </w:r>
            <w:r>
              <w:rPr>
                <w:rFonts w:hint="eastAsia"/>
                <w:b/>
                <w:bCs/>
                <w:color w:val="auto"/>
                <w:highlight w:val="none"/>
                <w:lang w:val="en-US" w:eastAsia="zh-CN"/>
              </w:rPr>
              <w:t>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观众席右侧显示大屏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4.608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top"/>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1、全彩显示屏净尺寸：≥2880mm宽*1600mm高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表贴三合一LED或采用全倒装芯片·COB·封装(集成三合一)技术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w:t>
            </w:r>
            <w:r>
              <w:rPr>
                <w:rFonts w:hint="eastAsia" w:ascii="宋体" w:hAnsi="宋体" w:cs="宋体"/>
                <w:i w:val="0"/>
                <w:iCs w:val="0"/>
                <w:color w:val="auto"/>
                <w:kern w:val="0"/>
                <w:sz w:val="21"/>
                <w:szCs w:val="21"/>
                <w:highlight w:val="none"/>
                <w:u w:val="none"/>
                <w:lang w:val="en-US" w:eastAsia="zh-CN" w:bidi="ar"/>
              </w:rPr>
              <w:t>2K；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4、像素点间距≤1.</w:t>
            </w:r>
            <w:r>
              <w:rPr>
                <w:rFonts w:hint="eastAsia" w:ascii="宋体" w:hAnsi="宋体" w:cs="宋体"/>
                <w:i w:val="0"/>
                <w:iCs w:val="0"/>
                <w:color w:val="auto"/>
                <w:kern w:val="0"/>
                <w:sz w:val="21"/>
                <w:szCs w:val="21"/>
                <w:highlight w:val="none"/>
                <w:u w:val="none"/>
                <w:lang w:val="en-US" w:eastAsia="zh-CN" w:bidi="ar"/>
              </w:rPr>
              <w:t>56</w:t>
            </w:r>
            <w:r>
              <w:rPr>
                <w:rFonts w:hint="eastAsia" w:ascii="宋体" w:hAnsi="宋体" w:eastAsia="宋体" w:cs="宋体"/>
                <w:i w:val="0"/>
                <w:iCs w:val="0"/>
                <w:color w:val="auto"/>
                <w:kern w:val="0"/>
                <w:sz w:val="21"/>
                <w:szCs w:val="21"/>
                <w:highlight w:val="none"/>
                <w:u w:val="none"/>
                <w:lang w:val="en-US" w:eastAsia="zh-CN" w:bidi="ar"/>
              </w:rPr>
              <w:t>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5、单元厚度（含箱体）≤15mm，单元重量≤3KG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olor w:val="auto"/>
                <w:highlight w:val="none"/>
              </w:rPr>
              <w:t>安装方式：LED显示单元采用免</w:t>
            </w:r>
            <w:r>
              <w:rPr>
                <w:rFonts w:hint="eastAsia" w:ascii="宋体" w:hAnsi="宋体"/>
                <w:color w:val="auto"/>
                <w:highlight w:val="none"/>
                <w:lang w:val="en-US" w:eastAsia="zh-CN"/>
              </w:rPr>
              <w:t>结构</w:t>
            </w:r>
            <w:r>
              <w:rPr>
                <w:rFonts w:hint="eastAsia" w:ascii="宋体" w:hAnsi="宋体"/>
                <w:color w:val="auto"/>
                <w:highlight w:val="none"/>
              </w:rPr>
              <w:t>支架设计，支持墙体</w:t>
            </w:r>
            <w:r>
              <w:rPr>
                <w:rFonts w:hint="eastAsia" w:ascii="宋体" w:hAnsi="宋体"/>
                <w:color w:val="auto"/>
                <w:highlight w:val="none"/>
                <w:lang w:val="en-US" w:eastAsia="zh-CN"/>
              </w:rPr>
              <w:t>装饰面</w:t>
            </w:r>
            <w:r>
              <w:rPr>
                <w:rFonts w:hint="eastAsia" w:ascii="宋体" w:hAnsi="宋体"/>
                <w:color w:val="auto"/>
                <w:highlight w:val="none"/>
              </w:rPr>
              <w:t>贴装和落地安装、吊装</w:t>
            </w:r>
            <w:r>
              <w:rPr>
                <w:rFonts w:hint="eastAsia" w:ascii="宋体" w:hAnsi="宋体"/>
                <w:color w:val="auto"/>
                <w:highlight w:val="none"/>
                <w:lang w:val="en-US" w:eastAsia="zh-CN"/>
              </w:rPr>
              <w:t>等</w:t>
            </w:r>
            <w:r>
              <w:rPr>
                <w:rFonts w:hint="eastAsia" w:ascii="宋体" w:hAnsi="宋体"/>
                <w:color w:val="auto"/>
                <w:highlight w:val="none"/>
              </w:rPr>
              <w:t>安装方式</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7、亮度范围：0-1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00cd/㎡无级调节（白平衡亮度≥</w:t>
            </w:r>
            <w:r>
              <w:rPr>
                <w:rFonts w:hint="eastAsia" w:ascii="宋体" w:hAnsi="宋体" w:cs="宋体"/>
                <w:i w:val="0"/>
                <w:iCs w:val="0"/>
                <w:color w:val="auto"/>
                <w:kern w:val="0"/>
                <w:sz w:val="21"/>
                <w:szCs w:val="21"/>
                <w:highlight w:val="none"/>
                <w:u w:val="none"/>
                <w:lang w:val="en-US" w:eastAsia="zh-CN" w:bidi="ar"/>
              </w:rPr>
              <w:t>650</w:t>
            </w:r>
            <w:r>
              <w:rPr>
                <w:rFonts w:hint="eastAsia" w:ascii="宋体" w:hAnsi="宋体" w:eastAsia="宋体" w:cs="宋体"/>
                <w:i w:val="0"/>
                <w:iCs w:val="0"/>
                <w:color w:val="auto"/>
                <w:kern w:val="0"/>
                <w:sz w:val="21"/>
                <w:szCs w:val="21"/>
                <w:highlight w:val="none"/>
                <w:u w:val="none"/>
                <w:lang w:val="en-US" w:eastAsia="zh-CN" w:bidi="ar"/>
              </w:rPr>
              <w:t>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8、刷新率/换帧频率：≥3840Hz/60Hz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olor w:val="auto"/>
                <w:highlight w:val="none"/>
              </w:rPr>
              <w:t>LED显示屏静态对比度≥100000:1，动态对比度≥1000000:1</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olor w:val="auto"/>
                <w:highlight w:val="none"/>
              </w:rPr>
              <w:t>LED显示单元采用恒流低压降驱动技术和超低行扫阻抗设计，</w:t>
            </w:r>
            <w:r>
              <w:rPr>
                <w:rFonts w:hint="eastAsia" w:ascii="宋体" w:hAnsi="宋体"/>
                <w:color w:val="auto"/>
                <w:highlight w:val="none"/>
                <w:lang w:val="en-US" w:eastAsia="zh-CN"/>
              </w:rPr>
              <w:t>平均</w:t>
            </w:r>
            <w:r>
              <w:rPr>
                <w:rFonts w:hint="eastAsia" w:ascii="宋体" w:hAnsi="宋体"/>
                <w:color w:val="auto"/>
                <w:highlight w:val="none"/>
              </w:rPr>
              <w:t>功耗</w:t>
            </w:r>
            <w:r>
              <w:rPr>
                <w:rFonts w:hint="eastAsia" w:ascii="宋体" w:hAnsi="宋体"/>
                <w:color w:val="auto"/>
                <w:highlight w:val="none"/>
                <w:lang w:val="en-US" w:eastAsia="zh-CN"/>
              </w:rPr>
              <w:t>小于12</w:t>
            </w:r>
            <w:r>
              <w:rPr>
                <w:rFonts w:hint="eastAsia" w:ascii="宋体" w:hAnsi="宋体"/>
                <w:color w:val="auto"/>
                <w:highlight w:val="none"/>
              </w:rPr>
              <w:t>0W</w:t>
            </w:r>
            <w:r>
              <w:rPr>
                <w:rFonts w:hint="eastAsia" w:ascii="宋体" w:hAnsi="宋体"/>
                <w:color w:val="auto"/>
                <w:highlight w:val="none"/>
                <w:lang w:val="en-US" w:eastAsia="zh-CN"/>
              </w:rPr>
              <w:t>/</w:t>
            </w:r>
            <w:r>
              <w:rPr>
                <w:rFonts w:hint="eastAsia" w:ascii="宋体" w:hAnsi="宋体"/>
                <w:color w:val="auto"/>
                <w:highlight w:val="none"/>
              </w:rPr>
              <w:t>㎡，实现</w:t>
            </w:r>
            <w:r>
              <w:rPr>
                <w:rFonts w:hint="eastAsia" w:ascii="宋体" w:hAnsi="宋体"/>
                <w:color w:val="auto"/>
                <w:highlight w:val="none"/>
                <w:lang w:val="en-US" w:eastAsia="zh-CN"/>
              </w:rPr>
              <w:t>用电安全与</w:t>
            </w:r>
            <w:r>
              <w:rPr>
                <w:rFonts w:hint="eastAsia" w:ascii="宋体" w:hAnsi="宋体"/>
                <w:color w:val="auto"/>
                <w:highlight w:val="none"/>
              </w:rPr>
              <w:t>节能</w:t>
            </w:r>
            <w:r>
              <w:rPr>
                <w:rFonts w:hint="eastAsia" w:ascii="宋体" w:hAnsi="宋体"/>
                <w:color w:val="auto"/>
                <w:highlight w:val="none"/>
                <w:lang w:val="en-US" w:eastAsia="zh-CN"/>
              </w:rPr>
              <w:t>环保；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13、屏体可靠性：</w:t>
            </w:r>
            <w:r>
              <w:rPr>
                <w:rFonts w:hint="eastAsia" w:ascii="宋体" w:hAnsi="宋体"/>
                <w:color w:val="auto"/>
                <w:highlight w:val="none"/>
              </w:rPr>
              <w:t>L</w:t>
            </w:r>
            <w:r>
              <w:rPr>
                <w:rFonts w:ascii="宋体" w:hAnsi="宋体"/>
                <w:color w:val="auto"/>
                <w:highlight w:val="none"/>
              </w:rPr>
              <w:t>ED</w:t>
            </w:r>
            <w:r>
              <w:rPr>
                <w:rFonts w:hint="eastAsia" w:ascii="宋体" w:hAnsi="宋体"/>
                <w:color w:val="auto"/>
                <w:highlight w:val="none"/>
              </w:rPr>
              <w:t>显示屏的平均使用寿命≥</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MTBF</w:t>
            </w:r>
            <w:r>
              <w:rPr>
                <w:rFonts w:hint="eastAsia" w:ascii="宋体" w:hAnsi="宋体"/>
                <w:color w:val="auto"/>
                <w:highlight w:val="none"/>
              </w:rPr>
              <w:t>≥</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MTTR</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分钟，可用度≥</w:t>
            </w:r>
            <w:r>
              <w:rPr>
                <w:rFonts w:ascii="宋体" w:hAnsi="宋体"/>
                <w:color w:val="auto"/>
                <w:highlight w:val="none"/>
              </w:rPr>
              <w:t>9</w:t>
            </w: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15、显示单元内无220V开关电源，实现强电隔离，屏体内采用24V直流低电压设计，</w:t>
            </w:r>
            <w:r>
              <w:rPr>
                <w:rFonts w:hint="eastAsia" w:ascii="宋体" w:hAnsi="宋体"/>
                <w:color w:val="auto"/>
                <w:highlight w:val="none"/>
                <w:lang w:val="en-US" w:eastAsia="zh-CN"/>
              </w:rPr>
              <w:t>屏体采用单模单芯光纤通讯接口；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后舞台</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背景大屏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52.2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1、全彩显示屏净尺寸：≥9600mm宽*5280mm高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3、整屏分辨率：≥4K</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4、像素点间距≤2.5mm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5、像素点组成：1R1G1B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6、支持前后安装箱体结构，包含电源模块及接收模块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7、亮度范围：0-1800cd/㎡无级调节（白平衡亮度≥1000cd/㎡）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8、刷新率/换帧频率：≥3840Hz/60Hz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9、静态对比度：≥15000:1，动态对比度：≥10000000:1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13、屏体可靠性：符合GB/T2423.9-2001国家标准，裸机在50℃、湿度90%环境内连续工作≥200个小时无故障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4K发送卡</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1、单台设备最大带载为4096 X 2160@ 60Hz，可自定义分辨率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2、支持发送卡模式和光电转换模式互相切换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3、支持3D功能，配合3D发射器EMT200和3D眼镜，实现3D显示效果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4、输入接口包括DP1.2，4路DVI接口（2个双链DVI，4个单链DVI）</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5、支持16路千兆网口输出和4路10G光纤输出，2主2备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6、支持视频源位深 8bit\10bit\12bit</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7、支持超大分辨率设置，最高支持7680x1080@60Hz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8、支持光电转换模式切换，可以远距离接收传输的光纤信号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9、支持新一代逐点亮色度校正技术，校正过程快速高效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10、可级联多台进行统一控制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11、支持中控对接，可平板控制实现一键3D\2D画面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12、根据显示屏所用LED的不同特性，实现白平衡校准及色域匹配，确保色彩真实还原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13、支持液晶配屏，无需电脑，随时配屏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14、采用G4引擎，画面稳定无闪烁、无扫描线、图像细腻、层次感好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15、采用创新型架构，实现智能配置，极大缩短舞台准备时间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、自动备份功能--让系统不担心信号中断问题，现场使用更稳定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、独有的同步处理技术，可以解决显示屏因拼接带载而带来的撕裂问题</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大屏管理</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软件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1、大屏控制软件提供中文操作、控制和维护界面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2、大屏控制软件要支持选配PPT嵌入控制功能，可以完成PPT的在线实时翻页，并且必须保留PPT所有的翻页特效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3、大屏控制软件可实现大屏幕开关机控制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大屏控制软件负责控制大屏幕的图像拼接、色彩和显示效果的调整，对需要显示的信号和图像进行预案处理等。实现通过软件控制方式实现输入信号的灵活显示控制，满足视频会议等应用系统相应信号上墙显示需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大屏控制软件具备一个简单、易用、简洁的全中文操作界面，所有操作通过大屏控制软件的图形界面即可进行统一控制，不需要频繁的切换不同控制软件界面。用户只需通过鼠标和键盘简单的点击步骤，就可对大屏系统的多种设备进行同步控制操作，灵活实现各类图像的显示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大屏控制软件可以安装在用户PC机（工作站）上，并与用户系统兼容，不会影响用户原来各种应用系统的运行。网络上的工作站安装控制软件后，即可一台控制终端，随时管理控制大屏幕系统；软件支持C/S或B/S架构</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大屏控制软件具备强大全面的功能前提下，操作方式实用简捷，方便易学，使用户轻松掌握大屏系统的日常操作。用户只需通过鼠标和键盘简单的点击步骤，就可对大屏系统的多种设备进行同步控制操作，灵活实现各类图像的显示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8、大屏控制软件支持应用模板，可直接载用，也可以自定义模板，模板中可灵活设置窗口数量，坐标，数量，页面支持一个或多个窗口同时显示，支持100个以上模式设置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9、大屏控制软件能够做到对整个大屏幕系统显示的亮度和色彩一致性进行智能化调整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10、大屏控制软件提供多用户的认证和授权机制，管理员可对各操作员授予各种操作功能的权限，也可以根据大屏幕不同区域设定各操作员的可操作区域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11、大屏控制软件提供模式和预案的管理。操作员可对各种信号窗口的显示方式和布局保存成模式，或者根据时序定制为预案，并可通过快捷键对模式和预案进行快速调用，实现自动化控制管理功能</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12、为保证数据信息安全，依据GB/T 25000.51-2016《系统与软件工程系统与软件质量要求和评价(SQuaRE)第51部分：就绪可用软件产品(RUSP)的质量要求和测试细则》，对系统进行Web漏洞扫描测试，以验证系统符合安全需求定义和质量标准。大屏控制软件安全漏洞扫描应未发现风险等级为中级以上(含中级)的安全风险问题，符合安全需求的定义和质量标准</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13、大屏控制软件可运行于Windows、中标麒麟、iOS、Android、Linux和Unix</w:t>
            </w:r>
            <w:r>
              <w:rPr>
                <w:rFonts w:hint="eastAsia" w:ascii="宋体" w:hAnsi="宋体" w:cs="宋体"/>
                <w:i w:val="0"/>
                <w:iCs w:val="0"/>
                <w:color w:val="auto"/>
                <w:kern w:val="0"/>
                <w:sz w:val="21"/>
                <w:szCs w:val="21"/>
                <w:highlight w:val="none"/>
                <w:u w:val="none"/>
                <w:lang w:val="en-US" w:eastAsia="zh-CN" w:bidi="ar"/>
              </w:rPr>
              <w:t>等</w:t>
            </w:r>
            <w:r>
              <w:rPr>
                <w:rFonts w:hint="eastAsia" w:ascii="宋体" w:hAnsi="宋体" w:eastAsia="宋体" w:cs="宋体"/>
                <w:i w:val="0"/>
                <w:iCs w:val="0"/>
                <w:color w:val="auto"/>
                <w:kern w:val="0"/>
                <w:sz w:val="21"/>
                <w:szCs w:val="21"/>
                <w:highlight w:val="none"/>
                <w:u w:val="none"/>
                <w:lang w:val="en-US" w:eastAsia="zh-CN" w:bidi="ar"/>
              </w:rPr>
              <w:t>平台上</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背景大屏</w:t>
            </w:r>
          </w:p>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除湿降温</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主机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1、本系统用于显示终端模组框架内环境智控自控</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2、系统安装方式可采用天花吊顶安装，壁挂式安装</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3、整体式降噪设计，有效降低机组的噪音，内壁均采用吸音保温材料</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4、机组采用模块化设计，以模块为基本单元，根据环境的温度和湿度要求调节运行工况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5、采用全封闭低噪离心电机，循环风量220m3/h，除湿量26L/D全电脑分档调节温度、湿度控制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6、三种控制模式，APP手机控制、智能控制面板、红外遥控，且自带RS485通讯接口，系统需接入环控系统控制及监测</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7、过滤效率G4,可加设活性炭过滤器及紫外杀菌灯或负离子空气净化器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8、LCD蓝屏液晶全数字显示，实时数据监测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9、全自动除霜装置，配置内部微蒸发及管路外排装置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10、电源220v~50HZ~1P断电恢复记忆功能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11、可定时开机关机设定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12、压缩机过载、高温、高低压保护装置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13、电路保护系统、故障代码显示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14、内置高精度温度、湿度感应1%精确调节控制系统</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管路系统</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1、根据现场施工环境，确定管路排列路线</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2、结构内部采用下送上排方式，布置端点不少于4组，覆盖面积需满足50M²工况需求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3、管路接头处采用一体成型分路卡口，带自旋紧固装置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4、管路末端需配置数据传感器采集实时信息</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5、配置防虫防鼠安全阻拦网，及可拆卸更换模块</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主舞台大屏安装钢结构</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1、安装结构尺寸根据舞台机械安装结构现场定制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2、构架材质：铝材，钢材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表面处理：三遍防锈底漆、2遍防火面漆处理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4、安装高度≥9000mm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5、装饰包边：铝合金、实木材质包边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6、散热系统：自动温控对流散热系统</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观众席大屏安装钢结构</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1、安装结构尺寸根据舞台机械安装结构现场定制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2、构架材质：铝材，钢材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表面处理：三遍防锈底漆、2遍防火面漆处理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4、安装高度≥9000mm </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5、装饰包边：铝合金、实木材质包边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6、散热系统：自动温控对流散热系统</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后舞台背景大屏安装钢结构</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1、安装结构尺寸根据舞台机械安装结构现场定制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2、构架材质：铝材，钢材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表面处理：三遍防锈底漆、2遍防火面漆处理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4、安装高度≥200-18000mm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5、装饰包边：铝合金、实木材质包边</w:t>
            </w:r>
            <w:r>
              <w:rPr>
                <w:rFonts w:hint="eastAsia" w:ascii="宋体" w:hAnsi="宋体" w:cs="宋体"/>
                <w:i w:val="0"/>
                <w:iCs w:val="0"/>
                <w:color w:val="auto"/>
                <w:kern w:val="0"/>
                <w:sz w:val="21"/>
                <w:szCs w:val="21"/>
                <w:highlight w:val="none"/>
                <w:u w:val="none"/>
                <w:lang w:val="en-US" w:eastAsia="zh-CN" w:bidi="ar"/>
              </w:rPr>
              <w:t>；</w:t>
            </w:r>
          </w:p>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6、散热系统：自动温控对流散热系统</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光纤收发器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1、符合IEEE 802.3 10Base-T以太网及IEEE 802.3 10Base-TX快速以太网标准；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2、用户可设置两个不同IP地址，内置网络处理器；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3、以广播模式向网络发送数据包；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4、可以在广播或单播模式下管理Artnet，支持无线AP节点功能；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5、标准1U机箱架构，方便安装在标准机柜中；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6、具有1个10/100自适应双速RJ45端口，支持MDI/MDIX自动翻转；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7、具有4个光纤接口，速度为100Mbps。面板指示灯显示工作状态</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网络交换机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1、主要参数：产品类型千兆以太网交换机，应用层级二层，传输速率10/100/1000Mbps，交换方式存储-转发，交换容量不劣于50Gbps，包转发率不劣于40Mpps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2、端口参数：端口结构非模块化，端口描述24个10/100/1000Base-T以太网端口，4个1000Base-X以太网端口，控制端口1个Console口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3、传输模式全双工/半双工自适应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4、功能特性：VLAN支持802.1Q（最大4K个VLAN），支持基于MAC的VLAN，支持GUEST VLAN，QOS支持Diff-Serv QoS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5、组播管理支持IGMP V1/V2/V3 Snooping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6、网络管理支持Console/AUX Modem/Telnet/SSH2.0命令行配置，支持FTP、TFTP、Xmodem、SFTP文件上下载管理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7、安全管理支持用户分级管理和口令保护，支持SSHv2，为用户登录提供安全加密通道，支持SSL，保障数据传输安全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8、支持可控IP地址的FTP登录和口令机制，支持防止ARP、未知组播报文、广播报文、未知单播报文、本机网段路由扫描报文、TTL=1报文、协议报文等攻击功能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9、支持IP＋MAC+PORT+VLAN绑定功能，支持IEEE 802.1x</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光纤终端盒</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1.4口配线箱（可装SC,FC,ST，LC 适配器） 机架式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2.16芯光缆续接盒配套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3.配置光纤尾纤</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光纤熔纤</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单模多模光纤续接、尾纤熔纤，</w:t>
            </w:r>
            <w:r>
              <w:rPr>
                <w:rStyle w:val="496"/>
                <w:rFonts w:hint="eastAsia" w:ascii="宋体" w:hAnsi="宋体" w:eastAsia="宋体" w:cs="宋体"/>
                <w:color w:val="auto"/>
                <w:sz w:val="21"/>
                <w:szCs w:val="21"/>
                <w:highlight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熔纤点含法兰接口</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2K高清节点输入模块</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2、支持分辨率：2K并向下兼容；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3、具备≥1路HDMI输入、≥1路HDMI环出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4、具备≥1路RJ45 接口带 POE、≥1路立体声音频输入、≥1路立体声音频输出、≥1个MIC接口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6、采用主流领先的压缩编码与解码技术，支持 ITU-T H.264 High Profile/Main Profile/Baseline Profile@Level 5.1编码，支持 ITU-TH.265 MainlO/Main Profile@Level 5.1 Main Tier编码,支持B帧 </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7、为满足互联互通需求，节点间采用单播协议，无需交换机和接入网络具备组播支持情况下可支持超过160 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8、为满足快速排查故障，节点支持点名功能，节点选中后以声、光、电其中一种或多种方式示意，无需逐一查找故障节点，以加快排查效率；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9、支持RTSP等标准流媒体协议，系统可支持IPC网络摄像头信号接入直接输出显示到大屏，无需第三方提供转码服务器；可输岀显示海康、大华</w:t>
            </w:r>
            <w:r>
              <w:rPr>
                <w:rFonts w:hint="eastAsia" w:ascii="宋体" w:hAnsi="宋体" w:cs="宋体"/>
                <w:color w:val="auto"/>
                <w:kern w:val="0"/>
                <w:szCs w:val="21"/>
                <w:highlight w:val="none"/>
                <w:u w:val="none"/>
                <w:lang w:eastAsia="zh-CN" w:bidi="ar"/>
              </w:rPr>
              <w:t>、</w:t>
            </w:r>
            <w:r>
              <w:rPr>
                <w:rFonts w:hint="eastAsia" w:ascii="宋体" w:hAnsi="宋体" w:cs="宋体"/>
                <w:color w:val="auto"/>
                <w:kern w:val="0"/>
                <w:szCs w:val="21"/>
                <w:highlight w:val="none"/>
                <w:u w:val="none"/>
                <w:lang w:val="en-US" w:eastAsia="zh-CN" w:bidi="ar"/>
              </w:rPr>
              <w:t>宇视</w:t>
            </w:r>
            <w:r>
              <w:rPr>
                <w:rFonts w:hint="eastAsia" w:ascii="宋体" w:hAnsi="宋体" w:eastAsia="宋体" w:cs="宋体"/>
                <w:i w:val="0"/>
                <w:iCs w:val="0"/>
                <w:color w:val="auto"/>
                <w:kern w:val="0"/>
                <w:sz w:val="21"/>
                <w:szCs w:val="21"/>
                <w:highlight w:val="none"/>
                <w:u w:val="none"/>
                <w:lang w:val="en-US" w:eastAsia="zh-CN" w:bidi="ar"/>
              </w:rPr>
              <w:t>等国标协议的网络摄像头的信号。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4K高清KVM输入管控</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模块</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b/>
                <w:bCs/>
                <w:i w:val="0"/>
                <w:iCs w:val="0"/>
                <w:color w:val="auto"/>
                <w:kern w:val="0"/>
                <w:sz w:val="21"/>
                <w:szCs w:val="21"/>
                <w:highlight w:val="none"/>
                <w:u w:val="none"/>
                <w:lang w:val="en-US" w:eastAsia="zh-CN" w:bidi="ar"/>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2、支持分辨率：4K并向下兼容；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具备≥1路HDMI输出；≥1路RJ45 接口带 POE；≥1路立体声音频输入；≥1路立体声音频输出</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5、采用主流领先的压缩编码与解码技术，支持 ITU-T H.264 High Profile/Main Profile/Baseline Profile@Level 5.1编码，支持 ITU-TH.265 MainlO/Main Profile@Level 5.1 Main Tier编码,支持B帧。自动适应编解码方式,码率500K-40Mbps 可调</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6、席位跟随功能：支持权限管理，不同帐户可设置不同权限，且系统自动记忆每个用户的当前动作和状 态；用户可通过密码或者指纹登录方式，重新登录时恢复之前的操作状态；根据各类坐席人员开展各种需要实时调整，实现工位职能互换、工位权限互换、组别互换等；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7、支持软KVM直控功能：实现pad端远程操作电脑主机里的文件和内容，如使用触摸板一样操作鼠标移动和点击；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8、具备与安全通讯模块通讯的接口，杜绝KVM系统的USB 口与业务系统主机的USB口直接相连，而是通过独立KVM适配器，以物理隔离方式连接电脑主机USB 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9、通过OSD菜单，可预览坐席系统内所有有权限接管的节点的画面，便于准确直观操作；可显示设备 的ID, IP,实时码率；可获取当前信号源的用户列 表，以便了解该节点的用户情况减少互相干扰</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视频会议</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双流节点</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2、支持分辨率：4K并向下兼容；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节点具备≥2路HDMI输入、≥2路HDMI输出；≥1路立体声音频输入、≥1路立体声音频输出、≥1个MIC接口、≥1路RS232接口、≥1路RS485接口、≥3组I0/IR接口</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4、采用主流领先的压缩编码与解码技术，支持 ITU-T H.264 High Profile/Main Profile/Baseline Profile@Level 5.1编码，支持 ITU-TH.265 MainlO/Main Profile@Level 5.1 Main Tier编码,支持B帧。自动适应编解码方式,码率500K-40Mbps 可调</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5、节点间采用单播协议，无需交换机和接入网络具备组播支持情况下可支持超过200 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6、操作终端可预先所见所得的对屏幕进行布局，而不影响屏幕显示；布局完成并需要切换场景时一键发送</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4K高清节点输入模块</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b/>
                <w:bCs/>
                <w:i w:val="0"/>
                <w:iCs w:val="0"/>
                <w:color w:val="auto"/>
                <w:kern w:val="0"/>
                <w:sz w:val="21"/>
                <w:szCs w:val="21"/>
                <w:highlight w:val="none"/>
                <w:u w:val="none"/>
                <w:lang w:val="en-US" w:eastAsia="zh-CN" w:bidi="ar"/>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2、支持分辨率：4K并向下兼容；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具备≥1路HDMI视频输入接口、1路HDMI环出接口；≥1路RJ45 接口带 POE；≥1路3.81 凤凰端子的立体声音频输入和输出、≥1路3.5mm接口；≥1路RS485接口</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5、采用主流领先的压缩编码与解码技术，支持 ITU-T H.264 High Profile/Main Profile/Baseline Profile@Level 5.1编码，支持 ITU-TH.265 MainlO/Main Profile@Level 5.1 Main Tier编码,支持B帧。自动适应编解码方式,码率1Mbps-40Mbps 可调</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6、为满足快速排查故障，节点支持点名功能，节点选中后以声、光、电其中一种或多种方式示意，无需逐一查找故障节点，以加快排查效率；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7、支持实时输入信号预览,支持至少128路信号同时回显,且可设置回显画面分辨率；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浏览所有输入信号的预览画面，图像流畅无卡顿；支持软件预监输入音频；支持整面拼接屏的整体回显功能，显示内容与实际输出画面一致，可外接显示器或解码器观看大屏回显，图像帧率可达60帧/秒；支持大屏音频回显输出，音频与画面实时同步</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4K高清节点输出模块</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b/>
                <w:bCs/>
                <w:i w:val="0"/>
                <w:iCs w:val="0"/>
                <w:color w:val="auto"/>
                <w:kern w:val="0"/>
                <w:sz w:val="21"/>
                <w:szCs w:val="21"/>
                <w:highlight w:val="none"/>
                <w:u w:val="none"/>
                <w:lang w:val="en-US" w:eastAsia="zh-CN" w:bidi="ar"/>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2、支持分辨率：4K并向下兼容；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具备≥1路HDMI输出、≥1路RJ45 接口（带POE)、≥1路立体声音频输入、≥1路立体声音频输出、≥1路MIC、≥1路RS232、≥2路IO/2路IR</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4、支持音频加嵌、解嵌功能，可在操作界面推杆式控制节点音量大小，并可实时动态显示音量状态，支持视、音频同步或异步切换；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5、节点间采用单播协议，无需交换机和接入网络具备组播支持情况下可支持超过150路以上并发；同时可兼容组播，组播并发数量不受限制，单播和组播均具有完善的流控措施，无任何花屏或马赛克情况；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6、支持RTSP等标准流媒体协议，系统可支持IPC网络摄像头信号接入直接输出显示到大屏，无需第三方提供转码服务器；可输岀显示海康、大华等国标协议的网络摄像头的信号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7、端到端传输延时≤16ms(最低可低至0ms)，支持输出节点直接连接LED发送卡进行拼接;拼接效果肉眼目测完全无画面撕裂,无同步误差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8、支持画质调整功能:能对输出的亮度、对比度、色彩饱和度以及增益进行调整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9、支持信号裁剪上墙，以便突出重点，屏蔽无需上墙的内容；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10、支持图像开窗、窗口叠加、窗口漫游、窗口缩放、字符叠加、输出字符叠加、保存场景、读取场景、大底图显示功能；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11、支持可视化管理、坐席管控、影像切换、混音控制、语音控制、体感控制、大屏拼接、远距离传输、音视频矩阵、控制管理、投影融合等功能</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高清硬盘</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播放器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1、Dolby HDR 高动态对比度，BT.2020 广色域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2、10bit色深，支持智能中控232窜口协议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3、UHD 4K (H.265 HEVC)分辨率4096x2160@60fps、UHD 4K (H.264 AVC)分辨率4096x2160@30fps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4、高码率高清、超清蓝光原盘影片支持（ISO、BDMV、M2TS）、专业蓝光3D(全格式)支持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5、专业影院音频7.1支持：Dolby Digital&amp;Dolby TrueHD/ DTS Audio&amp;DTS-HD、解码及原码输出, 杜比全景声（Atmos）支持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6、专业级视频、音频全格式支持; 多语言内嵌字幕、外挂字幕支持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7、专业支持36bit Deep-color（深色），影院级丽色效果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8、Movie Center智能影院海报墙系统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9、智能分析硬盘及Samba/NFS中的本地影片库信息，有工具能自动从网络获取影片海报及信息，建立影片分类、图形化影片海报、详情介绍等</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节点软件端授权</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b/>
                <w:bCs/>
                <w:i w:val="0"/>
                <w:iCs w:val="0"/>
                <w:color w:val="auto"/>
                <w:kern w:val="0"/>
                <w:sz w:val="21"/>
                <w:szCs w:val="21"/>
                <w:highlight w:val="none"/>
                <w:u w:val="none"/>
                <w:lang w:val="en-US" w:eastAsia="zh-CN" w:bidi="ar"/>
              </w:rPr>
              <w:t>▲1、实现多个单元跨区域、跨部门远程互联，进行音、视频信号获取或者推送</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2、可视化管理具备信号源统一管理、信号源预监、感应器检测结果显示等，通过直观拖拽方式实现信号源调度等功能；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3、一体化控制具有显示单元控制、显示预案调取管理、音频控制管理、设备使用状态查询、文案PPT控制、播放软件控制等功能；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4、具有发现协议和对时协议，确保单个视频流在多个单元分割输出显示时帧同步；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5、系统具备严格的权限控制能力：在可编程人机界面上，管理员可独立创；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6、建和删除用户，并对其控制行为进行严格区隔，对用户进行授权管理；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▲7、支持大屏本地及异地信号轮询功能，可改变轮询时间、轮询个数，一组大屏上支持多组轮询信号</w:t>
            </w:r>
            <w:r>
              <w:rPr>
                <w:rFonts w:hint="eastAsia" w:ascii="宋体" w:hAnsi="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系统控制</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平台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1、后期系统编程、界面编辑、脚本语言编程，多平台解析软件，可根据用户要求定制化管理界面，设置多级管理权限，软件运稳定界面友好、简学易用；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2、在PC端可预览所有单元发出的视频,可以将视频在平板终端上的虚拟拼接屏进行拼接、层叠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3、PC端可感知单元控制的设备的状态和数据，PC端可在视频预览框直接对设备进行控制；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4、PC端可实时反馈光感检测、PM2.5检测、门磁检测、温度检测湿度检测等各种感应检测器的检测结果，支持定时控制，自定义个性化设置控制的时间，系统会根据当前设定的时间为基础做控制；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5、支持大屏本地及异地信号轮询功能，可改变轮询时间、轮询个数，一组大屏上支持多组轮询信号；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6、支持设置信号收藏夹，任意添加删减收藏夹内信号，并支持信号模糊检索</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客户端授权ID</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客户端授权秘钥</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高清云台</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摄像机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1、内装SONY IMX415  1/2.8英寸4K CMOS 800万像素传感器，配合性能强大的图像引擎和成像算法，提供高达4K30的全高清广播级图像体验；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内置20倍500万像素高性能电动变焦镜头，高达240倍的变焦效果（20倍光学+12倍数字），镜头无畸变，并可达到58°广角水平视角</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3、采用新型的步进电机马达，云台运行安静平稳，定位精确迅速，水平最高速度可达200度/秒；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4、宽动态范围，高信噪比的图像效果，配合独有的2D/3D降噪算法，大幅降低图像噪声，在低照环境下依然保持画面干净清晰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5、支持2400/4800/9600/19200/38400 bps通信波特率，支持G.711alaw/G.711ulaw/AAC音频编码；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6、采用高精度步进电机以及精密电机驱动控制器，确保云台低速运行平稳，并且无噪声；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7、支持多路4K高清视频输出接口, HDMI、USB3.0、SDI、IP网络接口，支持同时2路高清视频并发的高质量图像传输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8、支持内置视音频编码能力，支持H.265/H.264/MJPEG视频编码，可实现全高清超低带宽传输；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9、支持YUV/H.264/MJPEG视频压缩</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H.264: (3840×2160, 1920×1080，1280×720,800*600,640*480,704*576,320*240) 25/30fps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MJPEG: (3840×2160,1920×1080，1280*720,800*600,640*480,704*576,320*240) /25/30fps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YUV:(3840×2160)15fps(1920×1080，1280×720,800*600,640*480,704*576,320*240) 25/30fps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10、支持IPV4, TCP, UDP, HTTP, FTP, NTP,DNS, DHCP,ARP, RTSP, RTP,RTCP, RTMP,NDI,SRT网络协议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11、支持视频制式（高清）：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3840x2160  25/30/29.97/23.98/59.94fps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1920×1080 1280x720 25/30/29.97/23.98/59.94fps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12、支持低功耗休眠/唤醒，耗低量低于10W；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13、支持VISCA，VISCA OVER IP，支持标准协议(ONVIF)、支持私有SDK和第三方管理平台接入</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14、支持RS232、RS485和IP接口控制，兼容各种主流的通信协议，可实现对摄像机全面灵活的控制；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15、支持多达255个预置位(遥控器设置调用为10个)；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16、采用三级防静电、防雷保护技术，可抗8000V静电，符合GB/T17618-1998国家标准；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17、采用外置DC12V电源适配器供电方式，保证电压在不稳定情况下也能安全、稳定使用；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18、支持中文简体、中文繁体、英文屏幕菜单，配合多功能红外遥控器，操作简便灵活</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摄像机</w:t>
            </w:r>
          </w:p>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安装支架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1、配套定制摄像机安装支架，承载负载≥15KG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2、支持侧装、倒装、吊装及立式安装</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3、含配套禁锢安装件</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移动平板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1、屏幕尺寸 10.95英寸</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2、色域 DCI-P3广色域</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3、屏幕分辨率 2560x1600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4、处理器核心 八核心</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5、系统内存 6GB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6、内存类型 LPDDR4x</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7、存储容量 128GB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8、存储介质 UFS3.1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9、存储扩展 支持Micro SD（TF）卡，最大支持1TB</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网络交换机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1、主要参数：产品类型千兆以太网交换机，应用层级二层，传输速率10/100/1000Mbps，交换方式存储-转发，交换容量不劣于50Gbps，包转发率不劣于40Mpps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2、端口参数：端口结构非模块化，端口描述24个10/100/1000Base-T以太网端口，4个1000Base-X以太网端口，控制端口1个Console口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3、传输模式全双工/半双工自适应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4、功能特性：VLAN支持802.1Q（最大4K个VLAN），支持基于MAC的VLAN，支持GUEST VLAN，QOS支持Diff-Serv QoS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5、组播管理支持IGMP V1/V2/V3 Snooping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6、网络管理支持Console/AUX Modem/Telnet/SSH2.0命令行配置，支持FTP、TFTP、Xmodem、SFTP文件上下载管理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7、安全管理支持用户分级管理和口令保护，支持SSHv2，为用户登录提供安全加密通道，支持SSL，保障数据传输安全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8、支持可控IP地址的FTP登录和口令机制，支持防止ARP、未知组播报文、广播报文、未知单播报文、本机网段路由扫描报文、TTL=1报文、协议报文等攻击功能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9、支持IP＋MAC+PORT+VLAN绑定功能，支持IEEE 802.1x</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无线同屏器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1、配置安装同一个网络构架下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2、支持系统类型 Windows,Apple Mac</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3、支持分辨率 2K~4K</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4、帧率 音视频30~60帧，整体延迟 5~20ms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5、显示模式 支持扩展桌面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6、触摸反控 支持鼠标模式回传（Windows,Mac）</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7、连接路数 1~100（依据版本不同开放不同权限）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8、最大同时显示路数4路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9、具备触摸屏幕列表选择指定PC传屏，与会人员模式优先等级按下传屏按钮谁就获取传屏控制权</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10、无线速率 接收端1200Mbps,发射端1200Mbps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11、无线传输协议 IEEE 802.11 a/g/n</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观众席及舞台信息终端</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1、隐蔽安装信息采集模块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2、具备3.5mm/6.5mm/卡龙/DA-NET信号接口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3、具备2K-4K节点平台模块信号输出接口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4、配置电源模块</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控制室信号显示屏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1、采用≥32英寸IPS面板4K原装屏体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2、分辨率：3840×2160（4K）；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3、可视角度178°，刷新率60HZ，支持双频无线WIFI，支持红外功能，支持蓝牙5.0传输协议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4、内置网络投屏系统，支持安卓、苹果系统；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5、亮度：500cd/㎡；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6、静态对比度：3000：1；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7、可视角度：≥178度(H)/178度(V)；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8、连续工作时间：7*24H</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9、接口：视频接口DVI-D/DP1、2/HDMI*2/ USB *2，控制接口 RS232/RJ45，内置8W音箱*2</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视频工作站</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1、主板，电源等关键部件有原厂商统一品牌标志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▲2、CPU：英特尔第九代酷睿六核处理器I5或以上，配置风扇导流罩</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3、主板：英特尔 B365芯片组或以上，PCI扩展插槽≥2个PCI+1个PCI-Ex1+1个PCI-Ex16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▲4、内存：≥16G DDR4 2666MHZ</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▲5、硬盘：≥512G固态</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▲6、显卡：配置≥2G独立显卡</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7、光驱：无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8、电源：更好扩展性，≥290W节能电源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9、接口：≥8个USB口（前置≥4个USB 3.0），≥1个VGA接口，≥1个HDMI接口, ≥1个9针COM接口，≥2个PS/2接口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10、机箱：方便扩展与散热，机型体积大于17L，顶置隐藏式提手，后置电源故障诊断灯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11、系统配置KVM坐席控制平台</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控制室万向导轨支架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1、智能万向架，采用高强度压铸铝主臂，单臂承重范围为：4-10kg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2、支架底座设计有安全防护垫胶，可桌面的平行安装，支持安装厚度为10-90mm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3、采用气弹簧助力系统，可自由悬停，高低升降度为0-560mm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4、可倾仰调节，适合不同角度的需求，调节角度可达-85°-15°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5、可实现360°左右旋转与XY轴万向旋转，满足不同工作需求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6、支架主体采用隐藏式走线结构</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7、双USB充电信息接口，支架单臂可实现前后延伸最大范围720max</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高清数据</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传输线缆</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1、节点之间HDMI/VGA/DVI/SID高清数据线传输，包含高清数据接插件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2、设备终端间电源线、网线、485控制线传输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3、线缆管线施工预埋敷设，包含开槽及恢复施工作业</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大屏分区</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配电电缆线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RVV3*2.5mm平方橡胶护套电缆</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大屏主配电电缆线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RVV4*25mm+1*16mm平方橡胶护套电缆</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信号传输</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网络布线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超五类网络线</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信号传输</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光模块</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1、工业级光电信号传输模块，适应SC/LC传输接口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2、1000M自适应传输速率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3、主机配置光模块，传输距离20KM</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24口光纤</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配线架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SC/LC传输接口，含跳线及尾纤</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机架电源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1、主副备份双电源输出，含电源模块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2、16路电源卡槽，内置通风散热系统</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中控电源</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1、5寸彩色液晶电容触摸显示窗，可实时显示当前电压、日期时间、通道开关状态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2、支持多台设备级联顺序控制，级联自动检测设备，设备设有触发功能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3、配置232接口、485接口，支持外部中控设备控制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4、每台设备自带ID设置和检测，可远程集中控制，及实现云端数据管理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5、支持面板LOCK锁定功能，防止误操作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6、支持每路延时开启和关闭时间可自由设置，每路16次循环定时开关</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7、具有欠压、超压检测及报警功能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8、支持中控一键场景调用模式，10组设备开关场景数据保存/调用，场景管理应用简单便捷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9、1-7路带独立滤波器，可净化电源，抗干扰能力更强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10、支持IPHONE/安卓系统手机及笔记本无线控制调试，实现一键开关机及模式调用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11、支持PC软件调试，可对每路单独编辑及远程控制，并可进行一键场景模式调用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12、带有外部IO触发，可对接中控设备实现的开机和关机</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带铠室内</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光纤</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1、24芯带铠单模光纤，加粗磷化钢丝及刚铠甲保护层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2、含安装敷管线敷设</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光纤熔纤</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单模多模光纤续接、尾纤熔纤，熔纤点含法兰接口</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工控机柜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1、尺寸600mm宽*1600mm高*800mm深</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2、容积（U）:32,体积(CBM):0.9360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3、标准配置:前门玻璃门，后门钢板门，6位国标排插组件1套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4、配件：固定板3块，风扇组件1套，重型脚轮4只，方螺母螺钉40套，支脚4只，内六扳手1只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5、电源：工业12路PTU3套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6、防护等级:IP20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7、主要材料:SPCC优质冷扎钢板制作；厚度：方孔条2.0mm，安装梁1.5mm，其它1.2mm。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大屏系统敷设线管</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1、名称及规格：PVC25电线管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2、敷设方式:埋地、穿墙</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3、包含管道敷设、穿线用牵引铁线、砼结构内的管道预埋施工、标识、接地等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大屏系统</w:t>
            </w:r>
          </w:p>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敷设金属</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1、名称及规格：镀锌金属桥架MR100mm*100mm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2、敷设方式:埋地、穿墙、吊顶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3、包含线槽及附件、配件安装、支（吊）架制作安装、除锈、刷油（含刷防火涂料）、接地、防火堵洞、刷防火漆等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196人厅会议显示终端</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1、全彩显示屏净尺寸：≥6400mm宽*3360mm高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3、整屏分辨率：≥3K</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像素点间距≤1.86mm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5、像素点组成：1R1G1B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6、支持前后安装箱体结构，包含电源模块及接收模块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亮度范围：0-1800cd/㎡无级调节（白平衡亮度≥1000cd/㎡）</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8、刷新率/换帧频率：≥3840Hz/60Hz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静态对比度：≥15000:1，动态对比度：≥10000000:1</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屏体可靠性：符合GB/T2423.9-2001国家标准，裸机在50℃、湿度90%环境内连续工作≥200个小时无故障</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17、</w:t>
            </w:r>
            <w:r>
              <w:rPr>
                <w:rFonts w:hint="eastAsia" w:ascii="宋体" w:hAnsi="宋体" w:cs="宋体"/>
                <w:b/>
                <w:bCs/>
                <w:i w:val="0"/>
                <w:iCs w:val="0"/>
                <w:color w:val="auto"/>
                <w:kern w:val="0"/>
                <w:sz w:val="21"/>
                <w:szCs w:val="21"/>
                <w:highlight w:val="none"/>
                <w:u w:val="none"/>
                <w:lang w:val="en-US" w:eastAsia="zh-CN" w:bidi="ar"/>
              </w:rPr>
              <w:t>投标时须提供</w:t>
            </w:r>
            <w:r>
              <w:rPr>
                <w:rFonts w:hint="eastAsia" w:ascii="宋体" w:hAnsi="宋体" w:eastAsia="宋体" w:cs="宋体"/>
                <w:b/>
                <w:bCs/>
                <w:i w:val="0"/>
                <w:iCs w:val="0"/>
                <w:color w:val="auto"/>
                <w:kern w:val="0"/>
                <w:sz w:val="21"/>
                <w:szCs w:val="21"/>
                <w:highlight w:val="none"/>
                <w:u w:val="none"/>
                <w:lang w:val="en-US" w:eastAsia="zh-CN" w:bidi="ar"/>
              </w:rPr>
              <w:t>LED显示屏产品通过CCC、节能认证</w:t>
            </w:r>
            <w:r>
              <w:rPr>
                <w:rFonts w:hint="eastAsia"/>
                <w:b/>
                <w:bCs/>
                <w:color w:val="auto"/>
                <w:highlight w:val="none"/>
                <w:lang w:val="en-US" w:eastAsia="zh-CN"/>
              </w:rPr>
              <w:t>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72人厅</w:t>
            </w:r>
          </w:p>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会议显示</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终端</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1、全彩显示屏净尺寸：≥4800mm宽*2720mm高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2、像素结构：1R1G1B 表贴三合一LED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3、整屏分辨率：≥2K</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4、像素点间距≤1.86mm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5、像素点组成：1R1G1B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6、模组拼装结构，包含电源模块及接收模块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7、亮度范围：0-1800cd/㎡无级调节（白平衡亮度≥1000cd/㎡）</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8、刷新率/换帧频率：≥3840Hz/60Hz</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9、静态对比度：≥15000:1，动态对比度：≥10000000:1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13、屏体可靠性：符合GB/T2423.9-2001国家标准，裸机在50℃、湿度90%环境内连续工作≥200个小时无故障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LED视频</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处理器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1、2路DVI视频输入，2路双链HDMI视频输入；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2、支持一路音频输入；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3、16路网口输出；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4、USB 接口控制，可级联多台进行统一控制；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5、单路最大带载分辨率≥3840*2160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6、一路光探头接口</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安装钢结构</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1、构架尺寸根据施工现场及甲方要求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2、构架材质：铝材，钢材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3、含底面背景墙饰面装饰，背景墙加强钢结构支撑</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4、安装高度：根据现场实际尺寸及甲方要求，含边框的制作及安装</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无纸化</w:t>
            </w:r>
          </w:p>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显示终端</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电子桌牌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r>
              <w:rPr>
                <w:rStyle w:val="110"/>
                <w:rFonts w:hint="eastAsia" w:ascii="宋体" w:hAnsi="宋体" w:eastAsia="宋体" w:cs="宋体"/>
                <w:color w:val="auto"/>
                <w:sz w:val="21"/>
                <w:szCs w:val="21"/>
                <w:highlight w:val="none"/>
                <w:lang w:val="en-US" w:eastAsia="zh-CN" w:bidi="ar"/>
              </w:rPr>
              <w:t>不小于</w:t>
            </w:r>
            <w:r>
              <w:rPr>
                <w:rStyle w:val="160"/>
                <w:rFonts w:hint="eastAsia" w:ascii="宋体" w:hAnsi="宋体" w:eastAsia="宋体" w:cs="宋体"/>
                <w:color w:val="auto"/>
                <w:sz w:val="21"/>
                <w:szCs w:val="21"/>
                <w:highlight w:val="none"/>
                <w:lang w:val="en-US" w:eastAsia="zh-CN" w:bidi="ar"/>
              </w:rPr>
              <w:t>7.5英寸双显屏分辨率</w:t>
            </w:r>
            <w:r>
              <w:rPr>
                <w:rStyle w:val="110"/>
                <w:rFonts w:hint="eastAsia" w:ascii="宋体" w:hAnsi="宋体" w:eastAsia="宋体" w:cs="宋体"/>
                <w:color w:val="auto"/>
                <w:sz w:val="21"/>
                <w:szCs w:val="21"/>
                <w:highlight w:val="none"/>
                <w:lang w:val="en-US" w:eastAsia="zh-CN" w:bidi="ar"/>
              </w:rPr>
              <w:t>不小于</w:t>
            </w:r>
            <w:r>
              <w:rPr>
                <w:rStyle w:val="160"/>
                <w:rFonts w:hint="eastAsia" w:ascii="宋体" w:hAnsi="宋体" w:eastAsia="宋体" w:cs="宋体"/>
                <w:color w:val="auto"/>
                <w:sz w:val="21"/>
                <w:szCs w:val="21"/>
                <w:highlight w:val="none"/>
                <w:lang w:val="en-US" w:eastAsia="zh-CN" w:bidi="ar"/>
              </w:rPr>
              <w:t xml:space="preserve">880x528 </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2、ABS环保材质，钢琴烤漆工艺</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3、尺寸不小于20.8cm*2.4cm*13.4cm</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4、双面屏展示，支持姓名、职位、会议主题，logo。自定义字体、字体颜色、背景颜色</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5、无线传输模式，通信距离&gt;100米</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6、锂电池供电，正常持续工作&gt;168小时，待机时间&gt;1年</w:t>
            </w:r>
            <w:r>
              <w:rPr>
                <w:rStyle w:val="160"/>
                <w:rFonts w:hint="eastAsia" w:ascii="宋体" w:hAnsi="宋体" w:cs="宋体"/>
                <w:color w:val="auto"/>
                <w:sz w:val="21"/>
                <w:szCs w:val="21"/>
                <w:highlight w:val="none"/>
                <w:lang w:val="en-US" w:eastAsia="zh-CN" w:bidi="ar"/>
              </w:rPr>
              <w:t>；</w:t>
            </w:r>
            <w:r>
              <w:rPr>
                <w:rStyle w:val="160"/>
                <w:rFonts w:hint="eastAsia" w:ascii="宋体" w:hAnsi="宋体" w:eastAsia="宋体" w:cs="宋体"/>
                <w:color w:val="auto"/>
                <w:sz w:val="21"/>
                <w:szCs w:val="21"/>
                <w:highlight w:val="none"/>
                <w:lang w:val="en-US" w:eastAsia="zh-CN" w:bidi="ar"/>
              </w:rPr>
              <w:br w:type="textWrapping"/>
            </w:r>
            <w:r>
              <w:rPr>
                <w:rStyle w:val="160"/>
                <w:rFonts w:hint="eastAsia" w:ascii="宋体" w:hAnsi="宋体" w:eastAsia="宋体" w:cs="宋体"/>
                <w:color w:val="auto"/>
                <w:sz w:val="21"/>
                <w:szCs w:val="21"/>
                <w:highlight w:val="none"/>
                <w:lang w:val="en-US" w:eastAsia="zh-CN" w:bidi="ar"/>
              </w:rPr>
              <w:t>7、会议签到、投票表决、信息收发、呼叫服务。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电子桌牌</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信号发射器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1、基站编号、信道的设置及修改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2、网络ip地址自动获取</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3、基站参数的备份/恢复</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4、子键键盘的配对</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5、键盘号的设置，按键方式自定义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6、键盘屏幕背光显示时间设置，震动时间设置</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交互</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电子白板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1、四种标示特性感识终端，含可替换标示芯片</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2、兼容系统Max OS X版本，Windows版本</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3、有效区域：宽度252厘米x高度150厘米x2个并联区域，配置带跨区互动终端，可适配连接使用区域任何显示端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4、智能自动识别区域，无线校准操作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5、语音提示：功能菜单语音提示；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6、LED显示：工作状态提示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7、支持的操作系统：Android，iOS，Mac，Windows</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8、APP应用环境：智能手机IOS版本，Android版本；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9、设备内存：8G，存储页面数：10000页</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10、可编辑内容：共享文件二次编辑保存及上传共享功能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11、云应用：Dropbox，Evernote，icloud，无限共享会话参与者数量；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12、捕捉技术：红外线/超声波，应用程序兼容性和语言全球主流应用15种以上语言；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13、无线技术：蓝牙2.1，电源：USB /充电电池，电池续航时间：48小时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14、无网络及断网自动记录存储功能，离线存储空间≥8G,接入网络自动上传</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视频工作站</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1、主板，电源等关键部件有原厂商统一品牌标志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2、CPU：英特尔第九代酷睿六核处理器I5或以上，配置风扇导流罩</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3、主板：英特尔 B365芯片组或以上，PCI扩展插槽≥2个PCI+1个PCI-Ex1+1个PCI-Ex16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4、内存：≥16G DDR4 2666MHZ</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5、硬盘：≥512G固态</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6、显卡：配置≥2G独立显卡</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7、光驱：无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8、电源：更好扩展性，≥290W节能电源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9、接口：≥8个USB口（前置≥4个USB 3.0），≥1个VGA接口，≥1个HDMI接口, ≥1个9针COM接口，≥2个PS/2接口</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10、机箱：方便扩展与散热，机型体积大于17L，顶置隐藏式提手，后置电源故障诊断灯</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11、系统配置KVM坐席控制平台</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分区配电</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电缆线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RVV3*2.5mm平方橡胶护套电缆</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信号传输</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网络布线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超五类网络线</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高清数据</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传输线缆</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1、节点之间HDMI/VGA/DVI/SID高清数据线传输，包含高清数据接插件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2、设备终端间电源线、网线、485控制线传输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3、线缆管线施工预埋敷设，包含开槽及恢复施工作业</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中控电源</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控制器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1、5寸彩色液晶电容触摸显示窗，可实时显示当前电压、日期时间、通道开关状态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2、支持多台设备级联顺序控制，级联自动检测设备，设备设有触发功能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3、配置232接口、485接口，支持外部中控设备控制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4、每台设备自带ID设置和检测，可远程集中控制，及实现云端数据管理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5、支持面板LOCK锁定功能，防止误操作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6、支持每路延时开启和关闭时间可自由设置，每路16次循环定时开关</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7、具有欠压、超压检测及报警功能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8、支持中控一键场景调用模式，10组设备开关场景数据保存/调用，场景管理应用简单便捷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9、1-7路带独立滤波器，可净化电源，抗干扰能力更强</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10、支持IPHONE/安卓系统手机及笔记本无线控制调试，实现一键开关机及模式调用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11、支持PC软件调试，可对每路单独编辑及远程控制，并可进行一键场景模式调用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12、带有外部IO触发，可对接中控设备实现的开机和关机</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大屏系统</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敷设线管</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1、名称及规格：PVC25电线管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2、敷设方式:埋地、穿墙</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3、包含管道敷设、穿线用牵引铁线、砼结构内的管道预埋施工、标识、接地等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大屏系统</w:t>
            </w:r>
          </w:p>
          <w:p>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敷设金属</w:t>
            </w:r>
          </w:p>
          <w:p>
            <w:pPr>
              <w:keepNext w:val="0"/>
              <w:keepLines w:val="0"/>
              <w:widowControl/>
              <w:suppressLineNumbers w:val="0"/>
              <w:snapToGrid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桥架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1、名称及规格：镀锌金属桥架MR100mm*100mm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2、敷设方式:埋地、穿墙、吊顶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3、包含线槽及附件、配件安装、支（吊）架制作安装、除锈、刷油（含刷防火涂料）、接地、防火堵洞、刷防火漆等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734"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交付时间及地点</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1.交付时间：自合同签订之日起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default" w:asciiTheme="minorEastAsia" w:hAnsiTheme="minorEastAsia" w:eastAsiaTheme="minorEastAsia" w:cstheme="minorEastAsia"/>
                <w:b/>
                <w:bCs/>
                <w:color w:val="auto"/>
                <w:kern w:val="0"/>
                <w:sz w:val="21"/>
                <w:szCs w:val="21"/>
                <w:highlight w:val="none"/>
                <w:u w:val="single"/>
                <w:lang w:val="en" w:eastAsia="zh-CN" w:bidi="ar"/>
              </w:rPr>
              <w:t xml:space="preserve"> </w:t>
            </w:r>
            <w:r>
              <w:rPr>
                <w:rFonts w:hint="eastAsia" w:asciiTheme="minorEastAsia" w:hAnsiTheme="minorEastAsia" w:eastAsiaTheme="minorEastAsia" w:cstheme="minorEastAsia"/>
                <w:b/>
                <w:bCs/>
                <w:color w:val="auto"/>
                <w:kern w:val="0"/>
                <w:sz w:val="21"/>
                <w:szCs w:val="21"/>
                <w:highlight w:val="none"/>
                <w:u w:val="single"/>
                <w:lang w:val="en-US" w:eastAsia="zh-CN" w:bidi="ar"/>
              </w:rPr>
              <w:t>30</w:t>
            </w:r>
            <w:r>
              <w:rPr>
                <w:rFonts w:hint="default" w:asciiTheme="minorEastAsia" w:hAnsiTheme="minorEastAsia" w:eastAsiaTheme="minorEastAsia" w:cstheme="minorEastAsia"/>
                <w:b/>
                <w:bCs/>
                <w:color w:val="auto"/>
                <w:kern w:val="0"/>
                <w:sz w:val="21"/>
                <w:szCs w:val="21"/>
                <w:highlight w:val="none"/>
                <w:u w:val="single"/>
                <w:lang w:val="en" w:eastAsia="zh-CN" w:bidi="ar"/>
              </w:rPr>
              <w:t xml:space="preserve"> </w:t>
            </w:r>
            <w:r>
              <w:rPr>
                <w:rFonts w:hint="eastAsia" w:asciiTheme="minorEastAsia" w:hAnsiTheme="minorEastAsia" w:eastAsiaTheme="minorEastAsia" w:cstheme="minorEastAsia"/>
                <w:b/>
                <w:bCs/>
                <w:color w:val="auto"/>
                <w:kern w:val="0"/>
                <w:sz w:val="21"/>
                <w:szCs w:val="21"/>
                <w:highlight w:val="none"/>
                <w:u w:val="single"/>
                <w:lang w:bidi="ar"/>
              </w:rPr>
              <w:t>个日历</w:t>
            </w:r>
            <w:r>
              <w:rPr>
                <w:rFonts w:hint="eastAsia" w:asciiTheme="minorEastAsia" w:hAnsiTheme="minorEastAsia" w:eastAsiaTheme="minorEastAsia" w:cstheme="minorEastAsia"/>
                <w:color w:val="auto"/>
                <w:kern w:val="0"/>
                <w:sz w:val="21"/>
                <w:szCs w:val="21"/>
                <w:highlight w:val="none"/>
                <w:lang w:bidi="ar"/>
              </w:rPr>
              <w:t>日内交付货物并完成所有的安装及调试；</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2.交付地点：广西南宁市</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采购人指定地点</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质保期限</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按国家有关产品“三包”规定执行“三包”，自全部货物验收合格之日起计算，产品质保期至少</w:t>
            </w:r>
            <w:r>
              <w:rPr>
                <w:rFonts w:hint="eastAsia" w:asciiTheme="minorEastAsia" w:hAnsiTheme="minorEastAsia" w:eastAsiaTheme="minorEastAsia" w:cstheme="minorEastAsia"/>
                <w:color w:val="auto"/>
                <w:kern w:val="0"/>
                <w:sz w:val="21"/>
                <w:szCs w:val="21"/>
                <w:highlight w:val="none"/>
                <w:u w:val="single"/>
                <w:lang w:bidi="ar"/>
              </w:rPr>
              <w:t xml:space="preserve"> 一年</w:t>
            </w:r>
            <w:r>
              <w:rPr>
                <w:rFonts w:hint="eastAsia" w:asciiTheme="minorEastAsia" w:hAnsiTheme="minorEastAsia" w:eastAsiaTheme="minorEastAsia" w:cstheme="minorEastAsia"/>
                <w:color w:val="auto"/>
                <w:kern w:val="0"/>
                <w:sz w:val="21"/>
                <w:szCs w:val="21"/>
                <w:highlight w:val="none"/>
                <w:lang w:bidi="ar"/>
              </w:rPr>
              <w:t>（“技术参数要求”有要求的则按其要求）。若分项货物质保期超过此年限的，合同履行过程中按分项货物质保期要求规定执行。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rPr>
              <w:t>核心产品</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eastAsia="zh-CN" w:bidi="ar"/>
              </w:rPr>
              <w:t>项号</w:t>
            </w:r>
            <w:r>
              <w:rPr>
                <w:rFonts w:hint="eastAsia" w:asciiTheme="minorEastAsia" w:hAnsiTheme="minorEastAsia" w:eastAsiaTheme="minorEastAsia" w:cstheme="minorEastAsia"/>
                <w:b/>
                <w:bCs/>
                <w:color w:val="auto"/>
                <w:kern w:val="0"/>
                <w:sz w:val="21"/>
                <w:szCs w:val="21"/>
                <w:highlight w:val="none"/>
                <w:lang w:val="en-US" w:eastAsia="zh-CN" w:bidi="ar"/>
              </w:rPr>
              <w:t>1</w:t>
            </w:r>
            <w:r>
              <w:rPr>
                <w:rFonts w:hint="eastAsia" w:asciiTheme="minorEastAsia" w:hAnsiTheme="minorEastAsia" w:eastAsiaTheme="minorEastAsia" w:cstheme="minorEastAsia"/>
                <w:b/>
                <w:bCs/>
                <w:color w:val="auto"/>
                <w:kern w:val="0"/>
                <w:sz w:val="21"/>
                <w:szCs w:val="21"/>
                <w:highlight w:val="none"/>
                <w:lang w:val="en" w:eastAsia="zh-CN" w:bidi="ar"/>
              </w:rPr>
              <w:t>“</w:t>
            </w:r>
            <w:r>
              <w:rPr>
                <w:rFonts w:hint="eastAsia" w:ascii="宋体" w:hAnsi="宋体" w:eastAsia="宋体" w:cs="宋体"/>
                <w:b/>
                <w:bCs/>
                <w:i w:val="0"/>
                <w:iCs w:val="0"/>
                <w:color w:val="auto"/>
                <w:kern w:val="0"/>
                <w:sz w:val="21"/>
                <w:szCs w:val="21"/>
                <w:highlight w:val="none"/>
                <w:u w:val="none"/>
                <w:lang w:val="en-US" w:eastAsia="zh-CN" w:bidi="ar"/>
              </w:rPr>
              <w:t>舞台背景显示大屏</w:t>
            </w:r>
            <w:r>
              <w:rPr>
                <w:rFonts w:hint="eastAsia" w:asciiTheme="minorEastAsia" w:hAnsiTheme="minorEastAsia" w:eastAsiaTheme="minorEastAsia" w:cstheme="minorEastAsia"/>
                <w:b/>
                <w:bCs/>
                <w:color w:val="auto"/>
                <w:kern w:val="0"/>
                <w:sz w:val="21"/>
                <w:szCs w:val="21"/>
                <w:highlight w:val="none"/>
                <w:lang w:val="en" w:eastAsia="zh-CN" w:bidi="ar"/>
              </w:rPr>
              <w:t>”</w:t>
            </w:r>
            <w:r>
              <w:rPr>
                <w:rFonts w:hint="eastAsia" w:asciiTheme="minorEastAsia" w:hAnsiTheme="minorEastAsia" w:eastAsiaTheme="minorEastAsia" w:cstheme="minorEastAsia"/>
                <w:color w:val="auto"/>
                <w:kern w:val="0"/>
                <w:sz w:val="21"/>
                <w:szCs w:val="21"/>
                <w:highlight w:val="none"/>
                <w:lang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售后服务要求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供应商按采购人指定的地点负责送货上门、安装、调试，负责培训使用人员和维护人员。</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供应商必须在交货后10个日历日内进行安装、测试和调整服务，并于10个日历日内完成相关安装调试服务。</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供应商在施工、安装、调试等全过程中接受采购人的监督。</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3.在质保期内，供应商应对货物出现的质量及安全问题负责处理解决并承担一切费用。</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4.质保期内出现无法排除的故障，供应商无条件更换同型号产品。</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5.在质保期满后，采购人需要在本招标采购需求范围内，继续由原</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供应商提供售后服务的，</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供应商和制造商应以优惠价格提供售后服务，售后服务费不得超过中标合同总金额的10%，双方另行协商，报财政监管部门审批或备案后方可签订补充协议。</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6.因人为因素出现的故障不在免费保修范围内。</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供应商接故障通知后，在2小时内需要作出响应，6小时内进行电话、网上诊断协助排除故障，如需现场处理故障的，应24小时内到达采购人指定现场排除故障。</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8.质保期外维修响应时间：如果系统出现故障，在接到维修服务的请求后，</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供应商工程师应在 2小时内作出响应，6小时内进行电话指导、网上诊断协助排除故障。必要时，在48小时内到达现场，重大问题或其它无法迅速解决的问题应在 5 个工作日内解决或提出明确解决方案（具体以合同为准）。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付款方式</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1.预付款；合同生效、担保措施生效以及实施条件具备后10个</w:t>
            </w:r>
            <w:r>
              <w:rPr>
                <w:rFonts w:hint="eastAsia" w:asciiTheme="minorEastAsia" w:hAnsiTheme="minorEastAsia" w:eastAsiaTheme="minorEastAsia" w:cstheme="minorEastAsia"/>
                <w:color w:val="auto"/>
                <w:kern w:val="0"/>
                <w:sz w:val="21"/>
                <w:szCs w:val="21"/>
                <w:highlight w:val="none"/>
                <w:lang w:val="en-US" w:eastAsia="zh-CN" w:bidi="ar"/>
              </w:rPr>
              <w:t>工作</w:t>
            </w:r>
            <w:r>
              <w:rPr>
                <w:rFonts w:hint="eastAsia" w:asciiTheme="minorEastAsia" w:hAnsiTheme="minorEastAsia" w:eastAsiaTheme="minorEastAsia" w:cstheme="minorEastAsia"/>
                <w:color w:val="auto"/>
                <w:kern w:val="0"/>
                <w:sz w:val="21"/>
                <w:szCs w:val="21"/>
                <w:highlight w:val="none"/>
                <w:lang w:bidi="ar"/>
              </w:rPr>
              <w:t>日内，支付合同总金额的30%</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中标人提供</w:t>
            </w:r>
            <w:r>
              <w:rPr>
                <w:rFonts w:hint="eastAsia" w:asciiTheme="minorEastAsia" w:hAnsiTheme="minorEastAsia" w:eastAsiaTheme="minorEastAsia" w:cstheme="minorEastAsia"/>
                <w:b/>
                <w:bCs/>
                <w:color w:val="auto"/>
                <w:kern w:val="0"/>
                <w:sz w:val="21"/>
                <w:szCs w:val="21"/>
                <w:highlight w:val="none"/>
              </w:rPr>
              <w:t>等额预付款担保</w:t>
            </w:r>
            <w:r>
              <w:rPr>
                <w:rFonts w:hint="eastAsia" w:asciiTheme="minorEastAsia" w:hAnsiTheme="minorEastAsia" w:eastAsiaTheme="minorEastAsia" w:cstheme="minorEastAsia"/>
                <w:b/>
                <w:bCs/>
                <w:color w:val="auto"/>
                <w:kern w:val="0"/>
                <w:sz w:val="21"/>
                <w:szCs w:val="21"/>
                <w:highlight w:val="none"/>
                <w:lang w:val="en-US" w:eastAsia="zh-CN"/>
              </w:rPr>
              <w:t>函</w:t>
            </w:r>
            <w:r>
              <w:rPr>
                <w:rFonts w:hint="eastAsia" w:asciiTheme="minorEastAsia" w:hAnsiTheme="minorEastAsia" w:eastAsiaTheme="minorEastAsia" w:cstheme="minorEastAsia"/>
                <w:b/>
                <w:bCs/>
                <w:color w:val="auto"/>
                <w:kern w:val="0"/>
                <w:sz w:val="21"/>
                <w:szCs w:val="21"/>
                <w:highlight w:val="none"/>
              </w:rPr>
              <w:t>（预付款担保的有效期至项目验收合格之日止）</w:t>
            </w:r>
            <w:r>
              <w:rPr>
                <w:rFonts w:hint="eastAsia" w:asciiTheme="minorEastAsia" w:hAnsiTheme="minorEastAsia" w:eastAsiaTheme="minorEastAsia" w:cstheme="minorEastAsia"/>
                <w:b/>
                <w:bCs/>
                <w:color w:val="auto"/>
                <w:kern w:val="0"/>
                <w:sz w:val="21"/>
                <w:szCs w:val="21"/>
                <w:highlight w:val="none"/>
                <w:lang w:val="en-US" w:eastAsia="zh-CN"/>
              </w:rPr>
              <w:t>或银行转账</w:t>
            </w:r>
            <w:r>
              <w:rPr>
                <w:rFonts w:hint="eastAsia" w:asciiTheme="minorEastAsia" w:hAnsiTheme="minorEastAsia" w:eastAsiaTheme="minorEastAsia" w:cstheme="minorEastAsia"/>
                <w:color w:val="auto"/>
                <w:kern w:val="0"/>
                <w:sz w:val="21"/>
                <w:szCs w:val="21"/>
                <w:highlight w:val="none"/>
                <w:lang w:bidi="ar"/>
              </w:rPr>
              <w:t>；项目实施完毕且验收通过后10个</w:t>
            </w:r>
            <w:r>
              <w:rPr>
                <w:rFonts w:hint="eastAsia" w:asciiTheme="minorEastAsia" w:hAnsiTheme="minorEastAsia" w:eastAsiaTheme="minorEastAsia" w:cstheme="minorEastAsia"/>
                <w:color w:val="auto"/>
                <w:kern w:val="0"/>
                <w:sz w:val="21"/>
                <w:szCs w:val="21"/>
                <w:highlight w:val="none"/>
                <w:lang w:val="en-US" w:eastAsia="zh-CN" w:bidi="ar"/>
              </w:rPr>
              <w:t>工作</w:t>
            </w:r>
            <w:r>
              <w:rPr>
                <w:rFonts w:hint="eastAsia" w:asciiTheme="minorEastAsia" w:hAnsiTheme="minorEastAsia" w:eastAsiaTheme="minorEastAsia" w:cstheme="minorEastAsia"/>
                <w:color w:val="auto"/>
                <w:kern w:val="0"/>
                <w:sz w:val="21"/>
                <w:szCs w:val="21"/>
                <w:highlight w:val="none"/>
                <w:lang w:bidi="ar"/>
              </w:rPr>
              <w:t>日内，支付至合同总金额的100%。</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2.采购人付款前，</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供应商应向采购人开具等额有效的增值税</w:t>
            </w:r>
            <w:r>
              <w:rPr>
                <w:rFonts w:hint="eastAsia" w:asciiTheme="minorEastAsia" w:hAnsiTheme="minorEastAsia" w:eastAsiaTheme="minorEastAsia" w:cstheme="minorEastAsia"/>
                <w:color w:val="auto"/>
                <w:kern w:val="0"/>
                <w:sz w:val="21"/>
                <w:szCs w:val="21"/>
                <w:highlight w:val="none"/>
                <w:lang w:val="en-US" w:eastAsia="zh-CN" w:bidi="ar"/>
              </w:rPr>
              <w:t>专用</w:t>
            </w:r>
            <w:r>
              <w:rPr>
                <w:rFonts w:hint="eastAsia" w:asciiTheme="minorEastAsia" w:hAnsiTheme="minorEastAsia" w:eastAsiaTheme="minorEastAsia" w:cstheme="minorEastAsia"/>
                <w:color w:val="auto"/>
                <w:kern w:val="0"/>
                <w:sz w:val="21"/>
                <w:szCs w:val="21"/>
                <w:highlight w:val="none"/>
                <w:lang w:bidi="ar"/>
              </w:rPr>
              <w:t>发票，采购人未收到合格有效发票的，有权不予支付相应款项直至</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供应商提供合格发票，并不承担延迟付款责任。发票认证通过是付款的必要前提之一。</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3.付款方式：银行转账。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履约保证金</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1.履约保证金金额：</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w:t>
            </w:r>
            <w:r>
              <w:rPr>
                <w:rFonts w:hint="eastAsia" w:asciiTheme="minorEastAsia" w:hAnsiTheme="minorEastAsia" w:eastAsiaTheme="minorEastAsia" w:cstheme="minorEastAsia"/>
                <w:color w:val="auto"/>
                <w:kern w:val="0"/>
                <w:sz w:val="21"/>
                <w:szCs w:val="21"/>
                <w:highlight w:val="none"/>
                <w:u w:val="single"/>
                <w:lang w:bidi="ar"/>
              </w:rPr>
              <w:t xml:space="preserve"> 5 %</w:t>
            </w:r>
            <w:r>
              <w:rPr>
                <w:rFonts w:hint="eastAsia" w:asciiTheme="minorEastAsia" w:hAnsiTheme="minorEastAsia" w:eastAsiaTheme="minorEastAsia" w:cstheme="minorEastAsia"/>
                <w:color w:val="auto"/>
                <w:kern w:val="0"/>
                <w:sz w:val="21"/>
                <w:szCs w:val="21"/>
                <w:highlight w:val="none"/>
                <w:lang w:bidi="ar"/>
              </w:rPr>
              <w:t>。（若</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供应商被认定为中小企业的，履约保证金数额将按</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u w:val="single"/>
                <w:lang w:bidi="ar"/>
              </w:rPr>
              <w:t>2%</w:t>
            </w:r>
            <w:r>
              <w:rPr>
                <w:rFonts w:hint="eastAsia" w:asciiTheme="minorEastAsia" w:hAnsiTheme="minorEastAsia" w:eastAsiaTheme="minorEastAsia" w:cstheme="minorEastAsia"/>
                <w:color w:val="auto"/>
                <w:kern w:val="0"/>
                <w:sz w:val="21"/>
                <w:szCs w:val="21"/>
                <w:highlight w:val="none"/>
                <w:lang w:bidi="ar"/>
              </w:rPr>
              <w:t>收取）</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2.履约保证金递交方式：银行转账、电汇、网上支付、支票、汇票、本票、保函等非现金形式。</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3.履约保证金递交时间：签订合同前5个工作日内由</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供应商转入采购人指定保证金账户。</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4.履约保证金退还：履约完成并验收合格后无质量问题，</w:t>
            </w:r>
            <w:r>
              <w:rPr>
                <w:rFonts w:hint="eastAsia" w:asciiTheme="minorEastAsia" w:hAnsiTheme="minorEastAsia" w:eastAsiaTheme="minorEastAsia" w:cstheme="minorEastAsia"/>
                <w:color w:val="auto"/>
                <w:kern w:val="0"/>
                <w:sz w:val="21"/>
                <w:szCs w:val="21"/>
                <w:highlight w:val="none"/>
                <w:lang w:val="en-US" w:eastAsia="zh-CN" w:bidi="ar"/>
              </w:rPr>
              <w:t>且待</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w:t>
            </w:r>
            <w:r>
              <w:rPr>
                <w:rFonts w:hint="eastAsia" w:asciiTheme="minorEastAsia" w:hAnsiTheme="minorEastAsia" w:eastAsiaTheme="minorEastAsia" w:cstheme="minorEastAsia"/>
                <w:color w:val="auto"/>
                <w:kern w:val="0"/>
                <w:sz w:val="21"/>
                <w:szCs w:val="21"/>
                <w:highlight w:val="none"/>
                <w:lang w:val="en-US" w:eastAsia="zh-CN" w:bidi="ar"/>
              </w:rPr>
              <w:t>履行完质保义务后无息退还，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供应商提供《政府采购项目履约保证金退付意见书》及《政府采购项目合同验收报告》，向采购人提出书面申请退还，采购人在收到申请后十个工作日内以银行转账方式无息退还。保证金指定账户：</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开户名：</w:t>
            </w:r>
            <w:r>
              <w:rPr>
                <w:rFonts w:hint="eastAsia" w:ascii="宋体" w:hAnsi="宋体" w:cs="宋体"/>
                <w:color w:val="auto"/>
                <w:szCs w:val="21"/>
                <w:highlight w:val="none"/>
              </w:rPr>
              <w:t>广西建设职业技术学院</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开户行：</w:t>
            </w:r>
            <w:r>
              <w:rPr>
                <w:rFonts w:hint="eastAsia" w:ascii="宋体" w:hAnsi="宋体" w:cs="宋体"/>
                <w:color w:val="auto"/>
                <w:szCs w:val="21"/>
                <w:highlight w:val="none"/>
              </w:rPr>
              <w:t>建行南宁市高新支行</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账  号：</w:t>
            </w:r>
            <w:r>
              <w:rPr>
                <w:rFonts w:hint="eastAsia" w:ascii="宋体" w:hAnsi="宋体" w:cs="宋体"/>
                <w:color w:val="auto"/>
                <w:szCs w:val="21"/>
                <w:highlight w:val="none"/>
              </w:rPr>
              <w:t>45001604850059000000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报价要求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供应商没有列入的项目费用，并认为此项目的费用已包括在总报价中。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规范标准</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32"/>
              </w:tabs>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验收标准及要求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r>
              <w:rPr>
                <w:rFonts w:hint="eastAsia"/>
                <w:color w:val="auto"/>
                <w:highlight w:val="none"/>
                <w:lang w:val="en-US" w:eastAsia="zh-CN"/>
              </w:rPr>
              <w:t>1.</w:t>
            </w:r>
            <w:r>
              <w:rPr>
                <w:rFonts w:hint="eastAsia"/>
                <w:color w:val="auto"/>
                <w:highlight w:val="none"/>
              </w:rPr>
              <w:t>验收过程中所产生的一切费用均由中标人承担。报价时应考虑相关费用。</w:t>
            </w:r>
          </w:p>
          <w:p>
            <w:pPr>
              <w:widowControl/>
              <w:jc w:val="left"/>
              <w:textAlignment w:val="center"/>
              <w:rPr>
                <w:rFonts w:hint="eastAsia"/>
                <w:color w:val="auto"/>
                <w:highlight w:val="none"/>
              </w:rPr>
            </w:pPr>
            <w:r>
              <w:rPr>
                <w:rFonts w:hint="eastAsia"/>
                <w:color w:val="auto"/>
                <w:highlight w:val="none"/>
                <w:lang w:val="en-US" w:eastAsia="zh-CN"/>
              </w:rPr>
              <w:t>2.</w:t>
            </w:r>
            <w:r>
              <w:rPr>
                <w:rFonts w:hint="eastAsia"/>
                <w:color w:val="auto"/>
                <w:highlight w:val="none"/>
              </w:rPr>
              <w:t>中标人在货物验收时由采购单位对照招标文件的功能目标及技术指标全面核对检验，</w:t>
            </w:r>
            <w:r>
              <w:rPr>
                <w:rFonts w:hint="eastAsia"/>
                <w:color w:val="auto"/>
                <w:highlight w:val="none"/>
                <w:lang w:val="en-US" w:eastAsia="zh-CN"/>
              </w:rPr>
              <w:t>由第三方技术咨询单位</w:t>
            </w:r>
            <w:r>
              <w:rPr>
                <w:rFonts w:hint="eastAsia"/>
                <w:color w:val="auto"/>
                <w:highlight w:val="none"/>
              </w:rPr>
              <w:t>对所有要求</w:t>
            </w:r>
            <w:r>
              <w:rPr>
                <w:rFonts w:hint="eastAsia"/>
                <w:color w:val="auto"/>
                <w:highlight w:val="none"/>
                <w:lang w:val="en-US" w:eastAsia="zh-CN"/>
              </w:rPr>
              <w:t>必须</w:t>
            </w:r>
            <w:r>
              <w:rPr>
                <w:rFonts w:hint="eastAsia"/>
                <w:color w:val="auto"/>
                <w:highlight w:val="none"/>
              </w:rPr>
              <w:t>出具的证明文件</w:t>
            </w:r>
            <w:r>
              <w:rPr>
                <w:rFonts w:hint="eastAsia"/>
                <w:color w:val="auto"/>
                <w:highlight w:val="none"/>
                <w:lang w:val="en-US" w:eastAsia="zh-CN"/>
              </w:rPr>
              <w:t>及关键技术参数提供的加分证明文件</w:t>
            </w:r>
            <w:r>
              <w:rPr>
                <w:rFonts w:hint="eastAsia"/>
                <w:color w:val="auto"/>
                <w:highlight w:val="none"/>
              </w:rPr>
              <w:t>的原件进行核查，如不符合招标文件的技术需求及要求以及提供虚假承诺的，按相关规定做退货处理及违约处理，中标人承担所有责任和费用，采购人保留进一步追究责任的权利。</w:t>
            </w:r>
          </w:p>
          <w:p>
            <w:pPr>
              <w:bidi w:val="0"/>
              <w:rPr>
                <w:rFonts w:hint="eastAsia"/>
                <w:color w:val="auto"/>
                <w:highlight w:val="none"/>
                <w:lang w:val="en-US" w:eastAsia="zh-CN"/>
              </w:rPr>
            </w:pPr>
            <w:r>
              <w:rPr>
                <w:rFonts w:hint="eastAsia"/>
                <w:color w:val="auto"/>
                <w:highlight w:val="none"/>
                <w:lang w:val="en-US" w:eastAsia="zh-CN"/>
              </w:rPr>
              <w:t>3.项目涉及与装饰、舞台灯光、音响等项目存在交叉施工作业面，为保障项目顺利实施，中标人在项目实施过程中，按照中标人提供的技术交底资料（包括不限于系统设计图、施工图、技术方案、项目实施方案等），需接受第三方技术咨询单位的现场施工督查，包括技术协调、施工过程监督检查、施工过程进度监督及问题整改监督。</w:t>
            </w:r>
          </w:p>
          <w:p>
            <w:pPr>
              <w:bidi w:val="0"/>
              <w:rPr>
                <w:rFonts w:hint="eastAsia"/>
                <w:color w:val="auto"/>
                <w:highlight w:val="none"/>
                <w:lang w:val="en-US" w:eastAsia="zh-CN"/>
              </w:rPr>
            </w:pPr>
            <w:r>
              <w:rPr>
                <w:rFonts w:hint="eastAsia"/>
                <w:color w:val="auto"/>
                <w:highlight w:val="none"/>
                <w:lang w:val="en-US" w:eastAsia="zh-CN"/>
              </w:rPr>
              <w:t>4.中标人在项目调试及竣工验收阶段，需提供竣工文件、工程图纸、技术档案资料等，</w:t>
            </w:r>
          </w:p>
          <w:p>
            <w:pPr>
              <w:bidi w:val="0"/>
              <w:rPr>
                <w:rFonts w:hint="eastAsia"/>
                <w:color w:val="auto"/>
                <w:highlight w:val="none"/>
                <w:lang w:val="en-US" w:eastAsia="zh-CN"/>
              </w:rPr>
            </w:pPr>
            <w:r>
              <w:rPr>
                <w:rFonts w:hint="eastAsia"/>
                <w:color w:val="auto"/>
                <w:highlight w:val="none"/>
                <w:lang w:val="en-US" w:eastAsia="zh-CN"/>
              </w:rPr>
              <w:t>配合第三方技术咨询单位对现场6组LED显示大屏及周边播控等系统进行指标综合检测，为达到用户使用要求，各使用节点LED显示屏应联调联试、节点之间信号必须满足互联互通，若测试结果不能满足采购文件参数要求以及投标文件所承诺的技术功能要求，达不到验收标准的，采购单位有权单方面终止合同，并追究中标人责任</w:t>
            </w:r>
          </w:p>
          <w:p>
            <w:pPr>
              <w:bidi w:val="0"/>
              <w:rPr>
                <w:rFonts w:hint="default"/>
                <w:color w:val="auto"/>
                <w:highlight w:val="none"/>
                <w:lang w:val="en-US" w:eastAsia="zh-CN"/>
              </w:rPr>
            </w:pPr>
            <w:r>
              <w:rPr>
                <w:rFonts w:hint="eastAsia"/>
                <w:color w:val="auto"/>
                <w:highlight w:val="none"/>
                <w:lang w:val="en-US" w:eastAsia="zh-CN"/>
              </w:rPr>
              <w:t>5.</w:t>
            </w:r>
            <w:r>
              <w:rPr>
                <w:rFonts w:hint="eastAsia"/>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pPr>
              <w:bidi w:val="0"/>
              <w:rPr>
                <w:rFonts w:hint="eastAsia"/>
                <w:color w:val="auto"/>
                <w:highlight w:val="none"/>
                <w:lang w:val="en-US" w:eastAsia="zh-CN"/>
              </w:rPr>
            </w:pPr>
            <w:r>
              <w:rPr>
                <w:rFonts w:hint="eastAsia"/>
                <w:color w:val="auto"/>
                <w:highlight w:val="none"/>
                <w:lang w:val="en-US" w:eastAsia="zh-CN"/>
              </w:rPr>
              <w:t>6.</w:t>
            </w:r>
            <w:r>
              <w:rPr>
                <w:rFonts w:hint="eastAsia"/>
                <w:color w:val="auto"/>
                <w:highlight w:val="none"/>
              </w:rPr>
              <w:t>合同履行过程中，如不符合采购文件的技术需求及要求以及提供虚假承诺的，按相关规定做退货处理及违约处理，中标供应商须承担所有责任和费用，采购人保留进一步追究责任的权利。</w:t>
            </w:r>
          </w:p>
          <w:p>
            <w:pPr>
              <w:widowControl/>
              <w:jc w:val="left"/>
              <w:textAlignment w:val="center"/>
              <w:rPr>
                <w:rFonts w:hint="eastAsia"/>
                <w:color w:val="auto"/>
                <w:highlight w:val="none"/>
              </w:rPr>
            </w:pPr>
            <w:r>
              <w:rPr>
                <w:rFonts w:hint="eastAsia"/>
                <w:color w:val="auto"/>
                <w:highlight w:val="none"/>
                <w:lang w:val="en-US" w:eastAsia="zh-CN"/>
              </w:rPr>
              <w:t>7.</w:t>
            </w:r>
            <w:r>
              <w:rPr>
                <w:rFonts w:hint="eastAsia"/>
                <w:color w:val="auto"/>
                <w:highlight w:val="none"/>
              </w:rPr>
              <w:t>本章《项目需求》有其他要求的按其要求执行。</w:t>
            </w:r>
          </w:p>
          <w:p>
            <w:pPr>
              <w:pStyle w:val="8"/>
              <w:ind w:left="0" w:leftChars="0" w:firstLine="0" w:firstLineChars="0"/>
              <w:rPr>
                <w:rFonts w:hint="eastAsia" w:ascii="宋体" w:hAnsi="宋体" w:cs="宋体"/>
                <w:color w:val="auto"/>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宋体" w:hAnsi="宋体" w:cs="宋体"/>
                <w:color w:val="auto"/>
                <w:szCs w:val="21"/>
                <w:highlight w:val="none"/>
              </w:rPr>
              <w:t>如投标人投标产品存在侵犯他人的知识产权或者专利成果行为的，由投标人自行承担相应法律责任</w:t>
            </w:r>
            <w:r>
              <w:rPr>
                <w:rFonts w:hint="eastAsia" w:ascii="宋体" w:hAnsi="宋体" w:cs="宋体"/>
                <w:color w:val="auto"/>
                <w:szCs w:val="21"/>
                <w:highlight w:val="none"/>
                <w:lang w:eastAsia="zh-CN"/>
              </w:rPr>
              <w:t>。</w:t>
            </w:r>
          </w:p>
          <w:p>
            <w:pPr>
              <w:pStyle w:val="8"/>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采购货物纳入强制性产品认证（3C认证）的，投标人所投产品必须从其规定。</w:t>
            </w:r>
          </w:p>
          <w:p>
            <w:pPr>
              <w:pStyle w:val="8"/>
              <w:ind w:left="0" w:leftChars="0" w:firstLine="0" w:firstLineChars="0"/>
              <w:rPr>
                <w:rFonts w:hint="eastAsia" w:ascii="宋体" w:hAnsi="宋体" w:cs="宋体"/>
                <w:color w:val="auto"/>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
              </w:rPr>
              <w:t>10.</w:t>
            </w:r>
            <w:r>
              <w:rPr>
                <w:rFonts w:hint="eastAsia" w:asciiTheme="minorEastAsia" w:hAnsiTheme="minorEastAsia" w:eastAsiaTheme="minorEastAsia" w:cstheme="minorEastAsia"/>
                <w:color w:val="auto"/>
                <w:kern w:val="2"/>
                <w:sz w:val="21"/>
                <w:szCs w:val="21"/>
                <w:highlight w:val="none"/>
                <w:lang w:bidi="ar"/>
              </w:rPr>
              <w:t>供应商</w:t>
            </w:r>
            <w:r>
              <w:rPr>
                <w:rFonts w:hint="eastAsia" w:asciiTheme="minorEastAsia" w:hAnsiTheme="minorEastAsia" w:eastAsiaTheme="minorEastAsia" w:cstheme="minorEastAsia"/>
                <w:color w:val="auto"/>
                <w:kern w:val="2"/>
                <w:sz w:val="21"/>
                <w:szCs w:val="21"/>
                <w:highlight w:val="none"/>
                <w:lang w:eastAsia="zh-CN" w:bidi="ar"/>
              </w:rPr>
              <w:t>所投</w:t>
            </w:r>
            <w:r>
              <w:rPr>
                <w:rFonts w:hint="eastAsia" w:asciiTheme="minorEastAsia" w:hAnsiTheme="minorEastAsia" w:eastAsiaTheme="minorEastAsia" w:cstheme="minorEastAsia"/>
                <w:color w:val="auto"/>
                <w:kern w:val="2"/>
                <w:sz w:val="21"/>
                <w:szCs w:val="21"/>
                <w:highlight w:val="none"/>
                <w:lang w:bidi="ar"/>
              </w:rPr>
              <w:t>产品的</w:t>
            </w:r>
            <w:r>
              <w:rPr>
                <w:rFonts w:hint="eastAsia" w:asciiTheme="minorEastAsia" w:hAnsiTheme="minorEastAsia" w:eastAsiaTheme="minorEastAsia" w:cstheme="minorEastAsia"/>
                <w:b/>
                <w:bCs/>
                <w:color w:val="auto"/>
                <w:kern w:val="2"/>
                <w:sz w:val="21"/>
                <w:szCs w:val="21"/>
                <w:highlight w:val="none"/>
                <w:lang w:bidi="ar"/>
              </w:rPr>
              <w:t>配件（辅材）涉及节能认证、国家强制认证</w:t>
            </w:r>
            <w:r>
              <w:rPr>
                <w:rFonts w:hint="eastAsia" w:asciiTheme="minorEastAsia" w:hAnsiTheme="minorEastAsia" w:eastAsiaTheme="minorEastAsia" w:cstheme="minorEastAsia"/>
                <w:b/>
                <w:bCs/>
                <w:color w:val="auto"/>
                <w:kern w:val="2"/>
                <w:sz w:val="21"/>
                <w:szCs w:val="21"/>
                <w:highlight w:val="none"/>
                <w:lang w:eastAsia="zh-CN" w:bidi="ar"/>
              </w:rPr>
              <w:t>（除采购需求约定外）</w:t>
            </w:r>
            <w:r>
              <w:rPr>
                <w:rFonts w:hint="eastAsia" w:asciiTheme="minorEastAsia" w:hAnsiTheme="minorEastAsia" w:eastAsiaTheme="minorEastAsia" w:cstheme="minorEastAsia"/>
                <w:b/>
                <w:bCs/>
                <w:color w:val="auto"/>
                <w:kern w:val="2"/>
                <w:sz w:val="21"/>
                <w:szCs w:val="21"/>
                <w:highlight w:val="none"/>
                <w:lang w:bidi="ar"/>
              </w:rPr>
              <w:t>，在验收时必须提供产品、配件的相关节能认证证书、国家强制认证证书</w:t>
            </w:r>
            <w:r>
              <w:rPr>
                <w:rFonts w:hint="eastAsia" w:asciiTheme="minorEastAsia" w:hAnsiTheme="minorEastAsia" w:eastAsiaTheme="minorEastAsia" w:cstheme="minorEastAsia"/>
                <w:color w:val="auto"/>
                <w:kern w:val="2"/>
                <w:sz w:val="21"/>
                <w:szCs w:val="21"/>
                <w:highlight w:val="none"/>
                <w:lang w:bidi="ar"/>
              </w:rPr>
              <w:t>，不能提供认证证书的采购人有权拒绝验收</w:t>
            </w:r>
            <w:r>
              <w:rPr>
                <w:rFonts w:hint="eastAsia" w:asciiTheme="minorEastAsia" w:hAnsiTheme="minorEastAsia" w:eastAsiaTheme="minorEastAsia" w:cstheme="minorEastAsia"/>
                <w:color w:val="auto"/>
                <w:kern w:val="2"/>
                <w:sz w:val="21"/>
                <w:szCs w:val="21"/>
                <w:highlight w:val="none"/>
                <w:lang w:val="zh-CN" w:bidi="ar"/>
              </w:rPr>
              <w:t>，由此产生的一切后果由供应商承担。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其他要求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Theme="minorEastAsia" w:hAnsiTheme="minorEastAsia" w:eastAsiaTheme="minorEastAsia" w:cstheme="minorEastAsia"/>
                <w:b/>
                <w:bCs/>
                <w:color w:val="auto"/>
                <w:sz w:val="21"/>
                <w:szCs w:val="21"/>
                <w:highlight w:val="none"/>
              </w:rPr>
              <w:t>现场考察集中时间：</w:t>
            </w:r>
            <w:r>
              <w:rPr>
                <w:rFonts w:hint="eastAsia" w:asciiTheme="minorEastAsia" w:hAnsiTheme="minorEastAsia" w:eastAsiaTheme="minorEastAsia" w:cstheme="minorEastAsia"/>
                <w:b/>
                <w:bCs/>
                <w:color w:val="auto"/>
                <w:sz w:val="21"/>
                <w:szCs w:val="21"/>
                <w:highlight w:val="none"/>
                <w:lang w:val="en"/>
              </w:rPr>
              <w:t>202</w:t>
            </w:r>
            <w:r>
              <w:rPr>
                <w:rFonts w:hint="default" w:asciiTheme="minorEastAsia" w:hAnsiTheme="minorEastAsia" w:eastAsiaTheme="minorEastAsia" w:cstheme="minorEastAsia"/>
                <w:b/>
                <w:bCs/>
                <w:color w:val="auto"/>
                <w:sz w:val="21"/>
                <w:szCs w:val="21"/>
                <w:highlight w:val="none"/>
                <w:lang w:val="en" w:eastAsia="zh-CN"/>
              </w:rPr>
              <w:t>6</w:t>
            </w:r>
            <w:r>
              <w:rPr>
                <w:rFonts w:hint="eastAsia" w:asciiTheme="minorEastAsia" w:hAnsiTheme="minorEastAsia" w:eastAsiaTheme="minorEastAsia" w:cstheme="minorEastAsia"/>
                <w:b/>
                <w:bCs/>
                <w:color w:val="auto"/>
                <w:sz w:val="21"/>
                <w:szCs w:val="21"/>
                <w:highlight w:val="none"/>
              </w:rPr>
              <w:t>年</w:t>
            </w:r>
            <w:r>
              <w:rPr>
                <w:rFonts w:hint="default" w:asciiTheme="minorEastAsia" w:hAnsiTheme="minorEastAsia" w:eastAsiaTheme="minorEastAsia" w:cstheme="minorEastAsia"/>
                <w:b/>
                <w:bCs/>
                <w:color w:val="auto"/>
                <w:sz w:val="21"/>
                <w:szCs w:val="21"/>
                <w:highlight w:val="none"/>
                <w:lang w:val="en" w:eastAsia="zh-CN"/>
              </w:rPr>
              <w:t xml:space="preserve">  </w:t>
            </w:r>
            <w:r>
              <w:rPr>
                <w:rFonts w:hint="eastAsia" w:asciiTheme="minorEastAsia" w:hAnsiTheme="minorEastAsia" w:eastAsiaTheme="minorEastAsia" w:cstheme="minorEastAsia"/>
                <w:b/>
                <w:bCs/>
                <w:color w:val="auto"/>
                <w:sz w:val="21"/>
                <w:szCs w:val="21"/>
                <w:highlight w:val="none"/>
              </w:rPr>
              <w:t>月</w:t>
            </w:r>
            <w:r>
              <w:rPr>
                <w:rFonts w:hint="default" w:asciiTheme="minorEastAsia" w:hAnsiTheme="minorEastAsia" w:eastAsiaTheme="minorEastAsia" w:cstheme="minorEastAsia"/>
                <w:b/>
                <w:bCs/>
                <w:color w:val="auto"/>
                <w:sz w:val="21"/>
                <w:szCs w:val="21"/>
                <w:highlight w:val="none"/>
                <w:lang w:val="en" w:eastAsia="zh-CN"/>
              </w:rPr>
              <w:t xml:space="preserve">   </w:t>
            </w:r>
            <w:r>
              <w:rPr>
                <w:rFonts w:hint="eastAsia" w:asciiTheme="minorEastAsia" w:hAnsiTheme="minorEastAsia" w:eastAsiaTheme="minorEastAsia" w:cstheme="minorEastAsia"/>
                <w:b/>
                <w:bCs/>
                <w:color w:val="auto"/>
                <w:sz w:val="21"/>
                <w:szCs w:val="21"/>
                <w:highlight w:val="none"/>
              </w:rPr>
              <w:t>日上午</w:t>
            </w:r>
            <w:r>
              <w:rPr>
                <w:rFonts w:hint="default" w:asciiTheme="minorEastAsia" w:hAnsiTheme="minorEastAsia" w:eastAsiaTheme="minorEastAsia" w:cstheme="minorEastAsia"/>
                <w:b/>
                <w:bCs/>
                <w:color w:val="auto"/>
                <w:sz w:val="21"/>
                <w:szCs w:val="21"/>
                <w:highlight w:val="none"/>
                <w:lang w:val="en" w:bidi="ar"/>
              </w:rPr>
              <w:t>10</w:t>
            </w:r>
            <w:r>
              <w:rPr>
                <w:rFonts w:hint="eastAsia" w:asciiTheme="minorEastAsia" w:hAnsiTheme="minorEastAsia" w:eastAsiaTheme="minorEastAsia" w:cstheme="minorEastAsia"/>
                <w:b/>
                <w:bCs/>
                <w:color w:val="auto"/>
                <w:sz w:val="21"/>
                <w:szCs w:val="21"/>
                <w:highlight w:val="none"/>
                <w:lang w:bidi="ar"/>
              </w:rPr>
              <w:t>:</w:t>
            </w:r>
            <w:r>
              <w:rPr>
                <w:rFonts w:hint="default" w:asciiTheme="minorEastAsia" w:hAnsiTheme="minorEastAsia" w:eastAsiaTheme="minorEastAsia" w:cstheme="minorEastAsia"/>
                <w:b/>
                <w:bCs/>
                <w:color w:val="auto"/>
                <w:sz w:val="21"/>
                <w:szCs w:val="21"/>
                <w:highlight w:val="none"/>
                <w:lang w:val="en" w:bidi="ar"/>
              </w:rPr>
              <w:t>0</w:t>
            </w:r>
            <w:r>
              <w:rPr>
                <w:rFonts w:hint="eastAsia" w:asciiTheme="minorEastAsia" w:hAnsiTheme="minorEastAsia" w:eastAsiaTheme="minorEastAsia" w:cstheme="minorEastAsia"/>
                <w:b/>
                <w:bCs/>
                <w:color w:val="auto"/>
                <w:sz w:val="21"/>
                <w:szCs w:val="21"/>
                <w:highlight w:val="none"/>
                <w:lang w:bidi="ar"/>
              </w:rPr>
              <w:t>0</w:t>
            </w:r>
            <w:r>
              <w:rPr>
                <w:rFonts w:hint="eastAsia" w:asciiTheme="minorEastAsia" w:hAnsiTheme="minorEastAsia" w:eastAsiaTheme="minorEastAsia" w:cstheme="minorEastAsia"/>
                <w:b/>
                <w:bCs/>
                <w:color w:val="auto"/>
                <w:sz w:val="21"/>
                <w:szCs w:val="21"/>
                <w:highlight w:val="none"/>
              </w:rPr>
              <w:t>，过期不候。集中地点：</w:t>
            </w:r>
            <w:r>
              <w:rPr>
                <w:rFonts w:hint="eastAsia" w:asciiTheme="minorEastAsia" w:hAnsiTheme="minorEastAsia" w:eastAsiaTheme="minorEastAsia" w:cstheme="minorEastAsia"/>
                <w:b/>
                <w:bCs/>
                <w:color w:val="auto"/>
                <w:sz w:val="21"/>
                <w:szCs w:val="21"/>
                <w:highlight w:val="none"/>
                <w:u w:val="single"/>
                <w:lang w:val="en-US" w:eastAsia="zh-CN"/>
              </w:rPr>
              <w:t>广西建设职业技术学院武鸣校区</w:t>
            </w:r>
            <w:r>
              <w:rPr>
                <w:rFonts w:hint="eastAsia" w:asciiTheme="minorEastAsia" w:hAnsiTheme="minorEastAsia" w:eastAsiaTheme="minorEastAsia" w:cstheme="minorEastAsia"/>
                <w:b/>
                <w:bCs/>
                <w:color w:val="auto"/>
                <w:sz w:val="21"/>
                <w:szCs w:val="21"/>
                <w:highlight w:val="none"/>
              </w:rPr>
              <w:t>；联系人：</w:t>
            </w:r>
            <w:r>
              <w:rPr>
                <w:rFonts w:hint="eastAsia" w:asciiTheme="minorEastAsia" w:hAnsiTheme="minorEastAsia" w:eastAsiaTheme="minorEastAsia" w:cstheme="minorEastAsia"/>
                <w:b/>
                <w:bCs/>
                <w:color w:val="auto"/>
                <w:sz w:val="21"/>
                <w:szCs w:val="21"/>
                <w:highlight w:val="none"/>
                <w:u w:val="single"/>
                <w:lang w:val="en-US" w:eastAsia="zh-CN"/>
              </w:rPr>
              <w:t>施炜</w:t>
            </w:r>
            <w:r>
              <w:rPr>
                <w:rFonts w:hint="eastAsia" w:asciiTheme="minorEastAsia" w:hAnsiTheme="minorEastAsia" w:eastAsiaTheme="minorEastAsia" w:cstheme="minorEastAsia"/>
                <w:b/>
                <w:bCs/>
                <w:color w:val="auto"/>
                <w:sz w:val="21"/>
                <w:szCs w:val="21"/>
                <w:highlight w:val="none"/>
              </w:rPr>
              <w:t>；联系电话：</w:t>
            </w:r>
            <w:r>
              <w:rPr>
                <w:rFonts w:hint="eastAsia" w:asciiTheme="minorEastAsia" w:hAnsiTheme="minorEastAsia" w:eastAsiaTheme="minorEastAsia" w:cstheme="minorEastAsia"/>
                <w:b/>
                <w:bCs/>
                <w:color w:val="auto"/>
                <w:sz w:val="21"/>
                <w:szCs w:val="21"/>
                <w:highlight w:val="none"/>
                <w:u w:val="single"/>
                <w:lang w:val="en-US" w:eastAsia="zh-CN"/>
              </w:rPr>
              <w:t>13517889255</w:t>
            </w:r>
            <w:r>
              <w:rPr>
                <w:rFonts w:hint="eastAsia" w:asciiTheme="minorEastAsia" w:hAnsiTheme="minorEastAsia" w:eastAsiaTheme="minorEastAsia" w:cstheme="minorEastAsia"/>
                <w:color w:val="auto"/>
                <w:sz w:val="21"/>
                <w:szCs w:val="21"/>
                <w:highlight w:val="none"/>
              </w:rPr>
              <w:t>。</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b/>
                <w:bCs/>
                <w:color w:val="auto"/>
                <w:kern w:val="0"/>
                <w:sz w:val="21"/>
                <w:szCs w:val="21"/>
                <w:highlight w:val="none"/>
                <w:lang w:bidi="ar"/>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w:t>
            </w:r>
            <w:r>
              <w:rPr>
                <w:rFonts w:hint="eastAsia" w:asciiTheme="minorEastAsia" w:hAnsiTheme="minorEastAsia" w:eastAsiaTheme="minorEastAsia" w:cstheme="minorEastAsia"/>
                <w:b/>
                <w:bCs/>
                <w:color w:val="auto"/>
                <w:kern w:val="0"/>
                <w:sz w:val="21"/>
                <w:szCs w:val="21"/>
                <w:highlight w:val="none"/>
                <w:lang w:val="en" w:bidi="ar"/>
              </w:rPr>
              <w:t>投标</w:t>
            </w:r>
            <w:r>
              <w:rPr>
                <w:rFonts w:hint="eastAsia" w:asciiTheme="minorEastAsia" w:hAnsiTheme="minorEastAsia" w:eastAsiaTheme="minorEastAsia" w:cstheme="minorEastAsia"/>
                <w:b/>
                <w:bCs/>
                <w:color w:val="auto"/>
                <w:kern w:val="0"/>
                <w:sz w:val="21"/>
                <w:szCs w:val="21"/>
                <w:highlight w:val="none"/>
                <w:lang w:bidi="ar"/>
              </w:rPr>
              <w:t>货物必须使用政府强制采购的节能产品，否则</w:t>
            </w:r>
            <w:r>
              <w:rPr>
                <w:rFonts w:hint="eastAsia" w:asciiTheme="minorEastAsia" w:hAnsiTheme="minorEastAsia" w:eastAsiaTheme="minorEastAsia" w:cstheme="minorEastAsia"/>
                <w:b/>
                <w:bCs/>
                <w:color w:val="auto"/>
                <w:kern w:val="0"/>
                <w:sz w:val="21"/>
                <w:szCs w:val="21"/>
                <w:highlight w:val="none"/>
                <w:lang w:eastAsia="zh-CN" w:bidi="ar"/>
              </w:rPr>
              <w:t>投标文件</w:t>
            </w:r>
            <w:r>
              <w:rPr>
                <w:rFonts w:hint="eastAsia" w:asciiTheme="minorEastAsia" w:hAnsiTheme="minorEastAsia" w:eastAsiaTheme="minorEastAsia" w:cstheme="minorEastAsia"/>
                <w:b/>
                <w:bCs/>
                <w:color w:val="auto"/>
                <w:kern w:val="0"/>
                <w:sz w:val="21"/>
                <w:szCs w:val="21"/>
                <w:highlight w:val="none"/>
                <w:lang w:bidi="ar"/>
              </w:rPr>
              <w:t>作无效</w:t>
            </w:r>
            <w:r>
              <w:rPr>
                <w:rFonts w:hint="eastAsia" w:asciiTheme="minorEastAsia" w:hAnsiTheme="minorEastAsia" w:eastAsiaTheme="minorEastAsia" w:cstheme="minorEastAsia"/>
                <w:b/>
                <w:bCs/>
                <w:color w:val="auto"/>
                <w:kern w:val="0"/>
                <w:sz w:val="21"/>
                <w:szCs w:val="21"/>
                <w:highlight w:val="none"/>
                <w:lang w:val="en" w:bidi="ar"/>
              </w:rPr>
              <w:t>投标</w:t>
            </w:r>
            <w:r>
              <w:rPr>
                <w:rFonts w:hint="eastAsia" w:asciiTheme="minorEastAsia" w:hAnsiTheme="minorEastAsia" w:eastAsiaTheme="minorEastAsia" w:cstheme="minorEastAsia"/>
                <w:b/>
                <w:bCs/>
                <w:color w:val="auto"/>
                <w:kern w:val="0"/>
                <w:sz w:val="21"/>
                <w:szCs w:val="21"/>
                <w:highlight w:val="none"/>
                <w:lang w:bidi="ar"/>
              </w:rPr>
              <w:t>处理</w:t>
            </w:r>
            <w:r>
              <w:rPr>
                <w:rFonts w:hint="eastAsia" w:asciiTheme="minorEastAsia" w:hAnsiTheme="minorEastAsia" w:eastAsiaTheme="minorEastAsia" w:cstheme="minorEastAsia"/>
                <w:color w:val="auto"/>
                <w:kern w:val="0"/>
                <w:sz w:val="21"/>
                <w:szCs w:val="21"/>
                <w:highlight w:val="none"/>
                <w:lang w:bidi="ar"/>
              </w:rPr>
              <w:t>。</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本项目中涉及采购的货物不接受进口产品</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（即通过中国海关报关验放进入中国境内且产自关境外的产品），如有此类产品参与</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的作无效</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处理。</w:t>
            </w:r>
          </w:p>
        </w:tc>
      </w:tr>
    </w:tbl>
    <w:p>
      <w:pPr>
        <w:rPr>
          <w:rFonts w:hint="eastAsia"/>
          <w:color w:val="auto"/>
          <w:highlight w:val="none"/>
        </w:rPr>
      </w:pPr>
    </w:p>
    <w:p>
      <w:pPr>
        <w:rPr>
          <w:rFonts w:hint="eastAsia"/>
          <w:color w:val="auto"/>
          <w:highlight w:val="none"/>
        </w:rPr>
      </w:pPr>
    </w:p>
    <w:p>
      <w:pPr>
        <w:pStyle w:val="36"/>
        <w:rPr>
          <w:rFonts w:hint="eastAsia"/>
          <w:color w:val="auto"/>
          <w:highlight w:val="none"/>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p>
    <w:p>
      <w:pPr>
        <w:pStyle w:val="52"/>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分标</w:t>
      </w:r>
      <w:r>
        <w:rPr>
          <w:rFonts w:hint="default" w:ascii="宋体" w:hAnsi="宋体" w:cs="Times New Roman"/>
          <w:b/>
          <w:bCs/>
          <w:color w:val="auto"/>
          <w:kern w:val="0"/>
          <w:sz w:val="21"/>
          <w:szCs w:val="21"/>
          <w:highlight w:val="none"/>
          <w:lang w:val="en" w:eastAsia="zh-CN" w:bidi="ar-SA"/>
        </w:rPr>
        <w:t>2</w:t>
      </w:r>
      <w:r>
        <w:rPr>
          <w:rFonts w:hint="eastAsia" w:ascii="宋体" w:hAnsi="宋体" w:cs="Times New Roman"/>
          <w:b/>
          <w:bCs/>
          <w:color w:val="auto"/>
          <w:kern w:val="0"/>
          <w:sz w:val="21"/>
          <w:szCs w:val="21"/>
          <w:highlight w:val="none"/>
          <w:lang w:val="en-US" w:eastAsia="zh-CN" w:bidi="ar-SA"/>
        </w:rPr>
        <w:t>：</w:t>
      </w:r>
    </w:p>
    <w:tbl>
      <w:tblPr>
        <w:tblStyle w:val="53"/>
        <w:tblW w:w="994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276"/>
        <w:gridCol w:w="215"/>
        <w:gridCol w:w="574"/>
        <w:gridCol w:w="911"/>
        <w:gridCol w:w="65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项号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auto"/>
                <w:szCs w:val="21"/>
                <w:highlight w:val="none"/>
              </w:rPr>
            </w:pPr>
            <w:r>
              <w:rPr>
                <w:rFonts w:hint="eastAsia" w:ascii="宋体" w:hAnsi="宋体"/>
                <w:b/>
                <w:color w:val="auto"/>
                <w:szCs w:val="21"/>
                <w:highlight w:val="none"/>
              </w:rPr>
              <w:t>货物</w:t>
            </w:r>
          </w:p>
          <w:p>
            <w:pPr>
              <w:jc w:val="center"/>
              <w:rPr>
                <w:rFonts w:ascii="宋体" w:hAnsi="宋体"/>
                <w:b/>
                <w:color w:val="auto"/>
                <w:szCs w:val="21"/>
                <w:highlight w:val="none"/>
              </w:rPr>
            </w:pPr>
            <w:r>
              <w:rPr>
                <w:rFonts w:hint="eastAsia" w:ascii="宋体" w:hAnsi="宋体"/>
                <w:b/>
                <w:color w:val="auto"/>
                <w:szCs w:val="21"/>
                <w:highlight w:val="none"/>
              </w:rPr>
              <w:t>名称</w:t>
            </w:r>
          </w:p>
        </w:tc>
        <w:tc>
          <w:tcPr>
            <w:tcW w:w="7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lang w:val="en"/>
              </w:rPr>
            </w:pPr>
            <w:r>
              <w:rPr>
                <w:rFonts w:hint="eastAsia" w:ascii="宋体" w:hAnsi="宋体"/>
                <w:b/>
                <w:color w:val="auto"/>
                <w:szCs w:val="21"/>
                <w:highlight w:val="none"/>
              </w:rPr>
              <w:t>数 量</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65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技术参数及性能（配置）要求</w:t>
            </w:r>
          </w:p>
          <w:p>
            <w:pPr>
              <w:jc w:val="center"/>
              <w:rPr>
                <w:rFonts w:hint="eastAsia" w:ascii="宋体" w:hAnsi="宋体" w:eastAsia="宋体"/>
                <w:b/>
                <w:color w:val="auto"/>
                <w:szCs w:val="21"/>
                <w:highlight w:val="none"/>
                <w:lang w:eastAsia="zh-CN"/>
              </w:rPr>
            </w:pPr>
            <w:r>
              <w:rPr>
                <w:rFonts w:hint="eastAsia" w:ascii="宋体" w:hAnsi="宋体"/>
                <w:b/>
                <w:color w:val="auto"/>
                <w:szCs w:val="21"/>
                <w:highlight w:val="none"/>
              </w:rPr>
              <w:t>（材质工艺要求说明）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礼堂椅</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999</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礼堂椅规格尺寸：座椅扶手中心距：550MM，背高：1020MM，座高：450MM，座深:420MM </w:t>
            </w:r>
            <w:r>
              <w:rPr>
                <w:rFonts w:hint="eastAsia" w:ascii="宋体" w:hAnsi="宋体"/>
                <w:color w:val="auto"/>
                <w:szCs w:val="21"/>
                <w:highlight w:val="none"/>
                <w:lang w:eastAsia="zh-CN"/>
              </w:rPr>
              <w:t>。</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1、站脚: 框架采用≥1.5 mm优质冷轧钢板冲压成型，上框架长400mm，下框架长230mm，宽50mm，总高度360mm外扣式更加美观，稳固，耐用。立柱管采用80mm*40mm*1.5mm,底脚板:采用1.8优质冷轧钢板冲压成型，造型尺寸为长</w:t>
            </w:r>
            <w:r>
              <w:rPr>
                <w:rFonts w:hint="eastAsia" w:ascii="宋体" w:hAnsi="宋体"/>
                <w:color w:val="auto"/>
                <w:szCs w:val="21"/>
                <w:highlight w:val="none"/>
                <w:lang w:eastAsia="zh-CN"/>
              </w:rPr>
              <w:t>（约）</w:t>
            </w:r>
            <w:r>
              <w:rPr>
                <w:rFonts w:hint="eastAsia" w:ascii="宋体" w:hAnsi="宋体"/>
                <w:color w:val="auto"/>
                <w:szCs w:val="21"/>
                <w:highlight w:val="none"/>
              </w:rPr>
              <w:t>260mm，宽</w:t>
            </w:r>
            <w:r>
              <w:rPr>
                <w:rFonts w:hint="eastAsia" w:ascii="宋体" w:hAnsi="宋体"/>
                <w:color w:val="auto"/>
                <w:szCs w:val="21"/>
                <w:highlight w:val="none"/>
                <w:lang w:eastAsia="zh-CN"/>
              </w:rPr>
              <w:t>（约）</w:t>
            </w:r>
            <w:r>
              <w:rPr>
                <w:rFonts w:hint="eastAsia" w:ascii="宋体" w:hAnsi="宋体"/>
                <w:color w:val="auto"/>
                <w:szCs w:val="21"/>
                <w:highlight w:val="none"/>
              </w:rPr>
              <w:t>123mm的三角形，打破常规两孔固定采用三孔固定，呈不规则三角形外观，设有前端孔1个，后端2个孔距</w:t>
            </w:r>
            <w:r>
              <w:rPr>
                <w:rFonts w:hint="eastAsia" w:ascii="宋体" w:hAnsi="宋体"/>
                <w:color w:val="auto"/>
                <w:szCs w:val="21"/>
                <w:highlight w:val="none"/>
                <w:lang w:eastAsia="zh-CN"/>
              </w:rPr>
              <w:t>（约）</w:t>
            </w:r>
            <w:r>
              <w:rPr>
                <w:rFonts w:hint="eastAsia" w:ascii="宋体" w:hAnsi="宋体"/>
                <w:color w:val="auto"/>
                <w:szCs w:val="21"/>
                <w:highlight w:val="none"/>
              </w:rPr>
              <w:t>50mm，前后孔距</w:t>
            </w:r>
            <w:r>
              <w:rPr>
                <w:rFonts w:hint="eastAsia" w:ascii="宋体" w:hAnsi="宋体"/>
                <w:color w:val="auto"/>
                <w:szCs w:val="21"/>
                <w:highlight w:val="none"/>
                <w:lang w:eastAsia="zh-CN"/>
              </w:rPr>
              <w:t>（约）</w:t>
            </w:r>
            <w:r>
              <w:rPr>
                <w:rFonts w:hint="eastAsia" w:ascii="宋体" w:hAnsi="宋体"/>
                <w:color w:val="auto"/>
                <w:szCs w:val="21"/>
                <w:highlight w:val="none"/>
              </w:rPr>
              <w:t>180mm，共3个地爆螺丝固定孔，更为稳固，底部焊接小酒杯型固定件；采用M8x600mm预埋式拉爆结构安装，牢固耐用所有五金件必须经酸洗、磷化后高温粉末喷涂</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可根据场地坡度调节水平，表面不允许有龟裂，破损，掉漆，明显修补痕迹等，手能触及的地方必须圆滑，不得有锐利的棱角，毛刺。钢板需经第三方抽样检测。</w:t>
            </w:r>
          </w:p>
          <w:p>
            <w:pPr>
              <w:widowControl/>
              <w:jc w:val="left"/>
              <w:textAlignment w:val="center"/>
              <w:rPr>
                <w:rFonts w:hint="eastAsia"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2.扶手面： 采用实木块精制而成型，表面油环保聚氨酯漆，五底三面工艺，长</w:t>
            </w:r>
            <w:r>
              <w:rPr>
                <w:rFonts w:hint="eastAsia" w:ascii="宋体" w:hAnsi="宋体"/>
                <w:color w:val="auto"/>
                <w:szCs w:val="21"/>
                <w:highlight w:val="none"/>
                <w:lang w:eastAsia="zh-CN"/>
              </w:rPr>
              <w:t>（约）</w:t>
            </w:r>
            <w:r>
              <w:rPr>
                <w:rFonts w:hint="eastAsia" w:ascii="宋体" w:hAnsi="宋体"/>
                <w:color w:val="auto"/>
                <w:szCs w:val="21"/>
                <w:highlight w:val="none"/>
              </w:rPr>
              <w:t>400mm,宽</w:t>
            </w:r>
            <w:r>
              <w:rPr>
                <w:rFonts w:hint="eastAsia" w:ascii="宋体" w:hAnsi="宋体"/>
                <w:color w:val="auto"/>
                <w:szCs w:val="21"/>
                <w:highlight w:val="none"/>
                <w:lang w:eastAsia="zh-CN"/>
              </w:rPr>
              <w:t>约</w:t>
            </w:r>
            <w:r>
              <w:rPr>
                <w:rFonts w:hint="eastAsia" w:ascii="宋体" w:hAnsi="宋体"/>
                <w:color w:val="auto"/>
                <w:szCs w:val="21"/>
                <w:highlight w:val="none"/>
              </w:rPr>
              <w:t>50mm,高</w:t>
            </w:r>
            <w:r>
              <w:rPr>
                <w:rFonts w:hint="eastAsia" w:ascii="宋体" w:hAnsi="宋体"/>
                <w:color w:val="auto"/>
                <w:szCs w:val="21"/>
                <w:highlight w:val="none"/>
                <w:lang w:eastAsia="zh-CN"/>
              </w:rPr>
              <w:t>（约）</w:t>
            </w:r>
            <w:r>
              <w:rPr>
                <w:rFonts w:hint="eastAsia" w:ascii="宋体" w:hAnsi="宋体"/>
                <w:color w:val="auto"/>
                <w:szCs w:val="21"/>
                <w:highlight w:val="none"/>
              </w:rPr>
              <w:t>25mm,美观典雅,饰面为多种颜色选择的油漆面。木材需经第三方抽样检测，实木块经过第三方检测机构检测，必须符合GB/T 3324-2017 《木家具通用技术条件》、GB/T 16734-1997《中国主要木材名称》、GB/T 18513-2001 《中国主要进口木材名称》、GB/T 29894-2013 《木材鉴别方法通则》标准要求。</w:t>
            </w:r>
          </w:p>
          <w:p>
            <w:pPr>
              <w:widowControl/>
              <w:jc w:val="left"/>
              <w:textAlignment w:val="center"/>
              <w:rPr>
                <w:rFonts w:hint="eastAsia"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 xml:space="preserve">3.靠背海绵 ：采用优质冷发泡聚氨酯（PU）经专用精密发泡模具发泡一次成型，海绵密度为40-50KG/m³，椅背根据人体工程学原理，采用流线型设计，外形更高档，且有效缓解长时间保持坐姿而产生的疲劳感; 座海绵：厚度不低于120mm采用优质冷发泡聚氨酯（PU）经专用精密发泡模具发泡一次成型，海绵密度为50-60KG/m³，无毒无味无刺激，久坐不塌陷不变形。海绵经过第三方检测机构检测，必须符合GB/T 10802-2006《通用软质聚醚型聚氨酯泡沫塑料》标准要求。               </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4.坐背内板： 采用无甲醛环保胶热压成型，外形成弧形，厚度为：7</w:t>
            </w:r>
            <w:r>
              <w:rPr>
                <w:rFonts w:hint="eastAsia" w:ascii="宋体" w:hAnsi="宋体"/>
                <w:color w:val="auto"/>
                <w:szCs w:val="21"/>
                <w:highlight w:val="none"/>
                <w:lang w:val="en-US" w:eastAsia="zh-CN"/>
              </w:rPr>
              <w:t>mm</w:t>
            </w:r>
            <w:r>
              <w:rPr>
                <w:rFonts w:hint="eastAsia" w:ascii="宋体" w:hAnsi="宋体"/>
                <w:color w:val="auto"/>
                <w:szCs w:val="21"/>
                <w:highlight w:val="none"/>
              </w:rPr>
              <w:t>，安全可靠，不易折断。</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5.座背外板：  采用15mM多层板精磨而成承托力强，抗变形，背外板采用优质高密度硬木多层板经冷轧钢板模压一次成型;坐板:是由木制多层板高温覆膜吸塑一次成型，厚度15mm。造型优美、高雅，表面（包括立面）用PVC真空覆膜技术经高温高压吸覆于座板上，具有防火、防水、环保等优点，配有至少121个蜂窝式吸音孔能在0.1秒内消除回音，保证了座椅良好吸音效果</w:t>
            </w:r>
            <w:r>
              <w:rPr>
                <w:rFonts w:hint="eastAsia" w:ascii="宋体" w:hAnsi="宋体"/>
                <w:color w:val="auto"/>
                <w:szCs w:val="21"/>
                <w:highlight w:val="none"/>
                <w:lang w:eastAsia="zh-CN"/>
              </w:rPr>
              <w:t>。</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 xml:space="preserve">6.座位挂钩/座包框架： 采用加强型连接结构，在两背角码间装有预留孔位，能适合多种场地安装，座框架，采用优质冷轧刚厚度1.5mm经模具冲压焊接组合成型，框架两边采用优质5mm冷轧钢片，耳顶采用穿透式T型角码直径14mm,消音垫：直接在耳顶处加上消音圈，摒弃座包受外力作用时与背相碰撞时受力点在海绵上，而更加耐用、牢固、更舒适、牢固包采用阻尼回复机构，座包采用阻尼回复机构，无噪音慢回位，扭簧105*☉37*☉12圈扭力，确保扭力永久不失效。另设计配置15级扭力调节器，可调节座包回位速度快慢。                    </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 xml:space="preserve">7.阻尼器选用优质2.2级标准.安全可调节快慢回位轻盈，无杂声，加载部位无明显变形，翻转灵活自如，零故障。                       </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8.侧板: 采用5mm厚度中纤板基材面履高级优质工程亚麻布料一张式组成，安装方式为内嵌式钉扣，使用过程中不容易被抠掉。座椅背面配置水杯架。</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9.布面料 ：表面覆盖物为高级麻绒专用布料，抗污，防褪色，接触面舒适，触感细腻。可根据客户要求进行特殊3M（防潮、防尘、防污）处理，阻燃等。布面料经过第三方检测机构检测，必须符合GB 18401-2010 《国家纺织产品基本安全技术规范》标准要求</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10.表面涂装： 金属件通过除油、除锈、中和、磷化、表调等前置处理，经过高温烘干炉烘烤后静电喷涂环氧树脂粉体，再进入高温炉定时使表面粉体流平固化。</w:t>
            </w:r>
            <w:r>
              <w:rPr>
                <w:rFonts w:hint="eastAsia" w:ascii="宋体" w:hAnsi="宋体"/>
                <w:b/>
                <w:bCs/>
                <w:color w:val="auto"/>
                <w:szCs w:val="21"/>
                <w:highlight w:val="none"/>
              </w:rPr>
              <w:t>礼堂椅产品需经第三方抽样检测，必须符合QB/T 2602-2013 《影剧院公共座椅》标准要求</w:t>
            </w:r>
            <w:r>
              <w:rPr>
                <w:rFonts w:hint="eastAsia" w:ascii="宋体" w:hAnsi="宋体"/>
                <w:b/>
                <w:bCs/>
                <w:color w:val="auto"/>
                <w:szCs w:val="21"/>
                <w:highlight w:val="none"/>
                <w:lang w:eastAsia="zh-CN"/>
              </w:rPr>
              <w:t>，</w:t>
            </w:r>
            <w:r>
              <w:rPr>
                <w:rFonts w:hint="eastAsia"/>
                <w:b w:val="0"/>
                <w:bCs/>
                <w:color w:val="auto"/>
                <w:highlight w:val="none"/>
              </w:rPr>
              <w:t>（</w:t>
            </w:r>
            <w:r>
              <w:rPr>
                <w:rFonts w:hint="eastAsia"/>
                <w:b w:val="0"/>
                <w:bCs/>
                <w:strike w:val="0"/>
                <w:dstrike w:val="0"/>
                <w:color w:val="auto"/>
                <w:highlight w:val="none"/>
                <w:lang w:val="en-US" w:eastAsia="zh-CN"/>
              </w:rPr>
              <w:t>供货时</w:t>
            </w:r>
            <w:r>
              <w:rPr>
                <w:rFonts w:hint="eastAsia"/>
                <w:b w:val="0"/>
                <w:bCs/>
                <w:color w:val="auto"/>
                <w:highlight w:val="none"/>
                <w:lang w:val="en-US" w:eastAsia="zh-CN"/>
              </w:rPr>
              <w:t>需</w:t>
            </w:r>
            <w:r>
              <w:rPr>
                <w:rFonts w:hint="eastAsia"/>
                <w:b w:val="0"/>
                <w:bCs/>
                <w:color w:val="auto"/>
                <w:highlight w:val="none"/>
              </w:rPr>
              <w:t>提供第三方有资质的检测机构出具的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
              </w:rPr>
            </w:pPr>
            <w:r>
              <w:rPr>
                <w:rFonts w:hint="default" w:ascii="宋体" w:hAnsi="宋体"/>
                <w:color w:val="auto"/>
                <w:szCs w:val="21"/>
                <w:highlight w:val="none"/>
                <w:lang w:val="en"/>
              </w:rPr>
              <w:t>2</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礼堂椅</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eastAsia="宋体"/>
                <w:color w:val="auto"/>
                <w:highlight w:val="none"/>
                <w:lang w:eastAsia="zh-CN"/>
              </w:rPr>
            </w:pPr>
            <w:r>
              <w:rPr>
                <w:rFonts w:hint="eastAsia"/>
                <w:color w:val="auto"/>
                <w:highlight w:val="none"/>
              </w:rPr>
              <w:t xml:space="preserve">礼堂椅规格尺寸：座椅扶手中心距：600MM，背高：1020MM，座高：450MM，座深:480MM </w:t>
            </w:r>
            <w:r>
              <w:rPr>
                <w:rFonts w:hint="eastAsia"/>
                <w:color w:val="auto"/>
                <w:highlight w:val="none"/>
                <w:lang w:eastAsia="zh-CN"/>
              </w:rPr>
              <w:t>。</w:t>
            </w:r>
          </w:p>
          <w:p>
            <w:pPr>
              <w:widowControl/>
              <w:jc w:val="left"/>
              <w:textAlignment w:val="center"/>
              <w:rPr>
                <w:rFonts w:hint="eastAsia"/>
                <w:color w:val="auto"/>
                <w:highlight w:val="none"/>
              </w:rPr>
            </w:pPr>
            <w:r>
              <w:rPr>
                <w:rFonts w:hint="eastAsia"/>
                <w:color w:val="auto"/>
                <w:highlight w:val="none"/>
              </w:rPr>
              <w:t>1、站脚: 框架采用≥1.5 mm优质冷轧钢板冲压成型，上框架长400mm，下框架长230mm，宽50mm，总高度360mm外扣式更加美观，稳固，耐用。立柱管采用80mm*40mm*1.5mm,底脚板:采用1.8优质冷轧钢板冲压成型，造型尺寸为长</w:t>
            </w:r>
            <w:r>
              <w:rPr>
                <w:rFonts w:hint="eastAsia" w:ascii="宋体" w:hAnsi="宋体"/>
                <w:color w:val="auto"/>
                <w:szCs w:val="21"/>
                <w:highlight w:val="none"/>
                <w:lang w:eastAsia="zh-CN"/>
              </w:rPr>
              <w:t>（约）</w:t>
            </w:r>
            <w:r>
              <w:rPr>
                <w:rFonts w:hint="eastAsia"/>
                <w:color w:val="auto"/>
                <w:highlight w:val="none"/>
              </w:rPr>
              <w:t>260mm，宽</w:t>
            </w:r>
            <w:r>
              <w:rPr>
                <w:rFonts w:hint="eastAsia" w:ascii="宋体" w:hAnsi="宋体"/>
                <w:color w:val="auto"/>
                <w:szCs w:val="21"/>
                <w:highlight w:val="none"/>
                <w:lang w:eastAsia="zh-CN"/>
              </w:rPr>
              <w:t>（约）</w:t>
            </w:r>
            <w:r>
              <w:rPr>
                <w:rFonts w:hint="eastAsia"/>
                <w:color w:val="auto"/>
                <w:highlight w:val="none"/>
              </w:rPr>
              <w:t>123mm的三角形，打破常规两孔固定采用三孔固定，呈不规则三角形外观，设有前端孔1个，后端2个孔距</w:t>
            </w:r>
            <w:r>
              <w:rPr>
                <w:rFonts w:hint="eastAsia" w:ascii="宋体" w:hAnsi="宋体"/>
                <w:color w:val="auto"/>
                <w:szCs w:val="21"/>
                <w:highlight w:val="none"/>
                <w:lang w:eastAsia="zh-CN"/>
              </w:rPr>
              <w:t>（约）</w:t>
            </w:r>
            <w:r>
              <w:rPr>
                <w:rFonts w:hint="eastAsia"/>
                <w:color w:val="auto"/>
                <w:highlight w:val="none"/>
              </w:rPr>
              <w:t>50mm，前后孔距</w:t>
            </w:r>
            <w:r>
              <w:rPr>
                <w:rFonts w:hint="eastAsia" w:ascii="宋体" w:hAnsi="宋体"/>
                <w:color w:val="auto"/>
                <w:szCs w:val="21"/>
                <w:highlight w:val="none"/>
                <w:lang w:eastAsia="zh-CN"/>
              </w:rPr>
              <w:t>（约）</w:t>
            </w:r>
            <w:r>
              <w:rPr>
                <w:rFonts w:hint="eastAsia"/>
                <w:color w:val="auto"/>
                <w:highlight w:val="none"/>
              </w:rPr>
              <w:t>180mm，共3个地爆螺丝固定孔，更为稳固，底部焊接小酒杯型固定件；采用M8x600mm预埋式拉爆结构安装，牢固耐用所有五金件必须经酸洗、磷化后高温粉末喷涂</w:t>
            </w:r>
            <w:r>
              <w:rPr>
                <w:rFonts w:hint="eastAsia"/>
                <w:color w:val="auto"/>
                <w:highlight w:val="none"/>
                <w:lang w:eastAsia="zh-CN"/>
              </w:rPr>
              <w:t>。</w:t>
            </w:r>
            <w:r>
              <w:rPr>
                <w:rFonts w:hint="eastAsia"/>
                <w:color w:val="auto"/>
                <w:highlight w:val="none"/>
              </w:rPr>
              <w:t xml:space="preserve">                  </w:t>
            </w:r>
          </w:p>
          <w:p>
            <w:pPr>
              <w:widowControl/>
              <w:jc w:val="left"/>
              <w:textAlignment w:val="center"/>
              <w:rPr>
                <w:rFonts w:hint="eastAsia"/>
                <w:color w:val="auto"/>
                <w:highlight w:val="none"/>
              </w:rPr>
            </w:pPr>
            <w:r>
              <w:rPr>
                <w:rFonts w:hint="eastAsia"/>
                <w:color w:val="auto"/>
                <w:highlight w:val="none"/>
              </w:rPr>
              <w:t>可根据场地坡度调节水平，表面不允许有龟裂，破损，掉漆，明显修补痕迹等，手能触及的地方必须圆滑，不得有锐利的棱角，毛刺。钢板需经第三方抽样检测，钢板经过第三方检测机构检测。</w:t>
            </w:r>
          </w:p>
          <w:p>
            <w:pPr>
              <w:widowControl/>
              <w:jc w:val="left"/>
              <w:textAlignment w:val="center"/>
              <w:rPr>
                <w:rFonts w:hint="eastAsia"/>
                <w:color w:val="auto"/>
                <w:highlight w:val="none"/>
              </w:rPr>
            </w:pPr>
            <w:r>
              <w:rPr>
                <w:rFonts w:hint="eastAsia"/>
                <w:color w:val="auto"/>
                <w:highlight w:val="none"/>
              </w:rPr>
              <w:t>2.扶手面： 采用实木块精制而成型，表面油环保聚氨酯漆，五底三面工艺，长400mm,宽80mm,高25mm,美观典雅,饰面为多种颜色选择的油漆面。木材需经第三方抽样检测，实木块经过第三方检测机构检测，必须符合GB/T 3324-2017 《木家具通用技术条件》、GB/T 16734-1997《中国主要木材名称》、GB/T 18513-2001 《中国主要进口木材名称》、GB/T 29894-2013 《木材鉴别方法通则》标准要求。</w:t>
            </w:r>
          </w:p>
          <w:p>
            <w:pPr>
              <w:widowControl/>
              <w:jc w:val="left"/>
              <w:textAlignment w:val="center"/>
              <w:rPr>
                <w:rFonts w:hint="eastAsia"/>
                <w:color w:val="auto"/>
                <w:highlight w:val="none"/>
              </w:rPr>
            </w:pPr>
            <w:r>
              <w:rPr>
                <w:rFonts w:hint="eastAsia"/>
                <w:color w:val="auto"/>
                <w:highlight w:val="none"/>
              </w:rPr>
              <w:t xml:space="preserve">3.靠背海绵 ：采用优质冷发泡聚氨酯（PU）经专用精密发泡模具发泡一次成型，海绵密度为40-50KG/m³，椅背根据人体工程学原理，采用流线型设计，外形更高档，且有效缓解长时间保持坐姿而产生的疲劳感; 座海绵：厚度不低于120mm采用优质冷发泡聚氨酯（PU）经专用精密发泡模具发泡一次成型，海绵密度为50-60KG/m³，无毒无味无刺激，久坐不塌陷不变形。海绵经过第三方检测机构检测，必须符合GB/T 10802-2006《通用软质聚醚型聚氨酯泡沫塑料》标准要求。               </w:t>
            </w:r>
          </w:p>
          <w:p>
            <w:pPr>
              <w:widowControl/>
              <w:jc w:val="left"/>
              <w:textAlignment w:val="center"/>
              <w:rPr>
                <w:rFonts w:hint="eastAsia"/>
                <w:color w:val="auto"/>
                <w:highlight w:val="none"/>
              </w:rPr>
            </w:pPr>
            <w:r>
              <w:rPr>
                <w:rFonts w:hint="eastAsia"/>
                <w:color w:val="auto"/>
                <w:highlight w:val="none"/>
              </w:rPr>
              <w:t>4.坐背内板： 采用无甲醛环保胶热压成型，外形成弧形，厚度为：7mm，安全可靠，不易折断。</w:t>
            </w:r>
          </w:p>
          <w:p>
            <w:pPr>
              <w:widowControl/>
              <w:jc w:val="left"/>
              <w:textAlignment w:val="center"/>
              <w:rPr>
                <w:rFonts w:hint="eastAsia" w:eastAsia="宋体"/>
                <w:color w:val="auto"/>
                <w:highlight w:val="none"/>
                <w:lang w:eastAsia="zh-CN"/>
              </w:rPr>
            </w:pPr>
            <w:r>
              <w:rPr>
                <w:rFonts w:hint="eastAsia"/>
                <w:color w:val="auto"/>
                <w:highlight w:val="none"/>
              </w:rPr>
              <w:t>5.座背外板：采用15mM多层板精磨而成承托力强，抗变形，背外板采用优质高密度硬木多层板经冷轧钢板模压一次成型;坐板:是由木制多层板高温覆膜吸塑一次成型，厚度15mm。造型优美、高雅，表面（包括立面）用PVC真空覆膜技术经高温高压吸覆于座板上，具有防火、防水、环保等优点，配有至少121个蜂窝式吸音孔能在0.1秒内消除回音，保证了座椅良好吸音效果</w:t>
            </w:r>
            <w:r>
              <w:rPr>
                <w:rFonts w:hint="eastAsia"/>
                <w:color w:val="auto"/>
                <w:highlight w:val="none"/>
                <w:lang w:eastAsia="zh-CN"/>
              </w:rPr>
              <w:t>。</w:t>
            </w:r>
          </w:p>
          <w:p>
            <w:pPr>
              <w:widowControl/>
              <w:jc w:val="left"/>
              <w:textAlignment w:val="center"/>
              <w:rPr>
                <w:rFonts w:hint="eastAsia"/>
                <w:color w:val="auto"/>
                <w:highlight w:val="none"/>
              </w:rPr>
            </w:pPr>
            <w:r>
              <w:rPr>
                <w:rFonts w:hint="eastAsia"/>
                <w:color w:val="auto"/>
                <w:highlight w:val="none"/>
              </w:rPr>
              <w:t xml:space="preserve">6.座位挂钩/座包框架： 采用加强型连接结构，在两背角码间装有预留孔位，能适合多种场地安装，座框架，采用优质冷轧刚厚度1.5mm经模具冲压焊接组合成型，框架两边采用优质5mm冷轧钢片，耳顶采用穿透式T型角码直径14mm,消音垫：直接在耳顶处加上消音圈，摒弃座包受外力作用时与背相碰撞时受力点在海绵上，而更加耐用、牢固、更舒适、牢固包采用阻尼回复机构，座包采用阻尼回复机构，无噪音慢回位，扭簧105*☉37*☉12圈扭力，确保扭力永久不失效。另设计配置15级扭力调节器，可调节座包回位速度快慢。                    </w:t>
            </w:r>
          </w:p>
          <w:p>
            <w:pPr>
              <w:widowControl/>
              <w:jc w:val="left"/>
              <w:textAlignment w:val="center"/>
              <w:rPr>
                <w:rFonts w:hint="eastAsia"/>
                <w:color w:val="auto"/>
                <w:highlight w:val="none"/>
              </w:rPr>
            </w:pPr>
            <w:r>
              <w:rPr>
                <w:rFonts w:hint="eastAsia"/>
                <w:color w:val="auto"/>
                <w:highlight w:val="none"/>
              </w:rPr>
              <w:t xml:space="preserve">7.阻尼器选用优质2.2级标准.安全可调节快慢回位轻盈，无杂声，加载部位无明显变形，翻转灵活自如，零故障。                       </w:t>
            </w:r>
          </w:p>
          <w:p>
            <w:pPr>
              <w:widowControl/>
              <w:jc w:val="left"/>
              <w:textAlignment w:val="center"/>
              <w:rPr>
                <w:rFonts w:hint="eastAsia"/>
                <w:color w:val="auto"/>
                <w:highlight w:val="none"/>
              </w:rPr>
            </w:pPr>
            <w:r>
              <w:rPr>
                <w:rFonts w:hint="eastAsia"/>
                <w:color w:val="auto"/>
                <w:highlight w:val="none"/>
              </w:rPr>
              <w:t>8.侧板: 采用5mm厚度中纤板基材面履高级优质工程亚麻布料一张式组成，安装方式为内嵌式钉扣，使用过程中不容易被抠掉。座椅背面配置水杯架。</w:t>
            </w:r>
          </w:p>
          <w:p>
            <w:pPr>
              <w:widowControl/>
              <w:jc w:val="left"/>
              <w:textAlignment w:val="center"/>
              <w:rPr>
                <w:rFonts w:hint="eastAsia" w:eastAsia="宋体"/>
                <w:color w:val="auto"/>
                <w:highlight w:val="none"/>
                <w:lang w:eastAsia="zh-CN"/>
              </w:rPr>
            </w:pPr>
            <w:r>
              <w:rPr>
                <w:rFonts w:hint="eastAsia"/>
                <w:color w:val="auto"/>
                <w:highlight w:val="none"/>
              </w:rPr>
              <w:t>9.布面料：表面覆盖物为高级麻绒专用布料，抗污，防褪色，接触面舒适，触感细腻。可根据客户要求进行特殊3M（防潮、防尘、防污）处理，阻燃等。布面料经过第三方检测机构检测，必须符合GB 18401-2010 《国家纺织产品基本安全技术规范》、参照QB/T 2602-2013 《影剧院公共座椅》标准要求</w:t>
            </w:r>
            <w:r>
              <w:rPr>
                <w:rFonts w:hint="eastAsia"/>
                <w:color w:val="auto"/>
                <w:highlight w:val="none"/>
                <w:lang w:eastAsia="zh-CN"/>
              </w:rPr>
              <w:t>。</w:t>
            </w:r>
          </w:p>
          <w:p>
            <w:pPr>
              <w:widowControl/>
              <w:jc w:val="both"/>
              <w:textAlignment w:val="center"/>
              <w:rPr>
                <w:rFonts w:ascii="宋体" w:hAnsi="宋体"/>
                <w:color w:val="auto"/>
                <w:szCs w:val="21"/>
                <w:highlight w:val="none"/>
              </w:rPr>
            </w:pPr>
            <w:r>
              <w:rPr>
                <w:rFonts w:hint="eastAsia"/>
                <w:color w:val="auto"/>
                <w:highlight w:val="none"/>
              </w:rPr>
              <w:t>10.表面涂装：金属件通过除油、除锈、中和、磷化、表调等前置处理，经过高温烘干炉烘烤后静电喷涂环氧树脂粉体，再进入高温炉定时使表面粉体流平固化。礼堂椅产品需经第三方抽样检测，必须符合QB/T 2602-2013 《影剧院公共座椅》标准要求，检测结果必须符合至少以下4项基本检测要求： ①含水率：木材含水率应为8%～12%（产品所在地区年平均木材平衡含水率+1%）； ②用料要求。座面软质聚氨酯泡沫材料密度≥60kg/m³，其他部位软质聚氨酯泡沫材料密度≥45kg/m³；软质聚氨酯泡沫材料回弹性≥55%；③软包件纺织面料耐干摩擦色牢度≥4级；④甲醛释放量≤0.08mg/㎡h。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
              </w:rPr>
            </w:pPr>
            <w:r>
              <w:rPr>
                <w:rFonts w:hint="default" w:ascii="宋体" w:hAnsi="宋体"/>
                <w:color w:val="auto"/>
                <w:szCs w:val="21"/>
                <w:highlight w:val="none"/>
                <w:lang w:val="en"/>
              </w:rPr>
              <w:t>3</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舞台会议椅</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规格：约620×680×1080mm</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1.面料：采用优质牛皮面料，防磨防污性好</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2.辅料：坐垫及靠背采用≥50#一次成型海绵，海绵回弹率≥35%，干热老化后拉伸强度≥55kPa，湿热老化后拉伸强度≥55kPa，压陷性能必须符合GB/T10802-2006《通用软质聚醚型聚氨酯泡沫塑料》标准的要求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3.坐垫靠背内板：使用多层板</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4.椅架：橡胶木实木椅架</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5.油漆：采用环保型PU聚酯漆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6.会议椅</w:t>
            </w:r>
            <w:r>
              <w:rPr>
                <w:rFonts w:hint="eastAsia" w:ascii="宋体" w:hAnsi="宋体"/>
                <w:color w:val="auto"/>
                <w:szCs w:val="21"/>
                <w:highlight w:val="none"/>
                <w:lang w:eastAsia="zh-CN"/>
              </w:rPr>
              <w:t>：</w:t>
            </w:r>
            <w:r>
              <w:rPr>
                <w:rFonts w:hint="eastAsia" w:ascii="宋体" w:hAnsi="宋体"/>
                <w:color w:val="auto"/>
                <w:szCs w:val="21"/>
                <w:highlight w:val="none"/>
              </w:rPr>
              <w:t>阻燃性、甲醛释放量、总挥发有机化合物（TVOC）必须符合GB/T35607-2017绿色产品评价家具、GB17927.2-2011软体家具床垫和沙发抗引燃特性的评定第2部分:模拟火柴火焰等标准要求。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 w:eastAsia="zh-CN"/>
              </w:rPr>
            </w:pPr>
            <w:r>
              <w:rPr>
                <w:rFonts w:hint="eastAsia" w:ascii="宋体" w:hAnsi="宋体"/>
                <w:color w:val="auto"/>
                <w:szCs w:val="21"/>
                <w:highlight w:val="none"/>
                <w:lang w:val="en-US" w:eastAsia="zh-CN"/>
              </w:rPr>
              <w:t>4</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舞台会议桌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规格：1400×600×760mm </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舞台会议桌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规格：2100×600×760mm </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演讲台</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规格：750×500×1150mm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规格：1500×400×750mm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规格（mm）：总长9500mm,宽400mm，高度750mm</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办公椅</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把</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1.椅背：采用优质透气塑胶网；</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2.坐面：采用优质加密双层网布；</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3.海绵：采用高密度弹力海绵，不易变形；座海绵的软质聚氨酯泡沫材料座面密度、软质聚氨酯泡沫材料弹性，软质聚氨酯泡沫材料缩永久变形，必须符合QB/T2602-2013(2017)《影剧院公共座椅》标准要求</w:t>
            </w:r>
            <w:r>
              <w:rPr>
                <w:rFonts w:hint="eastAsia" w:ascii="宋体" w:hAnsi="宋体"/>
                <w:color w:val="auto"/>
                <w:szCs w:val="21"/>
                <w:highlight w:val="none"/>
                <w:lang w:eastAsia="zh-CN"/>
              </w:rPr>
              <w:t>；</w:t>
            </w:r>
          </w:p>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4.扶手：电镀+PP材料，连体固定扶手；</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5.弓字架：采用直径25mm钢管，1.2mm厚度，椅身跟椅架均采用优质电镀五金，带防滑脚垫。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大板桌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1.规格：1400*600*750mm</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2.桌面采用25mm厚多层实木板，板材表面防霉性能、抗菌性能、外观质量必须符合GB/T 34722-2017《浸渍胶膜纸饰面胶合板和细木工板》、QB/T 4371-2012《家具抗菌性能的评价》、LY/T 2230-2013《人造板防霉性能评价》等标准要求</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3.脚架采用优质50*50方管，表面高温静电喷塑，塑粉必须符合HG/T 2006-2022《热固性和热塑性粉末涂料》标准要求。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接待沙发</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1.规格：1060×880×920mm</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2.面料：采用优质布料，防磨防污性好</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3.辅料：采用优质海绵，密度高，回弹率好</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4.内部框架：采用E1级优质环保型胶合板，板材表面防霉性能、抗菌性能、外观质量必须符合GB/T 34722-2017《浸渍胶膜纸饰面胶合板和细木工板》、QB/T 4371-2012《家具抗菌性能的评价》、LY/T 2230-2013《人造板防霉性能评价》等标准要求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5.框架基材：采用优质实木</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6.油漆：采用优质环保型PU 聚酯漆，底漆和面漆的乙二醇醚及醚酯总和含量;多环芳烃总和含量:苯含量;卤代烃总和含量必须符合GB 18581-2020《木器涂料中有害物质限量》标准。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茶几</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规格：600×400×480mm</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2.木皮饰面：采用0.6mm厚胡桃木皮</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茶几</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规格：1200×600×480mm。</w:t>
            </w:r>
          </w:p>
          <w:p>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1.基材：采用E0级中密度纤维板，板材苯、甲苯、二甲苯有害物质必须符合GB/T35601-2017《绿色产品评价人造板和木质地板》标准要求；</w:t>
            </w:r>
          </w:p>
          <w:p>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2.木皮饰面：采用0.6mm厚胡桃木皮；</w:t>
            </w:r>
          </w:p>
          <w:p>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lang w:eastAsia="zh-CN"/>
              </w:rPr>
              <w:t>3.油漆：采用环保型PU聚酯漆，底漆和面漆的乙二醇醚及醚酯总和含量;多环芳烃总和含量:苯含量;卤代烃总和含量必须符合GB 18581-2020《木器涂料中有害物质限量》标准。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26"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1276"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789" w:type="dxa"/>
            <w:gridSpan w:val="2"/>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40</w:t>
            </w:r>
          </w:p>
        </w:tc>
        <w:tc>
          <w:tcPr>
            <w:tcW w:w="91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6542" w:type="dxa"/>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规格：1400×500×760mm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bidi="ar"/>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9944"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hAnsi="宋体" w:cs="宋体"/>
                <w:b/>
                <w:bCs/>
                <w:color w:val="auto"/>
                <w:highlight w:val="none"/>
              </w:rPr>
            </w:pPr>
            <w:r>
              <w:rPr>
                <w:rFonts w:hint="eastAsia" w:hAnsi="宋体" w:cs="宋体"/>
                <w:b/>
                <w:bCs/>
                <w:color w:val="auto"/>
                <w:highlight w:val="none"/>
              </w:rPr>
              <w:t>备注：</w:t>
            </w:r>
          </w:p>
          <w:p>
            <w:pPr>
              <w:widowControl/>
              <w:numPr>
                <w:ilvl w:val="0"/>
                <w:numId w:val="11"/>
              </w:numPr>
              <w:jc w:val="left"/>
              <w:textAlignment w:val="center"/>
              <w:rPr>
                <w:rFonts w:ascii="宋体" w:hAnsi="宋体"/>
                <w:b/>
                <w:bCs/>
                <w:color w:val="auto"/>
                <w:szCs w:val="21"/>
                <w:highlight w:val="none"/>
              </w:rPr>
            </w:pPr>
            <w:r>
              <w:rPr>
                <w:rFonts w:hint="eastAsia" w:hAnsi="宋体" w:cs="宋体"/>
                <w:b/>
                <w:bCs/>
                <w:color w:val="auto"/>
                <w:highlight w:val="none"/>
              </w:rPr>
              <w:t>材质的要求及材质的厚度须满足或优于采购需求；产品性能须满足或优于用户要求。</w:t>
            </w:r>
          </w:p>
          <w:p>
            <w:pPr>
              <w:widowControl/>
              <w:numPr>
                <w:ilvl w:val="0"/>
                <w:numId w:val="11"/>
              </w:numPr>
              <w:jc w:val="left"/>
              <w:textAlignment w:val="center"/>
              <w:rPr>
                <w:rFonts w:ascii="宋体" w:hAnsi="宋体"/>
                <w:color w:val="auto"/>
                <w:szCs w:val="21"/>
                <w:highlight w:val="none"/>
              </w:rPr>
            </w:pPr>
            <w:r>
              <w:rPr>
                <w:rFonts w:hint="eastAsia" w:ascii="宋体" w:hAnsi="宋体" w:cs="宋体"/>
                <w:b/>
                <w:bCs/>
                <w:color w:val="auto"/>
                <w:highlight w:val="none"/>
              </w:rPr>
              <w:t>引用的所有标准，如有更新或替换时，应执行最新标准。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44"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auto"/>
                <w:szCs w:val="21"/>
                <w:highlight w:val="none"/>
              </w:rPr>
            </w:pPr>
            <w:r>
              <w:rPr>
                <w:rFonts w:hint="eastAsia" w:ascii="宋体" w:hAnsi="宋体"/>
                <w:b/>
                <w:color w:val="auto"/>
                <w:szCs w:val="21"/>
                <w:highlight w:val="none"/>
              </w:rPr>
              <w:t>商务及其他要求表</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▲售后服务及其他</w:t>
            </w:r>
          </w:p>
          <w:p>
            <w:pPr>
              <w:jc w:val="center"/>
              <w:rPr>
                <w:rFonts w:ascii="宋体" w:hAnsi="宋体"/>
                <w:color w:val="auto"/>
                <w:szCs w:val="21"/>
                <w:highlight w:val="none"/>
              </w:rPr>
            </w:pPr>
            <w:r>
              <w:rPr>
                <w:rFonts w:hint="eastAsia" w:ascii="宋体" w:hAnsi="宋体"/>
                <w:color w:val="auto"/>
                <w:szCs w:val="21"/>
                <w:highlight w:val="none"/>
              </w:rPr>
              <w:t>要求</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1、合同签订期：自中标通知书发出之日起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30   </w:t>
            </w:r>
            <w:r>
              <w:rPr>
                <w:rFonts w:hint="eastAsia" w:ascii="宋体" w:hAnsi="宋体"/>
                <w:color w:val="auto"/>
                <w:szCs w:val="21"/>
                <w:highlight w:val="none"/>
              </w:rPr>
              <w:t>日历日内。</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2、交付使用时间：自合同签订之日起</w:t>
            </w:r>
            <w:r>
              <w:rPr>
                <w:rFonts w:hint="eastAsia" w:ascii="宋体" w:hAnsi="宋体"/>
                <w:color w:val="auto"/>
                <w:szCs w:val="21"/>
                <w:highlight w:val="none"/>
                <w:u w:val="single"/>
                <w:lang w:val="en-US" w:eastAsia="zh-CN"/>
              </w:rPr>
              <w:t xml:space="preserve">  90  </w:t>
            </w:r>
            <w:r>
              <w:rPr>
                <w:rFonts w:hint="eastAsia" w:ascii="宋体" w:hAnsi="宋体"/>
                <w:color w:val="auto"/>
                <w:szCs w:val="21"/>
                <w:highlight w:val="none"/>
              </w:rPr>
              <w:t>日内交付到指定地点存放，在接到甲方的安装通知后，</w:t>
            </w:r>
            <w:r>
              <w:rPr>
                <w:rFonts w:hint="eastAsia" w:ascii="宋体" w:hAnsi="宋体"/>
                <w:color w:val="auto"/>
                <w:szCs w:val="21"/>
                <w:highlight w:val="none"/>
                <w:u w:val="single"/>
                <w:lang w:val="en-US" w:eastAsia="zh-CN"/>
              </w:rPr>
              <w:t xml:space="preserve">   60   </w:t>
            </w:r>
            <w:r>
              <w:rPr>
                <w:rFonts w:hint="eastAsia" w:ascii="宋体" w:hAnsi="宋体"/>
                <w:color w:val="auto"/>
                <w:szCs w:val="21"/>
                <w:highlight w:val="none"/>
              </w:rPr>
              <w:t>天内安装验收完毕。</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3、交货地点</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广西建设职业技术学院武鸣校区</w:t>
            </w:r>
            <w:r>
              <w:rPr>
                <w:rFonts w:hint="eastAsia" w:ascii="宋体" w:hAnsi="宋体"/>
                <w:color w:val="auto"/>
                <w:szCs w:val="21"/>
                <w:highlight w:val="none"/>
              </w:rPr>
              <w:t>（采购人指定地点）。</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4、交货方式：现场交货。</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5、售后服务要求：</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（1）送货上门，按现场条件全程免费安装调试，直至最终验收合格前产生的所有费用由中标供应商承担；</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（2）免费保修期：对所售货物提供五年的上门全免费保修期，保修期内非人为因素发生的故障均由中标供应商免费维修或更换，质保期外维修的零配件需优惠（折扣率20%）；</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（3）质量保证期：所有家具的质量保证期不少于五年，在此保证期内，如在正常使用过程中出现的质量问题，供应商须负责免费维修或调换；</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（4）故障响应时间：货物发生故障时，在接到采购人通知后24小时内到达现场处理，一般故障处理时限不超过12小时，12小时内不能修复的，提供替代品；</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（5）验收所需工具、器材由中标供应商自理；各项性能指标达到技术要求的，由供需双方共同签字认可，现场验收；</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6）中标供应商负责处理解决货物出现的质量及安全问题并承担一切费用，所有非故意性损坏以及正常使用范围内造成的损坏均要免费维修，因人为因素出现的故障不在免费保修范围内，但中标供应商也要积极帮助采购人修理，并提供优惠价格的配件和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8"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▲验收标准</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1、所供产品的规格、数量符合招标文件、供应商投标承诺及采购合同约定的要求。</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2、所供产品的材质、颜色符合招标文件、供应商投标承诺及采购合同约定的要求。</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3、所供产品的外观完好，无严重碰撞、表皮脱落、五金件生锈等明显瑕疵。</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4、所供产品结构牢固，无安全隐患。</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5、如有抽检要求的，检测结果符合招标文件、供应商投标承诺及采购合同约定的要求。</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6、所有产品均已运输至指定地点，并安装调试完毕。</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7、招标文件、供应商投标承诺及采购合同约定的附件、工具、技术资料等齐全；提供产品使用说明书、合格证明材料。</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8、为保证产品品质，批量供货前需提供符合竞标文件要求的产品一套进行验收，验收通过后方可批量供货，不合格采购人有权上报相关部门处理。</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9、验收时采购人对家具进行对照技术参数逐项检测，由采购人委托第三方根据项目内容进行检测，检验结果不合格的或不符合技术参数的不予验收并做退货处理，由此产生的一切后果由供应商承担。</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10、如中标供应商不能按约定时间交货，将上报政府采购监管部门处理。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▲投标报价</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pStyle w:val="30"/>
              <w:snapToGrid w:val="0"/>
              <w:spacing w:line="400" w:lineRule="exact"/>
              <w:outlineLvl w:val="0"/>
              <w:rPr>
                <w:rFonts w:hAnsi="宋体" w:cs="Times New Roman"/>
                <w:color w:val="auto"/>
                <w:highlight w:val="none"/>
              </w:rPr>
            </w:pPr>
            <w:r>
              <w:rPr>
                <w:rFonts w:hint="eastAsia" w:hAnsi="宋体" w:cs="Times New Roman"/>
                <w:color w:val="auto"/>
                <w:highlight w:val="none"/>
              </w:rPr>
              <w:t>投标报价为采购人指定地点的现场交货价，包括：</w:t>
            </w:r>
          </w:p>
          <w:p>
            <w:pPr>
              <w:pStyle w:val="30"/>
              <w:snapToGrid w:val="0"/>
              <w:spacing w:line="400" w:lineRule="exact"/>
              <w:outlineLvl w:val="0"/>
              <w:rPr>
                <w:rFonts w:hAnsi="宋体" w:cs="Times New Roman"/>
                <w:color w:val="auto"/>
                <w:highlight w:val="none"/>
              </w:rPr>
            </w:pPr>
            <w:r>
              <w:rPr>
                <w:rFonts w:hint="eastAsia" w:hAnsi="宋体" w:cs="Times New Roman"/>
                <w:color w:val="auto"/>
                <w:highlight w:val="none"/>
              </w:rPr>
              <w:t>（1）货物的价格：包括货款、零配件、安装调试费、验收费；</w:t>
            </w:r>
          </w:p>
          <w:p>
            <w:pPr>
              <w:pStyle w:val="30"/>
              <w:snapToGrid w:val="0"/>
              <w:spacing w:line="400" w:lineRule="exact"/>
              <w:outlineLvl w:val="0"/>
              <w:rPr>
                <w:rFonts w:hint="eastAsia" w:hAnsi="宋体" w:cs="Times New Roman"/>
                <w:color w:val="auto"/>
                <w:highlight w:val="none"/>
                <w:lang w:val="en"/>
              </w:rPr>
            </w:pPr>
            <w:r>
              <w:rPr>
                <w:rFonts w:hint="eastAsia" w:hAnsi="宋体" w:cs="Times New Roman"/>
                <w:color w:val="auto"/>
                <w:highlight w:val="none"/>
              </w:rPr>
              <w:t>（2）货物的标准附件、备品备件、专用工具的价格</w:t>
            </w:r>
            <w:r>
              <w:rPr>
                <w:rFonts w:hint="eastAsia" w:hAnsi="宋体" w:cs="Times New Roman"/>
                <w:color w:val="auto"/>
                <w:highlight w:val="none"/>
                <w:lang w:val="en"/>
              </w:rPr>
              <w:t>；</w:t>
            </w:r>
          </w:p>
          <w:p>
            <w:pPr>
              <w:pStyle w:val="30"/>
              <w:snapToGrid w:val="0"/>
              <w:spacing w:line="400" w:lineRule="exact"/>
              <w:outlineLvl w:val="0"/>
              <w:rPr>
                <w:rFonts w:hint="eastAsia" w:hAnsi="宋体" w:cs="Times New Roman"/>
                <w:color w:val="auto"/>
                <w:highlight w:val="none"/>
              </w:rPr>
            </w:pPr>
            <w:r>
              <w:rPr>
                <w:rFonts w:hint="eastAsia" w:hAnsi="宋体" w:cs="Times New Roman"/>
                <w:color w:val="auto"/>
                <w:highlight w:val="none"/>
              </w:rPr>
              <w:t>（3）运输、装卸、调试、培训、技术支持、售后服务费；</w:t>
            </w:r>
          </w:p>
          <w:p>
            <w:pPr>
              <w:pStyle w:val="30"/>
              <w:snapToGrid w:val="0"/>
              <w:spacing w:line="400" w:lineRule="exact"/>
              <w:outlineLvl w:val="0"/>
              <w:rPr>
                <w:rFonts w:hAnsi="宋体" w:cs="Times New Roman"/>
                <w:color w:val="auto"/>
                <w:highlight w:val="none"/>
              </w:rPr>
            </w:pPr>
            <w:r>
              <w:rPr>
                <w:rFonts w:hint="eastAsia" w:hAnsi="宋体" w:cs="Times New Roman"/>
                <w:color w:val="auto"/>
                <w:highlight w:val="none"/>
              </w:rPr>
              <w:t>（4）货物的二次搬运产生的相关费用，按采购人要求进行摆放的费用。</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注：投标人自行考虑完成项目所需的辅材、零配件等数量</w:t>
            </w:r>
            <w:r>
              <w:rPr>
                <w:rFonts w:hint="eastAsia" w:ascii="宋体" w:hAnsi="宋体"/>
                <w:color w:val="auto"/>
                <w:szCs w:val="21"/>
                <w:highlight w:val="none"/>
                <w:lang w:val="en-US" w:eastAsia="zh-CN"/>
              </w:rPr>
              <w:t>及从存放点运至安装点所需通过小车、人力或其他方式进行第二次或多次转运所产生的费用</w:t>
            </w:r>
            <w:r>
              <w:rPr>
                <w:rFonts w:hint="eastAsia" w:ascii="宋体" w:hAnsi="宋体"/>
                <w:color w:val="auto"/>
                <w:szCs w:val="21"/>
                <w:highlight w:val="none"/>
              </w:rPr>
              <w:t>，投标报价中应包含全部内容，中标后采购人不再另行支付额外费用。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▲付款方式</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合同签订后并向中标供应商发出订货通知10个工作日内，乙方开具合同总价款的 30%的等额价值保函(保函有效期</w:t>
            </w:r>
            <w:r>
              <w:rPr>
                <w:rFonts w:hint="eastAsia" w:ascii="宋体" w:hAnsi="宋体"/>
                <w:color w:val="auto"/>
                <w:szCs w:val="21"/>
                <w:highlight w:val="none"/>
                <w:lang w:eastAsia="zh-CN"/>
              </w:rPr>
              <w:t>为自签订合同起</w:t>
            </w:r>
            <w:r>
              <w:rPr>
                <w:rFonts w:hint="eastAsia" w:ascii="宋体" w:hAnsi="宋体"/>
                <w:color w:val="auto"/>
                <w:szCs w:val="21"/>
                <w:highlight w:val="none"/>
                <w:lang w:val="en-US" w:eastAsia="zh-CN"/>
              </w:rPr>
              <w:t>6个月内</w:t>
            </w:r>
            <w:r>
              <w:rPr>
                <w:rFonts w:hint="eastAsia"/>
                <w:color w:val="auto"/>
                <w:highlight w:val="none"/>
              </w:rPr>
              <w:t>，保函到期前，若项目未完成，</w:t>
            </w:r>
            <w:r>
              <w:rPr>
                <w:rFonts w:hint="eastAsia"/>
                <w:color w:val="auto"/>
                <w:highlight w:val="none"/>
                <w:lang w:eastAsia="zh-CN"/>
              </w:rPr>
              <w:t>中标供应商</w:t>
            </w:r>
            <w:r>
              <w:rPr>
                <w:rFonts w:hint="eastAsia"/>
                <w:color w:val="auto"/>
                <w:highlight w:val="none"/>
              </w:rPr>
              <w:t>须在保函到期前提前1个月提交新一期保函</w:t>
            </w:r>
            <w:r>
              <w:rPr>
                <w:rFonts w:hint="eastAsia" w:ascii="宋体" w:hAnsi="宋体"/>
                <w:color w:val="auto"/>
                <w:szCs w:val="21"/>
                <w:highlight w:val="none"/>
              </w:rPr>
              <w:t>)给甲方后，甲方向中标供应商支付合同价款30%预付款（中标供应商须先提供相应</w:t>
            </w:r>
            <w:r>
              <w:rPr>
                <w:rFonts w:hint="eastAsia" w:ascii="宋体" w:hAnsi="宋体"/>
                <w:color w:val="auto"/>
                <w:szCs w:val="21"/>
                <w:highlight w:val="none"/>
                <w:lang w:eastAsia="zh-CN"/>
              </w:rPr>
              <w:t>等额有效</w:t>
            </w:r>
            <w:r>
              <w:rPr>
                <w:rFonts w:hint="eastAsia" w:ascii="宋体" w:hAnsi="宋体"/>
                <w:color w:val="auto"/>
                <w:szCs w:val="21"/>
                <w:highlight w:val="none"/>
                <w:lang w:val="en-US" w:eastAsia="zh-CN"/>
              </w:rPr>
              <w:t>的增值税专用</w:t>
            </w:r>
            <w:r>
              <w:rPr>
                <w:rFonts w:hint="eastAsia" w:ascii="宋体" w:hAnsi="宋体"/>
                <w:color w:val="auto"/>
                <w:szCs w:val="21"/>
                <w:highlight w:val="none"/>
              </w:rPr>
              <w:t>发票），交货验收合格后，中标供应商开具</w:t>
            </w:r>
            <w:r>
              <w:rPr>
                <w:rFonts w:hint="eastAsia" w:ascii="宋体" w:hAnsi="宋体"/>
                <w:color w:val="auto"/>
                <w:szCs w:val="21"/>
                <w:highlight w:val="none"/>
                <w:lang w:eastAsia="zh-CN"/>
              </w:rPr>
              <w:t>等额有效</w:t>
            </w:r>
            <w:r>
              <w:rPr>
                <w:rFonts w:hint="eastAsia" w:ascii="宋体" w:hAnsi="宋体"/>
                <w:color w:val="auto"/>
                <w:szCs w:val="21"/>
                <w:highlight w:val="none"/>
                <w:lang w:val="en-US" w:eastAsia="zh-CN"/>
              </w:rPr>
              <w:t>的增值税专用</w:t>
            </w:r>
            <w:r>
              <w:rPr>
                <w:rFonts w:hint="eastAsia" w:ascii="宋体" w:hAnsi="宋体"/>
                <w:color w:val="auto"/>
                <w:szCs w:val="21"/>
                <w:highlight w:val="none"/>
              </w:rPr>
              <w:t>发票给采购人，采购人收到</w:t>
            </w:r>
            <w:r>
              <w:rPr>
                <w:rFonts w:hint="eastAsia" w:ascii="宋体" w:hAnsi="宋体"/>
                <w:color w:val="auto"/>
                <w:szCs w:val="21"/>
                <w:highlight w:val="none"/>
                <w:lang w:val="en-US" w:eastAsia="zh-CN"/>
              </w:rPr>
              <w:t>合法</w:t>
            </w:r>
            <w:r>
              <w:rPr>
                <w:rFonts w:hint="eastAsia" w:ascii="宋体" w:hAnsi="宋体"/>
                <w:color w:val="auto"/>
                <w:szCs w:val="21"/>
                <w:highlight w:val="none"/>
              </w:rPr>
              <w:t>发票后在20个工作日内一次性付清尾款（合同价款70%）。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hAnsi="宋体"/>
                <w:color w:val="auto"/>
                <w:szCs w:val="21"/>
                <w:highlight w:val="none"/>
              </w:rPr>
            </w:pPr>
            <w:r>
              <w:rPr>
                <w:rFonts w:hint="eastAsia" w:hAnsi="宋体"/>
                <w:color w:val="auto"/>
                <w:szCs w:val="21"/>
                <w:highlight w:val="none"/>
              </w:rPr>
              <w:t>1、履约保证金金额：中标金额的 5 %</w:t>
            </w:r>
            <w:r>
              <w:rPr>
                <w:rFonts w:hint="eastAsia" w:ascii="宋体" w:hAnsi="宋体" w:cs="宋体"/>
                <w:color w:val="auto"/>
                <w:szCs w:val="21"/>
                <w:highlight w:val="none"/>
              </w:rPr>
              <w:t>（如中标供应商为中小企业的，按本项目中标总金额的2%）收取</w:t>
            </w:r>
            <w:r>
              <w:rPr>
                <w:rFonts w:hint="eastAsia" w:hAnsi="宋体"/>
                <w:color w:val="auto"/>
                <w:szCs w:val="21"/>
                <w:highlight w:val="none"/>
              </w:rPr>
              <w:t>。</w:t>
            </w:r>
          </w:p>
          <w:p>
            <w:pPr>
              <w:spacing w:line="360" w:lineRule="exact"/>
              <w:jc w:val="left"/>
              <w:rPr>
                <w:rFonts w:hint="eastAsia" w:hAnsi="宋体"/>
                <w:color w:val="auto"/>
                <w:szCs w:val="21"/>
                <w:highlight w:val="none"/>
              </w:rPr>
            </w:pPr>
            <w:r>
              <w:rPr>
                <w:rFonts w:hint="eastAsia" w:hAnsi="宋体"/>
                <w:color w:val="auto"/>
                <w:szCs w:val="21"/>
                <w:highlight w:val="none"/>
              </w:rPr>
              <w:t>2、履约保证金递交方式：支票、汇票、本票、网上银行等非现金形式。</w:t>
            </w:r>
          </w:p>
          <w:p>
            <w:pPr>
              <w:spacing w:line="360" w:lineRule="exact"/>
              <w:jc w:val="left"/>
              <w:rPr>
                <w:rFonts w:hint="eastAsia" w:hAnsi="宋体"/>
                <w:color w:val="auto"/>
                <w:szCs w:val="21"/>
                <w:highlight w:val="none"/>
              </w:rPr>
            </w:pPr>
            <w:r>
              <w:rPr>
                <w:rFonts w:hint="eastAsia" w:hAnsi="宋体"/>
                <w:color w:val="auto"/>
                <w:szCs w:val="21"/>
                <w:highlight w:val="none"/>
              </w:rPr>
              <w:t>3、履约保证金递交时间：签订合同</w:t>
            </w:r>
            <w:r>
              <w:rPr>
                <w:rFonts w:hint="eastAsia" w:hAnsi="宋体"/>
                <w:color w:val="auto"/>
                <w:szCs w:val="21"/>
                <w:highlight w:val="none"/>
                <w:lang w:val="en-US" w:eastAsia="zh-CN"/>
              </w:rPr>
              <w:t>前</w:t>
            </w:r>
            <w:r>
              <w:rPr>
                <w:rFonts w:hint="eastAsia" w:hAnsi="宋体"/>
                <w:color w:val="auto"/>
                <w:szCs w:val="21"/>
                <w:highlight w:val="none"/>
              </w:rPr>
              <w:t>5个工作日内由成交方转入采购人指定保证金账户。</w:t>
            </w:r>
          </w:p>
          <w:p>
            <w:pPr>
              <w:spacing w:line="360" w:lineRule="exact"/>
              <w:jc w:val="left"/>
              <w:rPr>
                <w:rFonts w:hint="eastAsia" w:hAnsi="宋体"/>
                <w:color w:val="auto"/>
                <w:szCs w:val="21"/>
                <w:highlight w:val="none"/>
              </w:rPr>
            </w:pPr>
            <w:r>
              <w:rPr>
                <w:rFonts w:hint="eastAsia" w:hAnsi="宋体"/>
                <w:color w:val="auto"/>
                <w:szCs w:val="21"/>
                <w:highlight w:val="none"/>
              </w:rPr>
              <w:t>4、履约保证金退还：验收合格后无质量问题，</w:t>
            </w:r>
            <w:r>
              <w:rPr>
                <w:rFonts w:hint="eastAsia" w:asciiTheme="minorEastAsia" w:hAnsiTheme="minorEastAsia" w:eastAsiaTheme="minorEastAsia" w:cstheme="minorEastAsia"/>
                <w:color w:val="auto"/>
                <w:kern w:val="0"/>
                <w:sz w:val="21"/>
                <w:szCs w:val="21"/>
                <w:highlight w:val="none"/>
                <w:lang w:val="en-US" w:eastAsia="zh-CN" w:bidi="ar"/>
              </w:rPr>
              <w:t>且待</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w:t>
            </w:r>
            <w:r>
              <w:rPr>
                <w:rFonts w:hint="eastAsia" w:asciiTheme="minorEastAsia" w:hAnsiTheme="minorEastAsia" w:eastAsiaTheme="minorEastAsia" w:cstheme="minorEastAsia"/>
                <w:color w:val="auto"/>
                <w:kern w:val="0"/>
                <w:sz w:val="21"/>
                <w:szCs w:val="21"/>
                <w:highlight w:val="none"/>
                <w:lang w:val="en-US" w:eastAsia="zh-CN" w:bidi="ar"/>
              </w:rPr>
              <w:t>履行完质保义务后无息退还，</w:t>
            </w:r>
            <w:r>
              <w:rPr>
                <w:rFonts w:hint="eastAsia" w:ascii="宋体" w:hAnsi="宋体" w:cs="宋体"/>
                <w:color w:val="auto"/>
                <w:szCs w:val="21"/>
                <w:highlight w:val="none"/>
              </w:rPr>
              <w:t>中标供应</w:t>
            </w:r>
            <w:r>
              <w:rPr>
                <w:rFonts w:hint="eastAsia" w:hAnsi="宋体"/>
                <w:color w:val="auto"/>
                <w:szCs w:val="21"/>
                <w:highlight w:val="none"/>
              </w:rPr>
              <w:t>提供《政府采购项目履约保证金退付意见书》及《政府采购项目合同验收报告》，向采购人提出书面申请退还，采购人在收到申请后二十个工作日内以银行转账方式无息退还。</w:t>
            </w:r>
          </w:p>
          <w:p>
            <w:pPr>
              <w:spacing w:line="360" w:lineRule="exact"/>
              <w:jc w:val="left"/>
              <w:rPr>
                <w:rFonts w:hint="eastAsia" w:hAnsi="宋体"/>
                <w:color w:val="auto"/>
                <w:szCs w:val="21"/>
                <w:highlight w:val="none"/>
              </w:rPr>
            </w:pPr>
            <w:r>
              <w:rPr>
                <w:rFonts w:hint="eastAsia" w:hAnsi="宋体"/>
                <w:color w:val="auto"/>
                <w:szCs w:val="21"/>
                <w:highlight w:val="none"/>
              </w:rPr>
              <w:t xml:space="preserve">保证金指定账户： </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开户名：</w:t>
            </w:r>
            <w:r>
              <w:rPr>
                <w:rFonts w:hint="eastAsia" w:ascii="宋体" w:hAnsi="宋体" w:cs="宋体"/>
                <w:color w:val="auto"/>
                <w:szCs w:val="21"/>
                <w:highlight w:val="none"/>
              </w:rPr>
              <w:t>广西建设职业技术学院</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开户行：</w:t>
            </w:r>
            <w:r>
              <w:rPr>
                <w:rFonts w:hint="eastAsia" w:ascii="宋体" w:hAnsi="宋体" w:cs="宋体"/>
                <w:color w:val="auto"/>
                <w:szCs w:val="21"/>
                <w:highlight w:val="none"/>
              </w:rPr>
              <w:t>建行南宁市高新支行</w:t>
            </w:r>
          </w:p>
          <w:p>
            <w:pPr>
              <w:spacing w:line="360" w:lineRule="exact"/>
              <w:jc w:val="left"/>
              <w:rPr>
                <w:rFonts w:hint="eastAsia" w:ascii="宋体" w:hAnsi="宋体" w:eastAsia="宋体"/>
                <w:color w:val="auto"/>
                <w:szCs w:val="21"/>
                <w:highlight w:val="none"/>
                <w:lang w:eastAsia="zh-CN"/>
              </w:rPr>
            </w:pPr>
            <w:r>
              <w:rPr>
                <w:rFonts w:hint="eastAsia" w:asciiTheme="minorEastAsia" w:hAnsiTheme="minorEastAsia" w:eastAsiaTheme="minorEastAsia" w:cstheme="minorEastAsia"/>
                <w:color w:val="auto"/>
                <w:kern w:val="0"/>
                <w:sz w:val="21"/>
                <w:szCs w:val="21"/>
                <w:highlight w:val="none"/>
                <w:lang w:bidi="ar"/>
              </w:rPr>
              <w:t>账  号：</w:t>
            </w:r>
            <w:r>
              <w:rPr>
                <w:rFonts w:hint="eastAsia" w:ascii="宋体" w:hAnsi="宋体" w:cs="宋体"/>
                <w:color w:val="auto"/>
                <w:szCs w:val="21"/>
                <w:highlight w:val="none"/>
              </w:rPr>
              <w:t>45001604850059000000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ascii="宋体" w:hAnsi="宋体"/>
                <w:color w:val="auto"/>
                <w:szCs w:val="21"/>
                <w:highlight w:val="none"/>
              </w:rPr>
            </w:pPr>
            <w:r>
              <w:rPr>
                <w:rFonts w:hint="eastAsia" w:ascii="宋体" w:hAnsi="宋体"/>
                <w:color w:val="auto"/>
                <w:szCs w:val="21"/>
                <w:highlight w:val="none"/>
              </w:rPr>
              <w:t>▲本项目核心产品</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lang w:val="en-US" w:eastAsia="zh-CN"/>
              </w:rPr>
              <w:t>第1项产品“礼堂椅”为核心产品</w:t>
            </w:r>
            <w:r>
              <w:rPr>
                <w:rFonts w:hint="eastAsia" w:ascii="宋体" w:hAnsi="宋体"/>
                <w:color w:val="auto"/>
                <w:szCs w:val="21"/>
                <w:highlight w:val="none"/>
                <w:u w:val="single"/>
              </w:rPr>
              <w:t xml:space="preserve">  </w:t>
            </w:r>
            <w:r>
              <w:rPr>
                <w:rFonts w:hint="eastAsia" w:ascii="宋体" w:hAnsi="宋体"/>
                <w:color w:val="auto"/>
                <w:szCs w:val="21"/>
                <w:highlight w:val="none"/>
              </w:rPr>
              <w:t>（核心产品品牌相同的，视为提供同品牌产品）</w:t>
            </w:r>
          </w:p>
          <w:p>
            <w:pPr>
              <w:adjustRightInd w:val="0"/>
              <w:snapToGrid w:val="0"/>
              <w:rPr>
                <w:rFonts w:ascii="宋体" w:hAnsi="宋体"/>
                <w:color w:val="auto"/>
                <w:szCs w:val="21"/>
                <w:highlight w:val="none"/>
              </w:rPr>
            </w:pPr>
            <w:r>
              <w:rPr>
                <w:rFonts w:hint="eastAsia" w:ascii="宋体" w:hAnsi="宋体"/>
                <w:color w:val="auto"/>
                <w:szCs w:val="21"/>
                <w:highlight w:val="none"/>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投标样品（小样）要求</w:t>
            </w:r>
          </w:p>
        </w:tc>
        <w:tc>
          <w:tcPr>
            <w:tcW w:w="80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color w:val="auto"/>
                <w:highlight w:val="none"/>
              </w:rPr>
            </w:pPr>
            <w:r>
              <w:rPr>
                <w:rFonts w:hint="eastAsia" w:hAnsi="宋体"/>
                <w:color w:val="auto"/>
                <w:szCs w:val="21"/>
                <w:highlight w:val="none"/>
              </w:rPr>
              <w:t>投标时请提供小样：</w:t>
            </w:r>
            <w:r>
              <w:rPr>
                <w:rFonts w:hint="eastAsia"/>
                <w:color w:val="auto"/>
                <w:highlight w:val="none"/>
              </w:rPr>
              <w:t xml:space="preserve"> </w:t>
            </w:r>
          </w:p>
          <w:tbl>
            <w:tblPr>
              <w:tblStyle w:val="53"/>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795"/>
              <w:gridCol w:w="709"/>
              <w:gridCol w:w="241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宋体"/>
                      <w:color w:val="auto"/>
                      <w:szCs w:val="21"/>
                      <w:highlight w:val="none"/>
                    </w:rPr>
                  </w:pPr>
                  <w:r>
                    <w:rPr>
                      <w:rFonts w:hint="eastAsia" w:hAnsi="宋体"/>
                      <w:color w:val="auto"/>
                      <w:szCs w:val="21"/>
                      <w:highlight w:val="none"/>
                    </w:rPr>
                    <w:t>序号</w:t>
                  </w:r>
                </w:p>
              </w:tc>
              <w:tc>
                <w:tcPr>
                  <w:tcW w:w="17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宋体"/>
                      <w:color w:val="auto"/>
                      <w:szCs w:val="21"/>
                      <w:highlight w:val="none"/>
                    </w:rPr>
                  </w:pPr>
                  <w:r>
                    <w:rPr>
                      <w:rFonts w:hint="eastAsia" w:hAnsi="宋体"/>
                      <w:color w:val="auto"/>
                      <w:szCs w:val="21"/>
                      <w:highlight w:val="none"/>
                      <w:lang w:eastAsia="zh-CN"/>
                    </w:rPr>
                    <w:t>货物名称</w:t>
                  </w:r>
                  <w:r>
                    <w:rPr>
                      <w:rFonts w:hint="eastAsia" w:hAnsi="宋体"/>
                      <w:color w:val="auto"/>
                      <w:szCs w:val="21"/>
                      <w:highlight w:val="none"/>
                      <w:lang w:val="en-US" w:eastAsia="zh-CN"/>
                    </w:rPr>
                    <w:t>-</w:t>
                  </w:r>
                  <w:r>
                    <w:rPr>
                      <w:rFonts w:hint="eastAsia" w:hAnsi="宋体"/>
                      <w:color w:val="auto"/>
                      <w:szCs w:val="21"/>
                      <w:highlight w:val="none"/>
                    </w:rPr>
                    <w:t>小样名称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宋体"/>
                      <w:color w:val="auto"/>
                      <w:szCs w:val="21"/>
                      <w:highlight w:val="none"/>
                    </w:rPr>
                  </w:pPr>
                  <w:r>
                    <w:rPr>
                      <w:rFonts w:hint="eastAsia" w:hAnsi="宋体"/>
                      <w:color w:val="auto"/>
                      <w:szCs w:val="21"/>
                      <w:highlight w:val="none"/>
                    </w:rPr>
                    <w:t>数量</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宋体"/>
                      <w:color w:val="auto"/>
                      <w:szCs w:val="21"/>
                      <w:highlight w:val="none"/>
                    </w:rPr>
                  </w:pPr>
                  <w:r>
                    <w:rPr>
                      <w:rFonts w:hint="eastAsia" w:hAnsi="宋体"/>
                      <w:color w:val="auto"/>
                      <w:szCs w:val="21"/>
                      <w:highlight w:val="none"/>
                    </w:rPr>
                    <w:t>规格</w:t>
                  </w:r>
                </w:p>
              </w:tc>
              <w:tc>
                <w:tcPr>
                  <w:tcW w:w="17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宋体"/>
                      <w:color w:val="auto"/>
                      <w:szCs w:val="21"/>
                      <w:highlight w:val="none"/>
                    </w:rPr>
                  </w:pPr>
                  <w:r>
                    <w:rPr>
                      <w:rFonts w:hint="eastAsia" w:hAnsi="宋体"/>
                      <w:color w:val="auto"/>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Borders>
                    <w:top w:val="single" w:color="auto" w:sz="4" w:space="0"/>
                    <w:left w:val="single" w:color="auto" w:sz="4" w:space="0"/>
                    <w:right w:val="single" w:color="auto" w:sz="4" w:space="0"/>
                  </w:tcBorders>
                  <w:vAlign w:val="center"/>
                </w:tcPr>
                <w:p>
                  <w:pPr>
                    <w:jc w:val="center"/>
                    <w:rPr>
                      <w:rFonts w:hint="eastAsia" w:hAnsi="宋体"/>
                      <w:color w:val="auto"/>
                      <w:szCs w:val="21"/>
                      <w:highlight w:val="none"/>
                    </w:rPr>
                  </w:pPr>
                  <w:r>
                    <w:rPr>
                      <w:rFonts w:hint="eastAsia" w:hAnsi="宋体" w:cs="宋体"/>
                      <w:color w:val="auto"/>
                      <w:szCs w:val="21"/>
                      <w:highlight w:val="none"/>
                    </w:rPr>
                    <w:t>1</w:t>
                  </w: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礼堂椅-站脚</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两套礼堂椅站脚</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裸管</w:t>
                  </w:r>
                </w:p>
                <w:p>
                  <w:pPr>
                    <w:jc w:val="center"/>
                    <w:rPr>
                      <w:rFonts w:hint="eastAsia" w:hAnsi="宋体" w:eastAsia="宋体"/>
                      <w:color w:val="auto"/>
                      <w:szCs w:val="21"/>
                      <w:highlight w:val="non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Borders>
                    <w:left w:val="single" w:color="auto" w:sz="4" w:space="0"/>
                    <w:right w:val="single" w:color="auto" w:sz="4" w:space="0"/>
                  </w:tcBorders>
                  <w:vAlign w:val="center"/>
                </w:tcPr>
                <w:p>
                  <w:pPr>
                    <w:jc w:val="center"/>
                    <w:rPr>
                      <w:rFonts w:hint="eastAsia" w:hAnsi="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礼堂椅-扶手</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两套礼堂椅扶手</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一套原木</w:t>
                  </w:r>
                </w:p>
                <w:p>
                  <w:pPr>
                    <w:jc w:val="center"/>
                    <w:rPr>
                      <w:rFonts w:hint="eastAsia" w:hAnsi="宋体" w:eastAsia="宋体"/>
                      <w:color w:val="auto"/>
                      <w:szCs w:val="21"/>
                      <w:highlight w:val="non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7" w:type="dxa"/>
                  <w:vMerge w:val="continue"/>
                  <w:tcBorders>
                    <w:left w:val="single" w:color="auto" w:sz="4" w:space="0"/>
                    <w:bottom w:val="single" w:color="auto" w:sz="4" w:space="0"/>
                    <w:right w:val="single" w:color="auto" w:sz="4" w:space="0"/>
                  </w:tcBorders>
                  <w:vAlign w:val="center"/>
                </w:tcPr>
                <w:p>
                  <w:pPr>
                    <w:jc w:val="center"/>
                    <w:rPr>
                      <w:rFonts w:hint="eastAsia" w:hAnsi="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礼堂椅-靠背海绵</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一套靠背海绵</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highlight w:val="none"/>
                      <w:lang w:val="en-US" w:eastAsia="zh-CN"/>
                    </w:rPr>
                  </w:pPr>
                  <w:r>
                    <w:rPr>
                      <w:rFonts w:hint="eastAsia" w:hAnsi="宋体"/>
                      <w:color w:val="auto"/>
                      <w:szCs w:val="21"/>
                      <w:highlight w:val="none"/>
                      <w:lang w:val="en-US" w:eastAsia="zh-CN"/>
                    </w:rPr>
                    <w:t>根据实际情况</w:t>
                  </w:r>
                </w:p>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裁剪</w:t>
                  </w:r>
                </w:p>
              </w:tc>
            </w:tr>
          </w:tbl>
          <w:p>
            <w:pPr>
              <w:adjustRightInd w:val="0"/>
              <w:snapToGrid w:val="0"/>
              <w:rPr>
                <w:rFonts w:hint="eastAsia" w:ascii="宋体" w:hAnsi="宋体"/>
                <w:color w:val="auto"/>
                <w:szCs w:val="21"/>
                <w:highlight w:val="none"/>
              </w:rPr>
            </w:pPr>
          </w:p>
          <w:p>
            <w:pPr>
              <w:widowControl/>
              <w:jc w:val="left"/>
              <w:rPr>
                <w:rFonts w:hint="eastAsia" w:ascii="宋体" w:hAnsi="宋体"/>
                <w:b/>
                <w:color w:val="auto"/>
                <w:szCs w:val="21"/>
                <w:highlight w:val="none"/>
              </w:rPr>
            </w:pPr>
            <w:r>
              <w:rPr>
                <w:rFonts w:hint="eastAsia" w:ascii="宋体" w:hAnsi="宋体"/>
                <w:b/>
                <w:color w:val="auto"/>
                <w:szCs w:val="21"/>
                <w:highlight w:val="none"/>
              </w:rPr>
              <w:t>备注：</w:t>
            </w:r>
          </w:p>
          <w:p>
            <w:pPr>
              <w:widowControl/>
              <w:ind w:firstLine="105" w:firstLineChars="50"/>
              <w:jc w:val="left"/>
              <w:rPr>
                <w:rFonts w:hint="eastAsia" w:ascii="宋体" w:hAnsi="宋体"/>
                <w:color w:val="auto"/>
                <w:szCs w:val="21"/>
                <w:highlight w:val="none"/>
              </w:rPr>
            </w:pPr>
            <w:r>
              <w:rPr>
                <w:rFonts w:hint="eastAsia" w:ascii="宋体" w:hAnsi="宋体"/>
                <w:color w:val="auto"/>
                <w:szCs w:val="21"/>
                <w:highlight w:val="none"/>
              </w:rPr>
              <w:t>(1) 小样只是作为加分项，不作为投标的必须要求；小样的规格尺寸不作为评定要求。</w:t>
            </w:r>
          </w:p>
          <w:p>
            <w:pPr>
              <w:rPr>
                <w:rFonts w:hint="eastAsia" w:ascii="宋体" w:hAnsi="宋体"/>
                <w:color w:val="auto"/>
                <w:szCs w:val="21"/>
                <w:highlight w:val="none"/>
              </w:rPr>
            </w:pPr>
            <w:r>
              <w:rPr>
                <w:rFonts w:hint="eastAsia" w:ascii="宋体" w:hAnsi="宋体"/>
                <w:color w:val="auto"/>
                <w:szCs w:val="21"/>
                <w:highlight w:val="none"/>
              </w:rPr>
              <w:t>（2）小样递交时间：</w:t>
            </w:r>
            <w:r>
              <w:rPr>
                <w:rFonts w:hint="eastAsia" w:ascii="宋体" w:hAnsi="宋体"/>
                <w:b/>
                <w:bCs/>
                <w:color w:val="auto"/>
                <w:szCs w:val="21"/>
                <w:highlight w:val="none"/>
              </w:rPr>
              <w:t>为开标当天提交</w:t>
            </w:r>
            <w:r>
              <w:rPr>
                <w:rFonts w:hint="eastAsia"/>
                <w:b/>
                <w:bCs/>
                <w:color w:val="auto"/>
                <w:highlight w:val="none"/>
              </w:rPr>
              <w:t>投标文件截止时间前</w:t>
            </w:r>
            <w:r>
              <w:rPr>
                <w:rFonts w:hint="eastAsia"/>
                <w:b/>
                <w:color w:val="auto"/>
                <w:highlight w:val="none"/>
              </w:rPr>
              <w:t>；</w:t>
            </w:r>
            <w:r>
              <w:rPr>
                <w:rFonts w:hint="eastAsia" w:ascii="宋体" w:hAnsi="宋体"/>
                <w:color w:val="auto"/>
                <w:szCs w:val="21"/>
                <w:highlight w:val="none"/>
              </w:rPr>
              <w:t>提交小样的地点：</w:t>
            </w:r>
            <w:r>
              <w:rPr>
                <w:b/>
                <w:bCs/>
                <w:color w:val="auto"/>
                <w:highlight w:val="none"/>
              </w:rPr>
              <w:t>为</w:t>
            </w:r>
            <w:r>
              <w:rPr>
                <w:rFonts w:hint="eastAsia" w:ascii="宋体" w:hAnsi="宋体"/>
                <w:b/>
                <w:bCs/>
                <w:color w:val="auto"/>
                <w:szCs w:val="21"/>
                <w:highlight w:val="none"/>
              </w:rPr>
              <w:t>南宁市星湖路22号评标楼（4号楼）三楼303室</w:t>
            </w:r>
            <w:r>
              <w:rPr>
                <w:rFonts w:hint="eastAsia" w:ascii="宋体" w:hAnsi="宋体"/>
                <w:color w:val="auto"/>
                <w:szCs w:val="21"/>
                <w:highlight w:val="none"/>
              </w:rPr>
              <w:t>。</w:t>
            </w:r>
          </w:p>
          <w:p>
            <w:pPr>
              <w:pStyle w:val="36"/>
              <w:rPr>
                <w:rFonts w:hint="eastAsia" w:ascii="宋体" w:hAnsi="宋体"/>
                <w:color w:val="auto"/>
                <w:sz w:val="21"/>
                <w:szCs w:val="21"/>
                <w:highlight w:val="none"/>
              </w:rPr>
            </w:pPr>
            <w:r>
              <w:rPr>
                <w:rFonts w:hint="eastAsia" w:ascii="宋体" w:hAnsi="宋体"/>
                <w:color w:val="auto"/>
                <w:sz w:val="21"/>
                <w:szCs w:val="21"/>
                <w:highlight w:val="none"/>
              </w:rPr>
              <w:t>（3）小样递交要求：</w:t>
            </w:r>
          </w:p>
          <w:p>
            <w:pPr>
              <w:pStyle w:val="36"/>
              <w:ind w:firstLine="105" w:firstLineChars="5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提交</w:t>
            </w:r>
            <w:r>
              <w:rPr>
                <w:rFonts w:hint="eastAsia" w:ascii="宋体" w:hAnsi="宋体"/>
                <w:color w:val="auto"/>
                <w:sz w:val="21"/>
                <w:szCs w:val="21"/>
                <w:highlight w:val="none"/>
              </w:rPr>
              <w:t>小样</w:t>
            </w:r>
            <w:r>
              <w:rPr>
                <w:rFonts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ascii="宋体" w:hAnsi="宋体"/>
                <w:color w:val="auto"/>
                <w:sz w:val="21"/>
                <w:szCs w:val="21"/>
                <w:highlight w:val="none"/>
              </w:rPr>
              <w:t>交</w:t>
            </w:r>
            <w:r>
              <w:rPr>
                <w:rFonts w:hint="eastAsia" w:ascii="宋体" w:hAnsi="宋体"/>
                <w:color w:val="auto"/>
                <w:sz w:val="21"/>
                <w:szCs w:val="21"/>
                <w:highlight w:val="none"/>
              </w:rPr>
              <w:t>“小样</w:t>
            </w:r>
            <w:r>
              <w:rPr>
                <w:rFonts w:ascii="宋体" w:hAnsi="宋体"/>
                <w:color w:val="auto"/>
                <w:sz w:val="21"/>
                <w:szCs w:val="21"/>
                <w:highlight w:val="none"/>
              </w:rPr>
              <w:t>授权委托书</w:t>
            </w:r>
            <w:r>
              <w:rPr>
                <w:rFonts w:hint="eastAsia" w:ascii="宋体" w:hAnsi="宋体"/>
                <w:color w:val="auto"/>
                <w:sz w:val="21"/>
                <w:szCs w:val="21"/>
                <w:highlight w:val="none"/>
              </w:rPr>
              <w:t>”原件。</w:t>
            </w:r>
          </w:p>
          <w:p>
            <w:pPr>
              <w:pStyle w:val="36"/>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 xml:space="preserve">2）所有小样按以下规定要求密封（包装）：小样包装外面贴上项目名称和项目编号及投标人名称等信息；包装里面的各小样不能出现有关投标人的标识，如出现透露投标人的信息，小样不得进行评定。 </w:t>
            </w:r>
          </w:p>
          <w:p>
            <w:pPr>
              <w:pStyle w:val="36"/>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3）评标前由采购代理机构工作人员将对投标人的标签进行遮盖，评定小样时由采购代理机构工作人员及评委一起打开，待评定小样完毕后，再统一拆封所有投标人的标签。</w:t>
            </w:r>
          </w:p>
          <w:p>
            <w:pPr>
              <w:pStyle w:val="36"/>
              <w:rPr>
                <w:rFonts w:hint="eastAsia" w:ascii="宋体" w:hAnsi="宋体"/>
                <w:color w:val="auto"/>
                <w:szCs w:val="21"/>
                <w:highlight w:val="none"/>
              </w:rPr>
            </w:pPr>
            <w:r>
              <w:rPr>
                <w:rFonts w:hint="eastAsia" w:ascii="宋体" w:hAnsi="宋体"/>
                <w:color w:val="auto"/>
                <w:sz w:val="21"/>
                <w:szCs w:val="21"/>
                <w:highlight w:val="none"/>
              </w:rPr>
              <w:t>（4）采购结果公告后，中标人小样不退，作为验收依据之一。</w:t>
            </w:r>
            <w:r>
              <w:rPr>
                <w:rFonts w:hint="eastAsia" w:ascii="宋体" w:hAnsi="宋体"/>
                <w:b/>
                <w:bCs/>
                <w:color w:val="auto"/>
                <w:sz w:val="21"/>
                <w:szCs w:val="21"/>
                <w:highlight w:val="none"/>
              </w:rPr>
              <w:t>未中标的，在本项目评审结果（中标公告）发出（或接到广西壮族自治区政府采购中心电话通知）后五个工作日内，原路径领回样品，逾期未办理样品领取的，样品处置权交由广西壮族自治区政府采购中心。所造成的损失，由本公司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其它要求及说明</w:t>
            </w:r>
          </w:p>
        </w:tc>
        <w:tc>
          <w:tcPr>
            <w:tcW w:w="8027" w:type="dxa"/>
            <w:gridSpan w:val="3"/>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line="360" w:lineRule="exact"/>
              <w:rPr>
                <w:rFonts w:ascii="宋体" w:hAnsi="宋体" w:cs="宋体"/>
                <w:color w:val="auto"/>
                <w:szCs w:val="21"/>
                <w:highlight w:val="none"/>
                <w:lang w:val="zh-CN"/>
              </w:rPr>
            </w:pPr>
            <w:r>
              <w:rPr>
                <w:rFonts w:hint="eastAsia" w:ascii="宋体" w:hAnsi="宋体" w:cs="宋体"/>
                <w:color w:val="auto"/>
                <w:szCs w:val="21"/>
                <w:highlight w:val="none"/>
                <w:lang w:val="zh-CN"/>
              </w:rPr>
              <w:t>1、中标人保证向采购人提供的货物是全新、完整、未使用过的。</w:t>
            </w:r>
          </w:p>
          <w:p>
            <w:pPr>
              <w:widowControl/>
              <w:shd w:val="clear" w:color="auto" w:fill="FFFFFF"/>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r>
              <w:rPr>
                <w:rFonts w:ascii="宋体" w:hAnsi="宋体" w:cs="宋体"/>
                <w:color w:val="auto"/>
                <w:szCs w:val="21"/>
                <w:highlight w:val="none"/>
                <w:lang w:val="zh-CN"/>
              </w:rPr>
              <w:t>本项目不接受进口产品（即通过中国海关报关验放进入中国境内且产自关境外的产品）参与投标，如有此类产品参与投标的做投标无效处理。</w:t>
            </w:r>
          </w:p>
          <w:p>
            <w:pPr>
              <w:spacing w:line="360" w:lineRule="auto"/>
              <w:rPr>
                <w:rFonts w:ascii="宋体" w:hAnsi="宋体" w:cs="宋体"/>
                <w:color w:val="auto"/>
                <w:szCs w:val="21"/>
                <w:highlight w:val="none"/>
                <w:lang w:val="zh-CN"/>
              </w:rPr>
            </w:pPr>
            <w:r>
              <w:rPr>
                <w:rFonts w:hint="eastAsia"/>
                <w:color w:val="auto"/>
                <w:highlight w:val="none"/>
              </w:rPr>
              <w:t>3、</w:t>
            </w:r>
            <w:r>
              <w:rPr>
                <w:color w:val="auto"/>
                <w:highlight w:val="none"/>
              </w:rPr>
              <w:t>家具的最终外形尺寸须根据实际布置进行调整，对</w:t>
            </w:r>
            <w:r>
              <w:rPr>
                <w:rFonts w:hint="eastAsia"/>
                <w:color w:val="auto"/>
                <w:highlight w:val="none"/>
              </w:rPr>
              <w:t>有</w:t>
            </w:r>
            <w:r>
              <w:rPr>
                <w:color w:val="auto"/>
                <w:highlight w:val="none"/>
              </w:rPr>
              <w:t>特殊的定制家具及修改的尺寸均包含在投标报价中，投标人在报价时应自行考虑，承诺不因定制或修改家具尺寸的因素而改变投标报价</w:t>
            </w:r>
            <w:r>
              <w:rPr>
                <w:rFonts w:hint="eastAsia" w:ascii="宋体" w:hAnsi="宋体" w:cs="宋体"/>
                <w:color w:val="auto"/>
                <w:szCs w:val="21"/>
                <w:highlight w:val="none"/>
                <w:lang w:val="zh-CN"/>
              </w:rPr>
              <w:t>。</w:t>
            </w:r>
          </w:p>
          <w:p>
            <w:pPr>
              <w:pStyle w:val="70"/>
              <w:rPr>
                <w:rFonts w:hint="eastAsia" w:hAnsi="宋体"/>
                <w:color w:val="auto"/>
                <w:sz w:val="21"/>
                <w:szCs w:val="21"/>
                <w:highlight w:val="none"/>
              </w:rPr>
            </w:pPr>
            <w:r>
              <w:rPr>
                <w:rFonts w:hint="eastAsia" w:hAnsi="宋体"/>
                <w:color w:val="auto"/>
                <w:kern w:val="2"/>
                <w:sz w:val="21"/>
                <w:szCs w:val="21"/>
                <w:highlight w:val="none"/>
                <w:lang w:val="zh-CN"/>
              </w:rPr>
              <w:t>▲</w:t>
            </w:r>
            <w:r>
              <w:rPr>
                <w:rFonts w:hint="eastAsia" w:hAnsi="宋体"/>
                <w:color w:val="auto"/>
                <w:sz w:val="21"/>
                <w:szCs w:val="21"/>
                <w:highlight w:val="none"/>
                <w:lang w:val="en-US" w:eastAsia="zh-CN"/>
              </w:rPr>
              <w:t>4</w:t>
            </w:r>
            <w:r>
              <w:rPr>
                <w:rFonts w:hint="eastAsia" w:hAnsi="宋体"/>
                <w:color w:val="auto"/>
                <w:sz w:val="21"/>
                <w:szCs w:val="21"/>
                <w:highlight w:val="none"/>
              </w:rPr>
              <w:t>、验收：</w:t>
            </w:r>
          </w:p>
          <w:p>
            <w:pPr>
              <w:pStyle w:val="70"/>
              <w:rPr>
                <w:rFonts w:hint="eastAsia" w:hAnsi="宋体"/>
                <w:color w:val="auto"/>
                <w:sz w:val="21"/>
                <w:szCs w:val="21"/>
                <w:highlight w:val="none"/>
              </w:rPr>
            </w:pPr>
            <w:r>
              <w:rPr>
                <w:rFonts w:hint="eastAsia" w:hAnsi="宋体"/>
                <w:color w:val="auto"/>
                <w:sz w:val="21"/>
                <w:szCs w:val="21"/>
                <w:highlight w:val="none"/>
              </w:rPr>
              <w:t>（1）中标人在签订合同后，先提供（</w:t>
            </w:r>
            <w:r>
              <w:rPr>
                <w:rFonts w:hint="eastAsia" w:hAnsi="宋体"/>
                <w:b/>
                <w:bCs/>
                <w:color w:val="auto"/>
                <w:sz w:val="21"/>
                <w:szCs w:val="21"/>
                <w:highlight w:val="none"/>
                <w:u w:val="single"/>
              </w:rPr>
              <w:t>一套完整的所投产品</w:t>
            </w:r>
            <w:r>
              <w:rPr>
                <w:rFonts w:hint="eastAsia" w:hAnsi="宋体"/>
                <w:color w:val="auto"/>
                <w:sz w:val="21"/>
                <w:szCs w:val="21"/>
                <w:highlight w:val="none"/>
              </w:rPr>
              <w:t>）至采购单位处进行检测，采购单位可聘请具有验收资质的检测部门进行检测，检测合格的产品作为验收产品的依据，费用由中标人负责。</w:t>
            </w:r>
          </w:p>
          <w:p>
            <w:pPr>
              <w:adjustRightInd w:val="0"/>
              <w:snapToGrid w:val="0"/>
              <w:spacing w:before="152" w:after="160"/>
              <w:rPr>
                <w:rFonts w:hint="eastAsia" w:hAnsi="宋体" w:cs="Segoe UI Symbol"/>
                <w:color w:val="auto"/>
                <w:szCs w:val="21"/>
                <w:highlight w:val="none"/>
              </w:rPr>
            </w:pPr>
            <w:r>
              <w:rPr>
                <w:rFonts w:hint="eastAsia" w:hAnsi="宋体"/>
                <w:color w:val="auto"/>
                <w:szCs w:val="21"/>
                <w:highlight w:val="none"/>
              </w:rPr>
              <w:t>（2）中标人须按规定时间交货安装完毕，采购单位可聘请具有验收能力的检测部门进行验收，验收不合格按照政府采购法及相关规定执行</w:t>
            </w:r>
            <w:r>
              <w:rPr>
                <w:rFonts w:hint="eastAsia" w:hAnsi="宋体" w:cs="Segoe UI Symbol"/>
                <w:color w:val="auto"/>
                <w:szCs w:val="21"/>
                <w:highlight w:val="none"/>
              </w:rPr>
              <w:t>。</w:t>
            </w:r>
          </w:p>
          <w:p>
            <w:pPr>
              <w:widowControl/>
              <w:shd w:val="clear" w:color="auto" w:fill="FFFFFF"/>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、政策功能</w:t>
            </w:r>
          </w:p>
          <w:p>
            <w:pPr>
              <w:widowControl/>
              <w:shd w:val="clear" w:color="auto" w:fill="FFFFFF"/>
              <w:jc w:val="left"/>
              <w:rPr>
                <w:rFonts w:hint="eastAsia"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widowControl/>
              <w:shd w:val="clear" w:color="auto" w:fill="FFFFFF"/>
              <w:jc w:val="left"/>
              <w:rPr>
                <w:rFonts w:ascii="宋体" w:hAnsi="宋体"/>
                <w:b/>
                <w:color w:val="auto"/>
                <w:szCs w:val="21"/>
                <w:highlight w:val="none"/>
              </w:rPr>
            </w:pPr>
            <w:r>
              <w:rPr>
                <w:rFonts w:hint="eastAsia" w:ascii="宋体" w:hAnsi="宋体"/>
                <w:color w:val="auto"/>
                <w:szCs w:val="21"/>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Ansi="宋体"/>
                <w:color w:val="auto"/>
                <w:szCs w:val="21"/>
                <w:highlight w:val="none"/>
              </w:rPr>
              <w:t>注意事项及参考样式</w:t>
            </w:r>
            <w:r>
              <w:rPr>
                <w:rFonts w:hint="eastAsia" w:hAnsi="宋体"/>
                <w:color w:val="auto"/>
                <w:szCs w:val="21"/>
                <w:highlight w:val="none"/>
              </w:rPr>
              <w:t>和基本结构参数</w:t>
            </w:r>
          </w:p>
        </w:tc>
        <w:tc>
          <w:tcPr>
            <w:tcW w:w="8027" w:type="dxa"/>
            <w:gridSpan w:val="3"/>
            <w:tcBorders>
              <w:top w:val="single" w:color="auto" w:sz="4" w:space="0"/>
              <w:left w:val="single" w:color="auto" w:sz="4" w:space="0"/>
              <w:bottom w:val="single" w:color="auto" w:sz="4" w:space="0"/>
              <w:right w:val="single" w:color="auto" w:sz="4" w:space="0"/>
            </w:tcBorders>
          </w:tcPr>
          <w:p>
            <w:pPr>
              <w:widowControl/>
              <w:shd w:val="clear" w:color="auto" w:fill="FFFFFF"/>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1、产品样式以提供以下的样式参考图为准。</w:t>
            </w:r>
          </w:p>
          <w:p>
            <w:pPr>
              <w:widowControl/>
              <w:snapToGrid w:val="0"/>
              <w:spacing w:line="360" w:lineRule="auto"/>
              <w:jc w:val="left"/>
              <w:rPr>
                <w:color w:val="auto"/>
                <w:highlight w:val="none"/>
              </w:rPr>
            </w:pPr>
            <w:r>
              <w:rPr>
                <w:rFonts w:hAnsi="宋体"/>
                <w:color w:val="auto"/>
                <w:szCs w:val="21"/>
                <w:highlight w:val="none"/>
              </w:rPr>
              <w:t>2、提供的</w:t>
            </w:r>
            <w:r>
              <w:rPr>
                <w:rFonts w:hint="default" w:hAnsi="宋体"/>
                <w:strike w:val="0"/>
                <w:dstrike w:val="0"/>
                <w:color w:val="auto"/>
                <w:szCs w:val="21"/>
                <w:highlight w:val="none"/>
                <w:lang w:val="en-US" w:eastAsia="zh-CN"/>
              </w:rPr>
              <w:t>家具</w:t>
            </w:r>
            <w:r>
              <w:rPr>
                <w:rFonts w:hAnsi="宋体"/>
                <w:color w:val="auto"/>
                <w:szCs w:val="21"/>
                <w:highlight w:val="none"/>
              </w:rPr>
              <w:t>参数如未能表述详尽的，以提供的以下样式</w:t>
            </w:r>
            <w:r>
              <w:rPr>
                <w:rFonts w:hint="eastAsia" w:hAnsi="宋体" w:cs="宋体"/>
                <w:b/>
                <w:bCs/>
                <w:color w:val="auto"/>
                <w:szCs w:val="21"/>
                <w:highlight w:val="none"/>
              </w:rPr>
              <w:t>参考图</w:t>
            </w:r>
            <w:r>
              <w:rPr>
                <w:rFonts w:hAnsi="宋体"/>
                <w:color w:val="auto"/>
                <w:szCs w:val="21"/>
                <w:highlight w:val="none"/>
              </w:rPr>
              <w:t>为准。</w:t>
            </w:r>
          </w:p>
          <w:p>
            <w:pPr>
              <w:pStyle w:val="8"/>
              <w:rPr>
                <w:color w:val="auto"/>
                <w:highlight w:val="none"/>
              </w:rPr>
            </w:pPr>
          </w:p>
          <w:p>
            <w:pPr>
              <w:pStyle w:val="8"/>
              <w:rPr>
                <w:color w:val="auto"/>
                <w:highlight w:val="none"/>
              </w:rPr>
            </w:pPr>
          </w:p>
          <w:p>
            <w:pPr>
              <w:widowControl/>
              <w:snapToGrid w:val="0"/>
              <w:spacing w:line="240" w:lineRule="auto"/>
              <w:jc w:val="left"/>
              <w:rPr>
                <w:color w:val="auto"/>
                <w:highlight w:val="none"/>
              </w:rPr>
            </w:pPr>
            <w:r>
              <w:rPr>
                <w:color w:val="auto"/>
                <w:highlight w:val="none"/>
              </w:rPr>
              <w:drawing>
                <wp:inline distT="0" distB="0" distL="114300" distR="114300">
                  <wp:extent cx="1076325" cy="1414145"/>
                  <wp:effectExtent l="0" t="0" r="952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1076325" cy="1414145"/>
                          </a:xfrm>
                          <a:prstGeom prst="rect">
                            <a:avLst/>
                          </a:prstGeom>
                          <a:noFill/>
                          <a:ln w="9525">
                            <a:noFill/>
                          </a:ln>
                        </pic:spPr>
                      </pic:pic>
                    </a:graphicData>
                  </a:graphic>
                </wp:inline>
              </w:drawing>
            </w:r>
            <w:r>
              <w:rPr>
                <w:color w:val="auto"/>
                <w:highlight w:val="none"/>
              </w:rPr>
              <w:drawing>
                <wp:inline distT="0" distB="0" distL="114300" distR="114300">
                  <wp:extent cx="913765" cy="1105535"/>
                  <wp:effectExtent l="0" t="0" r="635" b="184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913765" cy="1105535"/>
                          </a:xfrm>
                          <a:prstGeom prst="rect">
                            <a:avLst/>
                          </a:prstGeom>
                          <a:noFill/>
                          <a:ln w="9525">
                            <a:noFill/>
                          </a:ln>
                        </pic:spPr>
                      </pic:pic>
                    </a:graphicData>
                  </a:graphic>
                </wp:inline>
              </w:drawing>
            </w:r>
            <w:r>
              <w:rPr>
                <w:color w:val="auto"/>
                <w:highlight w:val="none"/>
              </w:rPr>
              <w:drawing>
                <wp:inline distT="0" distB="0" distL="114300" distR="114300">
                  <wp:extent cx="843280" cy="1086485"/>
                  <wp:effectExtent l="0" t="0" r="13970" b="184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843280" cy="1086485"/>
                          </a:xfrm>
                          <a:prstGeom prst="rect">
                            <a:avLst/>
                          </a:prstGeom>
                          <a:noFill/>
                          <a:ln w="9525">
                            <a:noFill/>
                          </a:ln>
                        </pic:spPr>
                      </pic:pic>
                    </a:graphicData>
                  </a:graphic>
                </wp:inline>
              </w:drawing>
            </w:r>
            <w:r>
              <w:rPr>
                <w:color w:val="auto"/>
                <w:highlight w:val="none"/>
              </w:rPr>
              <w:drawing>
                <wp:inline distT="0" distB="0" distL="114300" distR="114300">
                  <wp:extent cx="1005205" cy="835025"/>
                  <wp:effectExtent l="0" t="0" r="4445" b="3175"/>
                  <wp:docPr id="6" name="图片 40" descr="700df3669e419f8e7e9def37a59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descr="700df3669e419f8e7e9def37a590699"/>
                          <pic:cNvPicPr>
                            <a:picLocks noChangeAspect="1"/>
                          </pic:cNvPicPr>
                        </pic:nvPicPr>
                        <pic:blipFill>
                          <a:blip r:embed="rId8"/>
                          <a:stretch>
                            <a:fillRect/>
                          </a:stretch>
                        </pic:blipFill>
                        <pic:spPr>
                          <a:xfrm>
                            <a:off x="0" y="0"/>
                            <a:ext cx="1005205" cy="835025"/>
                          </a:xfrm>
                          <a:prstGeom prst="rect">
                            <a:avLst/>
                          </a:prstGeom>
                          <a:noFill/>
                          <a:ln w="9525">
                            <a:noFill/>
                          </a:ln>
                        </pic:spPr>
                      </pic:pic>
                    </a:graphicData>
                  </a:graphic>
                </wp:inline>
              </w:drawing>
            </w:r>
            <w:r>
              <w:rPr>
                <w:color w:val="auto"/>
                <w:highlight w:val="none"/>
              </w:rPr>
              <w:drawing>
                <wp:inline distT="0" distB="0" distL="114300" distR="114300">
                  <wp:extent cx="970915" cy="845185"/>
                  <wp:effectExtent l="0" t="0" r="635" b="12065"/>
                  <wp:docPr id="7" name="图片 27" descr="83e16cbeb4bb779d635f3efd9ac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descr="83e16cbeb4bb779d635f3efd9ac7636"/>
                          <pic:cNvPicPr>
                            <a:picLocks noChangeAspect="1"/>
                          </pic:cNvPicPr>
                        </pic:nvPicPr>
                        <pic:blipFill>
                          <a:blip r:embed="rId9"/>
                          <a:stretch>
                            <a:fillRect/>
                          </a:stretch>
                        </pic:blipFill>
                        <pic:spPr>
                          <a:xfrm>
                            <a:off x="0" y="0"/>
                            <a:ext cx="970915" cy="845185"/>
                          </a:xfrm>
                          <a:prstGeom prst="rect">
                            <a:avLst/>
                          </a:prstGeom>
                          <a:noFill/>
                          <a:ln w="9525">
                            <a:noFill/>
                          </a:ln>
                        </pic:spPr>
                      </pic:pic>
                    </a:graphicData>
                  </a:graphic>
                </wp:inline>
              </w:drawing>
            </w:r>
            <w:r>
              <w:rPr>
                <w:color w:val="auto"/>
                <w:highlight w:val="none"/>
              </w:rPr>
              <w:drawing>
                <wp:inline distT="0" distB="0" distL="114300" distR="114300">
                  <wp:extent cx="878840" cy="1186815"/>
                  <wp:effectExtent l="0" t="0" r="1651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878840" cy="1186815"/>
                          </a:xfrm>
                          <a:prstGeom prst="rect">
                            <a:avLst/>
                          </a:prstGeom>
                          <a:noFill/>
                          <a:ln w="9525">
                            <a:noFill/>
                          </a:ln>
                        </pic:spPr>
                      </pic:pic>
                    </a:graphicData>
                  </a:graphic>
                </wp:inline>
              </w:drawing>
            </w:r>
            <w:r>
              <w:rPr>
                <w:color w:val="auto"/>
                <w:highlight w:val="none"/>
              </w:rPr>
              <w:drawing>
                <wp:inline distT="0" distB="0" distL="114300" distR="114300">
                  <wp:extent cx="1015365" cy="542925"/>
                  <wp:effectExtent l="0" t="0" r="1333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1015365" cy="542925"/>
                          </a:xfrm>
                          <a:prstGeom prst="rect">
                            <a:avLst/>
                          </a:prstGeom>
                          <a:noFill/>
                          <a:ln w="9525">
                            <a:noFill/>
                          </a:ln>
                        </pic:spPr>
                      </pic:pic>
                    </a:graphicData>
                  </a:graphic>
                </wp:inline>
              </w:drawing>
            </w:r>
            <w:r>
              <w:rPr>
                <w:color w:val="auto"/>
                <w:highlight w:val="none"/>
              </w:rPr>
              <w:drawing>
                <wp:inline distT="0" distB="0" distL="114300" distR="114300">
                  <wp:extent cx="960755" cy="732155"/>
                  <wp:effectExtent l="0" t="0" r="10795" b="10795"/>
                  <wp:docPr id="1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1"/>
                          <pic:cNvPicPr>
                            <a:picLocks noChangeAspect="1"/>
                          </pic:cNvPicPr>
                        </pic:nvPicPr>
                        <pic:blipFill>
                          <a:blip r:embed="rId12"/>
                          <a:stretch>
                            <a:fillRect/>
                          </a:stretch>
                        </pic:blipFill>
                        <pic:spPr>
                          <a:xfrm>
                            <a:off x="0" y="0"/>
                            <a:ext cx="960755" cy="732155"/>
                          </a:xfrm>
                          <a:prstGeom prst="rect">
                            <a:avLst/>
                          </a:prstGeom>
                          <a:noFill/>
                          <a:ln w="9525">
                            <a:noFill/>
                          </a:ln>
                        </pic:spPr>
                      </pic:pic>
                    </a:graphicData>
                  </a:graphic>
                </wp:inline>
              </w:drawing>
            </w:r>
            <w:r>
              <w:rPr>
                <w:color w:val="auto"/>
                <w:highlight w:val="none"/>
              </w:rPr>
              <w:drawing>
                <wp:inline distT="0" distB="0" distL="114300" distR="114300">
                  <wp:extent cx="795655" cy="673100"/>
                  <wp:effectExtent l="0" t="0" r="4445" b="1270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3"/>
                          <a:stretch>
                            <a:fillRect/>
                          </a:stretch>
                        </pic:blipFill>
                        <pic:spPr>
                          <a:xfrm>
                            <a:off x="0" y="0"/>
                            <a:ext cx="795655" cy="673100"/>
                          </a:xfrm>
                          <a:prstGeom prst="rect">
                            <a:avLst/>
                          </a:prstGeom>
                          <a:noFill/>
                          <a:ln w="9525">
                            <a:noFill/>
                          </a:ln>
                        </pic:spPr>
                      </pic:pic>
                    </a:graphicData>
                  </a:graphic>
                </wp:inline>
              </w:drawing>
            </w:r>
            <w:r>
              <w:rPr>
                <w:color w:val="auto"/>
                <w:highlight w:val="none"/>
              </w:rPr>
              <w:drawing>
                <wp:inline distT="0" distB="0" distL="114300" distR="114300">
                  <wp:extent cx="1006475" cy="617855"/>
                  <wp:effectExtent l="0" t="0" r="317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3"/>
                          <a:stretch>
                            <a:fillRect/>
                          </a:stretch>
                        </pic:blipFill>
                        <pic:spPr>
                          <a:xfrm>
                            <a:off x="0" y="0"/>
                            <a:ext cx="1006475" cy="617855"/>
                          </a:xfrm>
                          <a:prstGeom prst="rect">
                            <a:avLst/>
                          </a:prstGeom>
                          <a:noFill/>
                          <a:ln w="9525">
                            <a:noFill/>
                          </a:ln>
                        </pic:spPr>
                      </pic:pic>
                    </a:graphicData>
                  </a:graphic>
                </wp:inline>
              </w:drawing>
            </w:r>
          </w:p>
          <w:p>
            <w:pPr>
              <w:pStyle w:val="8"/>
              <w:spacing w:line="240" w:lineRule="auto"/>
              <w:rPr>
                <w:rFonts w:hint="eastAsia"/>
                <w:color w:val="auto"/>
                <w:highlight w:val="none"/>
              </w:rPr>
            </w:pPr>
          </w:p>
        </w:tc>
      </w:tr>
    </w:tbl>
    <w:p>
      <w:pPr>
        <w:pStyle w:val="36"/>
        <w:rPr>
          <w:rFonts w:hint="eastAsia"/>
          <w:color w:val="auto"/>
          <w:highlight w:val="none"/>
        </w:rPr>
      </w:pPr>
    </w:p>
    <w:p>
      <w:pPr>
        <w:snapToGrid w:val="0"/>
        <w:spacing w:line="400" w:lineRule="exact"/>
        <w:ind w:firstLine="421" w:firstLineChars="200"/>
        <w:rPr>
          <w:rFonts w:hint="eastAsia" w:ascii="宋体" w:hAnsi="宋体"/>
          <w:b/>
          <w:bCs/>
          <w:color w:val="auto"/>
          <w:kern w:val="0"/>
          <w:szCs w:val="21"/>
          <w:highlight w:val="none"/>
        </w:rPr>
      </w:pPr>
    </w:p>
    <w:p>
      <w:pPr>
        <w:jc w:val="center"/>
        <w:rPr>
          <w:rFonts w:ascii="宋体" w:hAnsi="宋体"/>
          <w:b/>
          <w:dstrike/>
          <w:color w:val="auto"/>
          <w:sz w:val="36"/>
          <w:szCs w:val="36"/>
          <w:highlight w:val="none"/>
          <w:shd w:val="clear" w:color="auto" w:fill="auto"/>
        </w:rPr>
      </w:pPr>
    </w:p>
    <w:p>
      <w:pPr>
        <w:ind w:left="6" w:firstLine="431"/>
        <w:rPr>
          <w:rFonts w:hint="eastAsia" w:ascii="宋体" w:hAnsi="宋体"/>
          <w:b/>
          <w:bCs/>
          <w:color w:val="auto"/>
          <w:szCs w:val="21"/>
          <w:highlight w:val="none"/>
          <w:shd w:val="clear" w:color="auto" w:fill="auto"/>
        </w:rPr>
      </w:pPr>
    </w:p>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Cs w:val="21"/>
          <w:highlight w:val="none"/>
          <w:shd w:val="clear" w:color="auto" w:fill="auto"/>
        </w:rPr>
      </w:pP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5" w:name="_Toc254970667"/>
      <w:bookmarkStart w:id="6" w:name="_Toc254970526"/>
      <w:r>
        <w:rPr>
          <w:rFonts w:hint="eastAsia" w:ascii="仿宋_GB2312" w:eastAsia="仿宋_GB2312"/>
          <w:b/>
          <w:color w:val="auto"/>
          <w:sz w:val="32"/>
          <w:szCs w:val="32"/>
          <w:highlight w:val="none"/>
          <w:shd w:val="clear" w:color="auto" w:fill="auto"/>
        </w:rPr>
        <w:t>人须知及前附表</w:t>
      </w:r>
      <w:bookmarkEnd w:id="5"/>
      <w:bookmarkEnd w:id="6"/>
    </w:p>
    <w:p>
      <w:pPr>
        <w:spacing w:line="360" w:lineRule="exact"/>
        <w:jc w:val="center"/>
        <w:rPr>
          <w:rFonts w:hint="eastAsia" w:ascii="仿宋_GB2312" w:eastAsia="仿宋_GB2312"/>
          <w:b/>
          <w:color w:val="auto"/>
          <w:szCs w:val="21"/>
          <w:highlight w:val="non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ascii="宋体"/>
                <w:b/>
                <w:bCs/>
                <w:color w:val="auto"/>
                <w:szCs w:val="21"/>
                <w:highlight w:val="none"/>
                <w:shd w:val="clear" w:color="auto" w:fill="auto"/>
              </w:rPr>
              <w:t>武鸣校区7#礼堂及5#学生活动综合楼一层会议空间显示系统及家具采购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pPr>
              <w:snapToGrid w:val="0"/>
              <w:spacing w:line="360" w:lineRule="exact"/>
              <w:rPr>
                <w:color w:val="auto"/>
                <w:highlight w:val="none"/>
                <w:lang w:val="en"/>
              </w:rPr>
            </w:pPr>
            <w:r>
              <w:rPr>
                <w:rFonts w:hint="eastAsia"/>
                <w:color w:val="auto"/>
                <w:highlight w:val="none"/>
              </w:rPr>
              <w:t>（2）</w:t>
            </w:r>
            <w:r>
              <w:rPr>
                <w:color w:val="auto"/>
                <w:highlight w:val="none"/>
                <w:lang w:val="en"/>
              </w:rPr>
              <w:t>广西</w:t>
            </w:r>
            <w:r>
              <w:rPr>
                <w:rFonts w:hint="eastAsia"/>
                <w:color w:val="auto"/>
                <w:highlight w:val="none"/>
                <w:lang w:eastAsia="zh-CN"/>
              </w:rPr>
              <w:t>建设职业技术</w:t>
            </w:r>
            <w:r>
              <w:rPr>
                <w:rFonts w:hint="eastAsia"/>
                <w:color w:val="auto"/>
                <w:highlight w:val="none"/>
              </w:rPr>
              <w:t>学院</w:t>
            </w:r>
          </w:p>
          <w:p>
            <w:pPr>
              <w:snapToGrid w:val="0"/>
              <w:spacing w:line="360" w:lineRule="exact"/>
              <w:ind w:firstLine="0" w:firstLineChars="0"/>
              <w:rPr>
                <w:rFonts w:hint="default" w:eastAsia="宋体"/>
                <w:color w:val="auto"/>
                <w:highlight w:val="none"/>
                <w:lang w:val="en-US" w:eastAsia="zh-CN"/>
              </w:rPr>
            </w:pPr>
            <w:r>
              <w:rPr>
                <w:rFonts w:hint="eastAsia"/>
                <w:color w:val="auto"/>
                <w:highlight w:val="none"/>
              </w:rPr>
              <w:t>电话：0771- 3</w:t>
            </w:r>
            <w:r>
              <w:rPr>
                <w:rFonts w:hint="eastAsia"/>
                <w:color w:val="auto"/>
                <w:highlight w:val="none"/>
                <w:lang w:val="en-US" w:eastAsia="zh-CN"/>
              </w:rPr>
              <w:t>8</w:t>
            </w:r>
            <w:r>
              <w:rPr>
                <w:rFonts w:hint="eastAsia"/>
                <w:color w:val="auto"/>
                <w:highlight w:val="none"/>
              </w:rPr>
              <w:t>2</w:t>
            </w:r>
            <w:r>
              <w:rPr>
                <w:rFonts w:hint="eastAsia"/>
                <w:color w:val="auto"/>
                <w:highlight w:val="none"/>
                <w:lang w:val="en-US" w:eastAsia="zh-CN"/>
              </w:rPr>
              <w:t>2569</w:t>
            </w:r>
          </w:p>
          <w:p>
            <w:pPr>
              <w:snapToGrid w:val="0"/>
              <w:spacing w:line="360" w:lineRule="exact"/>
              <w:ind w:firstLine="0" w:firstLineChars="0"/>
              <w:rPr>
                <w:color w:val="auto"/>
                <w:highlight w:val="none"/>
              </w:rPr>
            </w:pPr>
            <w:r>
              <w:rPr>
                <w:rFonts w:hint="eastAsia"/>
                <w:color w:val="auto"/>
                <w:highlight w:val="none"/>
              </w:rPr>
              <w:t>地址：广西南宁</w:t>
            </w:r>
            <w:r>
              <w:rPr>
                <w:rFonts w:hint="eastAsia"/>
                <w:color w:val="auto"/>
                <w:highlight w:val="none"/>
                <w:lang w:eastAsia="zh-CN"/>
              </w:rPr>
              <w:t>西乡塘</w:t>
            </w:r>
            <w:r>
              <w:rPr>
                <w:rFonts w:hint="eastAsia"/>
                <w:color w:val="auto"/>
                <w:highlight w:val="none"/>
              </w:rPr>
              <w:t>区</w:t>
            </w:r>
            <w:r>
              <w:rPr>
                <w:rFonts w:hint="eastAsia"/>
                <w:color w:val="auto"/>
                <w:highlight w:val="none"/>
                <w:lang w:eastAsia="zh-CN"/>
              </w:rPr>
              <w:t>罗文大道</w:t>
            </w:r>
            <w:r>
              <w:rPr>
                <w:rFonts w:hint="eastAsia"/>
                <w:color w:val="auto"/>
                <w:highlight w:val="none"/>
                <w:lang w:val="en-US" w:eastAsia="zh-CN"/>
              </w:rPr>
              <w:t>33</w:t>
            </w:r>
            <w:r>
              <w:rPr>
                <w:rFonts w:hint="eastAsia"/>
                <w:color w:val="auto"/>
                <w:highlight w:val="none"/>
              </w:rPr>
              <w:t>号</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pStyle w:val="30"/>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0"/>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3"/>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bidi="ar-SA"/>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方法及评分标准。投标人如申请享受此项价格扣除，必须按本文件“投标文件格式”要求，填写并提交《关于符合本国产品标准的声明函》。未提交或提交不符合要求的，不享受扣除，按其原报价计算价格分。</w:t>
      </w:r>
      <w:r>
        <w:rPr>
          <w:rFonts w:hint="eastAsia" w:ascii="宋体" w:hAnsi="宋体" w:cs="宋体"/>
          <w:b/>
          <w:bCs/>
          <w:color w:val="auto"/>
          <w:kern w:val="0"/>
          <w:sz w:val="21"/>
          <w:szCs w:val="21"/>
          <w:highlight w:val="none"/>
          <w:shd w:val="clear" w:color="auto" w:fill="auto"/>
          <w:lang w:val="en-US" w:eastAsia="zh-CN" w:bidi="ar-SA"/>
        </w:rPr>
        <w:t>（适用分标1）</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0"/>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0"/>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0"/>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0"/>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5"/>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5"/>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；（适用分标</w:t>
      </w:r>
      <w:r>
        <w:rPr>
          <w:rFonts w:hint="eastAsia" w:hAnsi="宋体" w:cs="Times New Roman"/>
          <w:color w:val="auto"/>
          <w:kern w:val="2"/>
          <w:sz w:val="21"/>
          <w:szCs w:val="21"/>
          <w:highlight w:val="none"/>
          <w:lang w:val="en-US" w:eastAsia="zh-CN"/>
        </w:rPr>
        <w:t>1</w:t>
      </w:r>
      <w:r>
        <w:rPr>
          <w:rFonts w:hint="eastAsia" w:hAnsi="宋体" w:cs="Times New Roman"/>
          <w:color w:val="auto"/>
          <w:kern w:val="2"/>
          <w:sz w:val="21"/>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30"/>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30"/>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5"/>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0"/>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30"/>
        <w:spacing w:line="420" w:lineRule="exact"/>
        <w:ind w:left="1" w:firstLine="630"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0"/>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3"/>
        <w:snapToGrid w:val="0"/>
        <w:spacing w:line="360" w:lineRule="exact"/>
        <w:ind w:firstLine="397" w:firstLineChars="196"/>
        <w:outlineLvl w:val="0"/>
        <w:rPr>
          <w:rFonts w:hint="eastAsia" w:ascii="宋体" w:hAnsi="宋体" w:eastAsia="宋体"/>
          <w:b/>
          <w:bCs/>
          <w:color w:val="auto"/>
          <w:spacing w:val="-4"/>
          <w:sz w:val="21"/>
          <w:szCs w:val="21"/>
          <w:highlight w:val="none"/>
          <w:shd w:val="clear" w:color="auto" w:fill="auto"/>
        </w:rPr>
      </w:pPr>
      <w:r>
        <w:rPr>
          <w:rFonts w:hint="eastAsia" w:ascii="宋体" w:hAnsi="宋体" w:eastAsia="宋体"/>
          <w:b/>
          <w:bCs/>
          <w:color w:val="auto"/>
          <w:spacing w:val="-4"/>
          <w:sz w:val="21"/>
          <w:szCs w:val="21"/>
          <w:highlight w:val="none"/>
          <w:shd w:val="clear" w:color="auto" w:fill="auto"/>
        </w:rPr>
        <w:t>（3）标星号“</w:t>
      </w:r>
      <w:r>
        <w:rPr>
          <w:rFonts w:hint="eastAsia" w:ascii="宋体" w:hAnsi="宋体" w:cs="宋体"/>
          <w:b/>
          <w:bCs/>
          <w:color w:val="auto"/>
          <w:kern w:val="0"/>
          <w:sz w:val="21"/>
          <w:szCs w:val="21"/>
          <w:highlight w:val="none"/>
          <w:shd w:val="clear" w:color="auto" w:fill="auto"/>
        </w:rPr>
        <w:t>▲</w:t>
      </w:r>
      <w:r>
        <w:rPr>
          <w:rFonts w:hint="eastAsia" w:ascii="宋体" w:hAnsi="宋体" w:eastAsia="宋体"/>
          <w:b/>
          <w:bCs/>
          <w:color w:val="auto"/>
          <w:spacing w:val="-4"/>
          <w:sz w:val="21"/>
          <w:szCs w:val="21"/>
          <w:highlight w:val="none"/>
          <w:shd w:val="clear" w:color="auto" w:fill="auto"/>
        </w:rPr>
        <w:t>”的技术、性能指标发生负偏离达</w:t>
      </w:r>
      <w:r>
        <w:rPr>
          <w:rFonts w:hint="eastAsia" w:ascii="宋体" w:hAnsi="宋体" w:eastAsia="宋体"/>
          <w:b/>
          <w:bCs/>
          <w:color w:val="auto"/>
          <w:spacing w:val="-4"/>
          <w:sz w:val="21"/>
          <w:szCs w:val="21"/>
          <w:highlight w:val="none"/>
          <w:u w:val="single"/>
          <w:shd w:val="clear" w:color="auto" w:fill="auto"/>
        </w:rPr>
        <w:t xml:space="preserve">  1  </w:t>
      </w:r>
      <w:r>
        <w:rPr>
          <w:rFonts w:hint="eastAsia" w:ascii="宋体" w:hAnsi="宋体" w:eastAsia="宋体"/>
          <w:b/>
          <w:bCs/>
          <w:color w:val="auto"/>
          <w:spacing w:val="-4"/>
          <w:sz w:val="21"/>
          <w:szCs w:val="21"/>
          <w:highlight w:val="none"/>
          <w:shd w:val="clear" w:color="auto" w:fill="auto"/>
        </w:rPr>
        <w:t>项（含）以上的；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7" w:name="_Toc40864676"/>
      <w:bookmarkStart w:id="8" w:name="_Toc40865068"/>
      <w:bookmarkStart w:id="9" w:name="_Toc40864952"/>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7"/>
      <w:bookmarkEnd w:id="8"/>
      <w:bookmarkEnd w:id="9"/>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3"/>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3"/>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3"/>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0"/>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3"/>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3"/>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3"/>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3"/>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0"/>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0"/>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0"/>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0"/>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0"/>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30"/>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0"/>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0"/>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0"/>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0"/>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0"/>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0"/>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0"/>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0"/>
        <w:spacing w:line="440" w:lineRule="exact"/>
        <w:ind w:firstLine="728" w:firstLineChars="347"/>
        <w:rPr>
          <w:color w:val="auto"/>
          <w:highlight w:val="none"/>
          <w:shd w:val="clear" w:color="auto" w:fill="auto"/>
        </w:rPr>
      </w:pPr>
      <w:bookmarkStart w:id="10" w:name="_Toc254970689"/>
      <w:bookmarkStart w:id="11" w:name="_Toc254970548"/>
      <w:r>
        <w:rPr>
          <w:rFonts w:hint="eastAsia"/>
          <w:color w:val="auto"/>
          <w:highlight w:val="none"/>
          <w:shd w:val="clear" w:color="auto" w:fill="auto"/>
        </w:rPr>
        <w:t>所有与本招标文件有关的函件请按下列通讯地址联系：</w:t>
      </w:r>
    </w:p>
    <w:p>
      <w:pPr>
        <w:pStyle w:val="30"/>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0"/>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0"/>
        <w:spacing w:line="440" w:lineRule="exact"/>
        <w:ind w:firstLine="710" w:firstLineChars="337"/>
        <w:rPr>
          <w:b/>
          <w:bCs/>
          <w:color w:val="auto"/>
          <w:highlight w:val="none"/>
          <w:shd w:val="clear" w:color="auto" w:fill="auto"/>
        </w:rPr>
      </w:pPr>
      <w:r>
        <w:rPr>
          <w:rFonts w:hint="eastAsia"/>
          <w:b/>
          <w:bCs/>
          <w:color w:val="auto"/>
          <w:highlight w:val="none"/>
          <w:shd w:val="clear" w:color="auto" w:fill="auto"/>
        </w:rPr>
        <w:t>电    话：</w:t>
      </w:r>
      <w:r>
        <w:rPr>
          <w:rFonts w:hint="eastAsia"/>
          <w:b/>
          <w:bCs/>
          <w:color w:val="auto"/>
          <w:highlight w:val="none"/>
          <w:shd w:val="clear" w:color="auto" w:fill="auto"/>
          <w:lang w:val="en-US" w:eastAsia="zh-CN"/>
        </w:rPr>
        <w:t>0771-8600343</w:t>
      </w:r>
      <w:r>
        <w:rPr>
          <w:rFonts w:hint="eastAsia"/>
          <w:b/>
          <w:bCs/>
          <w:color w:val="auto"/>
          <w:highlight w:val="none"/>
          <w:shd w:val="clear" w:color="auto" w:fill="auto"/>
        </w:rPr>
        <w:t xml:space="preserve"> </w:t>
      </w:r>
    </w:p>
    <w:p>
      <w:pPr>
        <w:pStyle w:val="30"/>
        <w:spacing w:line="360" w:lineRule="exact"/>
        <w:ind w:firstLine="824"/>
        <w:rPr>
          <w:rFonts w:hint="eastAsia"/>
          <w:color w:val="auto"/>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bookmarkEnd w:id="10"/>
    <w:bookmarkEnd w:id="11"/>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52"/>
        <w:rPr>
          <w:rFonts w:hint="default" w:eastAsia="仿宋_GB2312"/>
          <w:color w:val="auto"/>
          <w:highlight w:val="none"/>
          <w:lang w:val="en-US" w:eastAsia="zh-CN"/>
        </w:rPr>
      </w:pPr>
      <w:r>
        <w:rPr>
          <w:rFonts w:hint="eastAsia" w:eastAsia="仿宋_GB2312"/>
          <w:color w:val="auto"/>
          <w:highlight w:val="none"/>
          <w:lang w:val="en-US" w:eastAsia="zh-CN"/>
        </w:rPr>
        <w:t xml:space="preserve">                              （</w:t>
      </w:r>
      <w:r>
        <w:rPr>
          <w:rFonts w:hint="eastAsia" w:eastAsia="仿宋_GB2312"/>
          <w:color w:val="auto"/>
          <w:highlight w:val="none"/>
          <w:lang w:val="en" w:eastAsia="zh-CN"/>
        </w:rPr>
        <w:t>适用分标</w:t>
      </w:r>
      <w:r>
        <w:rPr>
          <w:rFonts w:hint="eastAsia" w:eastAsia="仿宋_GB2312"/>
          <w:color w:val="auto"/>
          <w:highlight w:val="none"/>
          <w:lang w:val="en-US" w:eastAsia="zh-CN"/>
        </w:rPr>
        <w:t>1）</w:t>
      </w:r>
    </w:p>
    <w:p>
      <w:pPr>
        <w:pStyle w:val="30"/>
        <w:keepNext w:val="0"/>
        <w:keepLines w:val="0"/>
        <w:pageBreakBefore w:val="0"/>
        <w:kinsoku/>
        <w:wordWrap/>
        <w:overflowPunct/>
        <w:topLinePunct w:val="0"/>
        <w:autoSpaceDE/>
        <w:autoSpaceDN/>
        <w:bidi w:val="0"/>
        <w:spacing w:line="420" w:lineRule="exact"/>
        <w:ind w:firstLine="516"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6"/>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pPr>
        <w:pStyle w:val="227"/>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《国务院办公厅关于在政府采购中实施本国产品标准及相关政策的通知》（国办发〔2025〕34号）规定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0%）；除上述情况外，评标价=投标价。</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0"/>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w:t>
      </w:r>
      <w:r>
        <w:rPr>
          <w:rFonts w:hint="eastAsia" w:hAnsi="宋体" w:cs="宋体"/>
          <w:b/>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30"/>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pPr>
        <w:spacing w:line="400" w:lineRule="exact"/>
        <w:rPr>
          <w:rFonts w:hint="eastAsia" w:ascii="宋体" w:hAnsi="宋体" w:cs="宋体"/>
          <w:color w:val="auto"/>
          <w:highlight w:val="none"/>
        </w:rPr>
      </w:pPr>
      <w:r>
        <w:rPr>
          <w:rFonts w:hint="eastAsia" w:hAnsi="宋体"/>
          <w:b/>
          <w:color w:val="auto"/>
          <w:highlight w:val="none"/>
          <w:shd w:val="clear" w:color="auto" w:fill="auto"/>
          <w:lang w:val="en-US" w:eastAsia="zh-CN"/>
        </w:rPr>
        <w:t xml:space="preserve">   </w:t>
      </w:r>
      <w:r>
        <w:rPr>
          <w:rFonts w:hint="eastAsia" w:ascii="宋体" w:hAnsi="宋体" w:cs="宋体"/>
          <w:color w:val="auto"/>
          <w:highlight w:val="none"/>
        </w:rPr>
        <w:t xml:space="preserve"> </w:t>
      </w:r>
      <w:r>
        <w:rPr>
          <w:rFonts w:hint="eastAsia" w:ascii="宋体" w:hAnsi="宋体" w:cs="宋体"/>
          <w:b/>
          <w:color w:val="auto"/>
          <w:kern w:val="0"/>
          <w:highlight w:val="none"/>
        </w:rPr>
        <w:t>2、</w:t>
      </w:r>
      <w:r>
        <w:rPr>
          <w:rFonts w:hint="eastAsia" w:ascii="宋体" w:hAnsi="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60</w:t>
      </w:r>
      <w:r>
        <w:rPr>
          <w:rFonts w:hint="eastAsia" w:ascii="宋体" w:hAnsi="宋体" w:cs="宋体"/>
          <w:b/>
          <w:color w:val="auto"/>
          <w:highlight w:val="none"/>
        </w:rPr>
        <w:t>分</w:t>
      </w:r>
    </w:p>
    <w:p>
      <w:pPr>
        <w:pStyle w:val="30"/>
        <w:spacing w:line="400" w:lineRule="exact"/>
        <w:ind w:firstLine="421" w:firstLineChars="200"/>
        <w:rPr>
          <w:rFonts w:hint="eastAsia" w:hAnsi="宋体" w:cs="宋体"/>
          <w:b/>
          <w:bCs/>
          <w:color w:val="auto"/>
          <w:highlight w:val="none"/>
        </w:rPr>
      </w:pPr>
      <w:r>
        <w:rPr>
          <w:rFonts w:hint="eastAsia" w:hAnsi="宋体" w:cs="宋体"/>
          <w:b/>
          <w:bCs/>
          <w:color w:val="auto"/>
          <w:highlight w:val="none"/>
        </w:rPr>
        <w:t>（1）技术性能分（满分</w:t>
      </w:r>
      <w:r>
        <w:rPr>
          <w:rFonts w:hint="eastAsia" w:hAnsi="宋体" w:cs="宋体"/>
          <w:b/>
          <w:bCs/>
          <w:color w:val="auto"/>
          <w:highlight w:val="none"/>
          <w:lang w:val="en-US" w:eastAsia="zh-CN"/>
        </w:rPr>
        <w:t>28</w:t>
      </w:r>
      <w:r>
        <w:rPr>
          <w:rFonts w:hint="eastAsia" w:hAnsi="宋体" w:cs="宋体"/>
          <w:b/>
          <w:bCs/>
          <w:color w:val="auto"/>
          <w:highlight w:val="none"/>
        </w:rPr>
        <w:t>分）</w:t>
      </w:r>
    </w:p>
    <w:p>
      <w:pPr>
        <w:pStyle w:val="30"/>
        <w:spacing w:line="400" w:lineRule="exact"/>
        <w:rPr>
          <w:b w:val="0"/>
          <w:bCs w:val="0"/>
          <w:color w:val="auto"/>
          <w:highlight w:val="none"/>
        </w:rPr>
      </w:pPr>
      <w:r>
        <w:rPr>
          <w:rFonts w:hint="eastAsia"/>
          <w:color w:val="auto"/>
          <w:highlight w:val="none"/>
        </w:rPr>
        <w:t xml:space="preserve">   </w:t>
      </w:r>
      <w:r>
        <w:rPr>
          <w:rFonts w:hint="eastAsia"/>
          <w:b/>
          <w:bCs/>
          <w:color w:val="auto"/>
          <w:highlight w:val="none"/>
        </w:rPr>
        <w:t xml:space="preserve">  标记“★”的</w:t>
      </w:r>
      <w:r>
        <w:rPr>
          <w:rFonts w:hint="eastAsia" w:hAnsi="宋体"/>
          <w:b/>
          <w:bCs/>
          <w:color w:val="auto"/>
          <w:highlight w:val="none"/>
        </w:rPr>
        <w:t>技术</w:t>
      </w:r>
      <w:r>
        <w:rPr>
          <w:rFonts w:hint="eastAsia"/>
          <w:b/>
          <w:bCs/>
          <w:color w:val="auto"/>
          <w:highlight w:val="none"/>
        </w:rPr>
        <w:t>需求：投标人在技术偏离表中标明正偏离且被评标委员会评定为正偏离的，每有一项加</w:t>
      </w:r>
      <w:r>
        <w:rPr>
          <w:rFonts w:hint="eastAsia"/>
          <w:b/>
          <w:bCs/>
          <w:color w:val="auto"/>
          <w:highlight w:val="none"/>
          <w:lang w:val="en-US" w:eastAsia="zh-CN"/>
        </w:rPr>
        <w:t>2</w:t>
      </w:r>
      <w:r>
        <w:rPr>
          <w:rFonts w:hint="eastAsia"/>
          <w:b/>
          <w:bCs/>
          <w:color w:val="auto"/>
          <w:highlight w:val="none"/>
        </w:rPr>
        <w:t>分；满分</w:t>
      </w:r>
      <w:r>
        <w:rPr>
          <w:rFonts w:hint="eastAsia"/>
          <w:b/>
          <w:bCs/>
          <w:color w:val="auto"/>
          <w:highlight w:val="none"/>
          <w:lang w:val="en-US" w:eastAsia="zh-CN"/>
        </w:rPr>
        <w:t>28</w:t>
      </w:r>
      <w:r>
        <w:rPr>
          <w:rFonts w:hint="eastAsia"/>
          <w:b/>
          <w:bCs/>
          <w:color w:val="auto"/>
          <w:highlight w:val="none"/>
        </w:rPr>
        <w:t>分</w:t>
      </w:r>
      <w:r>
        <w:rPr>
          <w:rFonts w:hint="eastAsia"/>
          <w:b w:val="0"/>
          <w:bCs w:val="0"/>
          <w:color w:val="auto"/>
          <w:highlight w:val="none"/>
        </w:rPr>
        <w:t>。</w:t>
      </w:r>
    </w:p>
    <w:p>
      <w:pPr>
        <w:pStyle w:val="30"/>
        <w:spacing w:line="400" w:lineRule="exact"/>
        <w:rPr>
          <w:rFonts w:hint="eastAsia" w:hAnsi="宋体"/>
          <w:b/>
          <w:color w:val="auto"/>
          <w:highlight w:val="none"/>
        </w:rPr>
      </w:pPr>
      <w:r>
        <w:rPr>
          <w:rFonts w:hint="eastAsia" w:hAnsi="宋体"/>
          <w:b/>
          <w:color w:val="auto"/>
          <w:highlight w:val="none"/>
        </w:rPr>
        <w:t xml:space="preserve">    </w:t>
      </w:r>
      <w:r>
        <w:rPr>
          <w:rFonts w:hint="eastAsia" w:hAnsi="宋体"/>
          <w:b w:val="0"/>
          <w:bCs/>
          <w:color w:val="auto"/>
          <w:highlight w:val="none"/>
        </w:rPr>
        <w:t xml:space="preserve"> </w:t>
      </w:r>
      <w:r>
        <w:rPr>
          <w:rFonts w:hint="eastAsia" w:hAnsi="宋体"/>
          <w:b w:val="0"/>
          <w:bCs/>
          <w:color w:val="auto"/>
          <w:highlight w:val="none"/>
          <w:lang w:eastAsia="zh-CN"/>
        </w:rPr>
        <w:t>【</w:t>
      </w:r>
      <w:r>
        <w:rPr>
          <w:rFonts w:hint="eastAsia" w:hAnsi="宋体"/>
          <w:b w:val="0"/>
          <w:bCs/>
          <w:color w:val="auto"/>
          <w:highlight w:val="none"/>
        </w:rPr>
        <w:t>注：</w:t>
      </w:r>
      <w:r>
        <w:rPr>
          <w:rFonts w:hint="eastAsia" w:ascii="汉仪书宋二S" w:hAnsi="汉仪书宋二S" w:eastAsia="汉仪书宋二S" w:cs="汉仪书宋二S"/>
          <w:b w:val="0"/>
          <w:bCs/>
          <w:color w:val="auto"/>
          <w:highlight w:val="none"/>
        </w:rPr>
        <w:t>①</w:t>
      </w:r>
      <w:r>
        <w:rPr>
          <w:rStyle w:val="66"/>
          <w:rFonts w:hint="eastAsia" w:ascii="Times New Roman" w:hAnsi="Times New Roman"/>
          <w:b w:val="0"/>
          <w:bCs/>
          <w:color w:val="auto"/>
          <w:highlight w:val="none"/>
        </w:rPr>
        <w:t>投标人</w:t>
      </w:r>
      <w:r>
        <w:rPr>
          <w:rFonts w:hint="eastAsia" w:hAnsi="宋体"/>
          <w:b w:val="0"/>
          <w:bCs/>
          <w:color w:val="auto"/>
          <w:highlight w:val="none"/>
        </w:rPr>
        <w:t>技术参数及功能有正偏离的，须在技术偏离表中列明，且在投标文件中提供采购需求中列明的证明材料（提供国家认可的有资质的第三方检测机构出具的检测报告复印件佐证</w:t>
      </w:r>
      <w:r>
        <w:rPr>
          <w:rFonts w:hint="eastAsia" w:hAnsi="宋体"/>
          <w:b w:val="0"/>
          <w:bCs/>
          <w:strike w:val="0"/>
          <w:color w:val="auto"/>
          <w:highlight w:val="none"/>
          <w:lang w:eastAsia="zh-CN"/>
        </w:rPr>
        <w:t>，</w:t>
      </w:r>
      <w:r>
        <w:rPr>
          <w:rFonts w:hint="eastAsia" w:hAnsi="宋体"/>
          <w:b w:val="0"/>
          <w:bCs/>
          <w:color w:val="auto"/>
          <w:highlight w:val="none"/>
        </w:rPr>
        <w:t>否则评标委员会不予评定为正偏离。</w:t>
      </w:r>
      <w:r>
        <w:rPr>
          <w:rFonts w:hint="eastAsia" w:ascii="汉仪书宋二S" w:hAnsi="汉仪书宋二S" w:eastAsia="汉仪书宋二S" w:cs="汉仪书宋二S"/>
          <w:b w:val="0"/>
          <w:bCs/>
          <w:color w:val="auto"/>
          <w:highlight w:val="none"/>
        </w:rPr>
        <w:t>②</w:t>
      </w:r>
      <w:r>
        <w:rPr>
          <w:rFonts w:hint="eastAsia" w:hAnsi="宋体"/>
          <w:b w:val="0"/>
          <w:bCs/>
          <w:color w:val="auto"/>
          <w:highlight w:val="none"/>
        </w:rPr>
        <w:t>如技术偏离表中的投标响应与佐证材料不一致的，以佐证材料为准。</w:t>
      </w:r>
      <w:r>
        <w:rPr>
          <w:rFonts w:hint="eastAsia" w:hAnsi="宋体"/>
          <w:b w:val="0"/>
          <w:bCs/>
          <w:color w:val="auto"/>
          <w:highlight w:val="none"/>
          <w:lang w:eastAsia="zh-CN"/>
        </w:rPr>
        <w:t>】</w:t>
      </w:r>
    </w:p>
    <w:p>
      <w:pPr>
        <w:pStyle w:val="30"/>
        <w:spacing w:line="400" w:lineRule="exact"/>
        <w:ind w:firstLine="210" w:firstLineChars="100"/>
        <w:rPr>
          <w:rFonts w:hint="eastAsia" w:hAnsi="宋体" w:cs="宋体"/>
          <w:b/>
          <w:bCs/>
          <w:color w:val="auto"/>
          <w:spacing w:val="-8"/>
          <w:kern w:val="0"/>
          <w:highlight w:val="none"/>
        </w:rPr>
      </w:pPr>
      <w:r>
        <w:rPr>
          <w:rFonts w:hint="eastAsia" w:hAnsi="宋体" w:cs="宋体"/>
          <w:b/>
          <w:bCs/>
          <w:color w:val="auto"/>
          <w:highlight w:val="none"/>
        </w:rPr>
        <w:t xml:space="preserve"> （</w:t>
      </w:r>
      <w:r>
        <w:rPr>
          <w:rFonts w:hint="eastAsia" w:hAnsi="宋体" w:cs="宋体"/>
          <w:b/>
          <w:bCs/>
          <w:color w:val="auto"/>
          <w:highlight w:val="none"/>
          <w:lang w:val="en-US" w:eastAsia="zh-CN"/>
        </w:rPr>
        <w:t>2</w:t>
      </w:r>
      <w:r>
        <w:rPr>
          <w:rFonts w:hint="eastAsia" w:hAnsi="宋体" w:cs="宋体"/>
          <w:b/>
          <w:bCs/>
          <w:color w:val="auto"/>
          <w:highlight w:val="none"/>
        </w:rPr>
        <w:t>）项目实施方案分（满分</w:t>
      </w:r>
      <w:r>
        <w:rPr>
          <w:rFonts w:hint="eastAsia" w:hAnsi="宋体" w:cs="宋体"/>
          <w:b/>
          <w:bCs/>
          <w:color w:val="auto"/>
          <w:highlight w:val="none"/>
          <w:lang w:val="en-US" w:eastAsia="zh-CN"/>
        </w:rPr>
        <w:t>14</w:t>
      </w:r>
      <w:r>
        <w:rPr>
          <w:rFonts w:hint="eastAsia" w:hAnsi="宋体" w:cs="宋体"/>
          <w:b/>
          <w:bCs/>
          <w:color w:val="auto"/>
          <w:highlight w:val="none"/>
        </w:rPr>
        <w:t>分）</w:t>
      </w:r>
    </w:p>
    <w:p>
      <w:pPr>
        <w:pStyle w:val="30"/>
        <w:spacing w:line="400" w:lineRule="exact"/>
        <w:ind w:firstLine="194" w:firstLineChars="100"/>
        <w:rPr>
          <w:rFonts w:hint="eastAsia" w:hAnsi="宋体" w:cs="宋体"/>
          <w:b w:val="0"/>
          <w:bCs w:val="0"/>
          <w:color w:val="auto"/>
          <w:highlight w:val="none"/>
        </w:rPr>
      </w:pPr>
      <w:r>
        <w:rPr>
          <w:rFonts w:hint="eastAsia" w:hAnsi="宋体" w:cs="宋体"/>
          <w:b w:val="0"/>
          <w:bCs w:val="0"/>
          <w:color w:val="auto"/>
          <w:spacing w:val="-8"/>
          <w:highlight w:val="none"/>
        </w:rPr>
        <w:t xml:space="preserve"> </w:t>
      </w:r>
      <w:r>
        <w:rPr>
          <w:rFonts w:hint="eastAsia" w:hAnsi="宋体" w:cs="宋体"/>
          <w:b w:val="0"/>
          <w:bCs w:val="0"/>
          <w:color w:val="auto"/>
          <w:highlight w:val="none"/>
        </w:rPr>
        <w:t>一档 (</w:t>
      </w:r>
      <w:r>
        <w:rPr>
          <w:rFonts w:hint="default" w:hAnsi="宋体" w:cs="宋体"/>
          <w:b w:val="0"/>
          <w:bCs w:val="0"/>
          <w:color w:val="auto"/>
          <w:highlight w:val="none"/>
          <w:lang w:val="en" w:eastAsia="zh-CN"/>
        </w:rPr>
        <w:t>5</w:t>
      </w:r>
      <w:r>
        <w:rPr>
          <w:rFonts w:hint="eastAsia" w:hAnsi="宋体" w:cs="宋体"/>
          <w:b w:val="0"/>
          <w:bCs w:val="0"/>
          <w:color w:val="auto"/>
          <w:highlight w:val="none"/>
        </w:rPr>
        <w:t>分)：实施方案过于简单而并未针对采购文件基本要求进行实质性的细化，或方案没有从项目具体需求出发，表述内容对满足本项目基本需求无整体保障性。</w:t>
      </w:r>
    </w:p>
    <w:p>
      <w:pPr>
        <w:pStyle w:val="30"/>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二档 (</w:t>
      </w:r>
      <w:r>
        <w:rPr>
          <w:rFonts w:hint="default" w:hAnsi="宋体" w:cs="宋体"/>
          <w:b w:val="0"/>
          <w:bCs w:val="0"/>
          <w:color w:val="auto"/>
          <w:highlight w:val="none"/>
          <w:lang w:val="en" w:eastAsia="zh-CN"/>
        </w:rPr>
        <w:t>8</w:t>
      </w:r>
      <w:r>
        <w:rPr>
          <w:rFonts w:hint="eastAsia" w:hAnsi="宋体" w:cs="宋体"/>
          <w:b w:val="0"/>
          <w:bCs w:val="0"/>
          <w:color w:val="auto"/>
          <w:highlight w:val="none"/>
        </w:rPr>
        <w:t>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pPr>
        <w:pStyle w:val="30"/>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三档 (</w:t>
      </w:r>
      <w:r>
        <w:rPr>
          <w:rFonts w:hint="default" w:hAnsi="宋体" w:cs="宋体"/>
          <w:b w:val="0"/>
          <w:bCs w:val="0"/>
          <w:color w:val="auto"/>
          <w:highlight w:val="none"/>
          <w:lang w:val="en" w:eastAsia="zh-CN"/>
        </w:rPr>
        <w:t>11</w:t>
      </w:r>
      <w:r>
        <w:rPr>
          <w:rFonts w:hint="eastAsia" w:hAnsi="宋体" w:cs="宋体"/>
          <w:b w:val="0"/>
          <w:bCs w:val="0"/>
          <w:color w:val="auto"/>
          <w:highlight w:val="none"/>
        </w:rPr>
        <w:t>分)：实施方案基本满足项目实施要求，对项目实施目标、实施过程、实现思路设计进行了全面细化，各项措施针对采购单位需求提出，考虑到了项目实际需求、设置合理。</w:t>
      </w:r>
    </w:p>
    <w:p>
      <w:pPr>
        <w:pStyle w:val="30"/>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四档 (</w:t>
      </w:r>
      <w:r>
        <w:rPr>
          <w:rFonts w:hint="eastAsia" w:hAnsi="宋体" w:cs="宋体"/>
          <w:b w:val="0"/>
          <w:bCs w:val="0"/>
          <w:color w:val="auto"/>
          <w:highlight w:val="none"/>
          <w:lang w:val="en-US" w:eastAsia="zh-CN"/>
        </w:rPr>
        <w:t>14</w:t>
      </w:r>
      <w:r>
        <w:rPr>
          <w:rFonts w:hint="eastAsia" w:hAnsi="宋体" w:cs="宋体"/>
          <w:b w:val="0"/>
          <w:bCs w:val="0"/>
          <w:color w:val="auto"/>
          <w:highlight w:val="none"/>
        </w:rPr>
        <w:t>分)：实施方案详细，对项目实施目标、实施过程、实现思路有详细的阐述。能够提供科学合理的项目实施流程，符合本项目切实可行的项目实施计划，以及项目的分工安排计划。整体方案能够体现出投标人对本项目的理解和对同类项目有实施经验。对采购单位、采购项目的特点均有针对性。</w:t>
      </w:r>
    </w:p>
    <w:p>
      <w:pPr>
        <w:pStyle w:val="30"/>
        <w:spacing w:line="400" w:lineRule="exact"/>
        <w:ind w:firstLine="210" w:firstLineChars="100"/>
        <w:rPr>
          <w:rFonts w:hint="eastAsia" w:hAnsi="宋体" w:eastAsia="宋体" w:cs="宋体"/>
          <w:b w:val="0"/>
          <w:bCs w:val="0"/>
          <w:color w:val="auto"/>
          <w:highlight w:val="none"/>
          <w:lang w:eastAsia="zh-CN"/>
        </w:rPr>
      </w:pPr>
      <w:r>
        <w:rPr>
          <w:rFonts w:hint="eastAsia" w:hAnsi="宋体" w:cs="宋体"/>
          <w:b w:val="0"/>
          <w:bCs w:val="0"/>
          <w:color w:val="auto"/>
          <w:highlight w:val="none"/>
          <w:lang w:eastAsia="zh-CN"/>
        </w:rPr>
        <w:t>（注：未提供或提供方案不进档的不得分）</w:t>
      </w:r>
    </w:p>
    <w:p>
      <w:pPr>
        <w:spacing w:line="400" w:lineRule="exact"/>
        <w:rPr>
          <w:rFonts w:hint="eastAsia" w:ascii="宋体" w:eastAsia="宋体" w:cs="Times New Roman"/>
          <w:bCs w:val="0"/>
          <w:caps w:val="0"/>
          <w:strike/>
          <w:dstrike w:val="0"/>
          <w:color w:val="auto"/>
          <w:highlight w:val="none"/>
        </w:rPr>
      </w:pPr>
      <w:r>
        <w:rPr>
          <w:rFonts w:hint="eastAsia"/>
          <w:color w:val="auto"/>
          <w:highlight w:val="none"/>
        </w:rPr>
        <w:t xml:space="preserve">   </w:t>
      </w: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）售后服务分（满分</w:t>
      </w:r>
      <w:r>
        <w:rPr>
          <w:rFonts w:hint="eastAsia"/>
          <w:b/>
          <w:bCs/>
          <w:color w:val="auto"/>
          <w:highlight w:val="none"/>
          <w:lang w:val="en-US" w:eastAsia="zh-CN"/>
        </w:rPr>
        <w:t>18</w:t>
      </w:r>
      <w:r>
        <w:rPr>
          <w:rFonts w:hint="eastAsia"/>
          <w:b/>
          <w:bCs/>
          <w:color w:val="auto"/>
          <w:highlight w:val="none"/>
        </w:rPr>
        <w:t>分）</w:t>
      </w:r>
    </w:p>
    <w:p>
      <w:pPr>
        <w:spacing w:line="380" w:lineRule="exact"/>
        <w:ind w:firstLine="420" w:firstLineChars="200"/>
        <w:rPr>
          <w:rFonts w:ascii="宋体" w:hAnsi="宋体"/>
          <w:color w:val="auto"/>
          <w:highlight w:val="none"/>
        </w:rPr>
      </w:pPr>
      <w:r>
        <w:rPr>
          <w:rFonts w:hint="eastAsia" w:ascii="宋体" w:hAnsi="宋体"/>
          <w:color w:val="auto"/>
          <w:highlight w:val="none"/>
          <w:lang w:val="en-US" w:eastAsia="zh-CN"/>
        </w:rPr>
        <w:t>①</w:t>
      </w:r>
      <w:r>
        <w:rPr>
          <w:rFonts w:hint="eastAsia" w:ascii="宋体" w:hAnsi="宋体"/>
          <w:color w:val="auto"/>
          <w:highlight w:val="none"/>
        </w:rPr>
        <w:t>售后服务承诺（满分</w:t>
      </w:r>
      <w:r>
        <w:rPr>
          <w:rFonts w:hint="eastAsia" w:ascii="宋体" w:hAnsi="宋体"/>
          <w:color w:val="auto"/>
          <w:highlight w:val="none"/>
          <w:lang w:val="en-US" w:eastAsia="zh-CN"/>
        </w:rPr>
        <w:t>12</w:t>
      </w:r>
      <w:r>
        <w:rPr>
          <w:rFonts w:hint="eastAsia" w:ascii="宋体" w:hAnsi="宋体"/>
          <w:color w:val="auto"/>
          <w:highlight w:val="none"/>
        </w:rPr>
        <w:t>分）</w:t>
      </w:r>
    </w:p>
    <w:p>
      <w:pPr>
        <w:spacing w:line="38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一</w:t>
      </w:r>
      <w:r>
        <w:rPr>
          <w:rFonts w:hint="eastAsia" w:ascii="宋体" w:hAnsi="宋体"/>
          <w:color w:val="auto"/>
          <w:highlight w:val="none"/>
        </w:rPr>
        <w:t>档（</w:t>
      </w:r>
      <w:r>
        <w:rPr>
          <w:rFonts w:hint="eastAsia" w:ascii="宋体" w:hAnsi="宋体"/>
          <w:color w:val="auto"/>
          <w:highlight w:val="none"/>
          <w:lang w:val="en-US" w:eastAsia="zh-CN"/>
        </w:rPr>
        <w:t>6</w:t>
      </w:r>
      <w:r>
        <w:rPr>
          <w:rFonts w:hint="eastAsia" w:ascii="宋体" w:hAnsi="宋体"/>
          <w:color w:val="auto"/>
          <w:highlight w:val="none"/>
        </w:rPr>
        <w:t>分）：质量保证措施和售后服务承诺基本满足招标文件要求，安排较具体，内容较完整、可行，售后响应时间满足招标文件要求，承诺解决故障时间为8个小时以内，有具体承诺，服务内容、保障措施能满足采购人需求；</w:t>
      </w:r>
    </w:p>
    <w:p>
      <w:pPr>
        <w:spacing w:line="380" w:lineRule="exact"/>
        <w:ind w:firstLine="420" w:firstLineChars="200"/>
        <w:rPr>
          <w:rFonts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9</w:t>
      </w:r>
      <w:r>
        <w:rPr>
          <w:rFonts w:hint="eastAsia" w:ascii="宋体" w:hAnsi="宋体"/>
          <w:color w:val="auto"/>
          <w:highlight w:val="none"/>
        </w:rPr>
        <w:t>分）：质量保证措施和售后服务承诺完善，安排详细具体，内容完整，售后响应时间满足招标文件要求，响应程度较好，承诺解决故障时间为6个小时以内，</w:t>
      </w:r>
      <w:r>
        <w:rPr>
          <w:rFonts w:hint="eastAsia" w:ascii="宋体" w:hAnsi="宋体"/>
          <w:color w:val="auto"/>
          <w:highlight w:val="none"/>
          <w:lang w:val="en-US" w:eastAsia="zh-CN"/>
        </w:rPr>
        <w:t>且</w:t>
      </w:r>
      <w:r>
        <w:rPr>
          <w:rFonts w:hint="eastAsia" w:ascii="宋体" w:hAnsi="宋体"/>
          <w:color w:val="auto"/>
          <w:highlight w:val="none"/>
        </w:rPr>
        <w:t>有具体承诺，服务内容、保障措施能满足采购人需求，具备培训方案</w:t>
      </w:r>
      <w:r>
        <w:rPr>
          <w:rFonts w:hint="eastAsia" w:ascii="宋体" w:hAnsi="宋体"/>
          <w:color w:val="auto"/>
          <w:highlight w:val="none"/>
          <w:lang w:eastAsia="zh-CN"/>
        </w:rPr>
        <w:t>，</w:t>
      </w:r>
      <w:r>
        <w:rPr>
          <w:rFonts w:hint="eastAsia" w:ascii="宋体" w:hAnsi="宋体"/>
          <w:color w:val="auto"/>
          <w:highlight w:val="none"/>
          <w:lang w:val="en-US" w:eastAsia="zh-CN"/>
        </w:rPr>
        <w:t>投标人</w:t>
      </w:r>
      <w:r>
        <w:rPr>
          <w:rFonts w:hint="eastAsia"/>
          <w:color w:val="auto"/>
          <w:highlight w:val="none"/>
          <w:lang w:val="en-US" w:eastAsia="zh-CN"/>
        </w:rPr>
        <w:t>具备满足本项目的售后保障能力（提供售后服务承诺函等）</w:t>
      </w:r>
      <w:r>
        <w:rPr>
          <w:rFonts w:hint="eastAsia" w:ascii="宋体" w:hAnsi="宋体"/>
          <w:color w:val="auto"/>
          <w:highlight w:val="none"/>
        </w:rPr>
        <w:t>。</w:t>
      </w:r>
    </w:p>
    <w:p>
      <w:pPr>
        <w:spacing w:line="38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档（</w:t>
      </w:r>
      <w:r>
        <w:rPr>
          <w:rFonts w:hint="eastAsia" w:ascii="宋体" w:hAnsi="宋体"/>
          <w:color w:val="auto"/>
          <w:highlight w:val="none"/>
          <w:lang w:val="en-US" w:eastAsia="zh-CN"/>
        </w:rPr>
        <w:t>12</w:t>
      </w:r>
      <w:r>
        <w:rPr>
          <w:rFonts w:hint="eastAsia" w:ascii="宋体" w:hAnsi="宋体"/>
          <w:color w:val="auto"/>
          <w:highlight w:val="none"/>
        </w:rPr>
        <w:t>分）：质量保证措施和售后服务承诺充分满足招标文件要求，安排详细具体，内容完整、齐全、可行，有针对性，售后响应时间充分优于招标文件要求，响应程度高，承诺解决故障时间为4个小时以内，有具体承诺且优于采购要求，服务内容、保障措施能满足采购人需求，培训方案有针对性</w:t>
      </w:r>
      <w:r>
        <w:rPr>
          <w:rFonts w:hint="eastAsia"/>
          <w:color w:val="auto"/>
          <w:highlight w:val="none"/>
          <w:lang w:eastAsia="zh-CN"/>
        </w:rPr>
        <w:t>，</w:t>
      </w:r>
      <w:r>
        <w:rPr>
          <w:rFonts w:hint="eastAsia" w:ascii="宋体" w:hAnsi="宋体"/>
          <w:color w:val="auto"/>
          <w:highlight w:val="none"/>
          <w:lang w:val="en-US" w:eastAsia="zh-CN"/>
        </w:rPr>
        <w:t>质保期内免费提供专门班组技术人员运维，并提供免费运维服务承诺函的，有</w:t>
      </w:r>
      <w:r>
        <w:rPr>
          <w:rFonts w:hint="eastAsia" w:ascii="宋体" w:eastAsia="宋体" w:cs="Times New Roman"/>
          <w:bCs w:val="0"/>
          <w:caps w:val="0"/>
          <w:color w:val="auto"/>
          <w:highlight w:val="none"/>
        </w:rPr>
        <w:t>投标</w:t>
      </w:r>
      <w:r>
        <w:rPr>
          <w:rFonts w:hint="eastAsia" w:ascii="宋体" w:cs="Times New Roman"/>
          <w:bCs w:val="0"/>
          <w:caps w:val="0"/>
          <w:color w:val="auto"/>
          <w:highlight w:val="none"/>
          <w:lang w:val="en-US" w:eastAsia="zh-CN"/>
        </w:rPr>
        <w:t>核心</w:t>
      </w:r>
      <w:r>
        <w:rPr>
          <w:rFonts w:hint="eastAsia" w:ascii="宋体" w:eastAsia="宋体" w:cs="Times New Roman"/>
          <w:bCs w:val="0"/>
          <w:caps w:val="0"/>
          <w:color w:val="auto"/>
          <w:highlight w:val="none"/>
        </w:rPr>
        <w:t>产品</w:t>
      </w:r>
      <w:r>
        <w:rPr>
          <w:rFonts w:hint="eastAsia" w:ascii="宋体" w:cs="Times New Roman"/>
          <w:bCs w:val="0"/>
          <w:caps w:val="0"/>
          <w:color w:val="auto"/>
          <w:highlight w:val="none"/>
          <w:lang w:val="en-US" w:eastAsia="zh-CN"/>
        </w:rPr>
        <w:t>LED显示屏</w:t>
      </w:r>
      <w:r>
        <w:rPr>
          <w:rFonts w:hint="eastAsia" w:ascii="宋体" w:eastAsia="宋体" w:cs="Times New Roman"/>
          <w:bCs w:val="0"/>
          <w:caps w:val="0"/>
          <w:color w:val="auto"/>
          <w:highlight w:val="none"/>
        </w:rPr>
        <w:t>生产厂家针对本项目</w:t>
      </w:r>
      <w:r>
        <w:rPr>
          <w:rFonts w:hint="eastAsia" w:ascii="宋体" w:cs="Times New Roman"/>
          <w:bCs w:val="0"/>
          <w:caps w:val="0"/>
          <w:color w:val="auto"/>
          <w:highlight w:val="none"/>
          <w:lang w:val="en-US" w:eastAsia="zh-CN"/>
        </w:rPr>
        <w:t>出具</w:t>
      </w:r>
      <w:r>
        <w:rPr>
          <w:rFonts w:hint="eastAsia" w:ascii="宋体" w:eastAsia="宋体" w:cs="Times New Roman"/>
          <w:bCs w:val="0"/>
          <w:caps w:val="0"/>
          <w:color w:val="auto"/>
          <w:highlight w:val="none"/>
        </w:rPr>
        <w:t>的售后服务承诺</w:t>
      </w:r>
      <w:r>
        <w:rPr>
          <w:rFonts w:hint="eastAsia" w:ascii="宋体" w:cs="Times New Roman"/>
          <w:bCs w:val="0"/>
          <w:caps w:val="0"/>
          <w:color w:val="auto"/>
          <w:highlight w:val="none"/>
          <w:lang w:val="en-US" w:eastAsia="zh-CN"/>
        </w:rPr>
        <w:t>函</w:t>
      </w:r>
      <w:r>
        <w:rPr>
          <w:rFonts w:hint="eastAsia" w:ascii="宋体" w:cs="Times New Roman"/>
          <w:bCs w:val="0"/>
          <w:caps w:val="0"/>
          <w:color w:val="auto"/>
          <w:highlight w:val="none"/>
          <w:lang w:eastAsia="zh-CN"/>
        </w:rPr>
        <w:t>的</w:t>
      </w:r>
      <w:r>
        <w:rPr>
          <w:rFonts w:hint="eastAsia" w:ascii="宋体" w:hAnsi="宋体"/>
          <w:color w:val="auto"/>
          <w:highlight w:val="none"/>
        </w:rPr>
        <w:t>。</w:t>
      </w:r>
    </w:p>
    <w:p>
      <w:pPr>
        <w:ind w:firstLine="420" w:firstLineChars="200"/>
        <w:rPr>
          <w:rFonts w:hint="eastAsia"/>
          <w:color w:val="auto"/>
          <w:highlight w:val="none"/>
        </w:rPr>
      </w:pPr>
      <w:r>
        <w:rPr>
          <w:rFonts w:hint="eastAsia" w:ascii="宋体" w:hAnsi="宋体"/>
          <w:color w:val="auto"/>
          <w:highlight w:val="none"/>
          <w:lang w:val="en-US" w:eastAsia="zh-CN"/>
        </w:rPr>
        <w:t>②</w:t>
      </w:r>
      <w:r>
        <w:rPr>
          <w:rFonts w:hint="eastAsia" w:ascii="宋体" w:hAnsi="宋体"/>
          <w:color w:val="auto"/>
          <w:highlight w:val="none"/>
        </w:rPr>
        <w:t>承诺更长保修期：在满足商务要求中的免费保修期后，投标人承诺免费保修期每延长</w:t>
      </w:r>
      <w:r>
        <w:rPr>
          <w:rFonts w:hint="eastAsia" w:ascii="宋体" w:hAnsi="宋体"/>
          <w:color w:val="auto"/>
          <w:highlight w:val="none"/>
          <w:lang w:val="en-US" w:eastAsia="zh-CN"/>
        </w:rPr>
        <w:t>一</w:t>
      </w:r>
      <w:r>
        <w:rPr>
          <w:rFonts w:hint="eastAsia" w:ascii="宋体" w:hAnsi="宋体"/>
          <w:color w:val="auto"/>
          <w:highlight w:val="none"/>
        </w:rPr>
        <w:t>年增加</w:t>
      </w:r>
      <w:r>
        <w:rPr>
          <w:rFonts w:hint="eastAsia" w:ascii="宋体" w:hAnsi="宋体"/>
          <w:color w:val="auto"/>
          <w:highlight w:val="none"/>
          <w:lang w:val="en-US" w:eastAsia="zh-CN"/>
        </w:rPr>
        <w:t>2</w:t>
      </w:r>
      <w:r>
        <w:rPr>
          <w:rFonts w:hint="eastAsia" w:ascii="宋体" w:hAnsi="宋体"/>
          <w:color w:val="auto"/>
          <w:highlight w:val="none"/>
        </w:rPr>
        <w:t>分（满分</w:t>
      </w:r>
      <w:r>
        <w:rPr>
          <w:rFonts w:hint="eastAsia" w:ascii="宋体" w:hAnsi="宋体"/>
          <w:color w:val="auto"/>
          <w:highlight w:val="none"/>
          <w:lang w:val="en-US" w:eastAsia="zh-CN"/>
        </w:rPr>
        <w:t>6</w:t>
      </w:r>
      <w:r>
        <w:rPr>
          <w:rFonts w:hint="eastAsia" w:ascii="宋体" w:hAnsi="宋体"/>
          <w:color w:val="auto"/>
          <w:highlight w:val="none"/>
        </w:rPr>
        <w:t>分）</w:t>
      </w:r>
    </w:p>
    <w:p>
      <w:pPr>
        <w:ind w:firstLine="420"/>
        <w:rPr>
          <w:rFonts w:hint="eastAsia" w:eastAsia="宋体"/>
          <w:color w:val="auto"/>
          <w:highlight w:val="none"/>
          <w:lang w:eastAsia="zh-CN"/>
        </w:rPr>
      </w:pPr>
      <w:r>
        <w:rPr>
          <w:rFonts w:hint="eastAsia"/>
          <w:color w:val="auto"/>
          <w:highlight w:val="none"/>
          <w:lang w:eastAsia="zh-CN"/>
        </w:rPr>
        <w:t>（</w:t>
      </w:r>
      <w:r>
        <w:rPr>
          <w:rFonts w:hint="eastAsia"/>
          <w:color w:val="auto"/>
          <w:highlight w:val="none"/>
        </w:rPr>
        <w:t>注：未提供售后服务方案不得分</w:t>
      </w:r>
      <w:r>
        <w:rPr>
          <w:rFonts w:hint="eastAsia"/>
          <w:color w:val="auto"/>
          <w:highlight w:val="none"/>
          <w:lang w:eastAsia="zh-CN"/>
        </w:rPr>
        <w:t>。）</w:t>
      </w:r>
    </w:p>
    <w:p>
      <w:pPr>
        <w:widowControl/>
        <w:spacing w:line="400" w:lineRule="exact"/>
        <w:rPr>
          <w:rFonts w:hint="eastAsia" w:ascii="宋体" w:hAnsi="宋体" w:cs="宋体"/>
          <w:color w:val="auto"/>
          <w:kern w:val="0"/>
          <w:szCs w:val="21"/>
          <w:highlight w:val="none"/>
        </w:rPr>
      </w:pPr>
      <w:r>
        <w:rPr>
          <w:rFonts w:hint="eastAsia" w:ascii="宋体" w:hAnsi="宋体" w:cs="宋体"/>
          <w:b/>
          <w:bCs/>
          <w:color w:val="auto"/>
          <w:spacing w:val="-8"/>
          <w:szCs w:val="21"/>
          <w:highlight w:val="none"/>
        </w:rPr>
        <w:t xml:space="preserve">      3、</w:t>
      </w:r>
      <w:r>
        <w:rPr>
          <w:rFonts w:hint="eastAsia" w:ascii="宋体" w:hAnsi="宋体" w:cs="宋体"/>
          <w:b/>
          <w:color w:val="auto"/>
          <w:highlight w:val="none"/>
        </w:rPr>
        <w:t>商务</w:t>
      </w:r>
      <w:r>
        <w:rPr>
          <w:rFonts w:hint="eastAsia" w:ascii="宋体" w:hAnsi="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b/>
          <w:bCs/>
          <w:color w:val="auto"/>
          <w:spacing w:val="-8"/>
          <w:kern w:val="0"/>
          <w:szCs w:val="21"/>
          <w:highlight w:val="none"/>
        </w:rPr>
        <w:t>分</w:t>
      </w:r>
      <w:r>
        <w:rPr>
          <w:rFonts w:hint="eastAsia" w:ascii="宋体" w:hAnsi="宋体" w:cs="宋体"/>
          <w:color w:val="auto"/>
          <w:kern w:val="0"/>
          <w:szCs w:val="21"/>
          <w:highlight w:val="none"/>
        </w:rPr>
        <w:t xml:space="preserve">  </w:t>
      </w:r>
    </w:p>
    <w:p>
      <w:pPr>
        <w:widowControl/>
        <w:spacing w:line="400" w:lineRule="exact"/>
        <w:ind w:firstLine="525" w:firstLineChars="250"/>
        <w:rPr>
          <w:rFonts w:ascii="宋体" w:hAnsi="宋体" w:cs="宋体"/>
          <w:b w:val="0"/>
          <w:bCs w:val="0"/>
          <w:color w:val="auto"/>
          <w:szCs w:val="21"/>
          <w:highlight w:val="none"/>
        </w:rPr>
      </w:pPr>
      <w:r>
        <w:rPr>
          <w:rFonts w:hint="eastAsia" w:ascii="宋体"/>
          <w:color w:val="auto"/>
          <w:highlight w:val="none"/>
        </w:rPr>
        <w:t>（</w:t>
      </w:r>
      <w:r>
        <w:rPr>
          <w:rFonts w:hint="eastAsia" w:ascii="宋体"/>
          <w:color w:val="auto"/>
          <w:highlight w:val="none"/>
          <w:lang w:val="en-US" w:eastAsia="zh-CN"/>
        </w:rPr>
        <w:t>1</w:t>
      </w:r>
      <w:r>
        <w:rPr>
          <w:rFonts w:hint="eastAsia" w:ascii="宋体"/>
          <w:color w:val="auto"/>
          <w:highlight w:val="none"/>
        </w:rPr>
        <w:t>）</w:t>
      </w:r>
      <w:r>
        <w:rPr>
          <w:rFonts w:hint="eastAsia" w:ascii="宋体" w:hAnsi="宋体"/>
          <w:color w:val="auto"/>
          <w:szCs w:val="21"/>
          <w:highlight w:val="none"/>
        </w:rPr>
        <w:t>投标人或投标核心产品生产厂家</w:t>
      </w:r>
      <w:r>
        <w:rPr>
          <w:rFonts w:hint="eastAsia" w:ascii="宋体" w:hAnsi="宋体"/>
          <w:b w:val="0"/>
          <w:bCs w:val="0"/>
          <w:color w:val="auto"/>
          <w:szCs w:val="21"/>
          <w:highlight w:val="none"/>
        </w:rPr>
        <w:t>具有</w:t>
      </w:r>
      <w:r>
        <w:rPr>
          <w:rFonts w:hint="eastAsia" w:ascii="宋体" w:hAnsi="宋体"/>
          <w:b/>
          <w:bCs/>
          <w:color w:val="auto"/>
          <w:szCs w:val="21"/>
          <w:highlight w:val="none"/>
        </w:rPr>
        <w:t>质量管理体系认证证书、环境管理体系认证证书、职业健康安全管理体系认证证书</w:t>
      </w:r>
      <w:r>
        <w:rPr>
          <w:rFonts w:hint="eastAsia" w:ascii="宋体" w:hAnsi="宋体"/>
          <w:b w:val="0"/>
          <w:bCs w:val="0"/>
          <w:color w:val="auto"/>
          <w:szCs w:val="21"/>
          <w:highlight w:val="none"/>
        </w:rPr>
        <w:t>，每有一项证书得1分，满分</w:t>
      </w:r>
      <w:r>
        <w:rPr>
          <w:rFonts w:hint="eastAsia" w:ascii="宋体" w:hAnsi="宋体"/>
          <w:b w:val="0"/>
          <w:bCs w:val="0"/>
          <w:color w:val="auto"/>
          <w:szCs w:val="21"/>
          <w:highlight w:val="none"/>
          <w:lang w:val="en-US" w:eastAsia="zh-CN"/>
        </w:rPr>
        <w:t xml:space="preserve">3 </w:t>
      </w:r>
      <w:r>
        <w:rPr>
          <w:rFonts w:hint="eastAsia" w:ascii="宋体" w:hAnsi="宋体"/>
          <w:b w:val="0"/>
          <w:bCs w:val="0"/>
          <w:color w:val="auto"/>
          <w:szCs w:val="21"/>
          <w:highlight w:val="none"/>
        </w:rPr>
        <w:t>分。（投标文件提供证书复印件并加盖公章，证书须在有效期内）</w:t>
      </w:r>
    </w:p>
    <w:p>
      <w:pPr>
        <w:widowControl/>
        <w:spacing w:line="400" w:lineRule="exact"/>
        <w:ind w:firstLine="525" w:firstLineChars="250"/>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）投标人提供2022年1月1日至投标截止日期同类项目（</w:t>
      </w:r>
      <w:r>
        <w:rPr>
          <w:rFonts w:hint="eastAsia" w:ascii="宋体" w:hAnsi="宋体" w:cs="宋体"/>
          <w:b/>
          <w:bCs/>
          <w:color w:val="auto"/>
          <w:szCs w:val="21"/>
          <w:highlight w:val="none"/>
        </w:rPr>
        <w:t>货物包含但不限：核心产品</w:t>
      </w:r>
      <w:r>
        <w:rPr>
          <w:rFonts w:hint="eastAsia" w:ascii="宋体" w:hAnsi="宋体" w:cs="宋体"/>
          <w:color w:val="auto"/>
          <w:szCs w:val="21"/>
          <w:highlight w:val="none"/>
        </w:rPr>
        <w:t>）业绩(以合同签订日期为准)，每提供一</w:t>
      </w:r>
      <w:r>
        <w:rPr>
          <w:rFonts w:hint="eastAsia" w:ascii="宋体" w:hAnsi="宋体" w:cs="宋体"/>
          <w:color w:val="auto"/>
          <w:szCs w:val="21"/>
          <w:highlight w:val="none"/>
          <w:lang w:val="en-US" w:eastAsia="zh-CN"/>
        </w:rPr>
        <w:t>个业绩</w:t>
      </w:r>
      <w:r>
        <w:rPr>
          <w:rFonts w:hint="eastAsia" w:ascii="宋体" w:hAnsi="宋体" w:cs="宋体"/>
          <w:color w:val="auto"/>
          <w:szCs w:val="21"/>
          <w:highlight w:val="none"/>
        </w:rPr>
        <w:t>得1分，满分</w:t>
      </w: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（注：投标文件中提供有效的中标/成交通知书或合同清晰复印件（或扫描件）并加盖投标人</w:t>
      </w:r>
      <w:r>
        <w:rPr>
          <w:rFonts w:hint="eastAsia" w:ascii="宋体" w:hAnsi="宋体" w:cs="宋体"/>
          <w:b w:val="0"/>
          <w:bCs w:val="0"/>
          <w:color w:val="auto"/>
          <w:szCs w:val="21"/>
          <w:highlight w:val="none"/>
          <w:lang w:eastAsia="zh-CN"/>
        </w:rPr>
        <w:t>公章</w:t>
      </w:r>
      <w:r>
        <w:rPr>
          <w:rFonts w:hint="eastAsia" w:ascii="宋体" w:hAnsi="宋体" w:cs="宋体"/>
          <w:b w:val="0"/>
          <w:bCs w:val="0"/>
          <w:color w:val="auto"/>
          <w:szCs w:val="21"/>
          <w:highlight w:val="none"/>
        </w:rPr>
        <w:t>，否则不予以计分。）</w:t>
      </w:r>
    </w:p>
    <w:p>
      <w:pPr>
        <w:widowControl/>
        <w:spacing w:line="400" w:lineRule="exact"/>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pStyle w:val="2"/>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w:t>
      </w:r>
      <w:r>
        <w:rPr>
          <w:rFonts w:hint="eastAsia" w:ascii="宋体" w:eastAsia="宋体" w:cs="宋体"/>
          <w:b/>
          <w:bCs w:val="0"/>
          <w:color w:val="auto"/>
          <w:highlight w:val="none"/>
        </w:rPr>
        <w:t xml:space="preserve">  </w:t>
      </w:r>
      <w:r>
        <w:rPr>
          <w:rFonts w:hint="eastAsia" w:ascii="宋体" w:eastAsia="宋体" w:cs="宋体"/>
          <w:color w:val="auto"/>
          <w:highlight w:val="none"/>
        </w:rPr>
        <w:t>（</w:t>
      </w:r>
      <w:r>
        <w:rPr>
          <w:rFonts w:hint="eastAsia" w:ascii="宋体" w:eastAsia="宋体" w:cs="宋体"/>
          <w:color w:val="auto"/>
          <w:highlight w:val="none"/>
          <w:lang w:val="en-US" w:eastAsia="zh-CN"/>
        </w:rPr>
        <w:t>3</w:t>
      </w:r>
      <w:r>
        <w:rPr>
          <w:rFonts w:hint="eastAsia" w:ascii="宋体" w:eastAsia="宋体" w:cs="宋体"/>
          <w:color w:val="auto"/>
          <w:highlight w:val="none"/>
        </w:rPr>
        <w:t>）政策功能分（满分2分）</w:t>
      </w:r>
    </w:p>
    <w:p>
      <w:pPr>
        <w:pStyle w:val="2"/>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①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Style w:val="2"/>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②投标产品纳入（财库[2019]18号）中环境标志产品政府采购清单的（依据《市场监管总局关于发布参与实施政府采购节能产品、环境标志产品认证机构名录的公告》，提供所投相应型号产品有效的认证证书扫描件或其他电子文件），得1分，满分1分。</w:t>
      </w:r>
    </w:p>
    <w:p>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napToGrid/>
        <w:spacing w:before="120" w:after="120" w:line="420" w:lineRule="exact"/>
        <w:ind w:firstLine="883" w:firstLineChars="200"/>
        <w:jc w:val="left"/>
        <w:outlineLvl w:val="0"/>
        <w:rPr>
          <w:rFonts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52"/>
        <w:rPr>
          <w:rFonts w:hint="default" w:eastAsia="仿宋_GB2312"/>
          <w:color w:val="auto"/>
          <w:highlight w:val="none"/>
          <w:lang w:val="en-US"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eastAsia="仿宋_GB2312"/>
          <w:color w:val="auto"/>
          <w:highlight w:val="none"/>
          <w:lang w:val="en-US" w:eastAsia="zh-CN"/>
        </w:rPr>
        <w:t xml:space="preserve"> （</w:t>
      </w:r>
      <w:r>
        <w:rPr>
          <w:rFonts w:hint="eastAsia" w:eastAsia="仿宋_GB2312"/>
          <w:color w:val="auto"/>
          <w:highlight w:val="none"/>
          <w:lang w:val="en" w:eastAsia="zh-CN"/>
        </w:rPr>
        <w:t>适用分标</w:t>
      </w:r>
      <w:r>
        <w:rPr>
          <w:rFonts w:hint="eastAsia" w:eastAsia="仿宋_GB2312"/>
          <w:color w:val="auto"/>
          <w:highlight w:val="none"/>
          <w:lang w:val="en-US" w:eastAsia="zh-CN"/>
        </w:rPr>
        <w:t>2）</w:t>
      </w:r>
    </w:p>
    <w:p>
      <w:pPr>
        <w:pStyle w:val="30"/>
        <w:keepNext w:val="0"/>
        <w:keepLines w:val="0"/>
        <w:pageBreakBefore w:val="0"/>
        <w:kinsoku/>
        <w:wordWrap/>
        <w:overflowPunct/>
        <w:topLinePunct w:val="0"/>
        <w:autoSpaceDE/>
        <w:autoSpaceDN/>
        <w:bidi w:val="0"/>
        <w:spacing w:line="420" w:lineRule="exact"/>
        <w:ind w:firstLine="516"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6"/>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40</w:t>
      </w:r>
      <w:r>
        <w:rPr>
          <w:rFonts w:hint="eastAsia"/>
          <w:b/>
          <w:color w:val="auto"/>
          <w:highlight w:val="none"/>
          <w:shd w:val="clear" w:color="auto" w:fill="auto"/>
        </w:rPr>
        <w:t>分</w:t>
      </w:r>
    </w:p>
    <w:p>
      <w:pPr>
        <w:pStyle w:val="227"/>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扣除后的价格为评标价，即评标价=投标价×（1-10%）；除上述情况外，评标价=投标价。</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0"/>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lang w:val="en-US" w:eastAsia="zh-CN"/>
        </w:rPr>
        <w:t>40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30"/>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w:t>
      </w:r>
      <w:r>
        <w:rPr>
          <w:rFonts w:hint="eastAsia"/>
          <w:b/>
          <w:color w:val="auto"/>
          <w:highlight w:val="none"/>
          <w:shd w:val="clear" w:color="auto" w:fill="auto"/>
          <w:lang w:val="en-US" w:eastAsia="zh-CN"/>
        </w:rPr>
        <w:t>40</w:t>
      </w:r>
      <w:r>
        <w:rPr>
          <w:rFonts w:hint="eastAsia"/>
          <w:b/>
          <w:color w:val="auto"/>
          <w:highlight w:val="none"/>
          <w:shd w:val="clear" w:color="auto" w:fill="auto"/>
        </w:rPr>
        <w:t>分</w:t>
      </w:r>
    </w:p>
    <w:p>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highlight w:val="none"/>
        </w:rPr>
      </w:pPr>
      <w:r>
        <w:rPr>
          <w:rFonts w:hint="eastAsia" w:hAnsi="宋体"/>
          <w:b/>
          <w:color w:val="auto"/>
          <w:highlight w:val="none"/>
          <w:shd w:val="clear" w:color="auto" w:fil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kern w:val="0"/>
          <w:highlight w:val="none"/>
        </w:rPr>
        <w:t>2、</w:t>
      </w:r>
      <w:r>
        <w:rPr>
          <w:rFonts w:hint="eastAsia" w:ascii="宋体" w:hAnsi="宋体" w:eastAsia="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50</w:t>
      </w:r>
      <w:r>
        <w:rPr>
          <w:rFonts w:hint="eastAsia" w:ascii="宋体" w:hAnsi="宋体" w:eastAsia="宋体" w:cs="宋体"/>
          <w:b/>
          <w:color w:val="auto"/>
          <w:highlight w:val="none"/>
        </w:rPr>
        <w:t>分</w:t>
      </w:r>
    </w:p>
    <w:p>
      <w:pPr>
        <w:keepNext w:val="0"/>
        <w:keepLines w:val="0"/>
        <w:pageBreakBefore w:val="0"/>
        <w:widowControl/>
        <w:numPr>
          <w:ilvl w:val="0"/>
          <w:numId w:val="0"/>
        </w:numPr>
        <w:kinsoku/>
        <w:wordWrap/>
        <w:overflowPunct/>
        <w:topLinePunct w:val="0"/>
        <w:autoSpaceDE/>
        <w:autoSpaceDN/>
        <w:bidi w:val="0"/>
        <w:spacing w:line="360" w:lineRule="exact"/>
        <w:ind w:left="525" w:leftChars="0"/>
        <w:jc w:val="left"/>
        <w:textAlignment w:val="auto"/>
        <w:rPr>
          <w:rFonts w:hint="eastAsia" w:ascii="宋体" w:hAnsi="宋体" w:eastAsia="宋体" w:cs="宋体"/>
          <w:b/>
          <w:strike w:val="0"/>
          <w:dstrike w:val="0"/>
          <w:color w:val="auto"/>
          <w:highlight w:val="none"/>
          <w:lang w:eastAsia="zh-CN"/>
        </w:rPr>
      </w:pPr>
      <w:r>
        <w:rPr>
          <w:rFonts w:hint="eastAsia" w:ascii="宋体" w:hAnsi="宋体" w:eastAsia="宋体" w:cs="宋体"/>
          <w:b/>
          <w:strike w:val="0"/>
          <w:dstrike w:val="0"/>
          <w:color w:val="auto"/>
          <w:highlight w:val="none"/>
          <w:lang w:eastAsia="zh-CN"/>
        </w:rPr>
        <w:t>（</w:t>
      </w:r>
      <w:r>
        <w:rPr>
          <w:rFonts w:hint="eastAsia" w:ascii="宋体" w:hAnsi="宋体" w:eastAsia="宋体" w:cs="宋体"/>
          <w:b/>
          <w:strike w:val="0"/>
          <w:dstrike w:val="0"/>
          <w:color w:val="auto"/>
          <w:highlight w:val="none"/>
          <w:lang w:val="en-US" w:eastAsia="zh-CN"/>
        </w:rPr>
        <w:t>1</w:t>
      </w:r>
      <w:r>
        <w:rPr>
          <w:rFonts w:hint="eastAsia" w:ascii="宋体" w:hAnsi="宋体" w:eastAsia="宋体" w:cs="宋体"/>
          <w:b/>
          <w:strike w:val="0"/>
          <w:dstrike w:val="0"/>
          <w:color w:val="auto"/>
          <w:highlight w:val="none"/>
          <w:lang w:eastAsia="zh-CN"/>
        </w:rPr>
        <w:t>）产品及材料检测分（满分</w:t>
      </w:r>
      <w:r>
        <w:rPr>
          <w:rFonts w:hint="eastAsia" w:ascii="宋体" w:hAnsi="宋体" w:eastAsia="宋体" w:cs="宋体"/>
          <w:b/>
          <w:strike w:val="0"/>
          <w:dstrike w:val="0"/>
          <w:color w:val="auto"/>
          <w:highlight w:val="none"/>
          <w:lang w:val="en-US" w:eastAsia="zh-CN"/>
        </w:rPr>
        <w:t>8分</w:t>
      </w:r>
      <w:r>
        <w:rPr>
          <w:rFonts w:hint="eastAsia" w:ascii="宋体" w:hAnsi="宋体" w:eastAsia="宋体" w:cs="宋体"/>
          <w:b/>
          <w:strike w:val="0"/>
          <w:dstrike w:val="0"/>
          <w:color w:val="auto"/>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360" w:lineRule="exact"/>
        <w:jc w:val="left"/>
        <w:textAlignment w:val="auto"/>
        <w:rPr>
          <w:rFonts w:hint="eastAsia" w:ascii="宋体" w:hAnsi="宋体" w:cs="宋体"/>
          <w:strike w:val="0"/>
          <w:dstrike w:val="0"/>
          <w:color w:val="auto"/>
          <w:szCs w:val="21"/>
          <w:highlight w:val="none"/>
        </w:rPr>
      </w:pPr>
      <w:r>
        <w:rPr>
          <w:rFonts w:hint="eastAsia" w:hAnsi="宋体" w:cs="宋体"/>
          <w:strike w:val="0"/>
          <w:dstrike w:val="0"/>
          <w:color w:val="auto"/>
          <w:szCs w:val="21"/>
          <w:highlight w:val="none"/>
          <w:lang w:val="en-US" w:eastAsia="zh-CN"/>
        </w:rPr>
        <w:t xml:space="preserve">     </w:t>
      </w:r>
      <w:r>
        <w:rPr>
          <w:rFonts w:hint="eastAsia" w:hAnsi="宋体" w:cs="宋体"/>
          <w:strike w:val="0"/>
          <w:dstrike w:val="0"/>
          <w:color w:val="auto"/>
          <w:szCs w:val="21"/>
          <w:highlight w:val="none"/>
        </w:rPr>
        <w:t>投标人或投标产品的生产厂商提供自2020年1月1日至开标截止时间前由第三方检测（验）机构出具的</w:t>
      </w:r>
      <w:r>
        <w:rPr>
          <w:rFonts w:hint="eastAsia" w:hAnsi="宋体" w:cs="宋体"/>
          <w:strike w:val="0"/>
          <w:dstrike w:val="0"/>
          <w:color w:val="auto"/>
          <w:szCs w:val="21"/>
          <w:highlight w:val="none"/>
          <w:lang w:eastAsia="zh-CN"/>
        </w:rPr>
        <w:t>检测报告</w:t>
      </w:r>
      <w:r>
        <w:rPr>
          <w:rFonts w:hint="eastAsia" w:hAnsi="宋体" w:cs="宋体"/>
          <w:strike w:val="0"/>
          <w:dstrike w:val="0"/>
          <w:color w:val="auto"/>
          <w:szCs w:val="21"/>
          <w:highlight w:val="none"/>
        </w:rPr>
        <w:t>报告复印件</w:t>
      </w:r>
      <w:r>
        <w:rPr>
          <w:rFonts w:hint="eastAsia" w:hAnsi="宋体" w:cs="宋体"/>
          <w:strike w:val="0"/>
          <w:dstrike w:val="0"/>
          <w:color w:val="auto"/>
          <w:szCs w:val="21"/>
          <w:highlight w:val="none"/>
          <w:lang w:eastAsia="zh-CN"/>
        </w:rPr>
        <w:t>。</w:t>
      </w:r>
      <w:r>
        <w:rPr>
          <w:rFonts w:hint="eastAsia" w:ascii="宋体" w:hAnsi="宋体" w:cs="宋体"/>
          <w:strike w:val="0"/>
          <w:dstrike w:val="0"/>
          <w:color w:val="auto"/>
          <w:szCs w:val="21"/>
          <w:highlight w:val="none"/>
        </w:rPr>
        <w:t>投标人</w:t>
      </w:r>
      <w:r>
        <w:rPr>
          <w:rFonts w:hint="eastAsia" w:ascii="宋体" w:hAnsi="宋体" w:cs="宋体"/>
          <w:b w:val="0"/>
          <w:bCs w:val="0"/>
          <w:strike w:val="0"/>
          <w:dstrike w:val="0"/>
          <w:color w:val="auto"/>
          <w:szCs w:val="21"/>
          <w:highlight w:val="none"/>
          <w:lang w:val="en-US" w:eastAsia="zh-CN"/>
        </w:rPr>
        <w:t>检验（测）报告</w:t>
      </w:r>
      <w:r>
        <w:rPr>
          <w:rFonts w:hint="eastAsia" w:ascii="宋体" w:hAnsi="宋体" w:cs="宋体"/>
          <w:strike w:val="0"/>
          <w:dstrike w:val="0"/>
          <w:color w:val="auto"/>
          <w:szCs w:val="21"/>
          <w:highlight w:val="none"/>
        </w:rPr>
        <w:t>名字与要求不相同的，只要检测内容为相同则视为相符</w:t>
      </w:r>
      <w:r>
        <w:rPr>
          <w:rFonts w:hint="eastAsia" w:ascii="宋体" w:hAnsi="宋体" w:cs="宋体"/>
          <w:strike w:val="0"/>
          <w:dstrike w:val="0"/>
          <w:color w:val="auto"/>
          <w:szCs w:val="21"/>
          <w:highlight w:val="none"/>
          <w:u w:val="none"/>
          <w:lang w:eastAsia="zh-CN"/>
        </w:rPr>
        <w:t>。</w:t>
      </w:r>
      <w:r>
        <w:rPr>
          <w:rFonts w:hint="eastAsia" w:ascii="宋体" w:hAnsi="宋体" w:cs="宋体"/>
          <w:b w:val="0"/>
          <w:bCs w:val="0"/>
          <w:strike w:val="0"/>
          <w:dstrike w:val="0"/>
          <w:color w:val="auto"/>
          <w:szCs w:val="21"/>
          <w:highlight w:val="none"/>
          <w:lang w:val="en-US" w:eastAsia="zh-CN"/>
        </w:rPr>
        <w:t>检验（测）报告</w:t>
      </w:r>
      <w:r>
        <w:rPr>
          <w:rFonts w:hint="eastAsia" w:ascii="宋体" w:hAnsi="宋体" w:cs="宋体"/>
          <w:strike w:val="0"/>
          <w:dstrike w:val="0"/>
          <w:color w:val="auto"/>
          <w:szCs w:val="21"/>
          <w:highlight w:val="none"/>
        </w:rPr>
        <w:t>的送检单位</w:t>
      </w:r>
      <w:r>
        <w:rPr>
          <w:rFonts w:hint="eastAsia" w:ascii="宋体" w:hAnsi="宋体" w:cs="宋体"/>
          <w:strike w:val="0"/>
          <w:dstrike w:val="0"/>
          <w:color w:val="auto"/>
          <w:szCs w:val="21"/>
          <w:highlight w:val="none"/>
          <w:lang w:eastAsia="zh-CN"/>
        </w:rPr>
        <w:t>可以为</w:t>
      </w:r>
      <w:r>
        <w:rPr>
          <w:rFonts w:hint="eastAsia" w:ascii="宋体" w:hAnsi="宋体" w:cs="宋体"/>
          <w:strike w:val="0"/>
          <w:dstrike w:val="0"/>
          <w:color w:val="auto"/>
          <w:szCs w:val="21"/>
          <w:highlight w:val="none"/>
        </w:rPr>
        <w:t>投标人或生产厂家</w:t>
      </w:r>
      <w:r>
        <w:rPr>
          <w:rFonts w:hint="eastAsia" w:ascii="宋体" w:hAnsi="宋体" w:cs="宋体"/>
          <w:strike w:val="0"/>
          <w:dstrike w:val="0"/>
          <w:color w:val="auto"/>
          <w:szCs w:val="21"/>
          <w:highlight w:val="none"/>
          <w:lang w:eastAsia="zh-CN"/>
        </w:rPr>
        <w:t>或材料商</w:t>
      </w:r>
      <w:r>
        <w:rPr>
          <w:rFonts w:hint="eastAsia" w:ascii="宋体" w:hAnsi="宋体" w:cs="宋体"/>
          <w:strike w:val="0"/>
          <w:dstrike w:val="0"/>
          <w:color w:val="auto"/>
          <w:szCs w:val="21"/>
          <w:highlight w:val="none"/>
        </w:rPr>
        <w:t>。</w:t>
      </w:r>
    </w:p>
    <w:p>
      <w:pPr>
        <w:numPr>
          <w:ilvl w:val="0"/>
          <w:numId w:val="0"/>
        </w:numPr>
        <w:spacing w:line="400" w:lineRule="exact"/>
        <w:jc w:val="left"/>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lang w:val="en-US" w:eastAsia="zh-CN"/>
        </w:rPr>
        <w:t xml:space="preserve">     </w:t>
      </w:r>
      <w:r>
        <w:rPr>
          <w:rFonts w:hint="eastAsia" w:ascii="汉仪书宋二S" w:hAnsi="汉仪书宋二S" w:eastAsia="汉仪书宋二S" w:cs="汉仪书宋二S"/>
          <w:strike w:val="0"/>
          <w:dstrike w:val="0"/>
          <w:color w:val="auto"/>
          <w:szCs w:val="21"/>
          <w:highlight w:val="none"/>
          <w:lang w:val="en-US" w:eastAsia="zh-CN"/>
        </w:rPr>
        <w:t>①</w:t>
      </w:r>
      <w:r>
        <w:rPr>
          <w:rFonts w:hint="eastAsia" w:ascii="宋体" w:hAnsi="宋体" w:cs="宋体"/>
          <w:strike w:val="0"/>
          <w:dstrike w:val="0"/>
          <w:color w:val="auto"/>
          <w:szCs w:val="21"/>
          <w:highlight w:val="none"/>
        </w:rPr>
        <w:t>投标人提供</w:t>
      </w:r>
      <w:r>
        <w:rPr>
          <w:rFonts w:hint="eastAsia" w:ascii="宋体" w:hAnsi="宋体" w:cs="宋体"/>
          <w:strike w:val="0"/>
          <w:dstrike w:val="0"/>
          <w:color w:val="auto"/>
          <w:szCs w:val="21"/>
          <w:highlight w:val="none"/>
          <w:lang w:eastAsia="zh-CN"/>
        </w:rPr>
        <w:t>所投</w:t>
      </w:r>
      <w:r>
        <w:rPr>
          <w:rFonts w:hint="eastAsia" w:ascii="宋体" w:hAnsi="宋体" w:cs="宋体"/>
          <w:strike w:val="0"/>
          <w:dstrike w:val="0"/>
          <w:color w:val="auto"/>
          <w:szCs w:val="21"/>
          <w:highlight w:val="none"/>
        </w:rPr>
        <w:t>“礼堂椅”</w:t>
      </w:r>
      <w:r>
        <w:rPr>
          <w:rFonts w:hint="eastAsia" w:ascii="宋体" w:hAnsi="宋体" w:cs="宋体"/>
          <w:strike w:val="0"/>
          <w:dstrike w:val="0"/>
          <w:color w:val="auto"/>
          <w:szCs w:val="21"/>
          <w:highlight w:val="none"/>
          <w:lang w:eastAsia="zh-CN"/>
        </w:rPr>
        <w:t>的</w:t>
      </w:r>
      <w:r>
        <w:rPr>
          <w:rFonts w:hint="eastAsia" w:ascii="宋体" w:hAnsi="宋体" w:cs="宋体"/>
          <w:b/>
          <w:bCs/>
          <w:strike w:val="0"/>
          <w:dstrike w:val="0"/>
          <w:color w:val="auto"/>
          <w:szCs w:val="21"/>
          <w:highlight w:val="none"/>
          <w:lang w:eastAsia="zh-CN"/>
        </w:rPr>
        <w:t>型式检验报告</w:t>
      </w:r>
      <w:r>
        <w:rPr>
          <w:rFonts w:hint="eastAsia" w:ascii="宋体" w:hAnsi="宋体" w:cs="宋体"/>
          <w:strike w:val="0"/>
          <w:dstrike w:val="0"/>
          <w:color w:val="auto"/>
          <w:szCs w:val="21"/>
          <w:highlight w:val="none"/>
          <w:lang w:eastAsia="zh-CN"/>
        </w:rPr>
        <w:t>复印件，得</w:t>
      </w:r>
      <w:r>
        <w:rPr>
          <w:rFonts w:hint="eastAsia" w:ascii="宋体" w:hAnsi="宋体" w:cs="宋体"/>
          <w:strike w:val="0"/>
          <w:dstrike w:val="0"/>
          <w:color w:val="auto"/>
          <w:szCs w:val="21"/>
          <w:highlight w:val="none"/>
          <w:lang w:val="en-US" w:eastAsia="zh-CN"/>
        </w:rPr>
        <w:t>6分，</w:t>
      </w:r>
      <w:r>
        <w:rPr>
          <w:rFonts w:hint="eastAsia" w:ascii="宋体" w:hAnsi="宋体" w:cs="宋体"/>
          <w:strike w:val="0"/>
          <w:dstrike w:val="0"/>
          <w:color w:val="auto"/>
          <w:szCs w:val="21"/>
          <w:highlight w:val="none"/>
          <w:lang w:eastAsia="zh-CN"/>
        </w:rPr>
        <w:t>本项</w:t>
      </w:r>
      <w:r>
        <w:rPr>
          <w:rFonts w:hint="eastAsia" w:ascii="宋体" w:hAnsi="宋体" w:cs="宋体"/>
          <w:strike w:val="0"/>
          <w:dstrike w:val="0"/>
          <w:color w:val="auto"/>
          <w:szCs w:val="21"/>
          <w:highlight w:val="none"/>
          <w:lang w:val="en-US" w:eastAsia="zh-CN"/>
        </w:rPr>
        <w:t>满分6分。</w:t>
      </w:r>
      <w:r>
        <w:rPr>
          <w:rFonts w:hint="eastAsia" w:ascii="宋体" w:hAnsi="宋体" w:cs="宋体"/>
          <w:strike w:val="0"/>
          <w:dstrike w:val="0"/>
          <w:color w:val="auto"/>
          <w:szCs w:val="21"/>
          <w:highlight w:val="none"/>
        </w:rPr>
        <w:t>检测标准</w:t>
      </w:r>
      <w:r>
        <w:rPr>
          <w:rFonts w:hint="eastAsia" w:ascii="宋体" w:hAnsi="宋体" w:cs="宋体"/>
          <w:strike w:val="0"/>
          <w:dstrike w:val="0"/>
          <w:color w:val="auto"/>
          <w:szCs w:val="21"/>
          <w:highlight w:val="none"/>
          <w:lang w:eastAsia="zh-CN"/>
        </w:rPr>
        <w:t>为</w:t>
      </w:r>
      <w:r>
        <w:rPr>
          <w:rFonts w:hint="eastAsia" w:ascii="宋体" w:hAnsi="宋体" w:cs="宋体"/>
          <w:strike w:val="0"/>
          <w:dstrike w:val="0"/>
          <w:color w:val="auto"/>
          <w:szCs w:val="21"/>
          <w:highlight w:val="none"/>
        </w:rPr>
        <w:t>QB/T2602-2013《影剧院公共座椅》</w:t>
      </w:r>
      <w:r>
        <w:rPr>
          <w:rFonts w:hint="eastAsia" w:ascii="宋体" w:hAnsi="宋体" w:cs="宋体"/>
          <w:strike w:val="0"/>
          <w:dstrike w:val="0"/>
          <w:color w:val="auto"/>
          <w:szCs w:val="21"/>
          <w:highlight w:val="none"/>
          <w:lang w:val="en-US" w:eastAsia="zh-CN"/>
        </w:rPr>
        <w:t>。</w:t>
      </w:r>
    </w:p>
    <w:p>
      <w:pPr>
        <w:widowControl/>
        <w:tabs>
          <w:tab w:val="left" w:pos="210"/>
        </w:tabs>
        <w:spacing w:line="400" w:lineRule="exact"/>
        <w:jc w:val="left"/>
        <w:rPr>
          <w:rFonts w:hint="default"/>
          <w:color w:val="auto"/>
          <w:highlight w:val="none"/>
          <w:lang w:val="en-US" w:eastAsia="zh-CN"/>
        </w:rPr>
      </w:pPr>
      <w:r>
        <w:rPr>
          <w:rFonts w:hint="eastAsia" w:ascii="汉仪书宋二S" w:hAnsi="汉仪书宋二S" w:eastAsia="汉仪书宋二S" w:cs="汉仪书宋二S"/>
          <w:strike w:val="0"/>
          <w:dstrike w:val="0"/>
          <w:color w:val="auto"/>
          <w:szCs w:val="21"/>
          <w:highlight w:val="none"/>
          <w:lang w:val="en-US" w:eastAsia="zh-CN"/>
        </w:rPr>
        <w:t xml:space="preserve">     </w:t>
      </w:r>
      <w:r>
        <w:rPr>
          <w:rFonts w:hint="eastAsia" w:ascii="汉仪书宋二S" w:hAnsi="汉仪书宋二S" w:eastAsia="汉仪书宋二S" w:cs="汉仪书宋二S"/>
          <w:strike w:val="0"/>
          <w:dstrike w:val="0"/>
          <w:color w:val="auto"/>
          <w:szCs w:val="21"/>
          <w:highlight w:val="none"/>
        </w:rPr>
        <w:t>②</w:t>
      </w:r>
      <w:r>
        <w:rPr>
          <w:rFonts w:hint="eastAsia" w:ascii="宋体" w:hAnsi="宋体" w:cs="宋体"/>
          <w:strike w:val="0"/>
          <w:dstrike w:val="0"/>
          <w:color w:val="auto"/>
          <w:szCs w:val="21"/>
          <w:highlight w:val="none"/>
        </w:rPr>
        <w:t>投标人提供</w:t>
      </w:r>
      <w:r>
        <w:rPr>
          <w:rFonts w:hint="eastAsia" w:ascii="宋体" w:hAnsi="宋体" w:cs="宋体"/>
          <w:strike w:val="0"/>
          <w:dstrike w:val="0"/>
          <w:color w:val="auto"/>
          <w:szCs w:val="21"/>
          <w:highlight w:val="none"/>
          <w:lang w:val="en-US" w:eastAsia="zh-CN"/>
        </w:rPr>
        <w:t>礼堂椅</w:t>
      </w:r>
      <w:r>
        <w:rPr>
          <w:rFonts w:hint="eastAsia" w:ascii="宋体" w:hAnsi="宋体" w:cs="宋体"/>
          <w:strike w:val="0"/>
          <w:dstrike w:val="0"/>
          <w:color w:val="auto"/>
          <w:szCs w:val="21"/>
          <w:highlight w:val="none"/>
          <w:lang w:eastAsia="zh-CN"/>
        </w:rPr>
        <w:t>所用“</w:t>
      </w:r>
      <w:r>
        <w:rPr>
          <w:rFonts w:hint="eastAsia" w:ascii="宋体" w:hAnsi="宋体" w:cs="宋体"/>
          <w:strike w:val="0"/>
          <w:dstrike w:val="0"/>
          <w:color w:val="auto"/>
          <w:szCs w:val="21"/>
          <w:highlight w:val="none"/>
        </w:rPr>
        <w:t>海绵</w:t>
      </w:r>
      <w:r>
        <w:rPr>
          <w:rFonts w:hint="eastAsia" w:ascii="宋体" w:hAnsi="宋体" w:cs="宋体"/>
          <w:strike w:val="0"/>
          <w:dstrike w:val="0"/>
          <w:color w:val="auto"/>
          <w:szCs w:val="21"/>
          <w:highlight w:val="none"/>
          <w:lang w:eastAsia="zh-CN"/>
        </w:rPr>
        <w:t>”的合格检测报告复印件，得</w:t>
      </w:r>
      <w:r>
        <w:rPr>
          <w:rFonts w:hint="eastAsia" w:ascii="宋体" w:hAnsi="宋体" w:cs="宋体"/>
          <w:strike w:val="0"/>
          <w:dstrike w:val="0"/>
          <w:color w:val="auto"/>
          <w:szCs w:val="21"/>
          <w:highlight w:val="none"/>
          <w:lang w:val="en-US" w:eastAsia="zh-CN"/>
        </w:rPr>
        <w:t>2分，满分2分。</w:t>
      </w:r>
      <w:r>
        <w:rPr>
          <w:rFonts w:hint="eastAsia" w:ascii="宋体" w:hAnsi="宋体" w:cs="宋体"/>
          <w:strike w:val="0"/>
          <w:dstrike w:val="0"/>
          <w:color w:val="auto"/>
          <w:szCs w:val="21"/>
          <w:highlight w:val="none"/>
        </w:rPr>
        <w:t>检测标准</w:t>
      </w:r>
      <w:r>
        <w:rPr>
          <w:rFonts w:hint="eastAsia" w:ascii="宋体" w:hAnsi="宋体" w:cs="宋体"/>
          <w:strike w:val="0"/>
          <w:dstrike w:val="0"/>
          <w:color w:val="auto"/>
          <w:szCs w:val="21"/>
          <w:highlight w:val="none"/>
          <w:lang w:eastAsia="zh-CN"/>
        </w:rPr>
        <w:t>为</w:t>
      </w:r>
      <w:r>
        <w:rPr>
          <w:rFonts w:hint="eastAsia" w:ascii="宋体" w:hAnsi="宋体" w:cs="宋体"/>
          <w:strike w:val="0"/>
          <w:dstrike w:val="0"/>
          <w:color w:val="auto"/>
          <w:szCs w:val="21"/>
          <w:highlight w:val="none"/>
        </w:rPr>
        <w:t>GB/T10802-2006《通用软质聚醚型聚氨酯泡沫塑料》</w:t>
      </w:r>
      <w:r>
        <w:rPr>
          <w:rFonts w:hint="eastAsia" w:ascii="宋体" w:hAnsi="宋体" w:cs="宋体"/>
          <w:strike w:val="0"/>
          <w:dstrike w:val="0"/>
          <w:color w:val="auto"/>
          <w:szCs w:val="21"/>
          <w:highlight w:val="none"/>
          <w:lang w:eastAsia="zh-CN"/>
        </w:rPr>
        <w:t>。</w:t>
      </w:r>
    </w:p>
    <w:p>
      <w:pPr>
        <w:pStyle w:val="101"/>
        <w:numPr>
          <w:ilvl w:val="0"/>
          <w:numId w:val="12"/>
        </w:numPr>
        <w:ind w:left="0" w:leftChars="0" w:firstLine="421" w:firstLineChars="200"/>
        <w:rPr>
          <w:rFonts w:hint="eastAsia" w:ascii="宋体" w:hAnsi="宋体" w:eastAsia="宋体" w:cs="宋体"/>
          <w:b/>
          <w:bCs w:val="0"/>
          <w:color w:val="auto"/>
          <w:spacing w:val="0"/>
          <w:kern w:val="2"/>
          <w:sz w:val="21"/>
          <w:szCs w:val="21"/>
          <w:highlight w:val="none"/>
          <w:lang w:val="en-US" w:eastAsia="zh-CN" w:bidi="ar-SA"/>
        </w:rPr>
      </w:pPr>
      <w:r>
        <w:rPr>
          <w:rFonts w:hint="eastAsia" w:ascii="宋体" w:hAnsi="宋体" w:eastAsia="宋体" w:cs="宋体"/>
          <w:b/>
          <w:bCs w:val="0"/>
          <w:color w:val="auto"/>
          <w:spacing w:val="0"/>
          <w:kern w:val="2"/>
          <w:sz w:val="21"/>
          <w:szCs w:val="21"/>
          <w:highlight w:val="none"/>
          <w:lang w:val="en-US" w:eastAsia="zh-CN" w:bidi="ar-SA"/>
        </w:rPr>
        <w:t>小样分（满分1</w:t>
      </w:r>
      <w:r>
        <w:rPr>
          <w:rFonts w:hint="eastAsia" w:ascii="宋体" w:hAnsi="宋体" w:cs="宋体"/>
          <w:b/>
          <w:bCs w:val="0"/>
          <w:color w:val="auto"/>
          <w:spacing w:val="0"/>
          <w:kern w:val="2"/>
          <w:sz w:val="21"/>
          <w:szCs w:val="21"/>
          <w:highlight w:val="none"/>
          <w:lang w:val="en-US" w:eastAsia="zh-CN" w:bidi="ar-SA"/>
        </w:rPr>
        <w:t>2</w:t>
      </w:r>
      <w:r>
        <w:rPr>
          <w:rFonts w:hint="eastAsia" w:ascii="宋体" w:hAnsi="宋体" w:eastAsia="宋体" w:cs="宋体"/>
          <w:b/>
          <w:bCs w:val="0"/>
          <w:color w:val="auto"/>
          <w:spacing w:val="0"/>
          <w:kern w:val="2"/>
          <w:sz w:val="21"/>
          <w:szCs w:val="21"/>
          <w:highlight w:val="none"/>
          <w:lang w:val="en-US" w:eastAsia="zh-CN" w:bidi="ar-SA"/>
        </w:rPr>
        <w:t>分）</w:t>
      </w:r>
    </w:p>
    <w:p>
      <w:pPr>
        <w:pStyle w:val="30"/>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主要从提供的小样[详见招标项目采购需求中“投标样品（小样）]要求”的样式、厚度及外观质量、喷涂质量、工艺打磨等方面进行综合评定。</w:t>
      </w:r>
    </w:p>
    <w:p>
      <w:pPr>
        <w:pStyle w:val="30"/>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一档（</w:t>
      </w:r>
      <w:r>
        <w:rPr>
          <w:rFonts w:hint="eastAsia" w:hAnsi="宋体" w:cs="宋体"/>
          <w:color w:val="auto"/>
          <w:szCs w:val="21"/>
          <w:highlight w:val="none"/>
          <w:lang w:val="en-US" w:eastAsia="zh-CN"/>
        </w:rPr>
        <w:t>3</w:t>
      </w:r>
      <w:r>
        <w:rPr>
          <w:rFonts w:hint="eastAsia" w:hAnsi="宋体" w:eastAsia="宋体" w:cs="宋体"/>
          <w:color w:val="auto"/>
          <w:szCs w:val="21"/>
          <w:highlight w:val="none"/>
          <w:lang w:val="en-US" w:eastAsia="zh-CN"/>
        </w:rPr>
        <w:t>分）：①投标小样提供齐全；②小样外观、材质符合采购需求；③小样有瑕疵的（如有明显的焊渣、焊疤、裂缝、毛刺、黑斑等瑕疵的）。</w:t>
      </w:r>
    </w:p>
    <w:p>
      <w:pPr>
        <w:pStyle w:val="30"/>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二档（</w:t>
      </w:r>
      <w:r>
        <w:rPr>
          <w:rFonts w:hint="eastAsia" w:hAnsi="宋体" w:cs="宋体"/>
          <w:color w:val="auto"/>
          <w:szCs w:val="21"/>
          <w:highlight w:val="none"/>
          <w:lang w:val="en-US" w:eastAsia="zh-CN"/>
        </w:rPr>
        <w:t>6</w:t>
      </w:r>
      <w:r>
        <w:rPr>
          <w:rFonts w:hint="eastAsia" w:hAnsi="宋体" w:eastAsia="宋体" w:cs="宋体"/>
          <w:color w:val="auto"/>
          <w:szCs w:val="21"/>
          <w:highlight w:val="none"/>
          <w:lang w:val="en-US" w:eastAsia="zh-CN"/>
        </w:rPr>
        <w:t>分）：①投标小样提供齐全；②小样外观、样式、材质符合采购需求；③小样有瑕疵的（如有细微的焊渣、焊疤、裂缝、毛刺、黑斑等瑕疵的）。</w:t>
      </w:r>
    </w:p>
    <w:p>
      <w:pPr>
        <w:pStyle w:val="30"/>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三档（</w:t>
      </w:r>
      <w:r>
        <w:rPr>
          <w:rFonts w:hint="eastAsia" w:hAnsi="宋体" w:cs="宋体"/>
          <w:color w:val="auto"/>
          <w:szCs w:val="21"/>
          <w:highlight w:val="none"/>
          <w:lang w:val="en-US" w:eastAsia="zh-CN"/>
        </w:rPr>
        <w:t>9</w:t>
      </w:r>
      <w:r>
        <w:rPr>
          <w:rFonts w:hint="eastAsia" w:hAnsi="宋体" w:eastAsia="宋体" w:cs="宋体"/>
          <w:color w:val="auto"/>
          <w:szCs w:val="21"/>
          <w:highlight w:val="none"/>
          <w:lang w:val="en-US" w:eastAsia="zh-CN"/>
        </w:rPr>
        <w:t>分）：①投标小样提供齐全；②小样外观、样式、材质、结构设计符合采购需求；③小样无瑕疵（无细微的焊渣、焊疤、裂缝、毛刺、黑斑等瑕疵的）。</w:t>
      </w:r>
    </w:p>
    <w:p>
      <w:pPr>
        <w:pStyle w:val="30"/>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四档（1</w:t>
      </w:r>
      <w:r>
        <w:rPr>
          <w:rFonts w:hint="eastAsia" w:hAnsi="宋体" w:cs="宋体"/>
          <w:color w:val="auto"/>
          <w:szCs w:val="21"/>
          <w:highlight w:val="none"/>
          <w:lang w:val="en-US" w:eastAsia="zh-CN"/>
        </w:rPr>
        <w:t>2</w:t>
      </w:r>
      <w:r>
        <w:rPr>
          <w:rFonts w:hint="eastAsia" w:hAnsi="宋体" w:eastAsia="宋体" w:cs="宋体"/>
          <w:color w:val="auto"/>
          <w:szCs w:val="21"/>
          <w:highlight w:val="none"/>
          <w:lang w:val="en-US" w:eastAsia="zh-CN"/>
        </w:rPr>
        <w:t>分）：①投标小样提供齐全；②小样外观、样式、材质、结构设计优于采购需求的；③小样无瑕疵（无细微的焊渣、焊疤、裂缝、毛刺、黑斑等瑕疵的）；④小样外表感观好，工艺精致，无明显刺激性气味。</w:t>
      </w:r>
    </w:p>
    <w:p>
      <w:pPr>
        <w:pStyle w:val="30"/>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（注：不提供小样或提供小样数量不全的不得分）</w:t>
      </w:r>
    </w:p>
    <w:p>
      <w:pPr>
        <w:pStyle w:val="227"/>
        <w:adjustRightInd w:val="0"/>
        <w:snapToGrid w:val="0"/>
        <w:spacing w:line="288" w:lineRule="auto"/>
        <w:ind w:firstLine="379" w:firstLineChars="180"/>
        <w:rPr>
          <w:rFonts w:hint="eastAsia"/>
          <w:b/>
          <w:bCs/>
          <w:color w:val="auto"/>
          <w:kern w:val="2"/>
          <w:highlight w:val="none"/>
        </w:rPr>
      </w:pPr>
      <w:r>
        <w:rPr>
          <w:rFonts w:hint="eastAsia"/>
          <w:b/>
          <w:bCs/>
          <w:color w:val="auto"/>
          <w:kern w:val="2"/>
          <w:highlight w:val="none"/>
        </w:rPr>
        <w:t>（</w:t>
      </w:r>
      <w:r>
        <w:rPr>
          <w:rFonts w:hint="eastAsia"/>
          <w:b/>
          <w:bCs/>
          <w:color w:val="auto"/>
          <w:kern w:val="2"/>
          <w:highlight w:val="none"/>
          <w:lang w:val="en-US" w:eastAsia="zh-CN"/>
        </w:rPr>
        <w:t>3</w:t>
      </w:r>
      <w:r>
        <w:rPr>
          <w:rFonts w:hint="eastAsia"/>
          <w:b/>
          <w:bCs/>
          <w:color w:val="auto"/>
          <w:kern w:val="2"/>
          <w:highlight w:val="none"/>
        </w:rPr>
        <w:t>）项目实施</w:t>
      </w:r>
      <w:r>
        <w:rPr>
          <w:rFonts w:hint="eastAsia"/>
          <w:b/>
          <w:bCs/>
          <w:color w:val="auto"/>
          <w:kern w:val="2"/>
          <w:highlight w:val="none"/>
          <w:lang w:eastAsia="zh-CN"/>
        </w:rPr>
        <w:t>方案</w:t>
      </w:r>
      <w:r>
        <w:rPr>
          <w:rFonts w:hint="eastAsia"/>
          <w:b/>
          <w:bCs/>
          <w:color w:val="auto"/>
          <w:kern w:val="2"/>
          <w:highlight w:val="none"/>
        </w:rPr>
        <w:t>分(满分</w:t>
      </w:r>
      <w:r>
        <w:rPr>
          <w:rFonts w:hint="eastAsia"/>
          <w:b/>
          <w:bCs/>
          <w:color w:val="auto"/>
          <w:kern w:val="2"/>
          <w:highlight w:val="none"/>
          <w:lang w:val="en-US" w:eastAsia="zh-CN"/>
        </w:rPr>
        <w:t>12</w:t>
      </w:r>
      <w:r>
        <w:rPr>
          <w:rFonts w:hint="eastAsia"/>
          <w:b/>
          <w:bCs/>
          <w:color w:val="auto"/>
          <w:kern w:val="2"/>
          <w:highlight w:val="none"/>
        </w:rPr>
        <w:t>分)</w:t>
      </w:r>
    </w:p>
    <w:p>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一档（</w:t>
      </w:r>
      <w:r>
        <w:rPr>
          <w:rFonts w:hint="eastAsia"/>
          <w:bCs/>
          <w:color w:val="auto"/>
          <w:kern w:val="2"/>
          <w:highlight w:val="none"/>
          <w:lang w:val="en-US" w:eastAsia="zh-CN"/>
        </w:rPr>
        <w:t>6</w:t>
      </w:r>
      <w:r>
        <w:rPr>
          <w:rFonts w:hint="eastAsia"/>
          <w:bCs/>
          <w:color w:val="auto"/>
          <w:kern w:val="2"/>
          <w:highlight w:val="none"/>
        </w:rPr>
        <w:t>分）：有产品配送、安装方案，能按时完成配送、安装任务，保证项目正常实施。</w:t>
      </w:r>
    </w:p>
    <w:p>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二档（</w:t>
      </w:r>
      <w:r>
        <w:rPr>
          <w:rFonts w:hint="eastAsia"/>
          <w:bCs/>
          <w:color w:val="auto"/>
          <w:kern w:val="2"/>
          <w:highlight w:val="none"/>
          <w:lang w:val="en-US" w:eastAsia="zh-CN"/>
        </w:rPr>
        <w:t>9</w:t>
      </w:r>
      <w:r>
        <w:rPr>
          <w:rFonts w:hint="eastAsia"/>
          <w:bCs/>
          <w:color w:val="auto"/>
          <w:kern w:val="2"/>
          <w:highlight w:val="none"/>
        </w:rPr>
        <w:t>分）：在满足一档的基础上，方案有项目执行组织措施、保障措施，有实施组织方案。配套有货物存放仓库、送货人员、运输工具、项目实施人员，项目生产能力、实施的技术力量和人力资源安排等。</w:t>
      </w:r>
    </w:p>
    <w:p>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三档（</w:t>
      </w:r>
      <w:r>
        <w:rPr>
          <w:rFonts w:hint="eastAsia"/>
          <w:bCs/>
          <w:color w:val="auto"/>
          <w:kern w:val="2"/>
          <w:highlight w:val="none"/>
          <w:lang w:val="en-US" w:eastAsia="zh-CN"/>
        </w:rPr>
        <w:t>12</w:t>
      </w:r>
      <w:r>
        <w:rPr>
          <w:rFonts w:hint="eastAsia"/>
          <w:bCs/>
          <w:color w:val="auto"/>
          <w:kern w:val="2"/>
          <w:highlight w:val="none"/>
        </w:rPr>
        <w:t>分）：在满足二档的基础上，配送和安装有完整的流程及规范标准，方案包括安装工艺技术、配送安装组织机构、项目实施人员及设备的配备、进度计划、质量保证措施、保证安全及文明施工的措施等。</w:t>
      </w:r>
    </w:p>
    <w:p>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（备注：未提供“项目实施</w:t>
      </w:r>
      <w:r>
        <w:rPr>
          <w:rFonts w:hint="eastAsia"/>
          <w:bCs/>
          <w:color w:val="auto"/>
          <w:kern w:val="2"/>
          <w:highlight w:val="none"/>
          <w:lang w:eastAsia="zh-CN"/>
        </w:rPr>
        <w:t>方案</w:t>
      </w:r>
      <w:r>
        <w:rPr>
          <w:rFonts w:hint="eastAsia"/>
          <w:bCs/>
          <w:color w:val="auto"/>
          <w:kern w:val="2"/>
          <w:highlight w:val="none"/>
        </w:rPr>
        <w:t>”或经评定不能进档的不得分。）</w:t>
      </w:r>
    </w:p>
    <w:p>
      <w:pPr>
        <w:pStyle w:val="30"/>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bCs/>
          <w:color w:val="auto"/>
          <w:spacing w:val="-8"/>
          <w:kern w:val="0"/>
          <w:highlight w:val="none"/>
        </w:rPr>
      </w:pPr>
      <w:r>
        <w:rPr>
          <w:rFonts w:hint="eastAsia" w:hAnsi="宋体" w:cs="宋体"/>
          <w:b/>
          <w:bCs/>
          <w:color w:val="auto"/>
          <w:highlight w:val="none"/>
          <w:lang w:val="en-US" w:eastAsia="zh-CN"/>
        </w:rPr>
        <w:t xml:space="preserve"> </w:t>
      </w:r>
      <w:r>
        <w:rPr>
          <w:rFonts w:hint="eastAsia" w:ascii="宋体" w:hAnsi="宋体" w:eastAsia="宋体" w:cs="宋体"/>
          <w:b/>
          <w:bCs/>
          <w:color w:val="auto"/>
          <w:highlight w:val="none"/>
          <w:lang w:eastAsia="zh-CN"/>
        </w:rPr>
        <w:t>（</w:t>
      </w:r>
      <w:r>
        <w:rPr>
          <w:rFonts w:hint="eastAsia" w:hAnsi="宋体" w:cs="宋体"/>
          <w:b/>
          <w:bCs/>
          <w:color w:val="auto"/>
          <w:highlight w:val="none"/>
          <w:lang w:val="en-US" w:eastAsia="zh-CN"/>
        </w:rPr>
        <w:t>4</w:t>
      </w:r>
      <w:r>
        <w:rPr>
          <w:rFonts w:hint="eastAsia" w:ascii="宋体" w:hAnsi="宋体" w:eastAsia="宋体" w:cs="宋体"/>
          <w:b/>
          <w:bCs/>
          <w:color w:val="auto"/>
          <w:highlight w:val="none"/>
          <w:lang w:eastAsia="zh-CN"/>
        </w:rPr>
        <w:t>）售后服务方案</w:t>
      </w:r>
      <w:r>
        <w:rPr>
          <w:rFonts w:hint="eastAsia" w:hAnsi="宋体" w:cs="宋体"/>
          <w:b/>
          <w:bCs/>
          <w:color w:val="auto"/>
          <w:highlight w:val="none"/>
          <w:lang w:val="en-US" w:eastAsia="zh-CN"/>
        </w:rPr>
        <w:t>分</w:t>
      </w:r>
      <w:r>
        <w:rPr>
          <w:rFonts w:hint="eastAsia" w:ascii="宋体" w:hAnsi="宋体" w:eastAsia="宋体" w:cs="宋体"/>
          <w:b/>
          <w:bCs/>
          <w:color w:val="auto"/>
          <w:highlight w:val="none"/>
          <w:lang w:eastAsia="zh-CN"/>
        </w:rPr>
        <w:t>（满分</w:t>
      </w:r>
      <w:r>
        <w:rPr>
          <w:rFonts w:hint="eastAsia" w:hAnsi="宋体" w:cs="宋体"/>
          <w:b/>
          <w:bCs/>
          <w:color w:val="auto"/>
          <w:highlight w:val="none"/>
          <w:lang w:val="en-US" w:eastAsia="zh-CN"/>
        </w:rPr>
        <w:t>12</w:t>
      </w:r>
      <w:r>
        <w:rPr>
          <w:rFonts w:hint="eastAsia" w:ascii="宋体" w:hAnsi="宋体" w:eastAsia="宋体" w:cs="宋体"/>
          <w:b/>
          <w:bCs/>
          <w:color w:val="auto"/>
          <w:highlight w:val="none"/>
          <w:lang w:eastAsia="zh-CN"/>
        </w:rPr>
        <w:t>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pacing w:val="-8"/>
          <w:highlight w:val="none"/>
        </w:rPr>
        <w:t xml:space="preserve"> </w:t>
      </w:r>
      <w:r>
        <w:rPr>
          <w:rFonts w:hint="eastAsia" w:ascii="宋体" w:hAnsi="宋体" w:cs="宋体"/>
          <w:b/>
          <w:bCs/>
          <w:color w:val="auto"/>
          <w:spacing w:val="-8"/>
          <w:highlight w:val="none"/>
          <w:lang w:val="en-US" w:eastAsia="zh-CN"/>
        </w:rPr>
        <w:t xml:space="preserve">  </w:t>
      </w:r>
      <w:r>
        <w:rPr>
          <w:rFonts w:hint="eastAsia" w:ascii="宋体" w:hAnsi="宋体" w:cs="宋体"/>
          <w:b w:val="0"/>
          <w:bCs w:val="0"/>
          <w:color w:val="auto"/>
          <w:spacing w:val="-8"/>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由评标委员会根据投标人的售后服务方案，包括安装方案、设备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技术人员资质水平、培训等内容，进行综合评定并打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一档（</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分）：售后服务方案并未针对招标文件基本要求进行实质性的细化，或服务承诺没有从项目具体需求出发，表述内容对满足本项目基本需求无整体保障性。</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二档（</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三档（</w:t>
      </w:r>
      <w:r>
        <w:rPr>
          <w:rFonts w:hint="eastAsia" w:ascii="宋体" w:hAnsi="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kern w:val="2"/>
          <w:sz w:val="21"/>
          <w:szCs w:val="21"/>
          <w:highlight w:val="none"/>
          <w:lang w:val="en-US" w:eastAsia="zh-CN" w:bidi="ar-SA"/>
        </w:rPr>
        <w:t>分）：售后服务方案具体细致，在满足二档的基础上，对招标文件的基本要求进行了全面细化，各项措施针对采购单位需求提出，考虑到了项目实际需求、设置合理。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四档（</w:t>
      </w:r>
      <w:r>
        <w:rPr>
          <w:rFonts w:hint="eastAsia" w:ascii="宋体" w:hAnsi="宋体" w:cs="宋体"/>
          <w:b w:val="0"/>
          <w:bCs w:val="0"/>
          <w:color w:val="auto"/>
          <w:kern w:val="2"/>
          <w:sz w:val="21"/>
          <w:szCs w:val="21"/>
          <w:highlight w:val="none"/>
          <w:lang w:val="en-US" w:eastAsia="zh-CN" w:bidi="ar-SA"/>
        </w:rPr>
        <w:t>12</w:t>
      </w:r>
      <w:r>
        <w:rPr>
          <w:rFonts w:hint="eastAsia" w:ascii="宋体" w:hAnsi="宋体" w:eastAsia="宋体" w:cs="宋体"/>
          <w:b w:val="0"/>
          <w:bCs w:val="0"/>
          <w:color w:val="auto"/>
          <w:kern w:val="2"/>
          <w:sz w:val="21"/>
          <w:szCs w:val="21"/>
          <w:highlight w:val="none"/>
          <w:lang w:val="en-US" w:eastAsia="zh-CN" w:bidi="ar-SA"/>
        </w:rPr>
        <w:t>分）：在满足三档要求的情况下，售后服务方案周密详尽，售后服务承诺书条款对采购单位、采购项目的特点均有针对性，服务宗旨明确、服务方案的设计充分合理、培训、响应机制充分满足使用需求，后续跟踪服务具体到位。</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 注：未提供或不符合最低入档条件的按不入档计0分处理。</w:t>
      </w:r>
      <w:r>
        <w:rPr>
          <w:rFonts w:hint="eastAsia" w:ascii="宋体" w:hAnsi="宋体" w:cs="宋体"/>
          <w:b w:val="0"/>
          <w:bCs w:val="0"/>
          <w:color w:val="auto"/>
          <w:kern w:val="2"/>
          <w:sz w:val="21"/>
          <w:szCs w:val="21"/>
          <w:highlight w:val="none"/>
          <w:lang w:val="en-US" w:eastAsia="zh-CN" w:bidi="ar-SA"/>
        </w:rPr>
        <w:t>）</w:t>
      </w:r>
    </w:p>
    <w:p>
      <w:pPr>
        <w:pStyle w:val="2"/>
        <w:keepNext w:val="0"/>
        <w:keepLines w:val="0"/>
        <w:pageBreakBefore w:val="0"/>
        <w:kinsoku/>
        <w:wordWrap/>
        <w:overflowPunct/>
        <w:topLinePunct w:val="0"/>
        <w:autoSpaceDE/>
        <w:autoSpaceDN/>
        <w:bidi w:val="0"/>
        <w:spacing w:line="400" w:lineRule="exact"/>
        <w:ind w:left="0" w:leftChars="0" w:firstLine="0" w:firstLineChars="0"/>
        <w:rPr>
          <w:rFonts w:hint="eastAsia" w:ascii="宋体" w:hAnsi="宋体" w:eastAsia="宋体" w:cs="宋体"/>
          <w:b/>
          <w:bCs/>
          <w:caps w:val="0"/>
          <w:color w:val="auto"/>
          <w:spacing w:val="-8"/>
          <w:kern w:val="2"/>
          <w:sz w:val="21"/>
          <w:szCs w:val="24"/>
          <w:highlight w:val="none"/>
          <w:lang w:val="en-US" w:eastAsia="zh-CN" w:bidi="ar-SA"/>
        </w:rPr>
      </w:pPr>
      <w:r>
        <w:rPr>
          <w:rFonts w:hint="eastAsia" w:ascii="宋体" w:hAnsi="宋体" w:eastAsia="宋体" w:cs="宋体"/>
          <w:b/>
          <w:bCs/>
          <w:caps w:val="0"/>
          <w:color w:val="auto"/>
          <w:spacing w:val="-8"/>
          <w:kern w:val="2"/>
          <w:sz w:val="21"/>
          <w:szCs w:val="24"/>
          <w:highlight w:val="none"/>
          <w:lang w:val="en-US" w:eastAsia="zh-CN" w:bidi="ar-SA"/>
        </w:rPr>
        <w:t xml:space="preserve">   （</w:t>
      </w:r>
      <w:r>
        <w:rPr>
          <w:rFonts w:hint="eastAsia" w:ascii="宋体" w:eastAsia="宋体" w:cs="宋体"/>
          <w:b/>
          <w:bCs/>
          <w:caps w:val="0"/>
          <w:color w:val="auto"/>
          <w:spacing w:val="-8"/>
          <w:kern w:val="2"/>
          <w:sz w:val="21"/>
          <w:szCs w:val="24"/>
          <w:highlight w:val="none"/>
          <w:lang w:val="en-US" w:eastAsia="zh-CN" w:bidi="ar-SA"/>
        </w:rPr>
        <w:t>5</w:t>
      </w:r>
      <w:r>
        <w:rPr>
          <w:rFonts w:hint="eastAsia" w:ascii="宋体" w:hAnsi="宋体" w:eastAsia="宋体" w:cs="宋体"/>
          <w:b/>
          <w:bCs/>
          <w:caps w:val="0"/>
          <w:color w:val="auto"/>
          <w:spacing w:val="-8"/>
          <w:kern w:val="2"/>
          <w:sz w:val="21"/>
          <w:szCs w:val="24"/>
          <w:highlight w:val="none"/>
          <w:lang w:val="en-US" w:eastAsia="zh-CN" w:bidi="ar-SA"/>
        </w:rPr>
        <w:t>）质保期</w:t>
      </w:r>
      <w:r>
        <w:rPr>
          <w:rFonts w:hint="eastAsia" w:ascii="宋体" w:eastAsia="宋体" w:cs="宋体"/>
          <w:b/>
          <w:bCs/>
          <w:caps w:val="0"/>
          <w:color w:val="auto"/>
          <w:spacing w:val="-8"/>
          <w:kern w:val="2"/>
          <w:sz w:val="21"/>
          <w:szCs w:val="24"/>
          <w:highlight w:val="none"/>
          <w:lang w:val="en-US" w:eastAsia="zh-CN" w:bidi="ar-SA"/>
        </w:rPr>
        <w:t>分</w:t>
      </w:r>
      <w:r>
        <w:rPr>
          <w:rFonts w:hint="eastAsia" w:ascii="宋体" w:hAnsi="宋体" w:eastAsia="宋体" w:cs="宋体"/>
          <w:b/>
          <w:bCs/>
          <w:caps w:val="0"/>
          <w:color w:val="auto"/>
          <w:spacing w:val="-8"/>
          <w:kern w:val="2"/>
          <w:sz w:val="21"/>
          <w:szCs w:val="24"/>
          <w:highlight w:val="none"/>
          <w:lang w:val="en-US" w:eastAsia="zh-CN" w:bidi="ar-SA"/>
        </w:rPr>
        <w:t>（满分</w:t>
      </w:r>
      <w:r>
        <w:rPr>
          <w:rFonts w:hint="eastAsia" w:ascii="宋体" w:eastAsia="宋体" w:cs="宋体"/>
          <w:b/>
          <w:bCs/>
          <w:caps w:val="0"/>
          <w:color w:val="auto"/>
          <w:spacing w:val="-8"/>
          <w:kern w:val="2"/>
          <w:sz w:val="21"/>
          <w:szCs w:val="24"/>
          <w:highlight w:val="none"/>
          <w:lang w:val="en-US" w:eastAsia="zh-CN" w:bidi="ar-SA"/>
        </w:rPr>
        <w:t>6</w:t>
      </w:r>
      <w:r>
        <w:rPr>
          <w:rFonts w:hint="eastAsia" w:ascii="宋体" w:hAnsi="宋体" w:eastAsia="宋体" w:cs="宋体"/>
          <w:b/>
          <w:bCs/>
          <w:caps w:val="0"/>
          <w:color w:val="auto"/>
          <w:spacing w:val="-8"/>
          <w:kern w:val="2"/>
          <w:sz w:val="21"/>
          <w:szCs w:val="24"/>
          <w:highlight w:val="none"/>
          <w:lang w:val="en-US" w:eastAsia="zh-CN" w:bidi="ar-SA"/>
        </w:rPr>
        <w:t>分）</w:t>
      </w:r>
    </w:p>
    <w:p>
      <w:pPr>
        <w:keepNext w:val="0"/>
        <w:keepLines w:val="0"/>
        <w:widowControl/>
        <w:suppressLineNumbers w:val="0"/>
        <w:jc w:val="left"/>
        <w:textAlignment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满足基本质保期的基础上，</w:t>
      </w:r>
      <w:r>
        <w:rPr>
          <w:rFonts w:hint="eastAsia" w:ascii="宋体" w:hAnsi="宋体" w:eastAsia="宋体" w:cs="宋体"/>
          <w:color w:val="auto"/>
          <w:kern w:val="0"/>
          <w:szCs w:val="21"/>
          <w:highlight w:val="none"/>
          <w:lang w:eastAsia="zh-CN"/>
        </w:rPr>
        <w:t>所投的货物</w:t>
      </w:r>
      <w:r>
        <w:rPr>
          <w:rFonts w:hint="eastAsia" w:ascii="宋体" w:hAnsi="宋体" w:cs="宋体"/>
          <w:b/>
          <w:bCs/>
          <w:strike w:val="0"/>
          <w:dstrike w:val="0"/>
          <w:color w:val="auto"/>
          <w:kern w:val="0"/>
          <w:szCs w:val="21"/>
          <w:highlight w:val="none"/>
          <w:lang w:val="en-US" w:eastAsia="zh-CN"/>
        </w:rPr>
        <w:t>项号1“礼堂椅”</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eastAsia="zh-CN"/>
        </w:rPr>
        <w:t>均</w:t>
      </w:r>
      <w:r>
        <w:rPr>
          <w:rFonts w:hint="eastAsia" w:ascii="宋体" w:hAnsi="宋体" w:eastAsia="宋体" w:cs="宋体"/>
          <w:color w:val="auto"/>
          <w:kern w:val="0"/>
          <w:szCs w:val="21"/>
          <w:highlight w:val="none"/>
        </w:rPr>
        <w:t>每延长一年增加2分，满分</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
          <w:bCs/>
          <w:color w:val="auto"/>
          <w:spacing w:val="-8"/>
          <w:szCs w:val="21"/>
          <w:highlight w:val="none"/>
        </w:rPr>
        <w:t xml:space="preserve">   </w:t>
      </w:r>
      <w:r>
        <w:rPr>
          <w:rFonts w:hint="eastAsia" w:ascii="宋体" w:hAnsi="宋体" w:cs="宋体"/>
          <w:b/>
          <w:bCs/>
          <w:color w:val="auto"/>
          <w:spacing w:val="-8"/>
          <w:szCs w:val="21"/>
          <w:highlight w:val="none"/>
          <w:lang w:val="en-US" w:eastAsia="zh-CN"/>
        </w:rPr>
        <w:t xml:space="preserve">  </w:t>
      </w:r>
      <w:r>
        <w:rPr>
          <w:rFonts w:hint="eastAsia" w:ascii="宋体" w:hAnsi="宋体" w:eastAsia="宋体" w:cs="宋体"/>
          <w:b/>
          <w:bCs/>
          <w:color w:val="auto"/>
          <w:spacing w:val="-8"/>
          <w:szCs w:val="21"/>
          <w:highlight w:val="none"/>
        </w:rPr>
        <w:t>3、</w:t>
      </w:r>
      <w:r>
        <w:rPr>
          <w:rFonts w:hint="eastAsia" w:ascii="宋体" w:hAnsi="宋体" w:eastAsia="宋体" w:cs="宋体"/>
          <w:b/>
          <w:color w:val="auto"/>
          <w:highlight w:val="none"/>
        </w:rPr>
        <w:t>商务</w:t>
      </w:r>
      <w:r>
        <w:rPr>
          <w:rFonts w:hint="eastAsia" w:ascii="宋体" w:hAnsi="宋体" w:eastAsia="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b/>
          <w:bCs/>
          <w:color w:val="auto"/>
          <w:spacing w:val="-8"/>
          <w:kern w:val="0"/>
          <w:szCs w:val="21"/>
          <w:highlight w:val="none"/>
        </w:rPr>
        <w:t>分</w:t>
      </w:r>
      <w:r>
        <w:rPr>
          <w:rFonts w:hint="eastAsia" w:ascii="宋体" w:hAnsi="宋体" w:eastAsia="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（1）投标人具有有效期内的质量管理体系认证证书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环境管理体系认证证书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职业健康安全管理体系认证证书，每有其中一个证书得1分，满分3分。（注：投标文件中提供有效证书复印件并加盖投标人电子公章）</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（2）投标人提供2022年1月1日至投标截止日期同类项目</w:t>
      </w:r>
      <w:r>
        <w:rPr>
          <w:rFonts w:hint="eastAsia" w:ascii="宋体" w:hAnsi="宋体" w:eastAsia="宋体" w:cs="宋体"/>
          <w:b w:val="0"/>
          <w:bCs w:val="0"/>
          <w:color w:val="auto"/>
          <w:kern w:val="0"/>
          <w:szCs w:val="21"/>
          <w:highlight w:val="none"/>
          <w:lang w:eastAsia="zh-CN"/>
        </w:rPr>
        <w:t>（货物包含但不限：核心产品）</w:t>
      </w:r>
      <w:r>
        <w:rPr>
          <w:rFonts w:hint="eastAsia" w:ascii="宋体" w:hAnsi="宋体" w:eastAsia="宋体" w:cs="宋体"/>
          <w:b w:val="0"/>
          <w:bCs w:val="0"/>
          <w:color w:val="auto"/>
          <w:kern w:val="0"/>
          <w:szCs w:val="21"/>
          <w:highlight w:val="none"/>
        </w:rPr>
        <w:t>业绩(以合同签订日期为准)，</w:t>
      </w:r>
      <w:r>
        <w:rPr>
          <w:rFonts w:hint="eastAsia" w:ascii="宋体" w:hAnsi="宋体" w:cs="宋体"/>
          <w:b w:val="0"/>
          <w:bCs w:val="0"/>
          <w:color w:val="auto"/>
          <w:szCs w:val="21"/>
          <w:highlight w:val="none"/>
        </w:rPr>
        <w:t>每提供一</w:t>
      </w:r>
      <w:r>
        <w:rPr>
          <w:rFonts w:hint="eastAsia" w:ascii="宋体" w:hAnsi="宋体" w:cs="宋体"/>
          <w:b w:val="0"/>
          <w:bCs w:val="0"/>
          <w:color w:val="auto"/>
          <w:szCs w:val="21"/>
          <w:highlight w:val="none"/>
          <w:lang w:val="en-US" w:eastAsia="zh-CN"/>
        </w:rPr>
        <w:t>个业绩</w:t>
      </w:r>
      <w:r>
        <w:rPr>
          <w:rFonts w:hint="eastAsia" w:ascii="宋体" w:hAnsi="宋体" w:cs="宋体"/>
          <w:b w:val="0"/>
          <w:bCs w:val="0"/>
          <w:color w:val="auto"/>
          <w:szCs w:val="21"/>
          <w:highlight w:val="none"/>
        </w:rPr>
        <w:t>得1分</w:t>
      </w:r>
      <w:r>
        <w:rPr>
          <w:rFonts w:hint="eastAsia" w:ascii="宋体" w:hAnsi="宋体" w:eastAsia="宋体" w:cs="宋体"/>
          <w:b w:val="0"/>
          <w:bCs w:val="0"/>
          <w:color w:val="auto"/>
          <w:kern w:val="0"/>
          <w:szCs w:val="21"/>
          <w:highlight w:val="none"/>
        </w:rPr>
        <w:t>，满分5分。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注：投标文件中提供有效的中标</w:t>
      </w:r>
      <w:r>
        <w:rPr>
          <w:rFonts w:hint="eastAsia" w:ascii="宋体" w:hAnsi="宋体" w:eastAsia="宋体" w:cs="宋体"/>
          <w:b w:val="0"/>
          <w:bCs w:val="0"/>
          <w:color w:val="auto"/>
          <w:kern w:val="0"/>
          <w:szCs w:val="21"/>
          <w:highlight w:val="none"/>
          <w:lang w:val="en-US" w:eastAsia="zh-CN"/>
        </w:rPr>
        <w:t>/成交</w:t>
      </w:r>
      <w:r>
        <w:rPr>
          <w:rFonts w:hint="eastAsia" w:ascii="宋体" w:hAnsi="宋体" w:eastAsia="宋体" w:cs="宋体"/>
          <w:b w:val="0"/>
          <w:bCs w:val="0"/>
          <w:color w:val="auto"/>
          <w:kern w:val="0"/>
          <w:szCs w:val="21"/>
          <w:highlight w:val="none"/>
        </w:rPr>
        <w:t>通知书或合同清晰复印件（或扫描件）并加盖投标人电子签章，否则不予以计分。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 xml:space="preserve">                                                                                                                                                       </w:t>
      </w:r>
    </w:p>
    <w:p>
      <w:pPr>
        <w:pStyle w:val="310"/>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asciiTheme="majorEastAsia" w:hAnsiTheme="majorEastAsia" w:eastAsiaTheme="majorEastAsia" w:cstheme="majorEastAsia"/>
          <w:b w:val="0"/>
          <w:bCs w:val="0"/>
          <w:color w:val="auto"/>
          <w:szCs w:val="21"/>
          <w:highlight w:val="none"/>
          <w:lang w:eastAsia="zh-CN"/>
        </w:rPr>
      </w:pPr>
      <w:r>
        <w:rPr>
          <w:rFonts w:hint="eastAsia" w:ascii="宋体" w:hAnsi="宋体" w:eastAsia="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Theme="majorEastAsia" w:hAnsiTheme="majorEastAsia" w:eastAsiaTheme="majorEastAsia" w:cstheme="majorEastAsia"/>
          <w:b w:val="0"/>
          <w:bCs w:val="0"/>
          <w:color w:val="auto"/>
          <w:szCs w:val="21"/>
          <w:highlight w:val="none"/>
          <w:lang w:eastAsia="zh-CN"/>
        </w:rPr>
        <w:t>（</w:t>
      </w:r>
      <w:r>
        <w:rPr>
          <w:rFonts w:hint="eastAsia" w:asciiTheme="majorEastAsia" w:hAnsiTheme="majorEastAsia" w:eastAsiaTheme="majorEastAsia" w:cstheme="majorEastAsia"/>
          <w:b w:val="0"/>
          <w:bCs w:val="0"/>
          <w:color w:val="auto"/>
          <w:szCs w:val="21"/>
          <w:highlight w:val="none"/>
          <w:lang w:val="en-US" w:eastAsia="zh-CN"/>
        </w:rPr>
        <w:t>3</w:t>
      </w:r>
      <w:r>
        <w:rPr>
          <w:rFonts w:hint="eastAsia" w:asciiTheme="majorEastAsia" w:hAnsiTheme="majorEastAsia" w:eastAsiaTheme="majorEastAsia" w:cstheme="majorEastAsia"/>
          <w:b w:val="0"/>
          <w:bCs w:val="0"/>
          <w:color w:val="auto"/>
          <w:szCs w:val="21"/>
          <w:highlight w:val="none"/>
          <w:lang w:eastAsia="zh-CN"/>
        </w:rPr>
        <w:t>）</w:t>
      </w:r>
      <w:r>
        <w:rPr>
          <w:rFonts w:hint="eastAsia" w:asciiTheme="majorEastAsia" w:hAnsiTheme="majorEastAsia" w:eastAsiaTheme="majorEastAsia" w:cstheme="majorEastAsia"/>
          <w:b w:val="0"/>
          <w:bCs w:val="0"/>
          <w:color w:val="auto"/>
          <w:szCs w:val="21"/>
          <w:highlight w:val="none"/>
        </w:rPr>
        <w:t>政策功能分</w:t>
      </w:r>
      <w:r>
        <w:rPr>
          <w:rFonts w:hint="eastAsia" w:asciiTheme="majorEastAsia" w:hAnsiTheme="majorEastAsia" w:eastAsiaTheme="majorEastAsia" w:cstheme="majorEastAsia"/>
          <w:b w:val="0"/>
          <w:bCs w:val="0"/>
          <w:color w:val="auto"/>
          <w:szCs w:val="21"/>
          <w:highlight w:val="none"/>
          <w:lang w:eastAsia="zh-CN"/>
        </w:rPr>
        <w:t>（满分</w:t>
      </w:r>
      <w:r>
        <w:rPr>
          <w:rFonts w:hint="eastAsia" w:asciiTheme="majorEastAsia" w:hAnsiTheme="majorEastAsia" w:eastAsiaTheme="majorEastAsia" w:cstheme="majorEastAsia"/>
          <w:b w:val="0"/>
          <w:bCs w:val="0"/>
          <w:color w:val="auto"/>
          <w:szCs w:val="21"/>
          <w:highlight w:val="none"/>
        </w:rPr>
        <w:t>2分</w:t>
      </w:r>
      <w:r>
        <w:rPr>
          <w:rFonts w:hint="eastAsia" w:asciiTheme="majorEastAsia" w:hAnsiTheme="majorEastAsia" w:eastAsiaTheme="majorEastAsia" w:cstheme="majorEastAsia"/>
          <w:b w:val="0"/>
          <w:bCs w:val="0"/>
          <w:color w:val="auto"/>
          <w:szCs w:val="21"/>
          <w:highlight w:val="none"/>
          <w:lang w:eastAsia="zh-CN"/>
        </w:rPr>
        <w:t>）</w:t>
      </w:r>
    </w:p>
    <w:p>
      <w:pPr>
        <w:pStyle w:val="310"/>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b w:val="0"/>
          <w:bCs w:val="0"/>
          <w:color w:val="auto"/>
          <w:highlight w:val="none"/>
        </w:rPr>
      </w:pPr>
      <w:r>
        <w:rPr>
          <w:rFonts w:hint="eastAsia" w:asciiTheme="majorEastAsia" w:hAnsiTheme="majorEastAsia" w:eastAsiaTheme="majorEastAsia" w:cstheme="majorEastAsia"/>
          <w:b w:val="0"/>
          <w:bCs w:val="0"/>
          <w:color w:val="auto"/>
          <w:szCs w:val="21"/>
          <w:highlight w:val="none"/>
          <w:lang w:val="en-US" w:eastAsia="zh-CN"/>
        </w:rPr>
        <w:t xml:space="preserve">   </w:t>
      </w:r>
      <w:r>
        <w:rPr>
          <w:rFonts w:hint="eastAsia"/>
          <w:b w:val="0"/>
          <w:bCs w:val="0"/>
          <w:color w:val="auto"/>
          <w:highlight w:val="none"/>
          <w:lang w:val="en-US" w:eastAsia="zh-CN"/>
        </w:rPr>
        <w:t xml:space="preserve"> </w:t>
      </w:r>
      <w:r>
        <w:rPr>
          <w:rFonts w:hint="eastAsia"/>
          <w:b w:val="0"/>
          <w:bCs w:val="0"/>
          <w:color w:val="auto"/>
          <w:highlight w:val="none"/>
        </w:rPr>
        <w:t xml:space="preserve"> ①投标产品纳入（</w:t>
      </w:r>
      <w:r>
        <w:rPr>
          <w:rFonts w:hint="eastAsia" w:ascii="宋体" w:hAnsi="宋体" w:eastAsia="宋体" w:cs="宋体"/>
          <w:b w:val="0"/>
          <w:bCs w:val="0"/>
          <w:color w:val="auto"/>
          <w:kern w:val="2"/>
          <w:sz w:val="21"/>
          <w:szCs w:val="24"/>
          <w:highlight w:val="none"/>
          <w:lang w:val="en-US" w:eastAsia="zh-CN" w:bidi="ar-SA"/>
        </w:rPr>
        <w:t>财库[2019]19号</w:t>
      </w:r>
      <w:r>
        <w:rPr>
          <w:rFonts w:hint="eastAsia" w:eastAsia="宋体" w:cs="Times New Roman"/>
          <w:b w:val="0"/>
          <w:bCs w:val="0"/>
          <w:color w:val="auto"/>
          <w:highlight w:val="none"/>
        </w:rPr>
        <w:t>）</w:t>
      </w:r>
      <w:r>
        <w:rPr>
          <w:rFonts w:hint="eastAsia"/>
          <w:b w:val="0"/>
          <w:bCs w:val="0"/>
          <w:color w:val="auto"/>
          <w:highlight w:val="none"/>
        </w:rPr>
        <w:t>中节能产品政府采购清单的（适用于非强制采购节能产品</w:t>
      </w:r>
      <w:r>
        <w:rPr>
          <w:rFonts w:hint="eastAsia"/>
          <w:b w:val="0"/>
          <w:bCs w:val="0"/>
          <w:color w:val="auto"/>
          <w:highlight w:val="none"/>
          <w:lang w:eastAsia="zh-CN"/>
        </w:rPr>
        <w:t>，</w:t>
      </w:r>
      <w:r>
        <w:rPr>
          <w:rFonts w:hint="eastAsia"/>
          <w:b w:val="0"/>
          <w:bCs w:val="0"/>
          <w:color w:val="auto"/>
          <w:highlight w:val="none"/>
        </w:rPr>
        <w:t>依据《市场监管总局关于发布参与实施政府采购节能产品、环境标志产品认证机构名录的公告》，提供所投相应型号产品有效的认证证书扫描件或其他电子文件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r>
        <w:rPr>
          <w:rFonts w:hint="eastAsia"/>
          <w:b w:val="0"/>
          <w:bCs w:val="0"/>
          <w:color w:val="auto"/>
          <w:highlight w:val="none"/>
        </w:rPr>
        <w:t>。</w:t>
      </w:r>
    </w:p>
    <w:p>
      <w:pPr>
        <w:keepNext w:val="0"/>
        <w:keepLines w:val="0"/>
        <w:pageBreakBefore w:val="0"/>
        <w:kinsoku/>
        <w:wordWrap/>
        <w:overflowPunct/>
        <w:topLinePunct w:val="0"/>
        <w:autoSpaceDE/>
        <w:autoSpaceDN/>
        <w:bidi w:val="0"/>
        <w:spacing w:line="400" w:lineRule="exact"/>
        <w:ind w:firstLine="420" w:firstLineChars="200"/>
        <w:outlineLvl w:val="0"/>
        <w:rPr>
          <w:rFonts w:hint="eastAsia" w:ascii="宋体" w:hAnsi="宋体" w:cs="宋体"/>
          <w:b w:val="0"/>
          <w:bCs w:val="0"/>
          <w:color w:val="auto"/>
          <w:highlight w:val="none"/>
        </w:rPr>
      </w:pPr>
      <w:r>
        <w:rPr>
          <w:rFonts w:hint="eastAsia" w:ascii="宋体" w:hAnsi="宋体" w:cs="宋体"/>
          <w:b w:val="0"/>
          <w:bCs w:val="0"/>
          <w:color w:val="auto"/>
          <w:kern w:val="0"/>
          <w:szCs w:val="21"/>
          <w:highlight w:val="none"/>
          <w:lang w:val="en-US" w:eastAsia="zh-CN" w:bidi="ar"/>
        </w:rPr>
        <w:t xml:space="preserve"> </w:t>
      </w:r>
      <w:r>
        <w:rPr>
          <w:rFonts w:hint="eastAsia" w:ascii="宋体" w:hAnsi="宋体" w:cs="宋体"/>
          <w:b w:val="0"/>
          <w:bCs w:val="0"/>
          <w:color w:val="auto"/>
          <w:kern w:val="0"/>
          <w:szCs w:val="21"/>
          <w:highlight w:val="none"/>
          <w:lang w:bidi="ar"/>
        </w:rPr>
        <w:fldChar w:fldCharType="begin"/>
      </w:r>
      <w:r>
        <w:rPr>
          <w:rFonts w:hint="eastAsia" w:ascii="宋体" w:hAnsi="宋体" w:cs="宋体"/>
          <w:b w:val="0"/>
          <w:bCs w:val="0"/>
          <w:color w:val="auto"/>
          <w:kern w:val="0"/>
          <w:szCs w:val="21"/>
          <w:highlight w:val="none"/>
          <w:lang w:bidi="ar"/>
        </w:rPr>
        <w:instrText xml:space="preserve"> = 2 \* GB3 \* MERGEFORMAT </w:instrText>
      </w:r>
      <w:r>
        <w:rPr>
          <w:rFonts w:hint="eastAsia" w:ascii="宋体" w:hAnsi="宋体" w:cs="宋体"/>
          <w:b w:val="0"/>
          <w:bCs w:val="0"/>
          <w:color w:val="auto"/>
          <w:kern w:val="0"/>
          <w:szCs w:val="21"/>
          <w:highlight w:val="none"/>
          <w:lang w:bidi="ar"/>
        </w:rPr>
        <w:fldChar w:fldCharType="separate"/>
      </w:r>
      <w:r>
        <w:rPr>
          <w:rFonts w:hint="eastAsia" w:ascii="宋体" w:hAnsi="宋体" w:cs="宋体"/>
          <w:b w:val="0"/>
          <w:bCs w:val="0"/>
          <w:color w:val="auto"/>
          <w:highlight w:val="none"/>
        </w:rPr>
        <w:t>②</w:t>
      </w:r>
      <w:r>
        <w:rPr>
          <w:rFonts w:hint="eastAsia" w:ascii="宋体" w:hAnsi="宋体" w:cs="宋体"/>
          <w:b w:val="0"/>
          <w:bCs w:val="0"/>
          <w:color w:val="auto"/>
          <w:kern w:val="0"/>
          <w:szCs w:val="21"/>
          <w:highlight w:val="none"/>
          <w:lang w:bidi="ar"/>
        </w:rPr>
        <w:fldChar w:fldCharType="end"/>
      </w:r>
      <w:r>
        <w:rPr>
          <w:rFonts w:hint="eastAsia" w:ascii="宋体" w:hAnsi="宋体" w:cs="宋体"/>
          <w:b w:val="0"/>
          <w:bCs w:val="0"/>
          <w:color w:val="auto"/>
          <w:highlight w:val="none"/>
        </w:rPr>
        <w:t>投标产品纳入（财库[2019]18号）中环境标志产品政府采购清单的（依据《市场监管总局关于发</w:t>
      </w:r>
      <w:r>
        <w:rPr>
          <w:rFonts w:hint="eastAsia"/>
          <w:b w:val="0"/>
          <w:bCs w:val="0"/>
          <w:color w:val="auto"/>
          <w:highlight w:val="none"/>
        </w:rPr>
        <w:t>布参与实施政府采购节能产品、环境标志产品认证机构名录的公告》，提供所投相应型号产品有效的认</w:t>
      </w:r>
      <w:r>
        <w:rPr>
          <w:rFonts w:hint="eastAsia" w:ascii="宋体" w:hAnsi="宋体" w:cs="宋体"/>
          <w:b w:val="0"/>
          <w:bCs w:val="0"/>
          <w:color w:val="auto"/>
          <w:highlight w:val="none"/>
        </w:rPr>
        <w:t>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color w:val="auto"/>
          <w:highlight w:val="none"/>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snapToGrid w:val="0"/>
        <w:jc w:val="center"/>
        <w:rPr>
          <w:rFonts w:hint="eastAsia"/>
          <w:color w:val="auto"/>
          <w:highlight w:val="none"/>
          <w:shd w:val="clear" w:color="auto" w:fill="auto"/>
        </w:rPr>
      </w:pPr>
    </w:p>
    <w:sectPr>
      <w:footerReference r:id="rId3"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64C000" w:usb3="00000002" w:csb0="00000001" w:csb1="40000000"/>
  </w:font>
  <w:font w:name="汉仪书宋二S">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DE860"/>
    <w:multiLevelType w:val="singleLevel"/>
    <w:tmpl w:val="9C6DE860"/>
    <w:lvl w:ilvl="0" w:tentative="0">
      <w:start w:val="1"/>
      <w:numFmt w:val="decimal"/>
      <w:suff w:val="nothing"/>
      <w:lvlText w:val="%1、"/>
      <w:lvlJc w:val="left"/>
    </w:lvl>
  </w:abstractNum>
  <w:abstractNum w:abstractNumId="1">
    <w:nsid w:val="A4CFFBFF"/>
    <w:multiLevelType w:val="singleLevel"/>
    <w:tmpl w:val="A4CFFBFF"/>
    <w:lvl w:ilvl="0" w:tentative="0">
      <w:start w:val="2"/>
      <w:numFmt w:val="decimal"/>
      <w:suff w:val="nothing"/>
      <w:lvlText w:val="（%1）"/>
      <w:lvlJc w:val="left"/>
      <w:pPr>
        <w:ind w:left="30"/>
      </w:pPr>
    </w:lvl>
  </w:abstractNum>
  <w:abstractNum w:abstractNumId="2">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AEF9229"/>
    <w:rsid w:val="0B016BFE"/>
    <w:rsid w:val="0B3B9676"/>
    <w:rsid w:val="0C041CFF"/>
    <w:rsid w:val="0D603BD0"/>
    <w:rsid w:val="0DFBDADE"/>
    <w:rsid w:val="0E272EC6"/>
    <w:rsid w:val="0EF4169C"/>
    <w:rsid w:val="0F425BD6"/>
    <w:rsid w:val="0F9F2DDB"/>
    <w:rsid w:val="0FE224EF"/>
    <w:rsid w:val="0FF35CB0"/>
    <w:rsid w:val="10523E33"/>
    <w:rsid w:val="109D43B0"/>
    <w:rsid w:val="115B3EEF"/>
    <w:rsid w:val="11683B24"/>
    <w:rsid w:val="11804676"/>
    <w:rsid w:val="13045DA8"/>
    <w:rsid w:val="1318202A"/>
    <w:rsid w:val="133C3906"/>
    <w:rsid w:val="137A2AC6"/>
    <w:rsid w:val="13810AA4"/>
    <w:rsid w:val="13B660AC"/>
    <w:rsid w:val="145E6E6F"/>
    <w:rsid w:val="14BD0D6B"/>
    <w:rsid w:val="14DA77BA"/>
    <w:rsid w:val="157F1A49"/>
    <w:rsid w:val="15B71102"/>
    <w:rsid w:val="15BF56ED"/>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B6FAA61"/>
    <w:rsid w:val="1BCFCF31"/>
    <w:rsid w:val="1BDA3BC5"/>
    <w:rsid w:val="1BEE6E5A"/>
    <w:rsid w:val="1BFF6D08"/>
    <w:rsid w:val="1CDEDA0E"/>
    <w:rsid w:val="1CF94428"/>
    <w:rsid w:val="1CFBAF00"/>
    <w:rsid w:val="1D3B6AA2"/>
    <w:rsid w:val="1D886D0B"/>
    <w:rsid w:val="1DBF436D"/>
    <w:rsid w:val="1DBF78BF"/>
    <w:rsid w:val="1DEFB4C7"/>
    <w:rsid w:val="1DEFBE59"/>
    <w:rsid w:val="1DFD7FE0"/>
    <w:rsid w:val="1DFFB513"/>
    <w:rsid w:val="1E3D321B"/>
    <w:rsid w:val="1E4F32ED"/>
    <w:rsid w:val="1E7D713A"/>
    <w:rsid w:val="1EF10CB1"/>
    <w:rsid w:val="1FBF7375"/>
    <w:rsid w:val="1FEC8E86"/>
    <w:rsid w:val="1FEE6CB0"/>
    <w:rsid w:val="1FF9A8E2"/>
    <w:rsid w:val="1FFF2B4F"/>
    <w:rsid w:val="20D3029D"/>
    <w:rsid w:val="214A7396"/>
    <w:rsid w:val="218F4931"/>
    <w:rsid w:val="219E062F"/>
    <w:rsid w:val="21BFC071"/>
    <w:rsid w:val="22F30E0C"/>
    <w:rsid w:val="233708A3"/>
    <w:rsid w:val="23FD36FD"/>
    <w:rsid w:val="2577011E"/>
    <w:rsid w:val="25AD2A5D"/>
    <w:rsid w:val="25CE052F"/>
    <w:rsid w:val="261D50CD"/>
    <w:rsid w:val="264E3873"/>
    <w:rsid w:val="267A5045"/>
    <w:rsid w:val="26EE8D71"/>
    <w:rsid w:val="26F708A4"/>
    <w:rsid w:val="2732EE28"/>
    <w:rsid w:val="27370766"/>
    <w:rsid w:val="275F976D"/>
    <w:rsid w:val="2762237B"/>
    <w:rsid w:val="2776915C"/>
    <w:rsid w:val="279351FA"/>
    <w:rsid w:val="27B96C35"/>
    <w:rsid w:val="27DB2ADC"/>
    <w:rsid w:val="27EFA6FC"/>
    <w:rsid w:val="27EFDAF0"/>
    <w:rsid w:val="29DA5C3B"/>
    <w:rsid w:val="29DFDC0C"/>
    <w:rsid w:val="29FF340B"/>
    <w:rsid w:val="29FFC2FB"/>
    <w:rsid w:val="2BA95CC2"/>
    <w:rsid w:val="2BFF6160"/>
    <w:rsid w:val="2CC7271F"/>
    <w:rsid w:val="2D0B539E"/>
    <w:rsid w:val="2D4168C9"/>
    <w:rsid w:val="2D6C3F53"/>
    <w:rsid w:val="2D7D3CE6"/>
    <w:rsid w:val="2D7F49AD"/>
    <w:rsid w:val="2DA96C20"/>
    <w:rsid w:val="2DB7A765"/>
    <w:rsid w:val="2DF7D6CC"/>
    <w:rsid w:val="2E1F7190"/>
    <w:rsid w:val="2EA7AF2A"/>
    <w:rsid w:val="2EBBF7CD"/>
    <w:rsid w:val="2ECFDF22"/>
    <w:rsid w:val="2EEFE88B"/>
    <w:rsid w:val="2F6BFAC9"/>
    <w:rsid w:val="2FDDA261"/>
    <w:rsid w:val="2FF71CFE"/>
    <w:rsid w:val="2FFF07B0"/>
    <w:rsid w:val="30912494"/>
    <w:rsid w:val="30E3C6D8"/>
    <w:rsid w:val="30E65529"/>
    <w:rsid w:val="30F10593"/>
    <w:rsid w:val="31B735F1"/>
    <w:rsid w:val="32396036"/>
    <w:rsid w:val="33FBCDCC"/>
    <w:rsid w:val="34B779C7"/>
    <w:rsid w:val="34CF5CEC"/>
    <w:rsid w:val="34D477C4"/>
    <w:rsid w:val="34E055A5"/>
    <w:rsid w:val="34E5346C"/>
    <w:rsid w:val="35593E8C"/>
    <w:rsid w:val="359977C6"/>
    <w:rsid w:val="35D703D8"/>
    <w:rsid w:val="3677BA75"/>
    <w:rsid w:val="36816193"/>
    <w:rsid w:val="36995ED7"/>
    <w:rsid w:val="36B6F232"/>
    <w:rsid w:val="36DEF824"/>
    <w:rsid w:val="36FF3DC3"/>
    <w:rsid w:val="3797248F"/>
    <w:rsid w:val="37AD709D"/>
    <w:rsid w:val="37D1969F"/>
    <w:rsid w:val="37EF5621"/>
    <w:rsid w:val="37EF74DB"/>
    <w:rsid w:val="37F76A7A"/>
    <w:rsid w:val="37FB48D2"/>
    <w:rsid w:val="37FFEC72"/>
    <w:rsid w:val="384113C3"/>
    <w:rsid w:val="385B2C3E"/>
    <w:rsid w:val="389FFD0E"/>
    <w:rsid w:val="392BF547"/>
    <w:rsid w:val="39776AA3"/>
    <w:rsid w:val="397B4E51"/>
    <w:rsid w:val="398C4612"/>
    <w:rsid w:val="39A39EF4"/>
    <w:rsid w:val="39E621E1"/>
    <w:rsid w:val="39FBD2E6"/>
    <w:rsid w:val="3A7F6245"/>
    <w:rsid w:val="3AEB0E5A"/>
    <w:rsid w:val="3B3C0158"/>
    <w:rsid w:val="3B3E9B37"/>
    <w:rsid w:val="3B4FA1AF"/>
    <w:rsid w:val="3B4FA5C0"/>
    <w:rsid w:val="3B531602"/>
    <w:rsid w:val="3B8D4555"/>
    <w:rsid w:val="3BA9F012"/>
    <w:rsid w:val="3BAB9182"/>
    <w:rsid w:val="3BEB16C6"/>
    <w:rsid w:val="3BF66F8C"/>
    <w:rsid w:val="3C9B2C06"/>
    <w:rsid w:val="3CB7C9C3"/>
    <w:rsid w:val="3CCE1B4E"/>
    <w:rsid w:val="3CEF8113"/>
    <w:rsid w:val="3D29ADF6"/>
    <w:rsid w:val="3D73248C"/>
    <w:rsid w:val="3D761FDF"/>
    <w:rsid w:val="3D7D5F47"/>
    <w:rsid w:val="3D7EE166"/>
    <w:rsid w:val="3D9758B0"/>
    <w:rsid w:val="3DB15A34"/>
    <w:rsid w:val="3DCBE874"/>
    <w:rsid w:val="3DD4574E"/>
    <w:rsid w:val="3DD72671"/>
    <w:rsid w:val="3DE77B80"/>
    <w:rsid w:val="3DEAC215"/>
    <w:rsid w:val="3DF0056C"/>
    <w:rsid w:val="3DFD693B"/>
    <w:rsid w:val="3DFF2784"/>
    <w:rsid w:val="3DFFDC4F"/>
    <w:rsid w:val="3E5DE891"/>
    <w:rsid w:val="3E7EC5D1"/>
    <w:rsid w:val="3EB74863"/>
    <w:rsid w:val="3ECA3916"/>
    <w:rsid w:val="3EF66B68"/>
    <w:rsid w:val="3EF79E87"/>
    <w:rsid w:val="3F3E166A"/>
    <w:rsid w:val="3F3E884B"/>
    <w:rsid w:val="3F3F3761"/>
    <w:rsid w:val="3F673003"/>
    <w:rsid w:val="3F6A0133"/>
    <w:rsid w:val="3F7F1AE5"/>
    <w:rsid w:val="3FAFD343"/>
    <w:rsid w:val="3FBBA733"/>
    <w:rsid w:val="3FBEFB5C"/>
    <w:rsid w:val="3FBF537A"/>
    <w:rsid w:val="3FCF4807"/>
    <w:rsid w:val="3FCF8ACA"/>
    <w:rsid w:val="3FDF3ED9"/>
    <w:rsid w:val="3FDF676E"/>
    <w:rsid w:val="3FE6949F"/>
    <w:rsid w:val="3FEB6D5B"/>
    <w:rsid w:val="3FEF360D"/>
    <w:rsid w:val="3FEF7861"/>
    <w:rsid w:val="3FF1D5C2"/>
    <w:rsid w:val="3FF35356"/>
    <w:rsid w:val="3FFA0245"/>
    <w:rsid w:val="3FFEB1BF"/>
    <w:rsid w:val="3FFF25D4"/>
    <w:rsid w:val="3FFF7F4B"/>
    <w:rsid w:val="3FFF9FBB"/>
    <w:rsid w:val="3FFFA286"/>
    <w:rsid w:val="402E5086"/>
    <w:rsid w:val="417E3DFD"/>
    <w:rsid w:val="41A63871"/>
    <w:rsid w:val="421A572A"/>
    <w:rsid w:val="421E2F4D"/>
    <w:rsid w:val="425B0D45"/>
    <w:rsid w:val="428D0BB2"/>
    <w:rsid w:val="428E139A"/>
    <w:rsid w:val="43817E6A"/>
    <w:rsid w:val="4391606A"/>
    <w:rsid w:val="43EF1321"/>
    <w:rsid w:val="44260386"/>
    <w:rsid w:val="44EED997"/>
    <w:rsid w:val="45605CF4"/>
    <w:rsid w:val="45FF0815"/>
    <w:rsid w:val="46725C94"/>
    <w:rsid w:val="468E1469"/>
    <w:rsid w:val="46A67FF1"/>
    <w:rsid w:val="471F9705"/>
    <w:rsid w:val="47C47F74"/>
    <w:rsid w:val="47E7B1C1"/>
    <w:rsid w:val="47FD46E8"/>
    <w:rsid w:val="482A48FE"/>
    <w:rsid w:val="487C33A3"/>
    <w:rsid w:val="490ED232"/>
    <w:rsid w:val="491F48CF"/>
    <w:rsid w:val="49693D13"/>
    <w:rsid w:val="49B95CF4"/>
    <w:rsid w:val="4A2F3EE7"/>
    <w:rsid w:val="4AEFB419"/>
    <w:rsid w:val="4B1AD193"/>
    <w:rsid w:val="4B7744CC"/>
    <w:rsid w:val="4B7F882D"/>
    <w:rsid w:val="4BB7B22D"/>
    <w:rsid w:val="4BEF3E7F"/>
    <w:rsid w:val="4BF929FE"/>
    <w:rsid w:val="4C1F953C"/>
    <w:rsid w:val="4CBB3BB3"/>
    <w:rsid w:val="4D5ED344"/>
    <w:rsid w:val="4D678F58"/>
    <w:rsid w:val="4D70739B"/>
    <w:rsid w:val="4DAD3831"/>
    <w:rsid w:val="4DADC526"/>
    <w:rsid w:val="4DB5CA02"/>
    <w:rsid w:val="4DC36B8D"/>
    <w:rsid w:val="4DEE7E83"/>
    <w:rsid w:val="4DEF6F6C"/>
    <w:rsid w:val="4DF3F31D"/>
    <w:rsid w:val="4DF55CC5"/>
    <w:rsid w:val="4DFF118F"/>
    <w:rsid w:val="4E121292"/>
    <w:rsid w:val="4E7B459A"/>
    <w:rsid w:val="4ECD10F0"/>
    <w:rsid w:val="4EFE1133"/>
    <w:rsid w:val="4F4AF30E"/>
    <w:rsid w:val="4F5E1EC6"/>
    <w:rsid w:val="4FAE0BB5"/>
    <w:rsid w:val="4FAFB09B"/>
    <w:rsid w:val="4FCD035C"/>
    <w:rsid w:val="4FCF2D7E"/>
    <w:rsid w:val="4FF3C995"/>
    <w:rsid w:val="4FFA63C2"/>
    <w:rsid w:val="4FFE346F"/>
    <w:rsid w:val="4FFF02FB"/>
    <w:rsid w:val="4FFF26E9"/>
    <w:rsid w:val="4FFF9BD4"/>
    <w:rsid w:val="501036E9"/>
    <w:rsid w:val="505A76D1"/>
    <w:rsid w:val="50F7734E"/>
    <w:rsid w:val="51ED42C6"/>
    <w:rsid w:val="51F7DAF4"/>
    <w:rsid w:val="525F4103"/>
    <w:rsid w:val="526667B8"/>
    <w:rsid w:val="52963FB5"/>
    <w:rsid w:val="52E361B6"/>
    <w:rsid w:val="52F842CA"/>
    <w:rsid w:val="539B3FE8"/>
    <w:rsid w:val="53A32275"/>
    <w:rsid w:val="53D90AE1"/>
    <w:rsid w:val="54695B81"/>
    <w:rsid w:val="5476497C"/>
    <w:rsid w:val="54E04A12"/>
    <w:rsid w:val="55151BCF"/>
    <w:rsid w:val="553E3E88"/>
    <w:rsid w:val="55571013"/>
    <w:rsid w:val="557F59FD"/>
    <w:rsid w:val="558B2ED4"/>
    <w:rsid w:val="55BFC283"/>
    <w:rsid w:val="55D34DBF"/>
    <w:rsid w:val="55EA6B3E"/>
    <w:rsid w:val="55FF7BDB"/>
    <w:rsid w:val="56BF8D58"/>
    <w:rsid w:val="56C73045"/>
    <w:rsid w:val="56EC3D29"/>
    <w:rsid w:val="56FFA02C"/>
    <w:rsid w:val="56FFCDE5"/>
    <w:rsid w:val="57286503"/>
    <w:rsid w:val="5736C8ED"/>
    <w:rsid w:val="576511D6"/>
    <w:rsid w:val="577BB77E"/>
    <w:rsid w:val="57BE94E1"/>
    <w:rsid w:val="57DC1FBF"/>
    <w:rsid w:val="57ED2C79"/>
    <w:rsid w:val="57F483C5"/>
    <w:rsid w:val="59F7966E"/>
    <w:rsid w:val="59FF7548"/>
    <w:rsid w:val="5A29626C"/>
    <w:rsid w:val="5A4E5B07"/>
    <w:rsid w:val="5A7BFCFF"/>
    <w:rsid w:val="5ABE3825"/>
    <w:rsid w:val="5ACB49FE"/>
    <w:rsid w:val="5AEDE7B3"/>
    <w:rsid w:val="5AEF3882"/>
    <w:rsid w:val="5AFCBEAC"/>
    <w:rsid w:val="5B93C95D"/>
    <w:rsid w:val="5BC24015"/>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7FA94"/>
    <w:rsid w:val="5DBF61DA"/>
    <w:rsid w:val="5DCD610C"/>
    <w:rsid w:val="5DEF040C"/>
    <w:rsid w:val="5DF65422"/>
    <w:rsid w:val="5DF7113D"/>
    <w:rsid w:val="5DF78162"/>
    <w:rsid w:val="5DFE3C2B"/>
    <w:rsid w:val="5E1D3FB1"/>
    <w:rsid w:val="5E2A73C0"/>
    <w:rsid w:val="5E330DB9"/>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5EBF92"/>
    <w:rsid w:val="5F76F5C3"/>
    <w:rsid w:val="5FBBEC5B"/>
    <w:rsid w:val="5FBE7281"/>
    <w:rsid w:val="5FBFB419"/>
    <w:rsid w:val="5FD33607"/>
    <w:rsid w:val="5FDB0928"/>
    <w:rsid w:val="5FEE4964"/>
    <w:rsid w:val="5FEEF60C"/>
    <w:rsid w:val="5FF54A80"/>
    <w:rsid w:val="5FF6FB1C"/>
    <w:rsid w:val="5FF7A055"/>
    <w:rsid w:val="5FF7A82D"/>
    <w:rsid w:val="5FF7A9D2"/>
    <w:rsid w:val="5FF9708D"/>
    <w:rsid w:val="5FFB6BAF"/>
    <w:rsid w:val="5FFDA3EE"/>
    <w:rsid w:val="5FFE17C6"/>
    <w:rsid w:val="5FFE8776"/>
    <w:rsid w:val="5FFF436D"/>
    <w:rsid w:val="60F5C22B"/>
    <w:rsid w:val="61656F80"/>
    <w:rsid w:val="617FDA56"/>
    <w:rsid w:val="633F6CC7"/>
    <w:rsid w:val="636D2380"/>
    <w:rsid w:val="636F12CD"/>
    <w:rsid w:val="63A759EE"/>
    <w:rsid w:val="63FBE897"/>
    <w:rsid w:val="641F491E"/>
    <w:rsid w:val="648C0471"/>
    <w:rsid w:val="64B17120"/>
    <w:rsid w:val="64BE6F9B"/>
    <w:rsid w:val="64E11B2C"/>
    <w:rsid w:val="656102B9"/>
    <w:rsid w:val="657C820C"/>
    <w:rsid w:val="659C79D3"/>
    <w:rsid w:val="65B31319"/>
    <w:rsid w:val="65DF9500"/>
    <w:rsid w:val="65E747BC"/>
    <w:rsid w:val="65F78D8C"/>
    <w:rsid w:val="65FFA1F8"/>
    <w:rsid w:val="65FFE939"/>
    <w:rsid w:val="664D6828"/>
    <w:rsid w:val="6656B455"/>
    <w:rsid w:val="672F3A41"/>
    <w:rsid w:val="675EF6D4"/>
    <w:rsid w:val="676F4304"/>
    <w:rsid w:val="67D76271"/>
    <w:rsid w:val="67E61DB3"/>
    <w:rsid w:val="67EF3224"/>
    <w:rsid w:val="67FE857C"/>
    <w:rsid w:val="67FED58C"/>
    <w:rsid w:val="67FF003E"/>
    <w:rsid w:val="67FF4BB5"/>
    <w:rsid w:val="684501D4"/>
    <w:rsid w:val="686E411D"/>
    <w:rsid w:val="68D81938"/>
    <w:rsid w:val="69360996"/>
    <w:rsid w:val="693701ED"/>
    <w:rsid w:val="694D23DB"/>
    <w:rsid w:val="69650304"/>
    <w:rsid w:val="6A275F63"/>
    <w:rsid w:val="6A7A31E5"/>
    <w:rsid w:val="6AAFED99"/>
    <w:rsid w:val="6AE9C1DA"/>
    <w:rsid w:val="6B436831"/>
    <w:rsid w:val="6B6E3DC4"/>
    <w:rsid w:val="6B7179B2"/>
    <w:rsid w:val="6B77E2D5"/>
    <w:rsid w:val="6BD51137"/>
    <w:rsid w:val="6BDA6921"/>
    <w:rsid w:val="6BF7B077"/>
    <w:rsid w:val="6BF7EAFA"/>
    <w:rsid w:val="6BFD1422"/>
    <w:rsid w:val="6BFE9AF8"/>
    <w:rsid w:val="6BFF5620"/>
    <w:rsid w:val="6BFFD4BB"/>
    <w:rsid w:val="6C430D4D"/>
    <w:rsid w:val="6C6145E6"/>
    <w:rsid w:val="6C642A0F"/>
    <w:rsid w:val="6CB076BA"/>
    <w:rsid w:val="6CF7BF9B"/>
    <w:rsid w:val="6CFD091F"/>
    <w:rsid w:val="6CFFC3B5"/>
    <w:rsid w:val="6CFFCCC8"/>
    <w:rsid w:val="6D1B9328"/>
    <w:rsid w:val="6D50169A"/>
    <w:rsid w:val="6D73CC41"/>
    <w:rsid w:val="6D77449D"/>
    <w:rsid w:val="6D79D443"/>
    <w:rsid w:val="6DA50DBC"/>
    <w:rsid w:val="6DB5F7F1"/>
    <w:rsid w:val="6DBA2ADD"/>
    <w:rsid w:val="6DDD1263"/>
    <w:rsid w:val="6DEF40CD"/>
    <w:rsid w:val="6DF8D4BD"/>
    <w:rsid w:val="6DF9AADB"/>
    <w:rsid w:val="6E162B44"/>
    <w:rsid w:val="6EBFEB94"/>
    <w:rsid w:val="6ECDB658"/>
    <w:rsid w:val="6EF127BF"/>
    <w:rsid w:val="6EFD3EB9"/>
    <w:rsid w:val="6EFE8F88"/>
    <w:rsid w:val="6F3B17DD"/>
    <w:rsid w:val="6F53462D"/>
    <w:rsid w:val="6F71D401"/>
    <w:rsid w:val="6F7796A3"/>
    <w:rsid w:val="6F7F319E"/>
    <w:rsid w:val="6F8F7E74"/>
    <w:rsid w:val="6FAD6FD3"/>
    <w:rsid w:val="6FB4E98C"/>
    <w:rsid w:val="6FBD54F7"/>
    <w:rsid w:val="6FBFEC2E"/>
    <w:rsid w:val="6FCF7FB5"/>
    <w:rsid w:val="6FD902DD"/>
    <w:rsid w:val="6FDB225A"/>
    <w:rsid w:val="6FDE7331"/>
    <w:rsid w:val="6FDFCB2A"/>
    <w:rsid w:val="6FE5BAF3"/>
    <w:rsid w:val="6FE7C91E"/>
    <w:rsid w:val="6FEFA143"/>
    <w:rsid w:val="6FF716C9"/>
    <w:rsid w:val="6FF71E06"/>
    <w:rsid w:val="6FF7F514"/>
    <w:rsid w:val="6FFB03C9"/>
    <w:rsid w:val="6FFC15B4"/>
    <w:rsid w:val="6FFD4120"/>
    <w:rsid w:val="6FFE0FFC"/>
    <w:rsid w:val="6FFE3253"/>
    <w:rsid w:val="6FFF1619"/>
    <w:rsid w:val="704666B3"/>
    <w:rsid w:val="7076285A"/>
    <w:rsid w:val="70DE4677"/>
    <w:rsid w:val="70F4632C"/>
    <w:rsid w:val="71AD6475"/>
    <w:rsid w:val="71C542E2"/>
    <w:rsid w:val="71FB6C78"/>
    <w:rsid w:val="71FE8064"/>
    <w:rsid w:val="721FCB48"/>
    <w:rsid w:val="724E022D"/>
    <w:rsid w:val="725956F5"/>
    <w:rsid w:val="7277DA3B"/>
    <w:rsid w:val="727BDBB6"/>
    <w:rsid w:val="72874010"/>
    <w:rsid w:val="72CF0DAC"/>
    <w:rsid w:val="72F2C217"/>
    <w:rsid w:val="72FB5973"/>
    <w:rsid w:val="733EB3E8"/>
    <w:rsid w:val="739EBC35"/>
    <w:rsid w:val="73AFD98D"/>
    <w:rsid w:val="73BB6BF6"/>
    <w:rsid w:val="73BF8F93"/>
    <w:rsid w:val="73BFDBC7"/>
    <w:rsid w:val="73DF29A0"/>
    <w:rsid w:val="73E55634"/>
    <w:rsid w:val="73E99824"/>
    <w:rsid w:val="73EFF69A"/>
    <w:rsid w:val="73F32AB8"/>
    <w:rsid w:val="73FF1F09"/>
    <w:rsid w:val="73FFA5BE"/>
    <w:rsid w:val="73FFBC62"/>
    <w:rsid w:val="741811A2"/>
    <w:rsid w:val="741B741F"/>
    <w:rsid w:val="744EA2DA"/>
    <w:rsid w:val="745B3E5A"/>
    <w:rsid w:val="74EDFC71"/>
    <w:rsid w:val="751A2D35"/>
    <w:rsid w:val="7562642D"/>
    <w:rsid w:val="75B2D8F4"/>
    <w:rsid w:val="75CB71F4"/>
    <w:rsid w:val="75CB9CA2"/>
    <w:rsid w:val="75CF66C2"/>
    <w:rsid w:val="75DFCDD0"/>
    <w:rsid w:val="75E7EC3E"/>
    <w:rsid w:val="75ED4C81"/>
    <w:rsid w:val="75EE106A"/>
    <w:rsid w:val="75FB87B9"/>
    <w:rsid w:val="75FE714E"/>
    <w:rsid w:val="76683441"/>
    <w:rsid w:val="76B7A01E"/>
    <w:rsid w:val="76BA7B74"/>
    <w:rsid w:val="76C41C51"/>
    <w:rsid w:val="76D73466"/>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EFEDF"/>
    <w:rsid w:val="77BF0C56"/>
    <w:rsid w:val="77BF2C6C"/>
    <w:rsid w:val="77BF4469"/>
    <w:rsid w:val="77BF6CA4"/>
    <w:rsid w:val="77D3B109"/>
    <w:rsid w:val="77DA9E1C"/>
    <w:rsid w:val="77DF0902"/>
    <w:rsid w:val="77EBC94C"/>
    <w:rsid w:val="77EC7166"/>
    <w:rsid w:val="77F3F99A"/>
    <w:rsid w:val="77F7B6A1"/>
    <w:rsid w:val="77FB3794"/>
    <w:rsid w:val="77FB69F2"/>
    <w:rsid w:val="77FC1973"/>
    <w:rsid w:val="77FE7220"/>
    <w:rsid w:val="77FF2E5D"/>
    <w:rsid w:val="77FF6BD3"/>
    <w:rsid w:val="77FF73FE"/>
    <w:rsid w:val="77FF8DE4"/>
    <w:rsid w:val="77FF96DC"/>
    <w:rsid w:val="77FF98D9"/>
    <w:rsid w:val="77FFD07D"/>
    <w:rsid w:val="780E2ADE"/>
    <w:rsid w:val="783FA804"/>
    <w:rsid w:val="784B2F01"/>
    <w:rsid w:val="78DB50B6"/>
    <w:rsid w:val="78E751EF"/>
    <w:rsid w:val="795A4F5B"/>
    <w:rsid w:val="797F5239"/>
    <w:rsid w:val="79B78C19"/>
    <w:rsid w:val="79DD1813"/>
    <w:rsid w:val="79FF7B0D"/>
    <w:rsid w:val="7A4A60C9"/>
    <w:rsid w:val="7A71A7FD"/>
    <w:rsid w:val="7A97FF58"/>
    <w:rsid w:val="7AB5C811"/>
    <w:rsid w:val="7ADC9D1C"/>
    <w:rsid w:val="7AF30C9D"/>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C7C2B2"/>
    <w:rsid w:val="7BCDC113"/>
    <w:rsid w:val="7BD298ED"/>
    <w:rsid w:val="7BD32125"/>
    <w:rsid w:val="7BDB155B"/>
    <w:rsid w:val="7BDDE200"/>
    <w:rsid w:val="7BE74C94"/>
    <w:rsid w:val="7BE8B7E0"/>
    <w:rsid w:val="7BEFBC60"/>
    <w:rsid w:val="7BF5878C"/>
    <w:rsid w:val="7BF5E51E"/>
    <w:rsid w:val="7BF74946"/>
    <w:rsid w:val="7BF85915"/>
    <w:rsid w:val="7BFEB61B"/>
    <w:rsid w:val="7BFFE1E3"/>
    <w:rsid w:val="7C3DCC41"/>
    <w:rsid w:val="7C6E6434"/>
    <w:rsid w:val="7CA144D9"/>
    <w:rsid w:val="7CBF4862"/>
    <w:rsid w:val="7CE37221"/>
    <w:rsid w:val="7CE7B5D6"/>
    <w:rsid w:val="7CF37388"/>
    <w:rsid w:val="7CFA7567"/>
    <w:rsid w:val="7CFAD471"/>
    <w:rsid w:val="7CFC9292"/>
    <w:rsid w:val="7CFCE577"/>
    <w:rsid w:val="7CFE1B60"/>
    <w:rsid w:val="7D2FD223"/>
    <w:rsid w:val="7D5D42EC"/>
    <w:rsid w:val="7D696218"/>
    <w:rsid w:val="7D6E0348"/>
    <w:rsid w:val="7D732DDD"/>
    <w:rsid w:val="7D7E1CC4"/>
    <w:rsid w:val="7D7F35B0"/>
    <w:rsid w:val="7D7F7B08"/>
    <w:rsid w:val="7D897E48"/>
    <w:rsid w:val="7D9730E6"/>
    <w:rsid w:val="7DA55C93"/>
    <w:rsid w:val="7DAF073E"/>
    <w:rsid w:val="7DB7C70A"/>
    <w:rsid w:val="7DBA4278"/>
    <w:rsid w:val="7DBC57BD"/>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6F95A"/>
    <w:rsid w:val="7DF7FC2B"/>
    <w:rsid w:val="7DFBE697"/>
    <w:rsid w:val="7DFD5F34"/>
    <w:rsid w:val="7DFDDCC0"/>
    <w:rsid w:val="7DFE2F0F"/>
    <w:rsid w:val="7E2B1B1F"/>
    <w:rsid w:val="7E4435A0"/>
    <w:rsid w:val="7E47CD03"/>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857F"/>
    <w:rsid w:val="7EFD6A88"/>
    <w:rsid w:val="7EFF019F"/>
    <w:rsid w:val="7EFF50EB"/>
    <w:rsid w:val="7EFF5ED2"/>
    <w:rsid w:val="7EFFE722"/>
    <w:rsid w:val="7F37422C"/>
    <w:rsid w:val="7F37B6C6"/>
    <w:rsid w:val="7F4FE693"/>
    <w:rsid w:val="7F52B9EE"/>
    <w:rsid w:val="7F570B34"/>
    <w:rsid w:val="7F5E35AF"/>
    <w:rsid w:val="7F5E413C"/>
    <w:rsid w:val="7F6E4D68"/>
    <w:rsid w:val="7F7547E0"/>
    <w:rsid w:val="7F795B47"/>
    <w:rsid w:val="7F7EFBC9"/>
    <w:rsid w:val="7F7F4C63"/>
    <w:rsid w:val="7F7F88FE"/>
    <w:rsid w:val="7F9450B2"/>
    <w:rsid w:val="7F9B6B55"/>
    <w:rsid w:val="7F9E9DD4"/>
    <w:rsid w:val="7FA38CEE"/>
    <w:rsid w:val="7FA7C4F9"/>
    <w:rsid w:val="7FA932EE"/>
    <w:rsid w:val="7FABC639"/>
    <w:rsid w:val="7FAD9DD0"/>
    <w:rsid w:val="7FAF17A5"/>
    <w:rsid w:val="7FAF8AFF"/>
    <w:rsid w:val="7FB2CBDF"/>
    <w:rsid w:val="7FB30E7D"/>
    <w:rsid w:val="7FB79512"/>
    <w:rsid w:val="7FBC335E"/>
    <w:rsid w:val="7FBC5AFD"/>
    <w:rsid w:val="7FBD1317"/>
    <w:rsid w:val="7FBD9CD3"/>
    <w:rsid w:val="7FBE3A7A"/>
    <w:rsid w:val="7FBEDAF6"/>
    <w:rsid w:val="7FBF37F2"/>
    <w:rsid w:val="7FBF790E"/>
    <w:rsid w:val="7FBF7DC2"/>
    <w:rsid w:val="7FBF8B21"/>
    <w:rsid w:val="7FBFA282"/>
    <w:rsid w:val="7FBFEB69"/>
    <w:rsid w:val="7FC0448B"/>
    <w:rsid w:val="7FC9169B"/>
    <w:rsid w:val="7FCBE30D"/>
    <w:rsid w:val="7FCFE374"/>
    <w:rsid w:val="7FD713CC"/>
    <w:rsid w:val="7FD9127F"/>
    <w:rsid w:val="7FD92F11"/>
    <w:rsid w:val="7FDAC39C"/>
    <w:rsid w:val="7FDB945F"/>
    <w:rsid w:val="7FDCADA8"/>
    <w:rsid w:val="7FDE127E"/>
    <w:rsid w:val="7FDE2061"/>
    <w:rsid w:val="7FDE354E"/>
    <w:rsid w:val="7FDF40D7"/>
    <w:rsid w:val="7FDF9342"/>
    <w:rsid w:val="7FE77CC4"/>
    <w:rsid w:val="7FE9238B"/>
    <w:rsid w:val="7FEB85CC"/>
    <w:rsid w:val="7FEF1DEB"/>
    <w:rsid w:val="7FEFBBEE"/>
    <w:rsid w:val="7FEFF6AD"/>
    <w:rsid w:val="7FF453DC"/>
    <w:rsid w:val="7FF53FC6"/>
    <w:rsid w:val="7FF701E9"/>
    <w:rsid w:val="7FF72FF4"/>
    <w:rsid w:val="7FF88170"/>
    <w:rsid w:val="7FFB0636"/>
    <w:rsid w:val="7FFB2914"/>
    <w:rsid w:val="7FFB51BE"/>
    <w:rsid w:val="7FFB6A91"/>
    <w:rsid w:val="7FFBA9B5"/>
    <w:rsid w:val="7FFC4B2A"/>
    <w:rsid w:val="7FFCB6FC"/>
    <w:rsid w:val="7FFD320A"/>
    <w:rsid w:val="7FFF0A39"/>
    <w:rsid w:val="7FFF18DF"/>
    <w:rsid w:val="7FFFA237"/>
    <w:rsid w:val="7FFFA720"/>
    <w:rsid w:val="7FFFA8F0"/>
    <w:rsid w:val="7FFFB070"/>
    <w:rsid w:val="7FFFB9C6"/>
    <w:rsid w:val="81F18177"/>
    <w:rsid w:val="84F3EEA4"/>
    <w:rsid w:val="857DCA8C"/>
    <w:rsid w:val="873D52FC"/>
    <w:rsid w:val="8B9F340F"/>
    <w:rsid w:val="8E7EEFA5"/>
    <w:rsid w:val="8F7B6424"/>
    <w:rsid w:val="8FBF9EA4"/>
    <w:rsid w:val="8FED2F9E"/>
    <w:rsid w:val="8FFD0918"/>
    <w:rsid w:val="9375A62C"/>
    <w:rsid w:val="93BB7998"/>
    <w:rsid w:val="93FE2EBD"/>
    <w:rsid w:val="957D9633"/>
    <w:rsid w:val="96DB80FD"/>
    <w:rsid w:val="96DD27EB"/>
    <w:rsid w:val="97D863FB"/>
    <w:rsid w:val="99D77A41"/>
    <w:rsid w:val="9AFAD547"/>
    <w:rsid w:val="9B6D7D98"/>
    <w:rsid w:val="9B9FF190"/>
    <w:rsid w:val="9BE7DD3E"/>
    <w:rsid w:val="9BFE5D1B"/>
    <w:rsid w:val="9C2D62C5"/>
    <w:rsid w:val="9CDF4B66"/>
    <w:rsid w:val="9CF9F38E"/>
    <w:rsid w:val="9D77CC9D"/>
    <w:rsid w:val="9E3F2FA2"/>
    <w:rsid w:val="9EE22732"/>
    <w:rsid w:val="9EEB06CE"/>
    <w:rsid w:val="9F1BCEB1"/>
    <w:rsid w:val="9F5F0D2C"/>
    <w:rsid w:val="9F7F7399"/>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BFAA822"/>
    <w:rsid w:val="ACBFD4B8"/>
    <w:rsid w:val="ACFA3339"/>
    <w:rsid w:val="ADA6007E"/>
    <w:rsid w:val="ADCFA514"/>
    <w:rsid w:val="AE7F4CDB"/>
    <w:rsid w:val="AEFBEDE2"/>
    <w:rsid w:val="AF772FC8"/>
    <w:rsid w:val="AF7DC01E"/>
    <w:rsid w:val="AFD72315"/>
    <w:rsid w:val="AFDF533A"/>
    <w:rsid w:val="AFF67AA9"/>
    <w:rsid w:val="AFF7527D"/>
    <w:rsid w:val="AFFFA1A6"/>
    <w:rsid w:val="B0FFBD90"/>
    <w:rsid w:val="B17B764D"/>
    <w:rsid w:val="B2FF5DDA"/>
    <w:rsid w:val="B374FBE0"/>
    <w:rsid w:val="B37FD117"/>
    <w:rsid w:val="B3DCEFF3"/>
    <w:rsid w:val="B3F763FD"/>
    <w:rsid w:val="B3FB50B9"/>
    <w:rsid w:val="B675F493"/>
    <w:rsid w:val="B6D5EC63"/>
    <w:rsid w:val="B6DD05AB"/>
    <w:rsid w:val="B6EACFCF"/>
    <w:rsid w:val="B6EC7BC0"/>
    <w:rsid w:val="B777AE16"/>
    <w:rsid w:val="B77DCC5C"/>
    <w:rsid w:val="B7BB8F72"/>
    <w:rsid w:val="B7DF047F"/>
    <w:rsid w:val="B7DF5616"/>
    <w:rsid w:val="B7DF7816"/>
    <w:rsid w:val="B7F52EED"/>
    <w:rsid w:val="B7FA3634"/>
    <w:rsid w:val="B7FD5D3B"/>
    <w:rsid w:val="B991A51D"/>
    <w:rsid w:val="B9FF6ADC"/>
    <w:rsid w:val="BA7B7903"/>
    <w:rsid w:val="BABFFD34"/>
    <w:rsid w:val="BB2E45B1"/>
    <w:rsid w:val="BBAFBAB2"/>
    <w:rsid w:val="BBCECFDB"/>
    <w:rsid w:val="BBE9D1DD"/>
    <w:rsid w:val="BBF32364"/>
    <w:rsid w:val="BC5D25E6"/>
    <w:rsid w:val="BC7FDC1C"/>
    <w:rsid w:val="BCB73D11"/>
    <w:rsid w:val="BD1F5AE9"/>
    <w:rsid w:val="BD49C577"/>
    <w:rsid w:val="BD57B2B1"/>
    <w:rsid w:val="BD6F761E"/>
    <w:rsid w:val="BD772A0D"/>
    <w:rsid w:val="BD7F4132"/>
    <w:rsid w:val="BDBE6A84"/>
    <w:rsid w:val="BDCF7ADE"/>
    <w:rsid w:val="BDEE245C"/>
    <w:rsid w:val="BEDE61D9"/>
    <w:rsid w:val="BEECC0F3"/>
    <w:rsid w:val="BEEF69F5"/>
    <w:rsid w:val="BEFE7628"/>
    <w:rsid w:val="BF038994"/>
    <w:rsid w:val="BF17D58A"/>
    <w:rsid w:val="BF550B6A"/>
    <w:rsid w:val="BF5FC9D0"/>
    <w:rsid w:val="BF7E5043"/>
    <w:rsid w:val="BFADC2A3"/>
    <w:rsid w:val="BFB761DD"/>
    <w:rsid w:val="BFBF242B"/>
    <w:rsid w:val="BFBFA5EB"/>
    <w:rsid w:val="BFBFE6FC"/>
    <w:rsid w:val="BFCFBB5F"/>
    <w:rsid w:val="BFDA8798"/>
    <w:rsid w:val="BFDB645D"/>
    <w:rsid w:val="BFDDF50E"/>
    <w:rsid w:val="BFDE6F09"/>
    <w:rsid w:val="BFDFAA72"/>
    <w:rsid w:val="BFDFEB46"/>
    <w:rsid w:val="BFF26A67"/>
    <w:rsid w:val="BFF7C717"/>
    <w:rsid w:val="BFFF97C2"/>
    <w:rsid w:val="BFFFFA17"/>
    <w:rsid w:val="C3BBEEDE"/>
    <w:rsid w:val="C5AC0AC5"/>
    <w:rsid w:val="C6473A2D"/>
    <w:rsid w:val="C7FB8E09"/>
    <w:rsid w:val="C8FB5839"/>
    <w:rsid w:val="CBE74978"/>
    <w:rsid w:val="CBFE3D58"/>
    <w:rsid w:val="CBFEFB0C"/>
    <w:rsid w:val="CC8BBDE1"/>
    <w:rsid w:val="CCEC791A"/>
    <w:rsid w:val="CDF16012"/>
    <w:rsid w:val="CDFFB12E"/>
    <w:rsid w:val="CEAD47A0"/>
    <w:rsid w:val="CEEB128B"/>
    <w:rsid w:val="CF3FC383"/>
    <w:rsid w:val="CF57DF9C"/>
    <w:rsid w:val="CF6F24A8"/>
    <w:rsid w:val="CF78EB40"/>
    <w:rsid w:val="CF7C7D31"/>
    <w:rsid w:val="CF7FFFB3"/>
    <w:rsid w:val="CFAF0E91"/>
    <w:rsid w:val="CFBF1DE7"/>
    <w:rsid w:val="CFDE50DD"/>
    <w:rsid w:val="CFE7C8E0"/>
    <w:rsid w:val="CFF810C0"/>
    <w:rsid w:val="D1EAE632"/>
    <w:rsid w:val="D2F3BC68"/>
    <w:rsid w:val="D3E8E1CA"/>
    <w:rsid w:val="D5BDA60A"/>
    <w:rsid w:val="D5FA850E"/>
    <w:rsid w:val="D6C66085"/>
    <w:rsid w:val="D6FD31C4"/>
    <w:rsid w:val="D769096E"/>
    <w:rsid w:val="D77FEC1C"/>
    <w:rsid w:val="D7DE984D"/>
    <w:rsid w:val="D7F7DD0A"/>
    <w:rsid w:val="D8722C93"/>
    <w:rsid w:val="D8B34ED6"/>
    <w:rsid w:val="D8BDF9FC"/>
    <w:rsid w:val="D8DE3529"/>
    <w:rsid w:val="D9FFB7BB"/>
    <w:rsid w:val="DA595172"/>
    <w:rsid w:val="DAB92CC4"/>
    <w:rsid w:val="DACCC658"/>
    <w:rsid w:val="DAEE91DF"/>
    <w:rsid w:val="DAEF8942"/>
    <w:rsid w:val="DAFFEF29"/>
    <w:rsid w:val="DB3B70C9"/>
    <w:rsid w:val="DB67C22D"/>
    <w:rsid w:val="DB7B533E"/>
    <w:rsid w:val="DBA34696"/>
    <w:rsid w:val="DBF8E8B2"/>
    <w:rsid w:val="DBFF2ED8"/>
    <w:rsid w:val="DD7F6851"/>
    <w:rsid w:val="DD9FD5B5"/>
    <w:rsid w:val="DDB4B099"/>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FE7E6"/>
    <w:rsid w:val="DF7BA1A6"/>
    <w:rsid w:val="DF7FCA58"/>
    <w:rsid w:val="DF7FCB2E"/>
    <w:rsid w:val="DFBD1562"/>
    <w:rsid w:val="DFD7016D"/>
    <w:rsid w:val="DFD76A57"/>
    <w:rsid w:val="DFED50A2"/>
    <w:rsid w:val="DFEEABDF"/>
    <w:rsid w:val="DFEECAEF"/>
    <w:rsid w:val="DFEF1307"/>
    <w:rsid w:val="DFEF2AAB"/>
    <w:rsid w:val="DFF4F857"/>
    <w:rsid w:val="DFF5AD9A"/>
    <w:rsid w:val="DFF7A57B"/>
    <w:rsid w:val="DFFF8F42"/>
    <w:rsid w:val="DFFFBA83"/>
    <w:rsid w:val="DFFFBDC4"/>
    <w:rsid w:val="DFFFC6EA"/>
    <w:rsid w:val="E2D587DA"/>
    <w:rsid w:val="E31F42E7"/>
    <w:rsid w:val="E32E06BB"/>
    <w:rsid w:val="E387722D"/>
    <w:rsid w:val="E3BE5050"/>
    <w:rsid w:val="E3BFA3CA"/>
    <w:rsid w:val="E3D74D1A"/>
    <w:rsid w:val="E3FDD47D"/>
    <w:rsid w:val="E4FEF684"/>
    <w:rsid w:val="E59C0E56"/>
    <w:rsid w:val="E59E9573"/>
    <w:rsid w:val="E5FFAD4B"/>
    <w:rsid w:val="E74B0F27"/>
    <w:rsid w:val="E75E182F"/>
    <w:rsid w:val="E79ACF5B"/>
    <w:rsid w:val="E7AA5B5A"/>
    <w:rsid w:val="E7B06A65"/>
    <w:rsid w:val="E7BE4A86"/>
    <w:rsid w:val="E7BF0E98"/>
    <w:rsid w:val="E7FDAF71"/>
    <w:rsid w:val="E7FFEB57"/>
    <w:rsid w:val="E7FFFB1C"/>
    <w:rsid w:val="E9C71B84"/>
    <w:rsid w:val="E9FF6880"/>
    <w:rsid w:val="EA6F31C6"/>
    <w:rsid w:val="EA9F70C7"/>
    <w:rsid w:val="EAEEC950"/>
    <w:rsid w:val="EB7B27EF"/>
    <w:rsid w:val="EBCAF011"/>
    <w:rsid w:val="EBCF2E2D"/>
    <w:rsid w:val="EBF36459"/>
    <w:rsid w:val="EBF7F591"/>
    <w:rsid w:val="EBFC93BB"/>
    <w:rsid w:val="EC3F55C1"/>
    <w:rsid w:val="EC6B5CA0"/>
    <w:rsid w:val="ECADA1C7"/>
    <w:rsid w:val="ECBF9672"/>
    <w:rsid w:val="ECCFD51D"/>
    <w:rsid w:val="ECDF8682"/>
    <w:rsid w:val="ECEDEB38"/>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F87D5"/>
    <w:rsid w:val="EF5FFFC3"/>
    <w:rsid w:val="EF7BC6B7"/>
    <w:rsid w:val="EF7F047C"/>
    <w:rsid w:val="EF99C2BB"/>
    <w:rsid w:val="EFCE905A"/>
    <w:rsid w:val="EFD5C645"/>
    <w:rsid w:val="EFD7DBEB"/>
    <w:rsid w:val="EFDC3271"/>
    <w:rsid w:val="EFDD0567"/>
    <w:rsid w:val="EFEF0728"/>
    <w:rsid w:val="EFEF2AA3"/>
    <w:rsid w:val="EFEFD873"/>
    <w:rsid w:val="EFF59DA7"/>
    <w:rsid w:val="EFF5ED34"/>
    <w:rsid w:val="EFF7230F"/>
    <w:rsid w:val="EFF7624A"/>
    <w:rsid w:val="EFFB0E03"/>
    <w:rsid w:val="EFFB0F67"/>
    <w:rsid w:val="EFFBADC9"/>
    <w:rsid w:val="EFFD087D"/>
    <w:rsid w:val="EFFFBB1F"/>
    <w:rsid w:val="EFFFD1B5"/>
    <w:rsid w:val="F07F8A80"/>
    <w:rsid w:val="F0E97D8B"/>
    <w:rsid w:val="F1332741"/>
    <w:rsid w:val="F1F397F1"/>
    <w:rsid w:val="F2778ABC"/>
    <w:rsid w:val="F27DA92F"/>
    <w:rsid w:val="F2DD75B2"/>
    <w:rsid w:val="F2F38E6B"/>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1A9CD"/>
    <w:rsid w:val="F5F23960"/>
    <w:rsid w:val="F5FF76FA"/>
    <w:rsid w:val="F60BFEBF"/>
    <w:rsid w:val="F67B0000"/>
    <w:rsid w:val="F67F2D6B"/>
    <w:rsid w:val="F6AE12A4"/>
    <w:rsid w:val="F6BD75A9"/>
    <w:rsid w:val="F6BF3B09"/>
    <w:rsid w:val="F6CBEFDC"/>
    <w:rsid w:val="F6CED197"/>
    <w:rsid w:val="F6DF63A2"/>
    <w:rsid w:val="F6EF39F4"/>
    <w:rsid w:val="F6F7095B"/>
    <w:rsid w:val="F6FC9CB3"/>
    <w:rsid w:val="F727F50B"/>
    <w:rsid w:val="F73D64AE"/>
    <w:rsid w:val="F747E823"/>
    <w:rsid w:val="F76FEEA4"/>
    <w:rsid w:val="F77FDFAB"/>
    <w:rsid w:val="F77FF3DF"/>
    <w:rsid w:val="F7992129"/>
    <w:rsid w:val="F79D24FB"/>
    <w:rsid w:val="F7AB552A"/>
    <w:rsid w:val="F7AB9091"/>
    <w:rsid w:val="F7AEE001"/>
    <w:rsid w:val="F7AF7C5E"/>
    <w:rsid w:val="F7BF295F"/>
    <w:rsid w:val="F7DD942A"/>
    <w:rsid w:val="F7DDEFF1"/>
    <w:rsid w:val="F7DE7453"/>
    <w:rsid w:val="F7DF7265"/>
    <w:rsid w:val="F7EDD196"/>
    <w:rsid w:val="F7EEBA21"/>
    <w:rsid w:val="F7EEE7EC"/>
    <w:rsid w:val="F7EF3B05"/>
    <w:rsid w:val="F7FD5B87"/>
    <w:rsid w:val="F7FF6DA8"/>
    <w:rsid w:val="F7FF8F31"/>
    <w:rsid w:val="F7FFB46C"/>
    <w:rsid w:val="F7FFE84D"/>
    <w:rsid w:val="F7FFF532"/>
    <w:rsid w:val="F86FCDF2"/>
    <w:rsid w:val="F8EED86C"/>
    <w:rsid w:val="F8FF78C3"/>
    <w:rsid w:val="F99BAB6C"/>
    <w:rsid w:val="F9BF925E"/>
    <w:rsid w:val="F9CF2780"/>
    <w:rsid w:val="F9D544BC"/>
    <w:rsid w:val="F9F7FDF2"/>
    <w:rsid w:val="F9FBF928"/>
    <w:rsid w:val="FA9DB90D"/>
    <w:rsid w:val="FAB738F3"/>
    <w:rsid w:val="FABDC9E4"/>
    <w:rsid w:val="FAE7F320"/>
    <w:rsid w:val="FAF0DFC6"/>
    <w:rsid w:val="FAF9A3EA"/>
    <w:rsid w:val="FAFDF315"/>
    <w:rsid w:val="FAFFB8EB"/>
    <w:rsid w:val="FB2AB3E5"/>
    <w:rsid w:val="FB4D387A"/>
    <w:rsid w:val="FB5858FB"/>
    <w:rsid w:val="FB5A53A2"/>
    <w:rsid w:val="FB9F2506"/>
    <w:rsid w:val="FBA990D1"/>
    <w:rsid w:val="FBAACCCA"/>
    <w:rsid w:val="FBAFF34D"/>
    <w:rsid w:val="FBB56939"/>
    <w:rsid w:val="FBB95C7F"/>
    <w:rsid w:val="FBBB1189"/>
    <w:rsid w:val="FBBBB094"/>
    <w:rsid w:val="FBBBFA1E"/>
    <w:rsid w:val="FBBBFDBF"/>
    <w:rsid w:val="FBD3B090"/>
    <w:rsid w:val="FBDB9061"/>
    <w:rsid w:val="FBDF1618"/>
    <w:rsid w:val="FBED9F05"/>
    <w:rsid w:val="FBEF3174"/>
    <w:rsid w:val="FBF38B18"/>
    <w:rsid w:val="FBF3CAA7"/>
    <w:rsid w:val="FBF7A6ED"/>
    <w:rsid w:val="FBF915E9"/>
    <w:rsid w:val="FBFA326D"/>
    <w:rsid w:val="FBFB4CA3"/>
    <w:rsid w:val="FBFB9188"/>
    <w:rsid w:val="FBFBE065"/>
    <w:rsid w:val="FBFD5512"/>
    <w:rsid w:val="FBFE27BB"/>
    <w:rsid w:val="FBFE814D"/>
    <w:rsid w:val="FBFEB732"/>
    <w:rsid w:val="FBFF40F4"/>
    <w:rsid w:val="FBFF6A84"/>
    <w:rsid w:val="FBFFA369"/>
    <w:rsid w:val="FBFFA96C"/>
    <w:rsid w:val="FC7EF94E"/>
    <w:rsid w:val="FC7F21D6"/>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7D331B"/>
    <w:rsid w:val="FDABF936"/>
    <w:rsid w:val="FDB90CB4"/>
    <w:rsid w:val="FDB9918C"/>
    <w:rsid w:val="FDBF4BBF"/>
    <w:rsid w:val="FDCB7DCA"/>
    <w:rsid w:val="FDD570B8"/>
    <w:rsid w:val="FDDAED36"/>
    <w:rsid w:val="FDDD77BE"/>
    <w:rsid w:val="FDDF099B"/>
    <w:rsid w:val="FDDFAAE7"/>
    <w:rsid w:val="FDE6B727"/>
    <w:rsid w:val="FDEBD1F7"/>
    <w:rsid w:val="FDECAFF0"/>
    <w:rsid w:val="FDEF6C90"/>
    <w:rsid w:val="FDF268E9"/>
    <w:rsid w:val="FDF39664"/>
    <w:rsid w:val="FDF74D82"/>
    <w:rsid w:val="FDFA7413"/>
    <w:rsid w:val="FDFAB1C5"/>
    <w:rsid w:val="FDFCE639"/>
    <w:rsid w:val="FDFD09D8"/>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B94E9"/>
    <w:rsid w:val="FEDE973F"/>
    <w:rsid w:val="FEEB0125"/>
    <w:rsid w:val="FEFB2736"/>
    <w:rsid w:val="FEFB3A46"/>
    <w:rsid w:val="FEFD8A40"/>
    <w:rsid w:val="FEFDC52C"/>
    <w:rsid w:val="FEFE1208"/>
    <w:rsid w:val="FEFFCD5D"/>
    <w:rsid w:val="FEFFF7C5"/>
    <w:rsid w:val="FF02AED4"/>
    <w:rsid w:val="FF130B56"/>
    <w:rsid w:val="FF27517A"/>
    <w:rsid w:val="FF2F5FB9"/>
    <w:rsid w:val="FF2FF4D8"/>
    <w:rsid w:val="FF32BCD6"/>
    <w:rsid w:val="FF336FC0"/>
    <w:rsid w:val="FF366BFC"/>
    <w:rsid w:val="FF382914"/>
    <w:rsid w:val="FF3B6C13"/>
    <w:rsid w:val="FF3F916B"/>
    <w:rsid w:val="FF46559B"/>
    <w:rsid w:val="FF4B5C8F"/>
    <w:rsid w:val="FF4F2A57"/>
    <w:rsid w:val="FF594D85"/>
    <w:rsid w:val="FF5D2607"/>
    <w:rsid w:val="FF6B18CD"/>
    <w:rsid w:val="FF6BD663"/>
    <w:rsid w:val="FF7773DE"/>
    <w:rsid w:val="FF7D0411"/>
    <w:rsid w:val="FF7EC806"/>
    <w:rsid w:val="FF7F554F"/>
    <w:rsid w:val="FF7F6A57"/>
    <w:rsid w:val="FF7FD1F0"/>
    <w:rsid w:val="FF8F6DB5"/>
    <w:rsid w:val="FF8F93B5"/>
    <w:rsid w:val="FF999B46"/>
    <w:rsid w:val="FF9E3875"/>
    <w:rsid w:val="FFAD8156"/>
    <w:rsid w:val="FFB327D6"/>
    <w:rsid w:val="FFBA9894"/>
    <w:rsid w:val="FFBB1725"/>
    <w:rsid w:val="FFBB5C56"/>
    <w:rsid w:val="FFBD4D1A"/>
    <w:rsid w:val="FFBDF24B"/>
    <w:rsid w:val="FFBF1974"/>
    <w:rsid w:val="FFBF5C9F"/>
    <w:rsid w:val="FFBF82AA"/>
    <w:rsid w:val="FFBFD8C3"/>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C7B80"/>
    <w:rsid w:val="FFFCA5FD"/>
    <w:rsid w:val="FFFD1680"/>
    <w:rsid w:val="FFFD68BE"/>
    <w:rsid w:val="FFFD808F"/>
    <w:rsid w:val="FFFE301F"/>
    <w:rsid w:val="FFFE4FEB"/>
    <w:rsid w:val="FFFF930E"/>
    <w:rsid w:val="FFFFC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3"/>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beforeLines="0" w:after="290" w:afterLines="0" w:line="376" w:lineRule="auto"/>
      <w:outlineLvl w:val="4"/>
    </w:pPr>
    <w:rPr>
      <w:b/>
      <w:sz w:val="28"/>
    </w:rPr>
  </w:style>
  <w:style w:type="paragraph" w:styleId="9">
    <w:name w:val="heading 6"/>
    <w:basedOn w:val="1"/>
    <w:next w:val="8"/>
    <w:link w:val="77"/>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beforeLines="0" w:after="64" w:afterLines="0" w:line="320" w:lineRule="auto"/>
      <w:outlineLvl w:val="6"/>
    </w:pPr>
    <w:rPr>
      <w:b/>
      <w:sz w:val="24"/>
    </w:rPr>
  </w:style>
  <w:style w:type="paragraph" w:styleId="11">
    <w:name w:val="heading 8"/>
    <w:basedOn w:val="1"/>
    <w:next w:val="8"/>
    <w:link w:val="79"/>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81"/>
    <w:semiHidden/>
    <w:qFormat/>
    <w:uiPriority w:val="0"/>
    <w:pPr>
      <w:shd w:val="clear" w:color="auto" w:fill="000080"/>
    </w:pPr>
  </w:style>
  <w:style w:type="paragraph" w:styleId="18">
    <w:name w:val="toa heading"/>
    <w:basedOn w:val="1"/>
    <w:next w:val="1"/>
    <w:semiHidden/>
    <w:qFormat/>
    <w:uiPriority w:val="0"/>
    <w:pPr>
      <w:adjustRightInd w:val="0"/>
      <w:spacing w:before="120" w:line="312" w:lineRule="atLeast"/>
    </w:pPr>
    <w:rPr>
      <w:rFonts w:ascii="Arial" w:hAnsi="Arial"/>
      <w:b/>
      <w:kern w:val="0"/>
      <w:sz w:val="24"/>
    </w:rPr>
  </w:style>
  <w:style w:type="paragraph" w:styleId="19">
    <w:name w:val="annotation text"/>
    <w:basedOn w:val="1"/>
    <w:link w:val="82"/>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83"/>
    <w:qFormat/>
    <w:uiPriority w:val="0"/>
    <w:rPr>
      <w:sz w:val="28"/>
    </w:rPr>
  </w:style>
  <w:style w:type="paragraph" w:styleId="21">
    <w:name w:val="Body Text 3"/>
    <w:basedOn w:val="1"/>
    <w:link w:val="84"/>
    <w:qFormat/>
    <w:uiPriority w:val="0"/>
    <w:pPr>
      <w:spacing w:line="500" w:lineRule="exact"/>
    </w:pPr>
    <w:rPr>
      <w:b/>
      <w:bCs/>
      <w:sz w:val="24"/>
    </w:rPr>
  </w:style>
  <w:style w:type="paragraph" w:styleId="22">
    <w:name w:val="Body Text"/>
    <w:basedOn w:val="1"/>
    <w:next w:val="1"/>
    <w:link w:val="71"/>
    <w:qFormat/>
    <w:uiPriority w:val="0"/>
    <w:pPr>
      <w:spacing w:line="380" w:lineRule="exact"/>
    </w:pPr>
    <w:rPr>
      <w:sz w:val="24"/>
    </w:rPr>
  </w:style>
  <w:style w:type="paragraph" w:styleId="23">
    <w:name w:val="Body Text Indent"/>
    <w:basedOn w:val="1"/>
    <w:link w:val="85"/>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6"/>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7"/>
    <w:qFormat/>
    <w:uiPriority w:val="0"/>
    <w:pPr>
      <w:ind w:left="840" w:leftChars="400"/>
    </w:pPr>
  </w:style>
  <w:style w:type="paragraph" w:styleId="30">
    <w:name w:val="Plain Text"/>
    <w:basedOn w:val="1"/>
    <w:next w:val="14"/>
    <w:link w:val="88"/>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89"/>
    <w:qFormat/>
    <w:uiPriority w:val="0"/>
    <w:pPr>
      <w:ind w:left="100" w:leftChars="2500"/>
    </w:pPr>
    <w:rPr>
      <w:rFonts w:ascii="宋体" w:hAnsi="Courier New" w:cs="Courier New"/>
      <w:szCs w:val="21"/>
    </w:rPr>
  </w:style>
  <w:style w:type="paragraph" w:styleId="33">
    <w:name w:val="Body Text Indent 2"/>
    <w:basedOn w:val="1"/>
    <w:link w:val="90"/>
    <w:qFormat/>
    <w:uiPriority w:val="0"/>
    <w:pPr>
      <w:ind w:firstLine="630"/>
    </w:pPr>
    <w:rPr>
      <w:sz w:val="32"/>
      <w:szCs w:val="20"/>
    </w:rPr>
  </w:style>
  <w:style w:type="paragraph" w:styleId="34">
    <w:name w:val="endnote text"/>
    <w:basedOn w:val="1"/>
    <w:link w:val="91"/>
    <w:unhideWhenUsed/>
    <w:qFormat/>
    <w:uiPriority w:val="0"/>
    <w:pPr>
      <w:snapToGrid w:val="0"/>
      <w:jc w:val="left"/>
    </w:pPr>
    <w:rPr>
      <w:rFonts w:ascii="Calibri" w:hAnsi="Calibri"/>
      <w:szCs w:val="22"/>
    </w:rPr>
  </w:style>
  <w:style w:type="paragraph" w:styleId="35">
    <w:name w:val="Balloon Text"/>
    <w:basedOn w:val="1"/>
    <w:link w:val="92"/>
    <w:semiHidden/>
    <w:qFormat/>
    <w:uiPriority w:val="0"/>
    <w:rPr>
      <w:sz w:val="18"/>
      <w:szCs w:val="18"/>
    </w:rPr>
  </w:style>
  <w:style w:type="paragraph" w:styleId="36">
    <w:name w:val="footer"/>
    <w:basedOn w:val="1"/>
    <w:next w:val="1"/>
    <w:link w:val="93"/>
    <w:qFormat/>
    <w:uiPriority w:val="99"/>
    <w:pPr>
      <w:tabs>
        <w:tab w:val="center" w:pos="4153"/>
        <w:tab w:val="right" w:pos="8306"/>
      </w:tabs>
      <w:snapToGrid w:val="0"/>
      <w:jc w:val="left"/>
    </w:pPr>
    <w:rPr>
      <w:sz w:val="18"/>
      <w:szCs w:val="18"/>
    </w:rPr>
  </w:style>
  <w:style w:type="paragraph" w:styleId="37">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5"/>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6"/>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7"/>
    <w:qFormat/>
    <w:uiPriority w:val="0"/>
    <w:pPr>
      <w:spacing w:after="120" w:afterLines="0" w:line="480" w:lineRule="auto"/>
    </w:pPr>
  </w:style>
  <w:style w:type="paragraph" w:styleId="47">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beforeLines="0" w:after="60" w:afterLines="0"/>
      <w:jc w:val="center"/>
      <w:outlineLvl w:val="0"/>
    </w:pPr>
    <w:rPr>
      <w:rFonts w:ascii="Arial" w:hAnsi="Arial"/>
      <w:b/>
      <w:bCs/>
      <w:sz w:val="32"/>
      <w:szCs w:val="32"/>
    </w:rPr>
  </w:style>
  <w:style w:type="paragraph" w:styleId="51">
    <w:name w:val="annotation subject"/>
    <w:basedOn w:val="19"/>
    <w:next w:val="19"/>
    <w:link w:val="100"/>
    <w:semiHidden/>
    <w:qFormat/>
    <w:uiPriority w:val="0"/>
    <w:pPr>
      <w:adjustRightInd/>
      <w:spacing w:line="240" w:lineRule="auto"/>
      <w:textAlignment w:val="auto"/>
    </w:pPr>
    <w:rPr>
      <w:b/>
      <w:bCs/>
      <w:kern w:val="2"/>
      <w:sz w:val="21"/>
      <w:szCs w:val="24"/>
    </w:rPr>
  </w:style>
  <w:style w:type="paragraph" w:styleId="52">
    <w:name w:val="Body Text First Indent"/>
    <w:basedOn w:val="22"/>
    <w:qFormat/>
    <w:uiPriority w:val="0"/>
    <w:pPr>
      <w:spacing w:after="0" w:line="380" w:lineRule="exact"/>
      <w:ind w:firstLine="420" w:firstLineChars="100"/>
    </w:pPr>
    <w:rPr>
      <w:sz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文本 Char"/>
    <w:link w:val="22"/>
    <w:qFormat/>
    <w:uiPriority w:val="0"/>
    <w:rPr>
      <w:rFonts w:eastAsia="宋体"/>
      <w:kern w:val="2"/>
      <w:sz w:val="24"/>
      <w:szCs w:val="24"/>
      <w:lang w:val="en-US" w:eastAsia="zh-CN" w:bidi="ar-SA"/>
    </w:rPr>
  </w:style>
  <w:style w:type="character" w:customStyle="1" w:styleId="72">
    <w:name w:val="标题 1 Char"/>
    <w:link w:val="3"/>
    <w:qFormat/>
    <w:uiPriority w:val="0"/>
    <w:rPr>
      <w:rFonts w:eastAsia="宋体"/>
      <w:b/>
      <w:bCs/>
      <w:kern w:val="44"/>
      <w:sz w:val="44"/>
      <w:szCs w:val="44"/>
      <w:lang w:val="en-US" w:eastAsia="zh-CN" w:bidi="ar-SA"/>
    </w:rPr>
  </w:style>
  <w:style w:type="character" w:customStyle="1" w:styleId="73">
    <w:name w:val="标题 2 Char"/>
    <w:link w:val="4"/>
    <w:qFormat/>
    <w:uiPriority w:val="0"/>
    <w:rPr>
      <w:rFonts w:ascii="Arial" w:hAnsi="Arial" w:eastAsia="黑体"/>
      <w:b/>
      <w:bCs/>
      <w:sz w:val="32"/>
      <w:szCs w:val="32"/>
      <w:lang w:bidi="ar-SA"/>
    </w:rPr>
  </w:style>
  <w:style w:type="character" w:customStyle="1" w:styleId="74">
    <w:name w:val="标题 3 Char"/>
    <w:link w:val="5"/>
    <w:qFormat/>
    <w:uiPriority w:val="0"/>
    <w:rPr>
      <w:rFonts w:eastAsia="宋体"/>
      <w:b/>
      <w:bCs/>
      <w:sz w:val="32"/>
      <w:szCs w:val="32"/>
      <w:lang w:bidi="ar-SA"/>
    </w:rPr>
  </w:style>
  <w:style w:type="character" w:customStyle="1" w:styleId="75">
    <w:name w:val="标题 4 Char"/>
    <w:link w:val="6"/>
    <w:qFormat/>
    <w:uiPriority w:val="0"/>
    <w:rPr>
      <w:rFonts w:ascii="Arial" w:hAnsi="Arial" w:eastAsia="黑体"/>
      <w:sz w:val="28"/>
      <w:lang w:bidi="ar-SA"/>
    </w:rPr>
  </w:style>
  <w:style w:type="character" w:customStyle="1" w:styleId="76">
    <w:name w:val="标题 5 Char"/>
    <w:link w:val="7"/>
    <w:qFormat/>
    <w:uiPriority w:val="0"/>
    <w:rPr>
      <w:rFonts w:eastAsia="宋体"/>
      <w:b/>
      <w:kern w:val="2"/>
      <w:sz w:val="28"/>
      <w:szCs w:val="24"/>
      <w:lang w:val="en-US" w:eastAsia="zh-CN" w:bidi="ar-SA"/>
    </w:rPr>
  </w:style>
  <w:style w:type="character" w:customStyle="1" w:styleId="77">
    <w:name w:val="标题 6 Char"/>
    <w:link w:val="9"/>
    <w:qFormat/>
    <w:uiPriority w:val="0"/>
    <w:rPr>
      <w:rFonts w:ascii="Arial" w:hAnsi="Arial" w:eastAsia="黑体"/>
      <w:b/>
      <w:kern w:val="2"/>
      <w:sz w:val="24"/>
      <w:szCs w:val="24"/>
      <w:lang w:val="en-US" w:eastAsia="zh-CN" w:bidi="ar-SA"/>
    </w:rPr>
  </w:style>
  <w:style w:type="character" w:customStyle="1" w:styleId="78">
    <w:name w:val="标题 7 Char"/>
    <w:link w:val="10"/>
    <w:qFormat/>
    <w:uiPriority w:val="0"/>
    <w:rPr>
      <w:rFonts w:eastAsia="宋体"/>
      <w:b/>
      <w:kern w:val="2"/>
      <w:sz w:val="24"/>
      <w:szCs w:val="24"/>
      <w:lang w:val="en-US" w:eastAsia="zh-CN" w:bidi="ar-SA"/>
    </w:rPr>
  </w:style>
  <w:style w:type="character" w:customStyle="1" w:styleId="79">
    <w:name w:val="标题 8 Char"/>
    <w:link w:val="11"/>
    <w:qFormat/>
    <w:uiPriority w:val="0"/>
    <w:rPr>
      <w:rFonts w:ascii="Arial" w:hAnsi="Arial" w:eastAsia="黑体"/>
      <w:kern w:val="2"/>
      <w:sz w:val="24"/>
      <w:szCs w:val="24"/>
      <w:lang w:val="en-US" w:eastAsia="zh-CN" w:bidi="ar-SA"/>
    </w:rPr>
  </w:style>
  <w:style w:type="character" w:customStyle="1" w:styleId="80">
    <w:name w:val="标题 9 Char"/>
    <w:link w:val="12"/>
    <w:qFormat/>
    <w:uiPriority w:val="0"/>
    <w:rPr>
      <w:rFonts w:ascii="Arial" w:hAnsi="Arial" w:eastAsia="黑体"/>
      <w:kern w:val="2"/>
      <w:sz w:val="21"/>
      <w:szCs w:val="24"/>
      <w:lang w:val="en-US" w:eastAsia="zh-CN" w:bidi="ar-SA"/>
    </w:rPr>
  </w:style>
  <w:style w:type="character" w:customStyle="1" w:styleId="81">
    <w:name w:val="文档结构图 Char"/>
    <w:link w:val="17"/>
    <w:qFormat/>
    <w:uiPriority w:val="0"/>
    <w:rPr>
      <w:rFonts w:eastAsia="宋体"/>
      <w:kern w:val="2"/>
      <w:sz w:val="21"/>
      <w:szCs w:val="24"/>
      <w:lang w:val="en-US" w:eastAsia="zh-CN" w:bidi="ar-SA"/>
    </w:rPr>
  </w:style>
  <w:style w:type="character" w:customStyle="1" w:styleId="82">
    <w:name w:val="批注文字 Char"/>
    <w:link w:val="19"/>
    <w:qFormat/>
    <w:uiPriority w:val="0"/>
    <w:rPr>
      <w:rFonts w:eastAsia="宋体"/>
      <w:sz w:val="24"/>
      <w:lang w:bidi="ar-SA"/>
    </w:rPr>
  </w:style>
  <w:style w:type="character" w:customStyle="1" w:styleId="83">
    <w:name w:val="称呼 Char"/>
    <w:link w:val="20"/>
    <w:qFormat/>
    <w:uiPriority w:val="0"/>
    <w:rPr>
      <w:kern w:val="2"/>
      <w:sz w:val="28"/>
      <w:szCs w:val="24"/>
    </w:rPr>
  </w:style>
  <w:style w:type="character" w:customStyle="1" w:styleId="84">
    <w:name w:val="正文文本 3 Char"/>
    <w:link w:val="21"/>
    <w:qFormat/>
    <w:uiPriority w:val="0"/>
    <w:rPr>
      <w:rFonts w:eastAsia="宋体"/>
      <w:b/>
      <w:bCs/>
      <w:kern w:val="2"/>
      <w:sz w:val="24"/>
      <w:szCs w:val="24"/>
      <w:lang w:val="en-US" w:eastAsia="zh-CN" w:bidi="ar-SA"/>
    </w:rPr>
  </w:style>
  <w:style w:type="character" w:customStyle="1" w:styleId="85">
    <w:name w:val="正文文本缩进 Char"/>
    <w:link w:val="23"/>
    <w:qFormat/>
    <w:uiPriority w:val="0"/>
    <w:rPr>
      <w:rFonts w:ascii="仿宋_GB2312" w:eastAsia="仿宋_GB2312"/>
      <w:kern w:val="2"/>
      <w:sz w:val="32"/>
      <w:lang w:val="en-US" w:eastAsia="zh-CN" w:bidi="ar-SA"/>
    </w:rPr>
  </w:style>
  <w:style w:type="character" w:customStyle="1" w:styleId="86">
    <w:name w:val="HTML 地址 Char"/>
    <w:basedOn w:val="55"/>
    <w:link w:val="27"/>
    <w:qFormat/>
    <w:locked/>
    <w:uiPriority w:val="0"/>
    <w:rPr>
      <w:rFonts w:ascii="宋体" w:eastAsia="宋体"/>
      <w:i/>
      <w:iCs/>
      <w:kern w:val="21"/>
      <w:sz w:val="21"/>
      <w:szCs w:val="21"/>
      <w:lang w:val="en-US" w:eastAsia="zh-CN" w:bidi="ar-SA"/>
    </w:rPr>
  </w:style>
  <w:style w:type="character" w:customStyle="1" w:styleId="87">
    <w:name w:val="目录 3 Char"/>
    <w:link w:val="29"/>
    <w:qFormat/>
    <w:locked/>
    <w:uiPriority w:val="0"/>
    <w:rPr>
      <w:rFonts w:eastAsia="宋体"/>
      <w:kern w:val="2"/>
      <w:sz w:val="21"/>
      <w:szCs w:val="24"/>
      <w:lang w:val="en-US" w:eastAsia="zh-CN" w:bidi="ar-SA"/>
    </w:rPr>
  </w:style>
  <w:style w:type="character" w:customStyle="1" w:styleId="88">
    <w:name w:val="纯文本 Char2"/>
    <w:link w:val="30"/>
    <w:qFormat/>
    <w:uiPriority w:val="0"/>
    <w:rPr>
      <w:rFonts w:ascii="宋体" w:hAnsi="Courier New" w:eastAsia="宋体" w:cs="Courier New"/>
      <w:kern w:val="2"/>
      <w:sz w:val="21"/>
      <w:szCs w:val="21"/>
      <w:lang w:val="en-US" w:eastAsia="zh-CN" w:bidi="ar-SA"/>
    </w:rPr>
  </w:style>
  <w:style w:type="character" w:customStyle="1" w:styleId="89">
    <w:name w:val="日期 Char"/>
    <w:link w:val="32"/>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3"/>
    <w:qFormat/>
    <w:uiPriority w:val="0"/>
    <w:rPr>
      <w:rFonts w:eastAsia="宋体"/>
      <w:kern w:val="2"/>
      <w:sz w:val="32"/>
      <w:lang w:val="en-US" w:eastAsia="zh-CN" w:bidi="ar-SA"/>
    </w:rPr>
  </w:style>
  <w:style w:type="character" w:customStyle="1" w:styleId="91">
    <w:name w:val="尾注文本 Char"/>
    <w:link w:val="34"/>
    <w:qFormat/>
    <w:uiPriority w:val="0"/>
    <w:rPr>
      <w:rFonts w:ascii="Calibri" w:hAnsi="Calibri"/>
      <w:kern w:val="2"/>
      <w:sz w:val="21"/>
      <w:szCs w:val="22"/>
    </w:rPr>
  </w:style>
  <w:style w:type="character" w:customStyle="1" w:styleId="92">
    <w:name w:val="批注框文本 Char"/>
    <w:link w:val="35"/>
    <w:semiHidden/>
    <w:qFormat/>
    <w:uiPriority w:val="0"/>
    <w:rPr>
      <w:rFonts w:eastAsia="宋体"/>
      <w:kern w:val="2"/>
      <w:sz w:val="18"/>
      <w:szCs w:val="18"/>
      <w:lang w:val="en-US" w:eastAsia="zh-CN" w:bidi="ar-SA"/>
    </w:rPr>
  </w:style>
  <w:style w:type="character" w:customStyle="1" w:styleId="93">
    <w:name w:val="页脚 Char"/>
    <w:link w:val="36"/>
    <w:qFormat/>
    <w:uiPriority w:val="99"/>
    <w:rPr>
      <w:rFonts w:eastAsia="宋体"/>
      <w:kern w:val="2"/>
      <w:sz w:val="18"/>
      <w:szCs w:val="18"/>
      <w:lang w:val="en-US" w:eastAsia="zh-CN" w:bidi="ar-SA"/>
    </w:rPr>
  </w:style>
  <w:style w:type="character" w:customStyle="1" w:styleId="94">
    <w:name w:val="页眉 Char"/>
    <w:link w:val="37"/>
    <w:qFormat/>
    <w:uiPriority w:val="99"/>
    <w:rPr>
      <w:rFonts w:eastAsia="宋体"/>
      <w:kern w:val="2"/>
      <w:sz w:val="18"/>
      <w:szCs w:val="18"/>
      <w:lang w:val="en-US" w:eastAsia="zh-CN" w:bidi="ar-SA"/>
    </w:rPr>
  </w:style>
  <w:style w:type="character" w:customStyle="1" w:styleId="95">
    <w:name w:val="脚注文本 Char"/>
    <w:basedOn w:val="55"/>
    <w:link w:val="40"/>
    <w:qFormat/>
    <w:locked/>
    <w:uiPriority w:val="0"/>
    <w:rPr>
      <w:rFonts w:ascii="宋体" w:eastAsia="宋体"/>
      <w:kern w:val="21"/>
      <w:sz w:val="18"/>
      <w:szCs w:val="18"/>
      <w:lang w:val="en-US" w:eastAsia="zh-CN" w:bidi="ar-SA"/>
    </w:rPr>
  </w:style>
  <w:style w:type="character" w:customStyle="1" w:styleId="96">
    <w:name w:val="正文文本缩进 3 Char"/>
    <w:link w:val="43"/>
    <w:qFormat/>
    <w:uiPriority w:val="0"/>
    <w:rPr>
      <w:rFonts w:eastAsia="宋体"/>
      <w:kern w:val="2"/>
      <w:sz w:val="16"/>
      <w:szCs w:val="16"/>
      <w:lang w:val="en-US" w:eastAsia="zh-CN" w:bidi="ar-SA"/>
    </w:rPr>
  </w:style>
  <w:style w:type="character" w:customStyle="1" w:styleId="97">
    <w:name w:val="正文文本 2 Char"/>
    <w:link w:val="46"/>
    <w:qFormat/>
    <w:uiPriority w:val="0"/>
    <w:rPr>
      <w:rFonts w:eastAsia="宋体"/>
      <w:kern w:val="2"/>
      <w:sz w:val="21"/>
      <w:szCs w:val="24"/>
      <w:lang w:val="en-US" w:eastAsia="zh-CN" w:bidi="ar-SA"/>
    </w:rPr>
  </w:style>
  <w:style w:type="character" w:customStyle="1" w:styleId="98">
    <w:name w:val="HTML 预设格式 Char"/>
    <w:link w:val="47"/>
    <w:qFormat/>
    <w:uiPriority w:val="0"/>
    <w:rPr>
      <w:rFonts w:ascii="黑体" w:hAnsi="Courier New" w:eastAsia="黑体" w:cs="Courier New"/>
      <w:lang w:val="en-US" w:eastAsia="zh-CN" w:bidi="ar-SA"/>
    </w:rPr>
  </w:style>
  <w:style w:type="character" w:customStyle="1" w:styleId="99">
    <w:name w:val="标题 Char"/>
    <w:link w:val="50"/>
    <w:qFormat/>
    <w:uiPriority w:val="0"/>
    <w:rPr>
      <w:rFonts w:ascii="Arial" w:hAnsi="Arial" w:eastAsia="宋体"/>
      <w:b/>
      <w:bCs/>
      <w:kern w:val="2"/>
      <w:sz w:val="32"/>
      <w:szCs w:val="32"/>
      <w:lang w:bidi="ar-SA"/>
    </w:rPr>
  </w:style>
  <w:style w:type="character" w:customStyle="1" w:styleId="100">
    <w:name w:val="批注主题 Char"/>
    <w:link w:val="51"/>
    <w:semiHidden/>
    <w:qFormat/>
    <w:uiPriority w:val="0"/>
    <w:rPr>
      <w:b/>
      <w:bCs/>
      <w:kern w:val="2"/>
      <w:sz w:val="21"/>
      <w:szCs w:val="24"/>
    </w:rPr>
  </w:style>
  <w:style w:type="paragraph" w:customStyle="1" w:styleId="101">
    <w:name w:val="表格文字"/>
    <w:basedOn w:val="1"/>
    <w:next w:val="22"/>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2">
    <w:name w:val="_Style 8"/>
    <w:basedOn w:val="17"/>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5"/>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semiHidden/>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basedOn w:val="55"/>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Plain Text"/>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beforeLines="0" w:after="0" w:afterLines="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7"/>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7"/>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afterLines="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30"/>
    <w:qFormat/>
    <w:uiPriority w:val="0"/>
    <w:rPr>
      <w:rFonts w:ascii="宋体" w:hAnsi="Courier New"/>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7"/>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7"/>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7"/>
    <w:qFormat/>
    <w:uiPriority w:val="0"/>
    <w:pPr>
      <w:widowControl/>
      <w:ind w:firstLine="454"/>
      <w:jc w:val="left"/>
    </w:pPr>
  </w:style>
  <w:style w:type="paragraph" w:customStyle="1" w:styleId="238">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3"/>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7"/>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6">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7"/>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7"/>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7"/>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1">
    <w:name w:val="_Style 35"/>
    <w:basedOn w:val="17"/>
    <w:qFormat/>
    <w:uiPriority w:val="0"/>
    <w:pPr>
      <w:widowControl/>
      <w:ind w:firstLine="454"/>
      <w:jc w:val="left"/>
    </w:pPr>
  </w:style>
  <w:style w:type="paragraph" w:customStyle="1" w:styleId="272">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7"/>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7"/>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beforeLines="0" w:after="120" w:afterLines="0" w:line="300" w:lineRule="auto"/>
    </w:pPr>
    <w:rPr>
      <w:rFonts w:ascii="宋体" w:hAnsi="宋体"/>
      <w:b/>
      <w:sz w:val="24"/>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0"/>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7"/>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7"/>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7"/>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9446</Words>
  <Characters>11433</Characters>
  <Lines>411</Lines>
  <Paragraphs>115</Paragraphs>
  <TotalTime>6</TotalTime>
  <ScaleCrop>false</ScaleCrop>
  <LinksUpToDate>false</LinksUpToDate>
  <CharactersWithSpaces>12207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2022-05-26T03:06:00Z</dcterms:created>
  <dc:creator>聂泉源</dc:creator>
  <cp:lastModifiedBy>gxxc</cp:lastModifiedBy>
  <cp:lastPrinted>2026-02-03T00:29:00Z</cp:lastPrinted>
  <dcterms:modified xsi:type="dcterms:W3CDTF">2026-04-29T15:25:29Z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eyJoZGlkIjoiOTAwZTM4NWIyY2I2MmUxZGMzNGY5NjAwZWNhNzQ2ZDQiLCJ1c2VySWQiOiI5OTE1ODkyOTgifQ==</vt:lpwstr>
  </property>
  <property fmtid="{D5CDD505-2E9C-101B-9397-08002B2CF9AE}" pid="4" name="ICV">
    <vt:lpwstr>3397C5F36EDB4C47A8D9363588CF234A_13</vt:lpwstr>
  </property>
</Properties>
</file>