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bookmarkStart w:id="12" w:name="_GoBack"/>
      <w:r>
        <w:rPr>
          <w:rFonts w:hint="eastAsia" w:hAnsi="宋体"/>
          <w:color w:val="auto"/>
          <w:sz w:val="44"/>
          <w:szCs w:val="44"/>
          <w:highlight w:val="none"/>
        </w:rPr>
        <w:t>广西壮族自治区政府采购中心</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广西医科大学武鸣校区教学设施采购项目</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（GXZC2026-G1-001717-CGZX）</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公开招标文件预公示</w:t>
      </w:r>
    </w:p>
    <w:p>
      <w:pPr>
        <w:spacing w:line="460" w:lineRule="exact"/>
        <w:rPr>
          <w:rFonts w:hint="eastAsia" w:hAnsi="宋体"/>
          <w:color w:val="auto"/>
          <w:sz w:val="32"/>
          <w:szCs w:val="32"/>
          <w:highlight w:val="none"/>
        </w:rPr>
      </w:pPr>
      <w:r>
        <w:rPr>
          <w:rFonts w:hint="eastAsia" w:hAnsi="宋体"/>
          <w:color w:val="auto"/>
          <w:sz w:val="32"/>
          <w:szCs w:val="32"/>
          <w:highlight w:val="none"/>
        </w:rPr>
        <w:t>各有关供应</w:t>
      </w:r>
      <w:r>
        <w:rPr>
          <w:rFonts w:hint="eastAsia" w:hAnsi="宋体"/>
          <w:color w:val="auto"/>
          <w:sz w:val="32"/>
          <w:szCs w:val="32"/>
          <w:highlight w:val="none"/>
        </w:rPr>
        <w:t>商：</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我中心受</w:t>
      </w:r>
      <w:r>
        <w:rPr>
          <w:rFonts w:hint="eastAsia" w:hAnsi="宋体"/>
          <w:color w:val="auto"/>
          <w:sz w:val="32"/>
          <w:szCs w:val="32"/>
          <w:highlight w:val="none"/>
          <w:lang w:eastAsia="zh-CN"/>
        </w:rPr>
        <w:t>采购单位</w:t>
      </w:r>
      <w:r>
        <w:rPr>
          <w:rFonts w:hint="eastAsia" w:hAnsi="宋体"/>
          <w:color w:val="auto"/>
          <w:sz w:val="32"/>
          <w:szCs w:val="32"/>
          <w:highlight w:val="none"/>
        </w:rPr>
        <w:t>委托，</w:t>
      </w:r>
      <w:r>
        <w:rPr>
          <w:rFonts w:hint="eastAsia" w:hAnsi="宋体"/>
          <w:color w:val="auto"/>
          <w:sz w:val="32"/>
          <w:szCs w:val="32"/>
          <w:highlight w:val="none"/>
        </w:rPr>
        <w:t>拟对广西医科大学武鸣校区教学设施采购</w:t>
      </w:r>
      <w:r>
        <w:rPr>
          <w:rFonts w:hint="eastAsia" w:hAnsi="宋体"/>
          <w:color w:val="auto"/>
          <w:sz w:val="32"/>
          <w:szCs w:val="32"/>
          <w:highlight w:val="none"/>
          <w:u w:val="single"/>
        </w:rPr>
        <w:t>（GXZC2026-G1-001717-CGZX）</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若认为本项目上述要求存在唯一性或排他性等问题，请</w:t>
      </w:r>
      <w:r>
        <w:rPr>
          <w:rFonts w:hint="eastAsia" w:hAnsi="宋体"/>
          <w:color w:val="auto"/>
          <w:sz w:val="32"/>
          <w:szCs w:val="32"/>
          <w:highlight w:val="none"/>
        </w:rPr>
        <w:t>于</w:t>
      </w:r>
      <w:r>
        <w:rPr>
          <w:rFonts w:hint="eastAsia" w:hAnsi="宋体"/>
          <w:b/>
          <w:bCs/>
          <w:color w:val="auto"/>
          <w:sz w:val="32"/>
          <w:szCs w:val="32"/>
          <w:highlight w:val="none"/>
          <w:u w:val="single"/>
        </w:rPr>
        <w:t>202</w:t>
      </w:r>
      <w:r>
        <w:rPr>
          <w:rFonts w:hint="eastAsia" w:hAnsi="宋体"/>
          <w:b/>
          <w:bCs/>
          <w:color w:val="auto"/>
          <w:sz w:val="32"/>
          <w:szCs w:val="32"/>
          <w:highlight w:val="none"/>
          <w:u w:val="single"/>
          <w:lang w:val="en-US" w:eastAsia="zh-CN"/>
        </w:rPr>
        <w:t>6</w:t>
      </w:r>
      <w:r>
        <w:rPr>
          <w:rFonts w:hint="eastAsia" w:hAnsi="宋体"/>
          <w:b/>
          <w:bCs/>
          <w:color w:val="auto"/>
          <w:sz w:val="32"/>
          <w:szCs w:val="32"/>
          <w:highlight w:val="none"/>
          <w:u w:val="single"/>
        </w:rPr>
        <w:t>年</w:t>
      </w:r>
      <w:r>
        <w:rPr>
          <w:rFonts w:hint="eastAsia" w:hAnsi="宋体"/>
          <w:b/>
          <w:bCs/>
          <w:color w:val="auto"/>
          <w:sz w:val="32"/>
          <w:szCs w:val="32"/>
          <w:highlight w:val="none"/>
          <w:u w:val="single"/>
          <w:lang w:val="en-US" w:eastAsia="zh-CN"/>
        </w:rPr>
        <w:t>6</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15</w:t>
      </w:r>
      <w:r>
        <w:rPr>
          <w:rFonts w:hint="eastAsia" w:hAnsi="宋体"/>
          <w:b/>
          <w:bCs/>
          <w:color w:val="auto"/>
          <w:sz w:val="32"/>
          <w:szCs w:val="32"/>
          <w:highlight w:val="none"/>
          <w:u w:val="single"/>
        </w:rPr>
        <w:t>日 17时</w:t>
      </w:r>
      <w:r>
        <w:rPr>
          <w:rFonts w:hint="eastAsia" w:hAnsi="宋体"/>
          <w:color w:val="auto"/>
          <w:sz w:val="32"/>
          <w:szCs w:val="32"/>
          <w:highlight w:val="none"/>
        </w:rPr>
        <w:t>前以书面形式(意见函须加盖公章)向我中心反映，以便我中心完善采购文件。</w:t>
      </w:r>
      <w:r>
        <w:rPr>
          <w:rFonts w:hint="eastAsia" w:hAnsi="宋体"/>
          <w:b/>
          <w:bCs/>
          <w:color w:val="auto"/>
          <w:sz w:val="32"/>
          <w:szCs w:val="32"/>
          <w:highlight w:val="none"/>
        </w:rPr>
        <w:t>如供应商需提交意见函</w:t>
      </w:r>
      <w:r>
        <w:rPr>
          <w:rFonts w:hint="eastAsia" w:hAnsi="宋体"/>
          <w:color w:val="auto"/>
          <w:sz w:val="32"/>
          <w:szCs w:val="32"/>
          <w:highlight w:val="none"/>
        </w:rPr>
        <w:t>，请携带</w:t>
      </w:r>
      <w:r>
        <w:rPr>
          <w:rFonts w:hint="eastAsia" w:hAnsi="宋体"/>
          <w:b/>
          <w:bCs/>
          <w:color w:val="auto"/>
          <w:sz w:val="32"/>
          <w:szCs w:val="32"/>
          <w:highlight w:val="none"/>
        </w:rPr>
        <w:t>企业营业执照（或事业单位法人证书）副本复印件</w:t>
      </w:r>
      <w:r>
        <w:rPr>
          <w:rFonts w:hint="eastAsia" w:hAnsi="宋体"/>
          <w:color w:val="auto"/>
          <w:sz w:val="32"/>
          <w:szCs w:val="32"/>
          <w:highlight w:val="none"/>
        </w:rPr>
        <w:t>（加盖公章，一份）、</w:t>
      </w:r>
      <w:r>
        <w:rPr>
          <w:rFonts w:hint="eastAsia" w:hAnsi="宋体"/>
          <w:b/>
          <w:bCs/>
          <w:color w:val="auto"/>
          <w:sz w:val="32"/>
          <w:szCs w:val="32"/>
          <w:highlight w:val="none"/>
        </w:rPr>
        <w:t>经办人身份证原件及复印件</w:t>
      </w:r>
      <w:r>
        <w:rPr>
          <w:rFonts w:hint="eastAsia" w:hAnsi="宋体"/>
          <w:color w:val="auto"/>
          <w:sz w:val="32"/>
          <w:szCs w:val="32"/>
          <w:highlight w:val="none"/>
        </w:rPr>
        <w:t>（加盖公章，一份）</w:t>
      </w:r>
      <w:r>
        <w:rPr>
          <w:rFonts w:hint="eastAsia" w:hAnsi="宋体"/>
          <w:b/>
          <w:bCs/>
          <w:color w:val="auto"/>
          <w:sz w:val="32"/>
          <w:szCs w:val="32"/>
          <w:highlight w:val="none"/>
        </w:rPr>
        <w:t>提交意见函原件</w:t>
      </w:r>
      <w:r>
        <w:rPr>
          <w:rFonts w:hint="eastAsia" w:hAnsi="宋体"/>
          <w:color w:val="auto"/>
          <w:sz w:val="32"/>
          <w:szCs w:val="32"/>
          <w:highlight w:val="none"/>
        </w:rPr>
        <w:t>。意见函应注明联系人和联系方式。专业人员个人请提交意见签名，并附身份证、职称等复印件。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联系地址：广西南宁市青秀区</w:t>
      </w:r>
      <w:r>
        <w:rPr>
          <w:rFonts w:hint="eastAsia" w:hAnsi="宋体"/>
          <w:b/>
          <w:bCs/>
          <w:color w:val="auto"/>
          <w:sz w:val="32"/>
          <w:szCs w:val="32"/>
          <w:highlight w:val="none"/>
        </w:rPr>
        <w:t>星湖路22号</w:t>
      </w:r>
      <w:r>
        <w:rPr>
          <w:rFonts w:hint="eastAsia" w:hAnsi="宋体"/>
          <w:b w:val="0"/>
          <w:bCs w:val="0"/>
          <w:color w:val="auto"/>
          <w:sz w:val="32"/>
          <w:szCs w:val="32"/>
          <w:highlight w:val="none"/>
        </w:rPr>
        <w:t>广西壮族自治区公</w:t>
      </w:r>
      <w:r>
        <w:rPr>
          <w:rFonts w:hint="eastAsia" w:hAnsi="宋体"/>
          <w:b w:val="0"/>
          <w:bCs w:val="0"/>
          <w:color w:val="auto"/>
          <w:sz w:val="32"/>
          <w:szCs w:val="32"/>
          <w:highlight w:val="none"/>
          <w:lang w:eastAsia="zh-CN"/>
        </w:rPr>
        <w:t>共</w:t>
      </w:r>
      <w:r>
        <w:rPr>
          <w:rFonts w:hint="eastAsia" w:hAnsi="宋体"/>
          <w:b w:val="0"/>
          <w:bCs w:val="0"/>
          <w:color w:val="auto"/>
          <w:sz w:val="32"/>
          <w:szCs w:val="32"/>
          <w:highlight w:val="none"/>
        </w:rPr>
        <w:t>资源交易中心（广西壮族自治区政府采购中心）</w:t>
      </w:r>
      <w:r>
        <w:rPr>
          <w:rFonts w:hint="eastAsia" w:hAnsi="宋体"/>
          <w:b/>
          <w:bCs/>
          <w:color w:val="auto"/>
          <w:sz w:val="32"/>
          <w:szCs w:val="32"/>
          <w:highlight w:val="none"/>
        </w:rPr>
        <w:t xml:space="preserve">综合楼二楼208室 </w:t>
      </w:r>
      <w:r>
        <w:rPr>
          <w:rFonts w:hint="eastAsia" w:hAnsi="宋体"/>
          <w:color w:val="auto"/>
          <w:sz w:val="32"/>
          <w:szCs w:val="32"/>
          <w:highlight w:val="none"/>
        </w:rPr>
        <w:t xml:space="preserve">                            </w:t>
      </w:r>
    </w:p>
    <w:p>
      <w:pPr>
        <w:spacing w:line="460" w:lineRule="exact"/>
        <w:rPr>
          <w:rFonts w:hint="default" w:hAnsi="宋体" w:eastAsia="宋体"/>
          <w:color w:val="auto"/>
          <w:sz w:val="32"/>
          <w:szCs w:val="32"/>
          <w:highlight w:val="none"/>
          <w:lang w:val="en-US" w:eastAsia="zh-CN"/>
        </w:rPr>
      </w:pPr>
      <w:r>
        <w:rPr>
          <w:rFonts w:hint="eastAsia" w:hAnsi="宋体"/>
          <w:color w:val="auto"/>
          <w:sz w:val="32"/>
          <w:szCs w:val="32"/>
          <w:highlight w:val="none"/>
        </w:rPr>
        <w:t xml:space="preserve">    联系人：张国铨       联系电话：0771-</w:t>
      </w:r>
      <w:r>
        <w:rPr>
          <w:rFonts w:hint="eastAsia" w:hAnsi="宋体"/>
          <w:color w:val="auto"/>
          <w:sz w:val="32"/>
          <w:szCs w:val="32"/>
          <w:highlight w:val="none"/>
          <w:lang w:val="en-US" w:eastAsia="zh-CN"/>
        </w:rPr>
        <w:t>8600343</w:t>
      </w:r>
    </w:p>
    <w:p>
      <w:pPr>
        <w:spacing w:line="460" w:lineRule="exact"/>
        <w:ind w:firstLine="800" w:firstLineChars="250"/>
        <w:rPr>
          <w:rFonts w:hint="eastAsia" w:hAnsi="宋体"/>
          <w:color w:val="auto"/>
          <w:sz w:val="32"/>
          <w:szCs w:val="32"/>
          <w:highlight w:val="none"/>
        </w:rPr>
      </w:pPr>
      <w:r>
        <w:rPr>
          <w:rFonts w:hint="eastAsia" w:hAnsi="宋体"/>
          <w:color w:val="auto"/>
          <w:sz w:val="32"/>
          <w:szCs w:val="32"/>
          <w:highlight w:val="none"/>
        </w:rPr>
        <w:t>附：广西医科大学武鸣校区教学设施采购项目（GXZC2026-G1-001717-CGZX）公开招标文件预公示内容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eastAsia" w:hAnsi="宋体"/>
          <w:color w:val="auto"/>
          <w:sz w:val="32"/>
          <w:szCs w:val="32"/>
          <w:highlight w:val="none"/>
          <w:lang w:val="en-US" w:eastAsia="zh-CN"/>
        </w:rPr>
        <w:t>6</w:t>
      </w:r>
      <w:r>
        <w:rPr>
          <w:rFonts w:hint="eastAsia" w:hAnsi="宋体"/>
          <w:color w:val="auto"/>
          <w:sz w:val="32"/>
          <w:szCs w:val="32"/>
          <w:highlight w:val="none"/>
        </w:rPr>
        <w:t>年</w:t>
      </w:r>
      <w:r>
        <w:rPr>
          <w:rFonts w:hint="eastAsia" w:hAnsi="宋体"/>
          <w:color w:val="auto"/>
          <w:sz w:val="32"/>
          <w:szCs w:val="32"/>
          <w:highlight w:val="none"/>
          <w:lang w:val="en-US" w:eastAsia="zh-CN"/>
        </w:rPr>
        <w:t>6</w:t>
      </w:r>
      <w:r>
        <w:rPr>
          <w:rFonts w:hint="eastAsia" w:hAnsi="宋体"/>
          <w:color w:val="auto"/>
          <w:sz w:val="32"/>
          <w:szCs w:val="32"/>
          <w:highlight w:val="none"/>
        </w:rPr>
        <w:t>月</w:t>
      </w:r>
      <w:r>
        <w:rPr>
          <w:rFonts w:hint="eastAsia" w:hAnsi="宋体"/>
          <w:color w:val="auto"/>
          <w:sz w:val="32"/>
          <w:szCs w:val="32"/>
          <w:highlight w:val="none"/>
          <w:lang w:val="en-US" w:eastAsia="zh-CN"/>
        </w:rPr>
        <w:t>12</w:t>
      </w:r>
      <w:r>
        <w:rPr>
          <w:rFonts w:hint="eastAsia" w:hAnsi="宋体"/>
          <w:color w:val="auto"/>
          <w:sz w:val="32"/>
          <w:szCs w:val="32"/>
          <w:highlight w:val="none"/>
        </w:rPr>
        <w:t>日</w:t>
      </w:r>
    </w:p>
    <w:p>
      <w:pPr>
        <w:pStyle w:val="229"/>
        <w:widowControl w:val="0"/>
        <w:spacing w:afterLines="0"/>
        <w:ind w:firstLine="3840" w:firstLineChars="1200"/>
        <w:rPr>
          <w:b/>
          <w:color w:val="auto"/>
          <w:sz w:val="32"/>
          <w:szCs w:val="32"/>
          <w:highlight w:val="none"/>
        </w:rPr>
      </w:pPr>
      <w:r>
        <w:rPr>
          <w:rFonts w:hint="eastAsia" w:ascii="黑体" w:eastAsia="黑体"/>
          <w:color w:val="auto"/>
          <w:sz w:val="32"/>
          <w:szCs w:val="32"/>
          <w:highlight w:val="none"/>
        </w:rPr>
        <w:br w:type="page"/>
      </w:r>
      <w:r>
        <w:rPr>
          <w:rFonts w:hint="eastAsia"/>
          <w:b/>
          <w:color w:val="auto"/>
          <w:sz w:val="32"/>
          <w:szCs w:val="32"/>
          <w:highlight w:val="none"/>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rPr>
      </w:pPr>
      <w:r>
        <w:rPr>
          <w:rFonts w:hint="eastAsia" w:ascii="宋体" w:hAnsi="宋体"/>
          <w:color w:val="auto"/>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1" w:firstLineChars="200"/>
        <w:rPr>
          <w:rFonts w:hint="eastAsia" w:ascii="宋体" w:hAnsi="宋体"/>
          <w:color w:val="auto"/>
          <w:szCs w:val="21"/>
          <w:highlight w:val="none"/>
        </w:rPr>
      </w:pPr>
      <w:r>
        <w:rPr>
          <w:rFonts w:hint="eastAsia"/>
          <w:b/>
          <w:bCs/>
          <w:color w:val="auto"/>
          <w:highlight w:val="none"/>
        </w:rPr>
        <w:t>广西医科大学武鸣校区教学设施采购</w:t>
      </w:r>
      <w:r>
        <w:rPr>
          <w:color w:val="auto"/>
          <w:highlight w:val="none"/>
        </w:rPr>
        <w:t>项目的潜在投标人应在</w:t>
      </w:r>
      <w:r>
        <w:rPr>
          <w:color w:val="auto"/>
          <w:highlight w:val="none"/>
          <w:lang w:val="en"/>
        </w:rPr>
        <w:t>广西政府采购云平台（网址：http://www.gcy.zfcg.gxzf.gov.cn）</w:t>
      </w:r>
      <w:r>
        <w:rPr>
          <w:color w:val="auto"/>
          <w:highlight w:val="none"/>
        </w:rPr>
        <w:t xml:space="preserve">获取招标文件，并于 </w:t>
      </w:r>
      <w:r>
        <w:rPr>
          <w:color w:val="auto"/>
          <w:highlight w:val="none"/>
          <w:lang w:val="en"/>
        </w:rPr>
        <w:t>202</w:t>
      </w:r>
      <w:r>
        <w:rPr>
          <w:rFonts w:hint="eastAsia"/>
          <w:color w:val="auto"/>
          <w:highlight w:val="none"/>
        </w:rPr>
        <w:t>6</w:t>
      </w:r>
      <w:r>
        <w:rPr>
          <w:color w:val="auto"/>
          <w:highlight w:val="none"/>
          <w:lang w:val="en"/>
        </w:rPr>
        <w:t>年</w:t>
      </w:r>
      <w:r>
        <w:rPr>
          <w:rFonts w:hint="eastAsia"/>
          <w:color w:val="auto"/>
          <w:highlight w:val="none"/>
        </w:rPr>
        <w:t xml:space="preserve"> </w:t>
      </w:r>
      <w:r>
        <w:rPr>
          <w:color w:val="auto"/>
          <w:highlight w:val="none"/>
          <w:lang w:val="en"/>
        </w:rPr>
        <w:t>月</w:t>
      </w:r>
      <w:r>
        <w:rPr>
          <w:rFonts w:hint="eastAsia"/>
          <w:color w:val="auto"/>
          <w:highlight w:val="none"/>
        </w:rPr>
        <w:t xml:space="preserve">   </w:t>
      </w:r>
      <w:r>
        <w:rPr>
          <w:color w:val="auto"/>
          <w:highlight w:val="none"/>
          <w:lang w:val="en"/>
        </w:rPr>
        <w:t>日</w:t>
      </w:r>
      <w:r>
        <w:rPr>
          <w:color w:val="auto"/>
          <w:highlight w:val="none"/>
        </w:rPr>
        <w:t xml:space="preserve"> 10:00（北京时间）前递交投标文件。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bookmarkStart w:id="0" w:name="_Toc28359086"/>
      <w:bookmarkStart w:id="1" w:name="_Toc28359009"/>
      <w:r>
        <w:rPr>
          <w:rFonts w:hint="eastAsia"/>
          <w:b/>
          <w:color w:val="auto"/>
          <w:highlight w:val="none"/>
        </w:rPr>
        <w:t>一、项目基本情况</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项目编号：GXZC2026-G1-001717-CGZX</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lang w:val="en"/>
        </w:rPr>
      </w:pPr>
      <w:r>
        <w:rPr>
          <w:rFonts w:hint="eastAsia"/>
          <w:color w:val="auto"/>
          <w:highlight w:val="none"/>
        </w:rPr>
        <w:t>项目名称：广西医科大学武鸣校区教学设施采购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预算总金额（元）：</w:t>
      </w:r>
      <w:r>
        <w:rPr>
          <w:rFonts w:hint="eastAsia" w:ascii="宋体" w:hAnsi="宋体"/>
          <w:color w:val="auto"/>
          <w:kern w:val="0"/>
          <w:szCs w:val="21"/>
          <w:highlight w:val="none"/>
          <w:u w:val="single"/>
        </w:rPr>
        <w:t>4064481.50</w:t>
      </w:r>
      <w:r>
        <w:rPr>
          <w:rFonts w:hint="eastAsia" w:ascii="宋体" w:hAnsi="宋体"/>
          <w:b/>
          <w:bCs/>
          <w:color w:val="auto"/>
          <w:kern w:val="0"/>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采购需求：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标项一：</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标项名称: 广西医科大学武鸣校区教学设施（计算机）采购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数量:1 </w:t>
      </w:r>
      <w:r>
        <w:rPr>
          <w:rFonts w:hint="eastAsia"/>
          <w:color w:val="auto"/>
          <w:highlight w:val="none"/>
        </w:rPr>
        <w:br w:type="textWrapping"/>
      </w:r>
      <w:r>
        <w:rPr>
          <w:rFonts w:hint="eastAsia"/>
          <w:color w:val="auto"/>
          <w:highlight w:val="none"/>
        </w:rPr>
        <w:t xml:space="preserve">    预算金额（元）：1846138</w:t>
      </w:r>
    </w:p>
    <w:p>
      <w:pPr>
        <w:keepNext w:val="0"/>
        <w:keepLines w:val="0"/>
        <w:pageBreakBefore w:val="0"/>
        <w:widowControl w:val="0"/>
        <w:kinsoku/>
        <w:wordWrap/>
        <w:overflowPunct/>
        <w:topLinePunct w:val="0"/>
        <w:autoSpaceDE/>
        <w:autoSpaceDN/>
        <w:bidi w:val="0"/>
        <w:spacing w:line="320" w:lineRule="exact"/>
        <w:textAlignment w:val="auto"/>
        <w:rPr>
          <w:color w:val="auto"/>
          <w:highlight w:val="none"/>
        </w:rPr>
      </w:pPr>
      <w:r>
        <w:rPr>
          <w:color w:val="auto"/>
          <w:highlight w:val="none"/>
          <w:lang w:val="en"/>
        </w:rPr>
        <w:t xml:space="preserve">    </w:t>
      </w:r>
      <w:r>
        <w:rPr>
          <w:rFonts w:hint="eastAsia"/>
          <w:color w:val="auto"/>
          <w:highlight w:val="none"/>
        </w:rPr>
        <w:t>简要规格描述或项目基本概况介绍、用途：</w:t>
      </w:r>
      <w:r>
        <w:rPr>
          <w:rFonts w:ascii="宋体" w:hAnsi="宋体" w:cs="宋体"/>
          <w:color w:val="auto"/>
          <w:kern w:val="0"/>
          <w:sz w:val="20"/>
          <w:szCs w:val="20"/>
          <w:highlight w:val="none"/>
          <w:lang w:bidi="ar"/>
        </w:rPr>
        <w:t>教学云终端一体机</w:t>
      </w:r>
      <w:r>
        <w:rPr>
          <w:rFonts w:hint="eastAsia" w:ascii="宋体" w:hAnsi="宋体" w:cs="宋体"/>
          <w:color w:val="auto"/>
          <w:kern w:val="0"/>
          <w:sz w:val="20"/>
          <w:szCs w:val="20"/>
          <w:highlight w:val="none"/>
          <w:lang w:val="en-US" w:eastAsia="zh-CN" w:bidi="ar"/>
        </w:rPr>
        <w:t>280台</w:t>
      </w:r>
      <w:r>
        <w:rPr>
          <w:rFonts w:hint="eastAsia"/>
          <w:color w:val="auto"/>
          <w:highlight w:val="none"/>
          <w:lang w:val="en" w:eastAsia="zh-CN"/>
        </w:rPr>
        <w:t>。</w:t>
      </w:r>
      <w:r>
        <w:rPr>
          <w:rFonts w:hint="eastAsia"/>
          <w:color w:val="auto"/>
          <w:highlight w:val="none"/>
          <w:lang w:val="en"/>
        </w:rPr>
        <w:t>如需进一步了解详细内容，详见采购文件。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lang w:val="en"/>
        </w:rPr>
      </w:pPr>
      <w:r>
        <w:rPr>
          <w:rFonts w:hint="eastAsia"/>
          <w:color w:val="auto"/>
          <w:highlight w:val="none"/>
        </w:rPr>
        <w:t xml:space="preserve">最高限价（如有）： </w:t>
      </w:r>
      <w:r>
        <w:rPr>
          <w:color w:val="auto"/>
          <w:highlight w:val="none"/>
          <w:lang w:val="en"/>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合同履约期限：</w:t>
      </w:r>
      <w:r>
        <w:rPr>
          <w:rFonts w:hint="eastAsia"/>
          <w:b/>
          <w:bCs/>
          <w:color w:val="auto"/>
          <w:highlight w:val="none"/>
        </w:rPr>
        <w:t>自合同签订之日起至项目履约完毕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本项目（否）接受联合体投标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标项名称：广西医科大学武鸣校区教学设施（设备类）采购</w:t>
      </w:r>
    </w:p>
    <w:p>
      <w:pPr>
        <w:keepNext w:val="0"/>
        <w:keepLines w:val="0"/>
        <w:pageBreakBefore w:val="0"/>
        <w:widowControl w:val="0"/>
        <w:kinsoku/>
        <w:wordWrap/>
        <w:overflowPunct/>
        <w:topLinePunct w:val="0"/>
        <w:autoSpaceDE/>
        <w:autoSpaceDN/>
        <w:bidi w:val="0"/>
        <w:spacing w:line="320" w:lineRule="exact"/>
        <w:ind w:firstLine="420"/>
        <w:textAlignment w:val="auto"/>
        <w:rPr>
          <w:color w:val="auto"/>
          <w:highlight w:val="none"/>
        </w:rPr>
      </w:pPr>
      <w:r>
        <w:rPr>
          <w:rFonts w:hint="eastAsia"/>
          <w:color w:val="auto"/>
          <w:highlight w:val="none"/>
        </w:rPr>
        <w:t xml:space="preserve">数量:17 </w:t>
      </w:r>
      <w:r>
        <w:rPr>
          <w:rFonts w:hint="eastAsia"/>
          <w:color w:val="auto"/>
          <w:highlight w:val="none"/>
        </w:rPr>
        <w:br w:type="textWrapping"/>
      </w:r>
      <w:r>
        <w:rPr>
          <w:rFonts w:hint="eastAsia"/>
          <w:color w:val="auto"/>
          <w:highlight w:val="none"/>
        </w:rPr>
        <w:t xml:space="preserve">    预算金额（元）</w:t>
      </w:r>
      <w:r>
        <w:rPr>
          <w:color w:val="auto"/>
          <w:highlight w:val="none"/>
          <w:lang w:val="en"/>
        </w:rPr>
        <w:t>：</w:t>
      </w:r>
      <w:r>
        <w:rPr>
          <w:rFonts w:hint="eastAsia"/>
          <w:color w:val="auto"/>
          <w:highlight w:val="none"/>
        </w:rPr>
        <w:t>1314897.32</w:t>
      </w:r>
    </w:p>
    <w:p>
      <w:pPr>
        <w:keepNext w:val="0"/>
        <w:keepLines w:val="0"/>
        <w:pageBreakBefore w:val="0"/>
        <w:widowControl w:val="0"/>
        <w:kinsoku/>
        <w:wordWrap/>
        <w:overflowPunct/>
        <w:topLinePunct w:val="0"/>
        <w:autoSpaceDE/>
        <w:autoSpaceDN/>
        <w:bidi w:val="0"/>
        <w:spacing w:line="320"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rPr>
        <w:t>简要规格描述或项目基本概况介绍、用途：教学实验一体机15套</w:t>
      </w:r>
      <w:r>
        <w:rPr>
          <w:rFonts w:hint="eastAsia"/>
          <w:color w:val="auto"/>
          <w:highlight w:val="none"/>
          <w:lang w:eastAsia="zh-CN"/>
        </w:rPr>
        <w:t>；</w:t>
      </w:r>
      <w:r>
        <w:rPr>
          <w:rFonts w:hint="eastAsia"/>
          <w:color w:val="auto"/>
          <w:highlight w:val="none"/>
        </w:rPr>
        <w:t>户内全彩LED屏30平方米</w:t>
      </w:r>
      <w:r>
        <w:rPr>
          <w:rFonts w:hint="eastAsia"/>
          <w:color w:val="auto"/>
          <w:highlight w:val="none"/>
          <w:lang w:eastAsia="zh-CN"/>
        </w:rPr>
        <w:t>；</w:t>
      </w:r>
      <w:r>
        <w:rPr>
          <w:rFonts w:hint="eastAsia"/>
          <w:color w:val="auto"/>
          <w:highlight w:val="none"/>
        </w:rPr>
        <w:t>空调（柜式）10台</w:t>
      </w:r>
      <w:r>
        <w:rPr>
          <w:rFonts w:hint="eastAsia"/>
          <w:color w:val="auto"/>
          <w:highlight w:val="none"/>
          <w:lang w:eastAsia="zh-CN"/>
        </w:rPr>
        <w:t>；</w:t>
      </w:r>
      <w:r>
        <w:rPr>
          <w:rFonts w:hint="eastAsia"/>
          <w:color w:val="auto"/>
          <w:highlight w:val="none"/>
        </w:rPr>
        <w:t>智慧黑板3套</w:t>
      </w:r>
      <w:r>
        <w:rPr>
          <w:rFonts w:hint="eastAsia"/>
          <w:color w:val="auto"/>
          <w:highlight w:val="none"/>
          <w:lang w:eastAsia="zh-CN"/>
        </w:rPr>
        <w:t>；</w:t>
      </w:r>
      <w:r>
        <w:rPr>
          <w:rFonts w:hint="eastAsia"/>
          <w:color w:val="auto"/>
          <w:highlight w:val="none"/>
        </w:rPr>
        <w:t>教学电脑2台</w:t>
      </w:r>
      <w:r>
        <w:rPr>
          <w:rFonts w:hint="eastAsia"/>
          <w:color w:val="auto"/>
          <w:highlight w:val="none"/>
          <w:lang w:eastAsia="zh-CN"/>
        </w:rPr>
        <w:t>；</w:t>
      </w:r>
      <w:r>
        <w:rPr>
          <w:rFonts w:hint="eastAsia"/>
          <w:color w:val="auto"/>
          <w:highlight w:val="none"/>
        </w:rPr>
        <w:t>教学投影仪2</w:t>
      </w:r>
      <w:r>
        <w:rPr>
          <w:rFonts w:hint="eastAsia"/>
          <w:color w:val="auto"/>
          <w:highlight w:val="none"/>
          <w:lang w:eastAsia="zh-CN"/>
        </w:rPr>
        <w:t>台；</w:t>
      </w:r>
      <w:r>
        <w:rPr>
          <w:rFonts w:hint="eastAsia"/>
          <w:color w:val="auto"/>
          <w:highlight w:val="none"/>
        </w:rPr>
        <w:t>计算机2台</w:t>
      </w:r>
      <w:r>
        <w:rPr>
          <w:rFonts w:hint="eastAsia"/>
          <w:color w:val="auto"/>
          <w:highlight w:val="none"/>
          <w:lang w:eastAsia="zh-CN"/>
        </w:rPr>
        <w:t>；</w:t>
      </w:r>
      <w:r>
        <w:rPr>
          <w:rFonts w:hint="eastAsia"/>
          <w:color w:val="auto"/>
          <w:highlight w:val="none"/>
        </w:rPr>
        <w:t>空调4台</w:t>
      </w:r>
      <w:r>
        <w:rPr>
          <w:rFonts w:hint="eastAsia"/>
          <w:color w:val="auto"/>
          <w:highlight w:val="none"/>
          <w:lang w:eastAsia="zh-CN"/>
        </w:rPr>
        <w:t>；</w:t>
      </w:r>
      <w:r>
        <w:rPr>
          <w:rFonts w:hint="eastAsia"/>
          <w:color w:val="auto"/>
          <w:highlight w:val="none"/>
        </w:rPr>
        <w:t>高清投影仪2</w:t>
      </w:r>
      <w:r>
        <w:rPr>
          <w:rFonts w:hint="eastAsia"/>
          <w:color w:val="auto"/>
          <w:highlight w:val="none"/>
        </w:rPr>
        <w:tab/>
      </w:r>
      <w:r>
        <w:rPr>
          <w:rFonts w:hint="eastAsia"/>
          <w:color w:val="auto"/>
          <w:highlight w:val="none"/>
        </w:rPr>
        <w:t>台</w:t>
      </w:r>
      <w:r>
        <w:rPr>
          <w:rFonts w:hint="eastAsia"/>
          <w:color w:val="auto"/>
          <w:highlight w:val="none"/>
          <w:lang w:eastAsia="zh-CN"/>
        </w:rPr>
        <w:t>；</w:t>
      </w:r>
      <w:r>
        <w:rPr>
          <w:rFonts w:hint="eastAsia"/>
          <w:color w:val="auto"/>
          <w:highlight w:val="none"/>
        </w:rPr>
        <w:t>光能黑板3套</w:t>
      </w:r>
      <w:r>
        <w:rPr>
          <w:rFonts w:hint="eastAsia"/>
          <w:color w:val="auto"/>
          <w:highlight w:val="none"/>
          <w:lang w:eastAsia="zh-CN"/>
        </w:rPr>
        <w:t>；</w:t>
      </w:r>
      <w:r>
        <w:rPr>
          <w:rFonts w:hint="eastAsia"/>
          <w:color w:val="auto"/>
          <w:highlight w:val="none"/>
        </w:rPr>
        <w:t>显示器3台</w:t>
      </w:r>
      <w:r>
        <w:rPr>
          <w:rFonts w:hint="eastAsia"/>
          <w:color w:val="auto"/>
          <w:highlight w:val="none"/>
          <w:lang w:eastAsia="zh-CN"/>
        </w:rPr>
        <w:t>；</w:t>
      </w:r>
      <w:r>
        <w:rPr>
          <w:rFonts w:hint="eastAsia"/>
          <w:color w:val="auto"/>
          <w:highlight w:val="none"/>
        </w:rPr>
        <w:t>升降光能黑板4台</w:t>
      </w:r>
      <w:r>
        <w:rPr>
          <w:rFonts w:hint="eastAsia"/>
          <w:color w:val="auto"/>
          <w:highlight w:val="none"/>
          <w:lang w:eastAsia="zh-CN"/>
        </w:rPr>
        <w:t>；</w:t>
      </w:r>
      <w:r>
        <w:rPr>
          <w:rFonts w:hint="eastAsia"/>
          <w:color w:val="auto"/>
          <w:highlight w:val="none"/>
        </w:rPr>
        <w:t>光能黑板2台</w:t>
      </w:r>
      <w:r>
        <w:rPr>
          <w:rFonts w:hint="eastAsia"/>
          <w:color w:val="auto"/>
          <w:highlight w:val="none"/>
          <w:lang w:eastAsia="zh-CN"/>
        </w:rPr>
        <w:t>；</w:t>
      </w:r>
      <w:r>
        <w:rPr>
          <w:rFonts w:hint="eastAsia"/>
          <w:color w:val="auto"/>
          <w:highlight w:val="none"/>
        </w:rPr>
        <w:t>智慧教学终端1台</w:t>
      </w:r>
      <w:r>
        <w:rPr>
          <w:rFonts w:hint="eastAsia"/>
          <w:color w:val="auto"/>
          <w:highlight w:val="none"/>
          <w:lang w:eastAsia="zh-CN"/>
        </w:rPr>
        <w:t>；</w:t>
      </w:r>
      <w:r>
        <w:rPr>
          <w:rFonts w:hint="eastAsia"/>
          <w:color w:val="auto"/>
          <w:highlight w:val="none"/>
        </w:rPr>
        <w:t>交互教学终端16台</w:t>
      </w:r>
      <w:r>
        <w:rPr>
          <w:rFonts w:hint="eastAsia"/>
          <w:color w:val="auto"/>
          <w:highlight w:val="none"/>
          <w:lang w:eastAsia="zh-CN"/>
        </w:rPr>
        <w:t>；</w:t>
      </w:r>
      <w:r>
        <w:rPr>
          <w:rFonts w:hint="eastAsia"/>
          <w:color w:val="auto"/>
          <w:highlight w:val="none"/>
        </w:rPr>
        <w:t>智慧展示终端6套</w:t>
      </w:r>
      <w:r>
        <w:rPr>
          <w:rFonts w:hint="eastAsia"/>
          <w:color w:val="auto"/>
          <w:highlight w:val="none"/>
          <w:lang w:eastAsia="zh-CN"/>
        </w:rPr>
        <w:t>；</w:t>
      </w:r>
      <w:r>
        <w:rPr>
          <w:rFonts w:hint="eastAsia"/>
          <w:color w:val="auto"/>
          <w:highlight w:val="none"/>
        </w:rPr>
        <w:t>智慧教学双屏终端3套</w:t>
      </w:r>
      <w:r>
        <w:rPr>
          <w:rFonts w:hint="eastAsia"/>
          <w:color w:val="auto"/>
          <w:highlight w:val="none"/>
          <w:lang w:eastAsia="zh-CN"/>
        </w:rPr>
        <w:t>。</w:t>
      </w:r>
      <w:r>
        <w:rPr>
          <w:rFonts w:hint="eastAsia"/>
          <w:color w:val="auto"/>
          <w:highlight w:val="none"/>
          <w:lang w:val="en"/>
        </w:rPr>
        <w:t>如需进一步了解详细内容，详见采购文件。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lang w:val="en"/>
        </w:rPr>
      </w:pPr>
      <w:r>
        <w:rPr>
          <w:rFonts w:hint="eastAsia"/>
          <w:color w:val="auto"/>
          <w:highlight w:val="none"/>
        </w:rPr>
        <w:t>最高限价（如有）：</w:t>
      </w:r>
      <w:r>
        <w:rPr>
          <w:color w:val="auto"/>
          <w:highlight w:val="none"/>
          <w:lang w:val="en"/>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合同履约期限：</w:t>
      </w:r>
      <w:r>
        <w:rPr>
          <w:rFonts w:hint="eastAsia"/>
          <w:b/>
          <w:bCs/>
          <w:color w:val="auto"/>
          <w:highlight w:val="none"/>
        </w:rPr>
        <w:t>自合同签订之日起至项目履约完毕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本项目（否）接受联合体投标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标项名称：广西医科大学武鸣校区教学设施（家具类）采购</w:t>
      </w:r>
    </w:p>
    <w:p>
      <w:pPr>
        <w:keepNext w:val="0"/>
        <w:keepLines w:val="0"/>
        <w:pageBreakBefore w:val="0"/>
        <w:widowControl w:val="0"/>
        <w:kinsoku/>
        <w:wordWrap/>
        <w:overflowPunct/>
        <w:topLinePunct w:val="0"/>
        <w:autoSpaceDE/>
        <w:autoSpaceDN/>
        <w:bidi w:val="0"/>
        <w:spacing w:line="320" w:lineRule="exact"/>
        <w:textAlignment w:val="auto"/>
        <w:rPr>
          <w:color w:val="auto"/>
          <w:highlight w:val="none"/>
        </w:rPr>
      </w:pPr>
      <w:r>
        <w:rPr>
          <w:rFonts w:hint="eastAsia"/>
          <w:color w:val="auto"/>
          <w:highlight w:val="none"/>
        </w:rPr>
        <w:t xml:space="preserve">    数量:34 </w:t>
      </w:r>
      <w:r>
        <w:rPr>
          <w:rFonts w:hint="eastAsia"/>
          <w:color w:val="auto"/>
          <w:highlight w:val="none"/>
        </w:rPr>
        <w:br w:type="textWrapping"/>
      </w:r>
      <w:r>
        <w:rPr>
          <w:rFonts w:hint="eastAsia"/>
          <w:color w:val="auto"/>
          <w:highlight w:val="none"/>
        </w:rPr>
        <w:t xml:space="preserve">    预算金额（元）</w:t>
      </w:r>
      <w:r>
        <w:rPr>
          <w:color w:val="auto"/>
          <w:highlight w:val="none"/>
          <w:lang w:val="en"/>
        </w:rPr>
        <w:t>：</w:t>
      </w:r>
      <w:r>
        <w:rPr>
          <w:rFonts w:hint="eastAsia"/>
          <w:color w:val="auto"/>
          <w:highlight w:val="none"/>
        </w:rPr>
        <w:t>903446.18</w:t>
      </w:r>
      <w:r>
        <w:rPr>
          <w:rFonts w:hint="eastAsia"/>
          <w:color w:val="auto"/>
          <w:highlight w:val="none"/>
        </w:rPr>
        <w:br w:type="textWrapping"/>
      </w:r>
      <w:r>
        <w:rPr>
          <w:rFonts w:hint="eastAsia"/>
          <w:color w:val="auto"/>
          <w:highlight w:val="none"/>
        </w:rPr>
        <w:t xml:space="preserve">    简要规格描述或项目基本概况介绍、用途：</w:t>
      </w:r>
      <w:r>
        <w:rPr>
          <w:rFonts w:hint="eastAsia"/>
          <w:color w:val="auto"/>
          <w:highlight w:val="none"/>
          <w:lang w:eastAsia="zh-CN"/>
        </w:rPr>
        <w:t>阶梯教室桌椅前排176位；阶梯教室桌椅中排396位；阶梯教室桌椅后排176</w:t>
      </w:r>
      <w:r>
        <w:rPr>
          <w:rFonts w:hint="eastAsia"/>
          <w:color w:val="auto"/>
          <w:highlight w:val="none"/>
          <w:lang w:eastAsia="zh-CN"/>
        </w:rPr>
        <w:tab/>
      </w:r>
      <w:r>
        <w:rPr>
          <w:rFonts w:hint="eastAsia"/>
          <w:color w:val="auto"/>
          <w:highlight w:val="none"/>
          <w:lang w:eastAsia="zh-CN"/>
        </w:rPr>
        <w:t>位；教室桌椅前排12位；教室桌椅中排156位；教室桌椅后排12位；学生桌子66张；学生椅子66张；长条双人桌64张；长条桌椅子128张；实验凳150张；多媒体讲台3套；教师椅3把；组合式八边形学习桌椅12套；不锈钢陈列柜15组；不锈钢圆凳105个；讲台2台；实验室不锈钢升降圆凳40把；实验室靠背椅(工作椅)2把；中型置物架4个；壁柜</w:t>
      </w:r>
      <w:r>
        <w:rPr>
          <w:rFonts w:hint="eastAsia"/>
          <w:color w:val="auto"/>
          <w:highlight w:val="none"/>
          <w:lang w:val="en-US" w:eastAsia="zh-CN"/>
        </w:rPr>
        <w:t>3</w:t>
      </w:r>
      <w:r>
        <w:rPr>
          <w:rFonts w:hint="eastAsia"/>
          <w:color w:val="auto"/>
          <w:highlight w:val="none"/>
          <w:lang w:eastAsia="zh-CN"/>
        </w:rPr>
        <w:t>组；边台</w:t>
      </w:r>
      <w:r>
        <w:rPr>
          <w:rFonts w:hint="eastAsia"/>
          <w:color w:val="auto"/>
          <w:highlight w:val="none"/>
          <w:lang w:val="en-US" w:eastAsia="zh-CN"/>
        </w:rPr>
        <w:t>3</w:t>
      </w:r>
      <w:r>
        <w:rPr>
          <w:rFonts w:hint="eastAsia"/>
          <w:color w:val="auto"/>
          <w:highlight w:val="none"/>
          <w:lang w:eastAsia="zh-CN"/>
        </w:rPr>
        <w:t>张；中央台8组；操作台2张；凳子95张；试剂架带插座、网络插口4组；水槽、三联水嘴、滴水架</w:t>
      </w:r>
      <w:r>
        <w:rPr>
          <w:rFonts w:hint="eastAsia"/>
          <w:color w:val="auto"/>
          <w:highlight w:val="none"/>
          <w:lang w:val="en-US" w:eastAsia="zh-CN"/>
        </w:rPr>
        <w:t>20</w:t>
      </w:r>
      <w:r>
        <w:rPr>
          <w:rFonts w:hint="eastAsia"/>
          <w:color w:val="auto"/>
          <w:highlight w:val="none"/>
          <w:lang w:eastAsia="zh-CN"/>
        </w:rPr>
        <w:t>组；全钢通风柜（含配件）1台；高隔断1个。</w:t>
      </w:r>
      <w:r>
        <w:rPr>
          <w:rFonts w:hint="eastAsia"/>
          <w:color w:val="auto"/>
          <w:highlight w:val="none"/>
          <w:lang w:val="en"/>
        </w:rPr>
        <w:t>如需进一步了解详细内容，详见采购文件。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lang w:val="en"/>
        </w:rPr>
      </w:pPr>
      <w:r>
        <w:rPr>
          <w:rFonts w:hint="eastAsia"/>
          <w:color w:val="auto"/>
          <w:highlight w:val="none"/>
        </w:rPr>
        <w:t>最高限价（如有）：</w:t>
      </w:r>
      <w:r>
        <w:rPr>
          <w:color w:val="auto"/>
          <w:highlight w:val="none"/>
          <w:lang w:val="en"/>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合同履约期限：</w:t>
      </w:r>
      <w:r>
        <w:rPr>
          <w:rFonts w:hint="eastAsia"/>
          <w:b/>
          <w:bCs/>
          <w:color w:val="auto"/>
          <w:highlight w:val="none"/>
        </w:rPr>
        <w:t>自合同签订之日起至项目履约完毕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本项目（否）接受联合体投标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备注：本项目各分标为线上电子招标项目，有意向参与本项目的供应商应当做好参与全流程电子招投标交易的充分准备。</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二、申请人的资格要求：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2.落实政府采购政策需满足的资格要求：</w:t>
      </w:r>
      <w:r>
        <w:rPr>
          <w:color w:val="auto"/>
          <w:highlight w:val="none"/>
          <w:lang w:val="en"/>
        </w:rPr>
        <w:t>分标1</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color w:val="auto"/>
          <w:highlight w:val="none"/>
          <w:lang w:val="en"/>
        </w:rPr>
        <w:t>分标</w:t>
      </w:r>
      <w:r>
        <w:rPr>
          <w:rFonts w:hint="eastAsia"/>
          <w:color w:val="auto"/>
          <w:highlight w:val="none"/>
        </w:rPr>
        <w:t>2</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color w:val="auto"/>
          <w:highlight w:val="none"/>
          <w:lang w:val="en"/>
        </w:rPr>
        <w:t>分标</w:t>
      </w:r>
      <w:r>
        <w:rPr>
          <w:rFonts w:hint="eastAsia"/>
          <w:color w:val="auto"/>
          <w:highlight w:val="none"/>
        </w:rPr>
        <w:t>3</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rFonts w:hint="eastAsia"/>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3.本项目的特定资格要求：</w:t>
      </w:r>
      <w:r>
        <w:rPr>
          <w:color w:val="auto"/>
          <w:highlight w:val="none"/>
          <w:lang w:val="en"/>
        </w:rPr>
        <w:t>分标1</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color w:val="auto"/>
          <w:highlight w:val="none"/>
          <w:lang w:val="en"/>
        </w:rPr>
        <w:t>分标</w:t>
      </w:r>
      <w:r>
        <w:rPr>
          <w:rFonts w:hint="eastAsia"/>
          <w:color w:val="auto"/>
          <w:highlight w:val="none"/>
        </w:rPr>
        <w:t>2</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color w:val="auto"/>
          <w:highlight w:val="none"/>
          <w:lang w:val="en"/>
        </w:rPr>
        <w:t>分标</w:t>
      </w:r>
      <w:r>
        <w:rPr>
          <w:rFonts w:hint="eastAsia"/>
          <w:color w:val="auto"/>
          <w:highlight w:val="none"/>
        </w:rPr>
        <w:t>3</w:t>
      </w:r>
      <w:r>
        <w:rPr>
          <w:rFonts w:hint="eastAsia"/>
          <w:color w:val="auto"/>
          <w:highlight w:val="none"/>
          <w:lang w:val="en"/>
        </w:rPr>
        <w:t>：</w:t>
      </w:r>
      <w:r>
        <w:rPr>
          <w:rFonts w:hint="eastAsia"/>
          <w:color w:val="auto"/>
          <w:highlight w:val="none"/>
        </w:rPr>
        <w:t>无</w:t>
      </w:r>
      <w:r>
        <w:rPr>
          <w:rFonts w:hint="eastAsia"/>
          <w:color w:val="auto"/>
          <w:highlight w:val="none"/>
          <w:lang w:val="en"/>
        </w:rPr>
        <w:t>。</w:t>
      </w:r>
      <w:r>
        <w:rPr>
          <w:rFonts w:hint="eastAsia"/>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 xml:space="preserve">三、获取招标文件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时间：</w:t>
      </w:r>
      <w:r>
        <w:rPr>
          <w:b/>
          <w:bCs/>
          <w:color w:val="auto"/>
          <w:highlight w:val="none"/>
          <w:lang w:val="en"/>
        </w:rPr>
        <w:t>202</w:t>
      </w:r>
      <w:r>
        <w:rPr>
          <w:rFonts w:hint="eastAsia"/>
          <w:b/>
          <w:bCs/>
          <w:color w:val="auto"/>
          <w:highlight w:val="none"/>
        </w:rPr>
        <w:t>6</w:t>
      </w:r>
      <w:r>
        <w:rPr>
          <w:b/>
          <w:bCs/>
          <w:color w:val="auto"/>
          <w:highlight w:val="none"/>
          <w:lang w:val="en"/>
        </w:rPr>
        <w:t>年</w:t>
      </w:r>
      <w:r>
        <w:rPr>
          <w:rFonts w:hint="eastAsia"/>
          <w:b/>
          <w:bCs/>
          <w:color w:val="auto"/>
          <w:highlight w:val="none"/>
        </w:rPr>
        <w:t xml:space="preserve">  </w:t>
      </w:r>
      <w:r>
        <w:rPr>
          <w:b/>
          <w:bCs/>
          <w:color w:val="auto"/>
          <w:highlight w:val="none"/>
          <w:lang w:val="en"/>
        </w:rPr>
        <w:t>月</w:t>
      </w:r>
      <w:r>
        <w:rPr>
          <w:rFonts w:hint="eastAsia"/>
          <w:b/>
          <w:bCs/>
          <w:color w:val="auto"/>
          <w:highlight w:val="none"/>
        </w:rPr>
        <w:t xml:space="preserve">  </w:t>
      </w:r>
      <w:r>
        <w:rPr>
          <w:b/>
          <w:bCs/>
          <w:color w:val="auto"/>
          <w:highlight w:val="none"/>
          <w:lang w:val="en"/>
        </w:rPr>
        <w:t>日</w:t>
      </w:r>
      <w:r>
        <w:rPr>
          <w:rFonts w:hint="eastAsia"/>
          <w:b/>
          <w:bCs/>
          <w:color w:val="auto"/>
          <w:highlight w:val="none"/>
        </w:rPr>
        <w:t>至</w:t>
      </w:r>
      <w:r>
        <w:rPr>
          <w:b/>
          <w:bCs/>
          <w:color w:val="auto"/>
          <w:highlight w:val="none"/>
          <w:lang w:val="en"/>
        </w:rPr>
        <w:t>202</w:t>
      </w:r>
      <w:r>
        <w:rPr>
          <w:rFonts w:hint="eastAsia"/>
          <w:b/>
          <w:bCs/>
          <w:color w:val="auto"/>
          <w:highlight w:val="none"/>
        </w:rPr>
        <w:t>6</w:t>
      </w:r>
      <w:r>
        <w:rPr>
          <w:b/>
          <w:bCs/>
          <w:color w:val="auto"/>
          <w:highlight w:val="none"/>
          <w:lang w:val="en"/>
        </w:rPr>
        <w:t>年</w:t>
      </w:r>
      <w:r>
        <w:rPr>
          <w:rFonts w:hint="eastAsia"/>
          <w:b/>
          <w:bCs/>
          <w:color w:val="auto"/>
          <w:highlight w:val="none"/>
        </w:rPr>
        <w:t xml:space="preserve">  </w:t>
      </w:r>
      <w:r>
        <w:rPr>
          <w:b/>
          <w:bCs/>
          <w:color w:val="auto"/>
          <w:highlight w:val="none"/>
          <w:lang w:val="en"/>
        </w:rPr>
        <w:t>月</w:t>
      </w:r>
      <w:r>
        <w:rPr>
          <w:rFonts w:hint="eastAsia"/>
          <w:b/>
          <w:bCs/>
          <w:color w:val="auto"/>
          <w:highlight w:val="none"/>
        </w:rPr>
        <w:t xml:space="preserve">  </w:t>
      </w:r>
      <w:r>
        <w:rPr>
          <w:b/>
          <w:bCs/>
          <w:color w:val="auto"/>
          <w:highlight w:val="none"/>
          <w:lang w:val="en"/>
        </w:rPr>
        <w:t>日</w:t>
      </w:r>
      <w:r>
        <w:rPr>
          <w:rFonts w:hint="eastAsia"/>
          <w:color w:val="auto"/>
          <w:highlight w:val="none"/>
        </w:rPr>
        <w:t>，每天上午0</w:t>
      </w:r>
      <w:r>
        <w:rPr>
          <w:rFonts w:hint="eastAsia"/>
          <w:color w:val="auto"/>
          <w:highlight w:val="none"/>
          <w:lang w:val="en"/>
        </w:rPr>
        <w:t>0</w:t>
      </w:r>
      <w:r>
        <w:rPr>
          <w:rFonts w:hint="eastAsia"/>
          <w:color w:val="auto"/>
          <w:highlight w:val="none"/>
        </w:rPr>
        <w:t>:00至12:00，下午12:00至23:59（北京时间，法定节假日除外）</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地点（网址）：</w:t>
      </w:r>
      <w:r>
        <w:rPr>
          <w:color w:val="auto"/>
          <w:highlight w:val="none"/>
          <w:lang w:val="en"/>
        </w:rPr>
        <w:t>广西政府采购云平台（网址：http://www.gcy.zfcg.gxzf.gov.cn）</w:t>
      </w:r>
      <w:r>
        <w:rPr>
          <w:rFonts w:hint="eastAsia"/>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方式：请登录</w:t>
      </w:r>
      <w:r>
        <w:rPr>
          <w:color w:val="auto"/>
          <w:highlight w:val="none"/>
          <w:lang w:val="en"/>
        </w:rPr>
        <w:t>广西政府采购云平台（网址：http://www.gcy.zfcg.gxzf.gov.cn）</w:t>
      </w:r>
      <w:r>
        <w:rPr>
          <w:rFonts w:hint="eastAsia"/>
          <w:color w:val="auto"/>
          <w:highlight w:val="none"/>
        </w:rPr>
        <w:t>进行报名并获取采购文件；未注册的供应商可在广西政府采购云平台完成注册后再行报名。如在操作过程中遇到问题或需技术支持，请致电</w:t>
      </w:r>
      <w:r>
        <w:rPr>
          <w:color w:val="auto"/>
          <w:highlight w:val="none"/>
          <w:lang w:val="en"/>
        </w:rPr>
        <w:t>广西政府采购云</w:t>
      </w:r>
      <w:r>
        <w:rPr>
          <w:rFonts w:hint="eastAsia"/>
          <w:color w:val="auto"/>
          <w:highlight w:val="none"/>
        </w:rPr>
        <w:t>客服热线：95763。</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提示：公开招标公告附件内的招标文件仅供阅览使用；供应商只有在“</w:t>
      </w:r>
      <w:r>
        <w:rPr>
          <w:color w:val="auto"/>
          <w:highlight w:val="none"/>
          <w:lang w:val="en"/>
        </w:rPr>
        <w:t>广西政府采购云平台</w:t>
      </w:r>
      <w:r>
        <w:rPr>
          <w:rFonts w:hint="eastAsia"/>
          <w:color w:val="auto"/>
          <w:highlight w:val="none"/>
        </w:rPr>
        <w:t>”完成获取招标文件申请并下载了招标文件后才视作依法获取招标文件（法律法规所指的供应商获取招标文件时间以供应商完成获取招标文件申请后下载招标文件的时间为准）。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售价（元）：0 </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四、提交投标文件截止时间、开标时间和地点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提交投标文件截止时间：</w:t>
      </w:r>
      <w:r>
        <w:rPr>
          <w:color w:val="auto"/>
          <w:highlight w:val="none"/>
          <w:lang w:val="en"/>
        </w:rPr>
        <w:t>202</w:t>
      </w:r>
      <w:r>
        <w:rPr>
          <w:rFonts w:hint="eastAsia"/>
          <w:color w:val="auto"/>
          <w:highlight w:val="none"/>
        </w:rPr>
        <w:t>6</w:t>
      </w:r>
      <w:r>
        <w:rPr>
          <w:color w:val="auto"/>
          <w:highlight w:val="none"/>
          <w:lang w:val="en"/>
        </w:rPr>
        <w:t>年月日</w:t>
      </w:r>
      <w:r>
        <w:rPr>
          <w:rFonts w:hint="eastAsia"/>
          <w:color w:val="auto"/>
          <w:highlight w:val="none"/>
        </w:rPr>
        <w:t>10:00（北京时间）</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投标地点（网址）：</w:t>
      </w:r>
      <w:r>
        <w:rPr>
          <w:color w:val="auto"/>
          <w:highlight w:val="none"/>
          <w:lang w:val="en"/>
        </w:rPr>
        <w:t>http://www.gcy.zfcg.gxzf.gov.cn</w:t>
      </w:r>
      <w:r>
        <w:rPr>
          <w:rFonts w:hint="eastAsia"/>
          <w:color w:val="auto"/>
          <w:highlight w:val="none"/>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开标时间：</w:t>
      </w:r>
      <w:r>
        <w:rPr>
          <w:color w:val="auto"/>
          <w:highlight w:val="none"/>
          <w:lang w:val="en"/>
        </w:rPr>
        <w:t>202</w:t>
      </w:r>
      <w:r>
        <w:rPr>
          <w:rFonts w:hint="eastAsia"/>
          <w:color w:val="auto"/>
          <w:highlight w:val="none"/>
        </w:rPr>
        <w:t>6</w:t>
      </w:r>
      <w:r>
        <w:rPr>
          <w:color w:val="auto"/>
          <w:highlight w:val="none"/>
          <w:lang w:val="en"/>
        </w:rPr>
        <w:t>年月日</w:t>
      </w:r>
      <w:r>
        <w:rPr>
          <w:rFonts w:hint="eastAsia"/>
          <w:color w:val="auto"/>
          <w:highlight w:val="none"/>
        </w:rPr>
        <w:t xml:space="preserve">10:00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开标地点：广西壮族自治区南宁市青秀区广西政府采购云平台开标大厅</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 xml:space="preserve">五、公告期限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六、其他补充事宜</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color w:val="auto"/>
          <w:highlight w:val="none"/>
        </w:rPr>
      </w:pPr>
      <w:r>
        <w:rPr>
          <w:rFonts w:hint="eastAsia"/>
          <w:b/>
          <w:color w:val="auto"/>
          <w:highlight w:val="none"/>
        </w:rPr>
        <w:t xml:space="preserve"> </w:t>
      </w:r>
      <w:r>
        <w:rPr>
          <w:rFonts w:hint="eastAsia"/>
          <w:color w:val="auto"/>
          <w:highlight w:val="none"/>
        </w:rPr>
        <w:t>1.投标保证金（人民币）：分标1</w:t>
      </w:r>
      <w:r>
        <w:rPr>
          <w:rFonts w:hint="eastAsia"/>
          <w:b/>
          <w:bCs/>
          <w:color w:val="auto"/>
          <w:highlight w:val="none"/>
        </w:rPr>
        <w:t>：</w:t>
      </w:r>
      <w:r>
        <w:rPr>
          <w:rFonts w:hint="eastAsia"/>
          <w:b/>
          <w:bCs/>
          <w:color w:val="auto"/>
          <w:highlight w:val="none"/>
          <w:u w:val="single"/>
        </w:rPr>
        <w:t>1.8</w:t>
      </w:r>
      <w:r>
        <w:rPr>
          <w:rFonts w:hint="eastAsia"/>
          <w:b/>
          <w:bCs/>
          <w:color w:val="auto"/>
          <w:highlight w:val="none"/>
        </w:rPr>
        <w:t>万元；</w:t>
      </w:r>
      <w:r>
        <w:rPr>
          <w:rFonts w:hint="eastAsia"/>
          <w:color w:val="auto"/>
          <w:highlight w:val="none"/>
        </w:rPr>
        <w:t>分标3</w:t>
      </w:r>
      <w:r>
        <w:rPr>
          <w:rFonts w:hint="eastAsia"/>
          <w:b/>
          <w:bCs/>
          <w:color w:val="auto"/>
          <w:highlight w:val="none"/>
        </w:rPr>
        <w:t>：</w:t>
      </w:r>
      <w:r>
        <w:rPr>
          <w:rFonts w:hint="eastAsia"/>
          <w:b/>
          <w:bCs/>
          <w:color w:val="auto"/>
          <w:highlight w:val="none"/>
          <w:u w:val="single"/>
        </w:rPr>
        <w:t>1.3</w:t>
      </w:r>
      <w:r>
        <w:rPr>
          <w:rFonts w:hint="eastAsia"/>
          <w:b/>
          <w:bCs/>
          <w:color w:val="auto"/>
          <w:highlight w:val="none"/>
        </w:rPr>
        <w:t>万元；</w:t>
      </w:r>
      <w:r>
        <w:rPr>
          <w:rFonts w:hint="eastAsia"/>
          <w:color w:val="auto"/>
          <w:highlight w:val="none"/>
        </w:rPr>
        <w:t>分标3</w:t>
      </w:r>
      <w:r>
        <w:rPr>
          <w:rFonts w:hint="eastAsia"/>
          <w:b/>
          <w:bCs/>
          <w:color w:val="auto"/>
          <w:highlight w:val="none"/>
        </w:rPr>
        <w:t>：</w:t>
      </w:r>
      <w:r>
        <w:rPr>
          <w:rFonts w:hint="eastAsia"/>
          <w:b/>
          <w:bCs/>
          <w:color w:val="auto"/>
          <w:highlight w:val="none"/>
          <w:u w:val="single"/>
        </w:rPr>
        <w:t xml:space="preserve"> 0.9</w:t>
      </w:r>
      <w:r>
        <w:rPr>
          <w:rFonts w:hint="eastAsia"/>
          <w:b/>
          <w:bCs/>
          <w:color w:val="auto"/>
          <w:highlight w:val="none"/>
        </w:rPr>
        <w:t>万元。</w:t>
      </w:r>
      <w:r>
        <w:rPr>
          <w:rFonts w:hint="eastAsia"/>
          <w:color w:val="auto"/>
          <w:highlight w:val="none"/>
        </w:rPr>
        <w:t>(必须足额交纳)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（1）投标保证金交纳形式：支票、汇票、本票、金融机构、担保机构出具的保函等非现金形式。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（2）采用网上银行转账形式的，投标人应于提交投标文件截止时间前将投标保证金交至以下账户。</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bCs/>
          <w:color w:val="auto"/>
          <w:highlight w:val="none"/>
        </w:rPr>
      </w:pPr>
      <w:r>
        <w:rPr>
          <w:rFonts w:hint="eastAsia"/>
          <w:b/>
          <w:bCs/>
          <w:color w:val="auto"/>
          <w:highlight w:val="none"/>
        </w:rPr>
        <w:t>开户名称：广西壮族自治区政府采购中心</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bCs/>
          <w:color w:val="auto"/>
          <w:highlight w:val="none"/>
        </w:rPr>
      </w:pPr>
      <w:r>
        <w:rPr>
          <w:rFonts w:hint="eastAsia"/>
          <w:b/>
          <w:bCs/>
          <w:color w:val="auto"/>
          <w:highlight w:val="none"/>
        </w:rPr>
        <w:t>开户银行：中国农业银行股份有限公司南宁市古城支行</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color w:val="auto"/>
          <w:highlight w:val="none"/>
        </w:rPr>
      </w:pPr>
      <w:r>
        <w:rPr>
          <w:rFonts w:hint="eastAsia"/>
          <w:b/>
          <w:bCs/>
          <w:color w:val="auto"/>
          <w:highlight w:val="none"/>
        </w:rPr>
        <w:t>银行账号：20009101040051648</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（3）采用支票、汇票、本票或者保函等形式的，投标人应于提交投标文件截止时间前递交单独密封的支票、汇票、本票或者保函原件至我中心财务处。</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（4）本中心财务处联系方式：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lang w:val="en"/>
        </w:rPr>
      </w:pPr>
      <w:r>
        <w:rPr>
          <w:color w:val="auto"/>
          <w:highlight w:val="none"/>
          <w:lang w:val="en"/>
        </w:rPr>
        <w:t>地址：广西南宁市星湖路22号广西壮族自治区政府采购中心综合楼3楼306室； 电话：0771-8600309。</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2.本项目需要落实的政府采购政策</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政府采购促进中小企业发展；</w:t>
      </w:r>
      <w:r>
        <w:rPr>
          <w:rFonts w:hAnsi="宋体" w:cs="宋体"/>
          <w:b/>
          <w:color w:val="auto"/>
          <w:kern w:val="0"/>
          <w:szCs w:val="21"/>
          <w:highlight w:val="none"/>
        </w:rPr>
        <w:t>政府采购支持采用本国产品的政策</w:t>
      </w:r>
      <w:r>
        <w:rPr>
          <w:rFonts w:hAnsi="宋体" w:cs="宋体"/>
          <w:b/>
          <w:color w:val="auto"/>
          <w:kern w:val="0"/>
          <w:szCs w:val="21"/>
          <w:highlight w:val="none"/>
        </w:rPr>
        <w:t>；</w:t>
      </w:r>
      <w:r>
        <w:rPr>
          <w:rFonts w:hint="eastAsia"/>
          <w:color w:val="auto"/>
          <w:highlight w:val="none"/>
        </w:rPr>
        <w:t>强制采购节能产品；优先采购节能产品、环境标志产品；政府采购促进残疾人就业政策；政府采购支持监狱企业发展；政府采购扶持不发达地区和少数民族地区等。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3.网上公告媒体查询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中国政府采购网（www.ccgp.gov.cn）、广西壮族自治区政府采购网（zfcg.gxzf.gov.cn）、广西壮族自治区政府采购中心网站（gxggzy.gxzf.gov.cn）。</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4.其他注意事项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（1）本项目实行电子投标，供应商应按照本项目招标文件和</w:t>
      </w:r>
      <w:r>
        <w:rPr>
          <w:color w:val="auto"/>
          <w:highlight w:val="none"/>
          <w:lang w:val="en"/>
        </w:rPr>
        <w:t>广西政府采购云平台</w:t>
      </w:r>
      <w:r>
        <w:rPr>
          <w:rFonts w:hint="eastAsia"/>
          <w:color w:val="auto"/>
          <w:highlight w:val="none"/>
        </w:rPr>
        <w:t>的要求编制、加密并提交投标文件。供应商在使用系统参与投标过程中遇到涉及平台使用的任何问题，可致电</w:t>
      </w:r>
      <w:r>
        <w:rPr>
          <w:color w:val="auto"/>
          <w:highlight w:val="none"/>
          <w:lang w:val="en"/>
        </w:rPr>
        <w:t>广西政府采购云平台</w:t>
      </w:r>
      <w:r>
        <w:rPr>
          <w:rFonts w:hint="eastAsia"/>
          <w:color w:val="auto"/>
          <w:highlight w:val="none"/>
        </w:rPr>
        <w:t xml:space="preserve">技术支持热线咨询，联系方式：95763。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（2）供应商应及时熟悉掌握电子标系统操作指南（见</w:t>
      </w:r>
      <w:r>
        <w:rPr>
          <w:color w:val="auto"/>
          <w:highlight w:val="none"/>
          <w:lang w:val="en"/>
        </w:rPr>
        <w:t>广西政府采购云</w:t>
      </w:r>
      <w:r>
        <w:rPr>
          <w:rFonts w:hint="eastAsia"/>
          <w:color w:val="auto"/>
          <w:highlight w:val="none"/>
        </w:rPr>
        <w:t>电子卖场首页右上角—服务中心—帮助文档—项目采购）：</w:t>
      </w:r>
      <w:r>
        <w:rPr>
          <w:color w:val="auto"/>
          <w:highlight w:val="none"/>
        </w:rPr>
        <w:fldChar w:fldCharType="begin"/>
      </w:r>
      <w:r>
        <w:rPr>
          <w:color w:val="auto"/>
          <w:highlight w:val="none"/>
        </w:rPr>
        <w:instrText xml:space="preserve"> HYPERLINK "https://service.zcygov.cn/" \l "/knowledges/tree?tag=AG1DtGwBFdiHxlNdhY0r。" </w:instrText>
      </w:r>
      <w:r>
        <w:rPr>
          <w:color w:val="auto"/>
          <w:highlight w:val="none"/>
        </w:rPr>
        <w:fldChar w:fldCharType="separate"/>
      </w:r>
      <w:r>
        <w:rPr>
          <w:rFonts w:hint="eastAsia"/>
          <w:color w:val="auto"/>
          <w:highlight w:val="none"/>
        </w:rPr>
        <w:t>https://service.zcygov.cn/#/knowledges/tree?tag=AG1DtGwBFdiHxlNdhY0r。</w:t>
      </w:r>
      <w:r>
        <w:rPr>
          <w:rFonts w:hint="eastAsia"/>
          <w:color w:val="auto"/>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（3）供应商应及时完成CA申领和绑定（见广西壮族自治区政府采购网—办事服务—下载专区-政采云CA证书办理操作指南）。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（4）供应商通过</w:t>
      </w:r>
      <w:r>
        <w:rPr>
          <w:color w:val="auto"/>
          <w:highlight w:val="none"/>
          <w:lang w:val="en"/>
        </w:rPr>
        <w:t>广西政府采购云</w:t>
      </w:r>
      <w:r>
        <w:rPr>
          <w:rFonts w:hint="eastAsia"/>
          <w:color w:val="auto"/>
          <w:highlight w:val="none"/>
        </w:rPr>
        <w:t>投标客户端软件制作投标文件，</w:t>
      </w:r>
      <w:r>
        <w:rPr>
          <w:color w:val="auto"/>
          <w:highlight w:val="none"/>
          <w:lang w:val="en"/>
        </w:rPr>
        <w:t>广西政府采购云</w:t>
      </w:r>
      <w:r>
        <w:rPr>
          <w:rFonts w:hint="eastAsia"/>
          <w:color w:val="auto"/>
          <w:highlight w:val="none"/>
        </w:rPr>
        <w:t xml:space="preserve">投标客户端软件请供应商自行前往下载并安装（见广西壮族自治区政府采购网—办事服务—下载专区-广西壮族自治区全流程电子招投标项目管理系统--供应商客户端）。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（5）因未注册入库、未办理CA数字证书、CA证书故障、操作不当等原因造成无法投标或投标失败等后果由供应商自行承担。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b/>
          <w:color w:val="auto"/>
          <w:highlight w:val="none"/>
        </w:rPr>
      </w:pPr>
      <w:r>
        <w:rPr>
          <w:rFonts w:hint="eastAsia"/>
          <w:color w:val="auto"/>
          <w:highlight w:val="none"/>
        </w:rPr>
        <w:t>（6）投标文件网上提交截止后，</w:t>
      </w:r>
      <w:r>
        <w:rPr>
          <w:color w:val="auto"/>
          <w:highlight w:val="none"/>
          <w:lang w:val="en"/>
        </w:rPr>
        <w:t>广西政府采购云</w:t>
      </w:r>
      <w:r>
        <w:rPr>
          <w:rFonts w:hint="eastAsia"/>
          <w:color w:val="auto"/>
          <w:highlight w:val="none"/>
        </w:rPr>
        <w:t>（电子标系统）自动提取所有投标文件，各供应商须在开标开始后30分钟内对上传</w:t>
      </w:r>
      <w:r>
        <w:rPr>
          <w:color w:val="auto"/>
          <w:highlight w:val="none"/>
          <w:lang w:val="en"/>
        </w:rPr>
        <w:t>广西政府采购云</w:t>
      </w:r>
      <w:r>
        <w:rPr>
          <w:rFonts w:hint="eastAsia"/>
          <w:color w:val="auto"/>
          <w:highlight w:val="none"/>
        </w:rPr>
        <w:t>的投标文件进行解密，所有供应商在规定的解密时限内解密完成或解密时限结束后，我中心开启投标文件；供应商超过解密时限的，系统默认自动放弃。</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rPr>
      </w:pPr>
      <w:r>
        <w:rPr>
          <w:rFonts w:hint="eastAsia"/>
          <w:b/>
          <w:color w:val="auto"/>
          <w:highlight w:val="none"/>
        </w:rPr>
        <w:t>七、对本次采购提出询问，请按以下方式联系</w:t>
      </w:r>
    </w:p>
    <w:p>
      <w:pPr>
        <w:keepNext w:val="0"/>
        <w:keepLines w:val="0"/>
        <w:pageBreakBefore w:val="0"/>
        <w:widowControl w:val="0"/>
        <w:kinsoku/>
        <w:wordWrap/>
        <w:overflowPunct/>
        <w:topLinePunct w:val="0"/>
        <w:autoSpaceDE/>
        <w:autoSpaceDN/>
        <w:bidi w:val="0"/>
        <w:adjustRightInd w:val="0"/>
        <w:snapToGrid w:val="0"/>
        <w:spacing w:line="320" w:lineRule="exact"/>
        <w:ind w:firstLine="421" w:firstLineChars="200"/>
        <w:textAlignment w:val="auto"/>
        <w:rPr>
          <w:color w:val="auto"/>
          <w:highlight w:val="none"/>
        </w:rPr>
      </w:pPr>
      <w:r>
        <w:rPr>
          <w:rFonts w:hint="eastAsia"/>
          <w:b/>
          <w:color w:val="auto"/>
          <w:highlight w:val="none"/>
        </w:rPr>
        <w:t xml:space="preserve"> </w:t>
      </w:r>
      <w:r>
        <w:rPr>
          <w:rFonts w:hint="eastAsia"/>
          <w:color w:val="auto"/>
          <w:highlight w:val="none"/>
        </w:rPr>
        <w:t xml:space="preserve">   1.采购人信息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名    称 ：广西医科大学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地    址： 广西南宁市双拥路22号</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项目联系人： 黄敏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color w:val="auto"/>
          <w:highlight w:val="none"/>
        </w:rPr>
        <w:t xml:space="preserve">    </w:t>
      </w:r>
      <w:r>
        <w:rPr>
          <w:rFonts w:hint="eastAsia"/>
          <w:color w:val="auto"/>
          <w:highlight w:val="none"/>
        </w:rPr>
        <w:t>项目联系方式：0771-5358884</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color w:val="auto"/>
          <w:highlight w:val="none"/>
        </w:rPr>
        <w:t xml:space="preserve">    </w:t>
      </w:r>
      <w:r>
        <w:rPr>
          <w:rFonts w:hint="eastAsia"/>
          <w:color w:val="auto"/>
          <w:highlight w:val="none"/>
        </w:rPr>
        <w:t>2.采购代理机构信息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名    称：广西壮族自治区政府采购中心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地    址：广西南宁市星湖路22号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rPr>
      </w:pPr>
      <w:r>
        <w:rPr>
          <w:rFonts w:hint="eastAsia"/>
          <w:color w:val="auto"/>
          <w:highlight w:val="none"/>
        </w:rPr>
        <w:t xml:space="preserve">    项目联系人：张国铨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cs="宋体"/>
          <w:color w:val="auto"/>
          <w:highlight w:val="none"/>
        </w:rPr>
      </w:pPr>
      <w:r>
        <w:rPr>
          <w:rFonts w:hint="eastAsia"/>
          <w:color w:val="auto"/>
          <w:highlight w:val="none"/>
        </w:rPr>
        <w:t xml:space="preserve">    项目联系方式：0771-8600343 </w:t>
      </w:r>
    </w:p>
    <w:p>
      <w:pPr>
        <w:keepNext w:val="0"/>
        <w:keepLines w:val="0"/>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rPr>
      </w:pPr>
    </w:p>
    <w:bookmarkEnd w:id="0"/>
    <w:bookmarkEnd w:id="1"/>
    <w:p>
      <w:pPr>
        <w:keepNext w:val="0"/>
        <w:keepLines w:val="0"/>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rPr>
      </w:pPr>
      <w:r>
        <w:rPr>
          <w:rFonts w:hint="eastAsia" w:ascii="宋体" w:hAnsi="宋体" w:cs="宋体"/>
          <w:color w:val="auto"/>
          <w:highlight w:val="none"/>
        </w:rPr>
        <w:t xml:space="preserve">                                广西壮族自治区政府采购中心</w:t>
      </w:r>
    </w:p>
    <w:p>
      <w:pPr>
        <w:keepNext w:val="0"/>
        <w:keepLines w:val="0"/>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lang w:val="en"/>
        </w:rPr>
      </w:pPr>
      <w:r>
        <w:rPr>
          <w:rFonts w:hint="eastAsia" w:ascii="宋体" w:hAnsi="宋体" w:cs="宋体"/>
          <w:color w:val="auto"/>
          <w:highlight w:val="none"/>
        </w:rPr>
        <w:t xml:space="preserve">                                 </w:t>
      </w:r>
      <w:r>
        <w:rPr>
          <w:rFonts w:ascii="宋体" w:hAnsi="宋体" w:cs="宋体"/>
          <w:color w:val="auto"/>
          <w:highlight w:val="none"/>
          <w:lang w:val="en"/>
        </w:rPr>
        <w:t>202</w:t>
      </w:r>
      <w:r>
        <w:rPr>
          <w:rFonts w:hint="eastAsia" w:ascii="宋体" w:hAnsi="宋体" w:cs="宋体"/>
          <w:color w:val="auto"/>
          <w:highlight w:val="none"/>
        </w:rPr>
        <w:t>6</w:t>
      </w:r>
      <w:r>
        <w:rPr>
          <w:rFonts w:ascii="宋体" w:hAnsi="宋体" w:cs="宋体"/>
          <w:color w:val="auto"/>
          <w:highlight w:val="none"/>
          <w:lang w:val="en"/>
        </w:rPr>
        <w:t>年</w:t>
      </w:r>
      <w:r>
        <w:rPr>
          <w:rFonts w:hint="eastAsia" w:ascii="宋体" w:hAnsi="宋体" w:cs="宋体"/>
          <w:color w:val="auto"/>
          <w:highlight w:val="none"/>
        </w:rPr>
        <w:t xml:space="preserve"> </w:t>
      </w:r>
      <w:r>
        <w:rPr>
          <w:rFonts w:ascii="宋体" w:hAnsi="宋体" w:cs="宋体"/>
          <w:color w:val="auto"/>
          <w:highlight w:val="none"/>
          <w:lang w:val="en"/>
        </w:rPr>
        <w:t>月</w:t>
      </w:r>
      <w:r>
        <w:rPr>
          <w:rFonts w:hint="eastAsia" w:ascii="宋体" w:hAnsi="宋体" w:cs="宋体"/>
          <w:color w:val="auto"/>
          <w:highlight w:val="none"/>
          <w:lang w:val="en-US" w:eastAsia="zh-CN"/>
        </w:rPr>
        <w:t xml:space="preserve"> </w:t>
      </w:r>
      <w:r>
        <w:rPr>
          <w:rFonts w:ascii="宋体" w:hAnsi="宋体" w:cs="宋体"/>
          <w:color w:val="auto"/>
          <w:highlight w:val="none"/>
          <w:lang w:val="en"/>
        </w:rPr>
        <w:t>日</w:t>
      </w:r>
    </w:p>
    <w:p>
      <w:pPr>
        <w:snapToGrid w:val="0"/>
        <w:spacing w:before="156" w:beforeLines="50" w:after="156" w:afterLines="50" w:line="340" w:lineRule="exact"/>
        <w:ind w:left="238"/>
        <w:jc w:val="center"/>
        <w:rPr>
          <w:rFonts w:ascii="黑体" w:eastAsia="黑体"/>
          <w:color w:val="auto"/>
          <w:sz w:val="32"/>
          <w:szCs w:val="32"/>
          <w:highlight w:val="none"/>
        </w:rPr>
      </w:pPr>
      <w:r>
        <w:rPr>
          <w:rFonts w:hint="eastAsia" w:ascii="黑体" w:eastAsia="黑体"/>
          <w:color w:val="auto"/>
          <w:sz w:val="32"/>
          <w:szCs w:val="32"/>
          <w:highlight w:val="none"/>
        </w:rPr>
        <w:br w:type="page"/>
      </w: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pStyle w:val="5"/>
        <w:rPr>
          <w:color w:val="auto"/>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ind w:left="238"/>
        <w:jc w:val="center"/>
        <w:rPr>
          <w:rFonts w:ascii="黑体" w:eastAsia="黑体"/>
          <w:color w:val="auto"/>
          <w:sz w:val="36"/>
          <w:szCs w:val="36"/>
          <w:highlight w:val="none"/>
        </w:rPr>
      </w:pPr>
    </w:p>
    <w:p>
      <w:pPr>
        <w:snapToGrid w:val="0"/>
        <w:spacing w:before="156" w:beforeLines="50" w:after="156" w:afterLines="50"/>
        <w:ind w:left="238"/>
        <w:jc w:val="center"/>
        <w:rPr>
          <w:rFonts w:ascii="黑体" w:eastAsia="黑体"/>
          <w:color w:val="auto"/>
          <w:sz w:val="36"/>
          <w:szCs w:val="36"/>
          <w:highlight w:val="none"/>
        </w:rPr>
      </w:pPr>
      <w:r>
        <w:rPr>
          <w:rFonts w:hint="eastAsia" w:ascii="仿宋_GB2312" w:eastAsia="仿宋_GB2312"/>
          <w:b/>
          <w:color w:val="auto"/>
          <w:sz w:val="36"/>
          <w:szCs w:val="36"/>
          <w:highlight w:val="none"/>
        </w:rPr>
        <w:t xml:space="preserve">第二章  </w:t>
      </w:r>
      <w:r>
        <w:rPr>
          <w:rFonts w:hint="eastAsia" w:ascii="仿宋_GB2312" w:eastAsia="仿宋_GB2312"/>
          <w:b/>
          <w:bCs/>
          <w:color w:val="auto"/>
          <w:sz w:val="36"/>
          <w:szCs w:val="36"/>
          <w:highlight w:val="none"/>
        </w:rPr>
        <w:t>招</w:t>
      </w:r>
      <w:r>
        <w:rPr>
          <w:rFonts w:hint="eastAsia" w:ascii="仿宋_GB2312" w:eastAsia="仿宋_GB2312"/>
          <w:b/>
          <w:color w:val="auto"/>
          <w:sz w:val="36"/>
          <w:szCs w:val="36"/>
          <w:highlight w:val="none"/>
        </w:rPr>
        <w:t>标项目采购需求</w:t>
      </w:r>
    </w:p>
    <w:p>
      <w:pPr>
        <w:jc w:val="center"/>
        <w:rPr>
          <w:rFonts w:hint="eastAsia" w:ascii="宋体" w:hAnsi="宋体"/>
          <w:b/>
          <w:dstrike/>
          <w:color w:val="auto"/>
          <w:sz w:val="36"/>
          <w:szCs w:val="36"/>
          <w:highlight w:val="none"/>
        </w:rPr>
      </w:pPr>
      <w:r>
        <w:rPr>
          <w:color w:val="auto"/>
          <w:highlight w:val="none"/>
        </w:rPr>
        <w:br w:type="page"/>
      </w:r>
      <w:r>
        <w:rPr>
          <w:rFonts w:hint="eastAsia" w:ascii="宋体" w:hAnsi="宋体"/>
          <w:b/>
          <w:bCs/>
          <w:color w:val="auto"/>
          <w:sz w:val="36"/>
          <w:szCs w:val="36"/>
          <w:highlight w:val="none"/>
        </w:rPr>
        <w:t>招标项目采购需求</w:t>
      </w:r>
    </w:p>
    <w:p>
      <w:pPr>
        <w:spacing w:line="30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pPr>
        <w:spacing w:line="30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30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3、凡在“技术参数及性能（配置）要求”中表述为“标配”或“标准配置”的设备，投标人应在投标报价明细表中将其标配参数详细列明。</w:t>
      </w:r>
    </w:p>
    <w:p>
      <w:pPr>
        <w:snapToGrid w:val="0"/>
        <w:spacing w:line="300" w:lineRule="exact"/>
        <w:ind w:firstLine="421" w:firstLineChars="200"/>
        <w:rPr>
          <w:rFonts w:hint="eastAsia" w:ascii="宋体" w:hAnsi="宋体"/>
          <w:b/>
          <w:bCs/>
          <w:color w:val="auto"/>
          <w:szCs w:val="21"/>
          <w:highlight w:val="none"/>
        </w:rPr>
      </w:pPr>
      <w:r>
        <w:rPr>
          <w:rFonts w:hint="eastAsia" w:ascii="宋体" w:hAnsi="宋体"/>
          <w:b/>
          <w:bCs/>
          <w:color w:val="auto"/>
          <w:szCs w:val="21"/>
          <w:highlight w:val="none"/>
        </w:rPr>
        <w:t>4、招标文件中带“▲”的条款为本次采购的实质性(关键性)的商务、技术或服务要求，投标人须满足或优于，否则，将会被认定为无效投标。</w:t>
      </w:r>
      <w:r>
        <w:rPr>
          <w:rFonts w:hint="eastAsia" w:ascii="宋体" w:hAnsi="宋体" w:cs="宋体"/>
          <w:b/>
          <w:bCs/>
          <w:color w:val="auto"/>
          <w:szCs w:val="21"/>
          <w:highlight w:val="none"/>
        </w:rPr>
        <w:t>标明“</w:t>
      </w:r>
      <w:r>
        <w:rPr>
          <w:rFonts w:hint="eastAsia" w:ascii="汉仪叶叶相思体简" w:hAnsi="汉仪叶叶相思体简" w:eastAsia="汉仪叶叶相思体简" w:cs="汉仪叶叶相思体简"/>
          <w:bCs/>
          <w:color w:val="auto"/>
          <w:szCs w:val="21"/>
          <w:highlight w:val="none"/>
        </w:rPr>
        <w:t>★</w:t>
      </w:r>
      <w:r>
        <w:rPr>
          <w:rFonts w:hint="eastAsia" w:ascii="宋体" w:hAnsi="宋体" w:cs="宋体"/>
          <w:b/>
          <w:bCs/>
          <w:color w:val="auto"/>
          <w:szCs w:val="21"/>
          <w:highlight w:val="none"/>
        </w:rPr>
        <w:t>”号的作为评分项的重要技术参数，其余参数仅为参考要求，不作为判定投标无效的依据。</w:t>
      </w:r>
    </w:p>
    <w:p>
      <w:pPr>
        <w:snapToGrid w:val="0"/>
        <w:spacing w:line="300" w:lineRule="exact"/>
        <w:ind w:firstLine="421" w:firstLineChars="200"/>
        <w:rPr>
          <w:rFonts w:hint="eastAsia" w:ascii="宋体" w:hAnsi="宋体"/>
          <w:b/>
          <w:bCs/>
          <w:color w:val="auto"/>
          <w:szCs w:val="21"/>
          <w:highlight w:val="none"/>
        </w:rPr>
      </w:pPr>
      <w:r>
        <w:rPr>
          <w:rFonts w:hint="eastAsia" w:ascii="宋体" w:hAnsi="宋体"/>
          <w:b/>
          <w:bCs/>
          <w:color w:val="auto"/>
          <w:szCs w:val="21"/>
          <w:highlight w:val="none"/>
        </w:rPr>
        <w:t>5、本项目标的所属行业均为：</w:t>
      </w:r>
      <w:r>
        <w:rPr>
          <w:rFonts w:hint="eastAsia" w:ascii="宋体" w:hAnsi="宋体"/>
          <w:b/>
          <w:bCs/>
          <w:color w:val="auto"/>
          <w:szCs w:val="21"/>
          <w:highlight w:val="none"/>
          <w:u w:val="single"/>
        </w:rPr>
        <w:t xml:space="preserve">   工业    </w:t>
      </w:r>
      <w:r>
        <w:rPr>
          <w:rFonts w:hint="eastAsia" w:ascii="宋体" w:hAnsi="宋体"/>
          <w:b/>
          <w:bCs/>
          <w:color w:val="auto"/>
          <w:szCs w:val="21"/>
          <w:highlight w:val="none"/>
        </w:rPr>
        <w:t>；划分依据：《关于印发中小企业划型标准规定的通知》（工信部联企业[2011]300号）</w:t>
      </w:r>
    </w:p>
    <w:p>
      <w:pPr>
        <w:snapToGrid w:val="0"/>
        <w:spacing w:line="300" w:lineRule="exact"/>
        <w:ind w:firstLine="421" w:firstLineChars="200"/>
        <w:rPr>
          <w:rFonts w:hint="eastAsia" w:hAnsi="宋体" w:cs="Arial"/>
          <w:b/>
          <w:bCs/>
          <w:color w:val="auto"/>
          <w:szCs w:val="21"/>
          <w:highlight w:val="none"/>
        </w:rPr>
      </w:pPr>
      <w:r>
        <w:rPr>
          <w:rFonts w:hint="eastAsia" w:ascii="宋体" w:hAnsi="宋体"/>
          <w:b/>
          <w:bCs/>
          <w:color w:val="auto"/>
          <w:kern w:val="0"/>
          <w:szCs w:val="21"/>
          <w:highlight w:val="none"/>
        </w:rPr>
        <w:t>6、本项目采购预算：4064481.50元。</w:t>
      </w:r>
      <w:r>
        <w:rPr>
          <w:rFonts w:hint="eastAsia"/>
          <w:b/>
          <w:bCs/>
          <w:color w:val="auto"/>
          <w:highlight w:val="none"/>
        </w:rPr>
        <w:t>分标1：</w:t>
      </w:r>
      <w:r>
        <w:rPr>
          <w:rFonts w:hint="eastAsia" w:ascii="宋体" w:hAnsi="宋体"/>
          <w:b/>
          <w:bCs/>
          <w:color w:val="auto"/>
          <w:kern w:val="0"/>
          <w:szCs w:val="21"/>
          <w:highlight w:val="none"/>
        </w:rPr>
        <w:t>采购预算为：1846138.00元；</w:t>
      </w:r>
      <w:r>
        <w:rPr>
          <w:rFonts w:hint="eastAsia"/>
          <w:b/>
          <w:bCs/>
          <w:color w:val="auto"/>
          <w:highlight w:val="none"/>
        </w:rPr>
        <w:t>分标2：</w:t>
      </w:r>
      <w:r>
        <w:rPr>
          <w:rFonts w:hint="eastAsia" w:ascii="宋体" w:hAnsi="宋体"/>
          <w:b/>
          <w:bCs/>
          <w:color w:val="auto"/>
          <w:kern w:val="0"/>
          <w:szCs w:val="21"/>
          <w:highlight w:val="none"/>
        </w:rPr>
        <w:t>采购预算为：</w:t>
      </w:r>
      <w:r>
        <w:rPr>
          <w:rFonts w:hint="eastAsia" w:ascii="宋体" w:hAnsi="宋体"/>
          <w:b/>
          <w:bCs/>
          <w:color w:val="auto"/>
          <w:kern w:val="0"/>
          <w:szCs w:val="21"/>
          <w:highlight w:val="none"/>
          <w:u w:val="single"/>
        </w:rPr>
        <w:t xml:space="preserve"> </w:t>
      </w:r>
      <w:r>
        <w:rPr>
          <w:rFonts w:hint="eastAsia"/>
          <w:b/>
          <w:bCs/>
          <w:color w:val="auto"/>
          <w:highlight w:val="none"/>
        </w:rPr>
        <w:t>1314897.32</w:t>
      </w:r>
      <w:r>
        <w:rPr>
          <w:rFonts w:hint="eastAsia" w:ascii="宋体" w:hAnsi="宋体"/>
          <w:b/>
          <w:bCs/>
          <w:color w:val="auto"/>
          <w:kern w:val="0"/>
          <w:szCs w:val="21"/>
          <w:highlight w:val="none"/>
        </w:rPr>
        <w:t>元；</w:t>
      </w:r>
      <w:r>
        <w:rPr>
          <w:rFonts w:hint="eastAsia"/>
          <w:b/>
          <w:bCs/>
          <w:color w:val="auto"/>
          <w:highlight w:val="none"/>
        </w:rPr>
        <w:t>分标3：</w:t>
      </w:r>
      <w:r>
        <w:rPr>
          <w:rFonts w:hint="eastAsia" w:ascii="宋体" w:hAnsi="宋体"/>
          <w:b/>
          <w:bCs/>
          <w:color w:val="auto"/>
          <w:kern w:val="0"/>
          <w:szCs w:val="21"/>
          <w:highlight w:val="none"/>
        </w:rPr>
        <w:t>采购预算为：903446.18元。</w:t>
      </w:r>
    </w:p>
    <w:p>
      <w:pPr>
        <w:widowControl/>
        <w:jc w:val="left"/>
        <w:outlineLvl w:val="0"/>
        <w:rPr>
          <w:color w:val="auto"/>
          <w:highlight w:val="none"/>
        </w:rPr>
      </w:pPr>
      <w:r>
        <w:rPr>
          <w:rFonts w:hint="eastAsia"/>
          <w:b/>
          <w:bCs/>
          <w:color w:val="auto"/>
          <w:highlight w:val="none"/>
        </w:rPr>
        <w:t xml:space="preserve">   分标1：</w:t>
      </w:r>
    </w:p>
    <w:tbl>
      <w:tblPr>
        <w:tblStyle w:val="53"/>
        <w:tblW w:w="1001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207"/>
        <w:gridCol w:w="167"/>
        <w:gridCol w:w="945"/>
        <w:gridCol w:w="945"/>
        <w:gridCol w:w="6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b/>
                <w:bCs/>
                <w:color w:val="auto"/>
                <w:szCs w:val="21"/>
                <w:highlight w:val="none"/>
              </w:rPr>
            </w:pPr>
            <w:bookmarkStart w:id="2" w:name="OLE_LINK3"/>
            <w:r>
              <w:rPr>
                <w:rFonts w:ascii="宋体" w:hAnsi="宋体"/>
                <w:b/>
                <w:bCs/>
                <w:color w:val="auto"/>
                <w:szCs w:val="21"/>
                <w:highlight w:val="none"/>
              </w:rPr>
              <w:t>项号</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b/>
                <w:bCs/>
                <w:color w:val="auto"/>
                <w:szCs w:val="21"/>
                <w:highlight w:val="none"/>
              </w:rPr>
            </w:pPr>
            <w:r>
              <w:rPr>
                <w:rFonts w:ascii="宋体" w:hAnsi="宋体"/>
                <w:b/>
                <w:bCs/>
                <w:color w:val="auto"/>
                <w:szCs w:val="21"/>
                <w:highlight w:val="none"/>
              </w:rPr>
              <w:t>货物名称</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b/>
                <w:bCs/>
                <w:color w:val="auto"/>
                <w:szCs w:val="21"/>
                <w:highlight w:val="none"/>
              </w:rPr>
            </w:pPr>
            <w:r>
              <w:rPr>
                <w:rFonts w:ascii="宋体" w:hAnsi="宋体"/>
                <w:b/>
                <w:bCs/>
                <w:color w:val="auto"/>
                <w:szCs w:val="21"/>
                <w:highlight w:val="none"/>
              </w:rPr>
              <w:t>数 量</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b/>
                <w:bCs/>
                <w:color w:val="auto"/>
                <w:szCs w:val="21"/>
                <w:highlight w:val="none"/>
              </w:rPr>
            </w:pPr>
            <w:r>
              <w:rPr>
                <w:rFonts w:ascii="宋体" w:hAnsi="宋体"/>
                <w:b/>
                <w:bCs/>
                <w:color w:val="auto"/>
                <w:szCs w:val="21"/>
                <w:highlight w:val="none"/>
              </w:rPr>
              <w:t>单位</w:t>
            </w:r>
          </w:p>
        </w:tc>
        <w:tc>
          <w:tcPr>
            <w:tcW w:w="604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b/>
                <w:bCs/>
                <w:color w:val="auto"/>
                <w:szCs w:val="21"/>
                <w:highlight w:val="none"/>
              </w:rPr>
            </w:pPr>
            <w:r>
              <w:rPr>
                <w:rFonts w:ascii="宋体" w:hAnsi="宋体"/>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7"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cs="宋体"/>
                <w:color w:val="auto"/>
                <w:szCs w:val="21"/>
                <w:highlight w:val="none"/>
              </w:rPr>
            </w:pPr>
            <w:r>
              <w:rPr>
                <w:rFonts w:ascii="宋体" w:hAnsi="宋体" w:cs="宋体"/>
                <w:color w:val="auto"/>
                <w:szCs w:val="21"/>
                <w:highlight w:val="none"/>
              </w:rPr>
              <w:t>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textAlignment w:val="center"/>
              <w:rPr>
                <w:color w:val="auto"/>
                <w:highlight w:val="none"/>
              </w:rPr>
            </w:pPr>
            <w:r>
              <w:rPr>
                <w:rFonts w:ascii="宋体" w:hAnsi="宋体" w:cs="宋体"/>
                <w:color w:val="auto"/>
                <w:kern w:val="0"/>
                <w:sz w:val="20"/>
                <w:szCs w:val="20"/>
                <w:highlight w:val="none"/>
                <w:lang w:bidi="ar"/>
              </w:rPr>
              <w:t>教学云终端一体机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textAlignment w:val="center"/>
              <w:rPr>
                <w:color w:val="auto"/>
                <w:highlight w:val="none"/>
              </w:rPr>
            </w:pPr>
            <w:r>
              <w:rPr>
                <w:rFonts w:ascii="宋体" w:hAnsi="宋体" w:cs="宋体"/>
                <w:color w:val="auto"/>
                <w:kern w:val="0"/>
                <w:sz w:val="20"/>
                <w:szCs w:val="20"/>
                <w:highlight w:val="none"/>
                <w:lang w:bidi="ar"/>
              </w:rPr>
              <w:t>280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textAlignment w:val="center"/>
              <w:rPr>
                <w:color w:val="auto"/>
                <w:highlight w:val="none"/>
              </w:rPr>
            </w:pPr>
            <w:r>
              <w:rPr>
                <w:rFonts w:ascii="宋体" w:hAnsi="宋体" w:cs="宋体"/>
                <w:color w:val="auto"/>
                <w:kern w:val="0"/>
                <w:sz w:val="20"/>
                <w:szCs w:val="20"/>
                <w:highlight w:val="none"/>
                <w:lang w:bidi="ar"/>
              </w:rPr>
              <w:t>台</w:t>
            </w:r>
          </w:p>
        </w:tc>
        <w:tc>
          <w:tcPr>
            <w:tcW w:w="6042"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after="0" w:line="380" w:lineRule="exact"/>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eastAsia="zh-CN" w:bidi="ar"/>
              </w:rPr>
              <w:t>一、</w:t>
            </w:r>
            <w:r>
              <w:rPr>
                <w:rFonts w:ascii="宋体" w:hAnsi="宋体" w:cs="宋体"/>
                <w:b/>
                <w:bCs/>
                <w:color w:val="auto"/>
                <w:kern w:val="0"/>
                <w:sz w:val="20"/>
                <w:szCs w:val="20"/>
                <w:highlight w:val="none"/>
                <w:lang w:bidi="ar"/>
              </w:rPr>
              <w:t>硬件部分：</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1.产品类型: 商用云终端一体机,显示器底座支持屏幕俯仰，可俯仰底座 -5度 ~ 15度 ,支持扩展充电底座功能；</w:t>
            </w:r>
            <w:r>
              <w:rPr>
                <w:rFonts w:ascii="宋体" w:hAnsi="宋体" w:cs="宋体"/>
                <w:color w:val="auto"/>
                <w:kern w:val="0"/>
                <w:sz w:val="20"/>
                <w:szCs w:val="20"/>
                <w:highlight w:val="none"/>
                <w:lang w:bidi="ar"/>
              </w:rPr>
              <w:br w:type="textWrapping"/>
            </w:r>
            <w:bookmarkStart w:id="3" w:name="OLE_LINK2"/>
            <w:r>
              <w:rPr>
                <w:rFonts w:ascii="汉仪叶叶相思体简" w:hAnsi="汉仪叶叶相思体简" w:eastAsia="汉仪叶叶相思体简" w:cs="汉仪叶叶相思体简"/>
                <w:bCs/>
                <w:color w:val="auto"/>
                <w:szCs w:val="21"/>
                <w:highlight w:val="none"/>
              </w:rPr>
              <w:t>★</w:t>
            </w:r>
            <w:bookmarkEnd w:id="3"/>
            <w:r>
              <w:rPr>
                <w:rFonts w:ascii="宋体" w:hAnsi="宋体" w:cs="宋体"/>
                <w:color w:val="auto"/>
                <w:kern w:val="0"/>
                <w:sz w:val="20"/>
                <w:szCs w:val="20"/>
                <w:highlight w:val="none"/>
                <w:lang w:bidi="ar"/>
              </w:rPr>
              <w:t>2.显示器：≥23.8英寸 IPS（LED背光），250nit，响应时间≤14毫秒，99%sRGB色域100Hz刷新率，1300:1对比度，16.7M颜色，178°可视角度防眩光，微边框设计，分辨率1920×1080，显示器具有低蓝光护眼功能，大幅降低显示器的高能短波蓝光强度，有效保护用眼安全及30°防窥功能；</w:t>
            </w:r>
            <w:r>
              <w:rPr>
                <w:color w:val="auto"/>
                <w:sz w:val="20"/>
                <w:szCs w:val="20"/>
                <w:highlight w:val="none"/>
              </w:rPr>
              <w:t>（</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w:t>
            </w:r>
            <w:r>
              <w:rPr>
                <w:rFonts w:ascii="宋体" w:hAnsi="宋体" w:cs="宋体"/>
                <w:b/>
                <w:bCs/>
                <w:color w:val="auto"/>
                <w:kern w:val="0"/>
                <w:sz w:val="20"/>
                <w:szCs w:val="20"/>
                <w:highlight w:val="none"/>
                <w:lang w:bidi="ar"/>
              </w:rPr>
              <w:t>3.CPU：英特尔十三代I7处理器，最高睿频主频≥4.9GHz</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4.接口扩展性：≥4个USB接口(其中至少2个USB 3.2 G2接口、包含一个TYPEC)、≥1个音频输入输出接口、≥1个HDMI视频输出接口，≥1个HDMI视频输入接口（可作为显示器）；</w:t>
            </w:r>
            <w:r>
              <w:rPr>
                <w:color w:val="auto"/>
                <w:sz w:val="20"/>
                <w:szCs w:val="20"/>
                <w:highlight w:val="none"/>
              </w:rPr>
              <w:t>（</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 xml:space="preserve">▲5. </w:t>
            </w:r>
            <w:r>
              <w:rPr>
                <w:rFonts w:ascii="宋体" w:hAnsi="宋体" w:cs="宋体"/>
                <w:b/>
                <w:bCs/>
                <w:color w:val="auto"/>
                <w:kern w:val="0"/>
                <w:sz w:val="20"/>
                <w:szCs w:val="20"/>
                <w:highlight w:val="none"/>
                <w:lang w:bidi="ar"/>
              </w:rPr>
              <w:t>内存：DDR5内存，容量≥1*16G 5200MHz内存，提供2个内存槽位；</w:t>
            </w:r>
            <w:r>
              <w:rPr>
                <w:rFonts w:ascii="宋体" w:hAnsi="宋体" w:cs="宋体"/>
                <w:b/>
                <w:bCs/>
                <w:color w:val="auto"/>
                <w:kern w:val="0"/>
                <w:sz w:val="20"/>
                <w:szCs w:val="20"/>
                <w:highlight w:val="none"/>
                <w:lang w:bidi="ar"/>
              </w:rPr>
              <w:br w:type="textWrapping"/>
            </w:r>
            <w:r>
              <w:rPr>
                <w:rFonts w:ascii="宋体" w:hAnsi="宋体" w:cs="宋体"/>
                <w:color w:val="auto"/>
                <w:kern w:val="0"/>
                <w:sz w:val="20"/>
                <w:szCs w:val="20"/>
                <w:highlight w:val="none"/>
                <w:lang w:bidi="ar"/>
              </w:rPr>
              <w:t>▲</w:t>
            </w:r>
            <w:r>
              <w:rPr>
                <w:rFonts w:ascii="宋体" w:hAnsi="宋体" w:cs="宋体"/>
                <w:b/>
                <w:bCs/>
                <w:color w:val="auto"/>
                <w:kern w:val="0"/>
                <w:sz w:val="20"/>
                <w:szCs w:val="20"/>
                <w:highlight w:val="none"/>
                <w:lang w:bidi="ar"/>
              </w:rPr>
              <w:t>6. 硬盘：≥1TB_SSD_M.2_2280固态盘</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宋体" w:hAnsi="宋体" w:cs="宋体"/>
                <w:b/>
                <w:bCs/>
                <w:color w:val="auto"/>
                <w:kern w:val="0"/>
                <w:sz w:val="20"/>
                <w:szCs w:val="20"/>
                <w:highlight w:val="none"/>
                <w:lang w:bidi="ar"/>
              </w:rPr>
              <w:t>7.显卡：集成显卡</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8.声卡&amp;摄像头：集成声卡，具备AI降噪功能；5M摄像头（带物理开关键）&amp;数字阵列麦克风；</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9.网卡：千兆集成网卡，具备WIFI模块及蓝牙功能；</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 xml:space="preserve">10. 音箱：内置音响；                                                                                                                            </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11</w:t>
            </w:r>
            <w:r>
              <w:rPr>
                <w:rFonts w:hint="eastAsia"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t>键鼠：主机同品牌键盘鼠标；</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12．电源：考虑到节省电源，必须不大于规格220V/90W电源，能效高达89%；</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13.易用性：考虑机房实际使用环境，设备</w:t>
            </w:r>
            <w:r>
              <w:rPr>
                <w:rFonts w:hint="eastAsia" w:ascii="宋体" w:hAnsi="宋体" w:cs="宋体"/>
                <w:color w:val="auto"/>
                <w:kern w:val="0"/>
                <w:sz w:val="20"/>
                <w:szCs w:val="20"/>
                <w:highlight w:val="none"/>
                <w:lang w:bidi="ar"/>
              </w:rPr>
              <w:t>须</w:t>
            </w:r>
            <w:r>
              <w:rPr>
                <w:rFonts w:ascii="宋体" w:hAnsi="宋体" w:cs="宋体"/>
                <w:color w:val="auto"/>
                <w:kern w:val="0"/>
                <w:sz w:val="20"/>
                <w:szCs w:val="20"/>
                <w:highlight w:val="none"/>
                <w:lang w:bidi="ar"/>
              </w:rPr>
              <w:t>具备一定防尘功能，等级不低于IP5X级；安全性：产品检验辐射骚扰测试值低于7dB；</w:t>
            </w:r>
            <w:r>
              <w:rPr>
                <w:color w:val="auto"/>
                <w:sz w:val="20"/>
                <w:szCs w:val="20"/>
                <w:highlight w:val="none"/>
              </w:rPr>
              <w:t>（</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r>
              <w:rPr>
                <w:rFonts w:ascii="宋体" w:hAnsi="宋体" w:cs="宋体"/>
                <w:color w:val="auto"/>
                <w:kern w:val="0"/>
                <w:sz w:val="20"/>
                <w:szCs w:val="20"/>
                <w:highlight w:val="none"/>
                <w:lang w:bidi="ar"/>
              </w:rPr>
              <w:t xml:space="preserve">                                                                               </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14.安全应用：</w:t>
            </w:r>
            <w:r>
              <w:rPr>
                <w:rFonts w:ascii="宋体" w:hAnsi="宋体" w:cs="宋体"/>
                <w:b w:val="0"/>
                <w:bCs w:val="0"/>
                <w:color w:val="auto"/>
                <w:kern w:val="0"/>
                <w:sz w:val="20"/>
                <w:szCs w:val="20"/>
                <w:highlight w:val="none"/>
                <w:lang w:bidi="ar"/>
              </w:rPr>
              <w:t>具备USB端口屏蔽功能</w:t>
            </w:r>
            <w:r>
              <w:rPr>
                <w:rFonts w:ascii="宋体" w:hAnsi="宋体" w:cs="宋体"/>
                <w:color w:val="auto"/>
                <w:kern w:val="0"/>
                <w:sz w:val="20"/>
                <w:szCs w:val="20"/>
                <w:highlight w:val="none"/>
                <w:lang w:bidi="ar"/>
              </w:rPr>
              <w:t xml:space="preserve">；                                                                                                            </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15.操作系统：出厂预安装</w:t>
            </w:r>
            <w:r>
              <w:rPr>
                <w:rFonts w:ascii="宋体" w:hAnsi="宋体" w:cs="宋体"/>
                <w:strike w:val="0"/>
                <w:dstrike w:val="0"/>
                <w:color w:val="auto"/>
                <w:kern w:val="0"/>
                <w:sz w:val="20"/>
                <w:szCs w:val="20"/>
                <w:highlight w:val="none"/>
                <w:lang w:bidi="ar"/>
              </w:rPr>
              <w:t>Windows</w:t>
            </w:r>
            <w:r>
              <w:rPr>
                <w:rFonts w:ascii="宋体" w:hAnsi="宋体" w:cs="宋体"/>
                <w:color w:val="auto"/>
                <w:kern w:val="0"/>
                <w:sz w:val="20"/>
                <w:szCs w:val="20"/>
                <w:highlight w:val="none"/>
                <w:lang w:bidi="ar"/>
              </w:rPr>
              <w:t xml:space="preserve">正版操作系统。                                                  </w:t>
            </w:r>
            <w:r>
              <w:rPr>
                <w:rFonts w:ascii="宋体" w:hAnsi="宋体" w:cs="宋体"/>
                <w:color w:val="auto"/>
                <w:kern w:val="0"/>
                <w:sz w:val="20"/>
                <w:szCs w:val="20"/>
                <w:highlight w:val="none"/>
                <w:lang w:bidi="ar"/>
              </w:rPr>
              <w:br w:type="textWrapping"/>
            </w:r>
            <w:r>
              <w:rPr>
                <w:rFonts w:ascii="宋体" w:hAnsi="宋体" w:cs="宋体"/>
                <w:b/>
                <w:bCs/>
                <w:color w:val="auto"/>
                <w:kern w:val="0"/>
                <w:sz w:val="20"/>
                <w:szCs w:val="20"/>
                <w:highlight w:val="none"/>
                <w:lang w:bidi="ar"/>
              </w:rPr>
              <w:t>二、配套应用防护软件</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1.服务端支持CentOS 7.6/ RedHat7或以上版本操作系统。客户端支持多类型操作系统，包括但不限于 Windows XP_SP3/Windows Vista ultimate/Windows 7/Windows 8/Windows 10操作系统、Windows Server 2003_R2/2008_R2/2012/2016/2019操作系统、Red Hat Linux 5.4/5.6/6.8  /CentOS 7.6操作系统。（管控中心）；</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2.支持终端用户查看客户端系统当前CPU和内存的实时性能，同时可查看客户端程序的CPU和内存占用率。（</w:t>
            </w:r>
            <w:r>
              <w:rPr>
                <w:rFonts w:hint="eastAsia" w:ascii="宋体" w:hAnsi="宋体" w:cs="宋体"/>
                <w:b/>
                <w:bCs/>
                <w:color w:val="auto"/>
                <w:kern w:val="0"/>
                <w:sz w:val="20"/>
                <w:szCs w:val="20"/>
                <w:highlight w:val="none"/>
                <w:lang w:bidi="ar"/>
              </w:rPr>
              <w:t>投标时如有</w:t>
            </w:r>
            <w:r>
              <w:rPr>
                <w:rFonts w:ascii="宋体" w:hAnsi="宋体" w:cs="宋体"/>
                <w:b/>
                <w:bCs/>
                <w:color w:val="auto"/>
                <w:kern w:val="0"/>
                <w:sz w:val="20"/>
                <w:szCs w:val="20"/>
                <w:highlight w:val="none"/>
                <w:lang w:bidi="ar"/>
              </w:rPr>
              <w:t>提供</w:t>
            </w:r>
            <w:r>
              <w:rPr>
                <w:rFonts w:hint="eastAsia" w:ascii="宋体" w:hAnsi="宋体" w:cs="宋体"/>
                <w:b/>
                <w:bCs/>
                <w:color w:val="auto"/>
                <w:kern w:val="0"/>
                <w:sz w:val="20"/>
                <w:szCs w:val="20"/>
                <w:highlight w:val="none"/>
                <w:lang w:val="en-US" w:eastAsia="zh-CN" w:bidi="ar"/>
              </w:rPr>
              <w:t>参数功能</w:t>
            </w:r>
            <w:r>
              <w:rPr>
                <w:rFonts w:ascii="宋体" w:hAnsi="宋体" w:cs="宋体"/>
                <w:b/>
                <w:bCs/>
                <w:color w:val="auto"/>
                <w:kern w:val="0"/>
                <w:sz w:val="20"/>
                <w:szCs w:val="20"/>
                <w:highlight w:val="none"/>
                <w:lang w:bidi="ar"/>
              </w:rPr>
              <w:t>截图</w:t>
            </w:r>
            <w:r>
              <w:rPr>
                <w:rFonts w:ascii="宋体" w:hAnsi="宋体" w:cs="宋体"/>
                <w:color w:val="auto"/>
                <w:kern w:val="0"/>
                <w:sz w:val="20"/>
                <w:szCs w:val="20"/>
                <w:highlight w:val="none"/>
                <w:lang w:bidi="ar"/>
              </w:rPr>
              <w:t xml:space="preserve">）； </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3.提供多引擎查杀矩阵，包括云查杀引擎、大数据特征引擎、自学习智能引擎以及脚本引擎，客户端支持以图形化方式展示各个引擎的信息。（</w:t>
            </w:r>
            <w:r>
              <w:rPr>
                <w:rFonts w:hint="eastAsia" w:ascii="宋体" w:hAnsi="宋体" w:cs="宋体"/>
                <w:b/>
                <w:bCs/>
                <w:color w:val="auto"/>
                <w:kern w:val="0"/>
                <w:sz w:val="20"/>
                <w:szCs w:val="20"/>
                <w:highlight w:val="none"/>
                <w:lang w:bidi="ar"/>
              </w:rPr>
              <w:t>投标时如有</w:t>
            </w:r>
            <w:r>
              <w:rPr>
                <w:rFonts w:ascii="宋体" w:hAnsi="宋体" w:cs="宋体"/>
                <w:b/>
                <w:bCs/>
                <w:color w:val="auto"/>
                <w:kern w:val="0"/>
                <w:sz w:val="20"/>
                <w:szCs w:val="20"/>
                <w:highlight w:val="none"/>
                <w:lang w:bidi="ar"/>
              </w:rPr>
              <w:t>提供</w:t>
            </w:r>
            <w:r>
              <w:rPr>
                <w:rFonts w:hint="eastAsia" w:ascii="宋体" w:hAnsi="宋体" w:cs="宋体"/>
                <w:b/>
                <w:bCs/>
                <w:color w:val="auto"/>
                <w:kern w:val="0"/>
                <w:sz w:val="20"/>
                <w:szCs w:val="20"/>
                <w:highlight w:val="none"/>
                <w:lang w:val="en-US" w:eastAsia="zh-CN" w:bidi="ar"/>
              </w:rPr>
              <w:t>参数功能</w:t>
            </w:r>
            <w:r>
              <w:rPr>
                <w:rFonts w:ascii="宋体" w:hAnsi="宋体" w:cs="宋体"/>
                <w:b/>
                <w:bCs/>
                <w:color w:val="auto"/>
                <w:kern w:val="0"/>
                <w:sz w:val="20"/>
                <w:szCs w:val="20"/>
                <w:highlight w:val="none"/>
                <w:lang w:bidi="ar"/>
              </w:rPr>
              <w:t>截图</w:t>
            </w:r>
            <w:r>
              <w:rPr>
                <w:rFonts w:ascii="宋体" w:hAnsi="宋体" w:cs="宋体"/>
                <w:color w:val="auto"/>
                <w:kern w:val="0"/>
                <w:sz w:val="20"/>
                <w:szCs w:val="20"/>
                <w:highlight w:val="none"/>
                <w:lang w:bidi="ar"/>
              </w:rPr>
              <w:t xml:space="preserve">）； </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4.提供多维度防护体系，包含浏览器防护、系统防护、入口防护、上网防护和高级威胁防护5大类。</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5.服务端不联网的情况下，可通过离线工具把漏洞库（补丁库）、补丁文件上传到服务端。（</w:t>
            </w:r>
            <w:r>
              <w:rPr>
                <w:rFonts w:hint="eastAsia" w:ascii="宋体" w:hAnsi="宋体" w:cs="宋体"/>
                <w:b/>
                <w:bCs/>
                <w:color w:val="auto"/>
                <w:kern w:val="0"/>
                <w:sz w:val="20"/>
                <w:szCs w:val="20"/>
                <w:highlight w:val="none"/>
                <w:lang w:bidi="ar"/>
              </w:rPr>
              <w:t>投标时如有</w:t>
            </w:r>
            <w:r>
              <w:rPr>
                <w:rFonts w:ascii="宋体" w:hAnsi="宋体" w:cs="宋体"/>
                <w:b/>
                <w:bCs/>
                <w:color w:val="auto"/>
                <w:kern w:val="0"/>
                <w:sz w:val="20"/>
                <w:szCs w:val="20"/>
                <w:highlight w:val="none"/>
                <w:lang w:bidi="ar"/>
              </w:rPr>
              <w:t>提供</w:t>
            </w:r>
            <w:r>
              <w:rPr>
                <w:rFonts w:hint="eastAsia" w:ascii="宋体" w:hAnsi="宋体" w:cs="宋体"/>
                <w:b/>
                <w:bCs/>
                <w:color w:val="auto"/>
                <w:kern w:val="0"/>
                <w:sz w:val="20"/>
                <w:szCs w:val="20"/>
                <w:highlight w:val="none"/>
                <w:lang w:val="en-US" w:eastAsia="zh-CN" w:bidi="ar"/>
              </w:rPr>
              <w:t>参数功能</w:t>
            </w:r>
            <w:r>
              <w:rPr>
                <w:rFonts w:ascii="宋体" w:hAnsi="宋体" w:cs="宋体"/>
                <w:b/>
                <w:bCs/>
                <w:color w:val="auto"/>
                <w:kern w:val="0"/>
                <w:sz w:val="20"/>
                <w:szCs w:val="20"/>
                <w:highlight w:val="none"/>
                <w:lang w:bidi="ar"/>
              </w:rPr>
              <w:t>截图</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6.管理员可以查看服务端已存在的补丁文件及总大小。</w:t>
            </w:r>
            <w:r>
              <w:rPr>
                <w:rFonts w:ascii="宋体" w:hAnsi="宋体" w:cs="宋体"/>
                <w:b/>
                <w:bCs/>
                <w:color w:val="auto"/>
                <w:kern w:val="0"/>
                <w:sz w:val="20"/>
                <w:szCs w:val="20"/>
                <w:highlight w:val="none"/>
                <w:lang w:bidi="ar"/>
              </w:rPr>
              <w:t>（</w:t>
            </w:r>
            <w:r>
              <w:rPr>
                <w:rFonts w:hint="eastAsia" w:ascii="宋体" w:hAnsi="宋体" w:cs="宋体"/>
                <w:b/>
                <w:bCs/>
                <w:color w:val="auto"/>
                <w:kern w:val="0"/>
                <w:sz w:val="20"/>
                <w:szCs w:val="20"/>
                <w:highlight w:val="none"/>
                <w:lang w:bidi="ar"/>
              </w:rPr>
              <w:t>投标时如有</w:t>
            </w:r>
            <w:r>
              <w:rPr>
                <w:rFonts w:ascii="宋体" w:hAnsi="宋体" w:cs="宋体"/>
                <w:b/>
                <w:bCs/>
                <w:color w:val="auto"/>
                <w:kern w:val="0"/>
                <w:sz w:val="20"/>
                <w:szCs w:val="20"/>
                <w:highlight w:val="none"/>
                <w:lang w:bidi="ar"/>
              </w:rPr>
              <w:t>提供</w:t>
            </w:r>
            <w:r>
              <w:rPr>
                <w:rFonts w:hint="eastAsia" w:ascii="宋体" w:hAnsi="宋体" w:cs="宋体"/>
                <w:b/>
                <w:bCs/>
                <w:color w:val="auto"/>
                <w:kern w:val="0"/>
                <w:sz w:val="20"/>
                <w:szCs w:val="20"/>
                <w:highlight w:val="none"/>
                <w:lang w:val="en-US" w:eastAsia="zh-CN" w:bidi="ar"/>
              </w:rPr>
              <w:t>参数功能</w:t>
            </w:r>
            <w:r>
              <w:rPr>
                <w:rFonts w:ascii="宋体" w:hAnsi="宋体" w:cs="宋体"/>
                <w:b/>
                <w:bCs/>
                <w:color w:val="auto"/>
                <w:kern w:val="0"/>
                <w:sz w:val="20"/>
                <w:szCs w:val="20"/>
                <w:highlight w:val="none"/>
                <w:lang w:bidi="ar"/>
              </w:rPr>
              <w:t>截图</w:t>
            </w:r>
            <w:r>
              <w:rPr>
                <w:rFonts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7.服务端支持查看病毒扫描的触发方式，通过触发方式可以确定扫描行为是管理员触发、终端本地用户触发、定时扫描触发或者是实时监控触发；</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8.客户端支持漏洞扫描，对扫描出的操作系统漏洞、Microsoft Office软件漏洞能执行一键修复，可以忽略指定补丁。客户端可查看已安装的补丁、已忽略的补丁，可按照KB号卸载指定补丁。终端用户可清理补丁安装包，减少对磁盘空间的占用；</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9.客户端提供宏病毒专项扫描功能，终端用户可对客户端执行宏病毒扫描，发现是否存在宏病毒；</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10.记录终端硬件信息，包括CPU型号、内存大小、硬盘、主板、显卡、网卡、声卡、显示器信息以及SN码，支持导出硬件信息；可显示终端上次关机时间、本次开机时间。可记录客户端的硬件变更信息，包括变更类型、变更项目、原配置、新配置以及变更时间，可导出终端硬件变更日志</w:t>
            </w:r>
            <w:r>
              <w:rPr>
                <w:rFonts w:hint="eastAsia"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br w:type="textWrapping"/>
            </w:r>
            <w:r>
              <w:rPr>
                <w:rFonts w:ascii="宋体" w:hAnsi="宋体" w:cs="宋体"/>
                <w:b/>
                <w:bCs/>
                <w:color w:val="auto"/>
                <w:kern w:val="0"/>
                <w:sz w:val="20"/>
                <w:szCs w:val="20"/>
                <w:highlight w:val="none"/>
                <w:lang w:bidi="ar"/>
              </w:rPr>
              <w:t>三、质量及服务保证：</w:t>
            </w:r>
            <w:r>
              <w:rPr>
                <w:rFonts w:ascii="宋体" w:hAnsi="宋体" w:cs="宋体"/>
                <w:color w:val="auto"/>
                <w:kern w:val="0"/>
                <w:sz w:val="20"/>
                <w:szCs w:val="20"/>
                <w:highlight w:val="none"/>
                <w:lang w:bidi="ar"/>
              </w:rPr>
              <w:br w:type="textWrapping"/>
            </w:r>
            <w:r>
              <w:rPr>
                <w:rFonts w:ascii="汉仪叶叶相思体简" w:hAnsi="汉仪叶叶相思体简" w:eastAsia="汉仪叶叶相思体简" w:cs="汉仪叶叶相思体简"/>
                <w:bCs/>
                <w:color w:val="auto"/>
                <w:szCs w:val="21"/>
                <w:highlight w:val="none"/>
              </w:rPr>
              <w:t>★</w:t>
            </w:r>
            <w:r>
              <w:rPr>
                <w:rFonts w:ascii="宋体" w:hAnsi="宋体" w:cs="宋体"/>
                <w:color w:val="auto"/>
                <w:kern w:val="0"/>
                <w:sz w:val="20"/>
                <w:szCs w:val="20"/>
                <w:highlight w:val="none"/>
                <w:lang w:bidi="ar"/>
              </w:rPr>
              <w:t>1.原厂五年有限上门服务（节假日不休）</w:t>
            </w:r>
            <w:r>
              <w:rPr>
                <w:rFonts w:hint="eastAsia" w:ascii="宋体" w:hAnsi="宋体" w:cs="宋体"/>
                <w:color w:val="auto"/>
                <w:kern w:val="0"/>
                <w:sz w:val="20"/>
                <w:szCs w:val="20"/>
                <w:highlight w:val="none"/>
                <w:lang w:eastAsia="zh-CN" w:bidi="ar"/>
              </w:rPr>
              <w:t>（投标时提供厂家售后服务承诺书或投标人的承诺书并加盖公章）。</w:t>
            </w:r>
            <w:r>
              <w:rPr>
                <w:rFonts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2.原装，提供</w:t>
            </w:r>
            <w:r>
              <w:rPr>
                <w:rFonts w:hint="eastAsia" w:ascii="宋体" w:hAnsi="宋体" w:cs="宋体"/>
                <w:color w:val="auto"/>
                <w:kern w:val="0"/>
                <w:sz w:val="20"/>
                <w:szCs w:val="20"/>
                <w:highlight w:val="none"/>
                <w:lang w:eastAsia="zh-CN" w:bidi="ar"/>
              </w:rPr>
              <w:t>列入</w:t>
            </w:r>
            <w:r>
              <w:rPr>
                <w:rFonts w:ascii="宋体" w:hAnsi="宋体" w:cs="宋体"/>
                <w:color w:val="auto"/>
                <w:kern w:val="0"/>
                <w:sz w:val="20"/>
                <w:szCs w:val="20"/>
                <w:highlight w:val="none"/>
                <w:lang w:bidi="ar"/>
              </w:rPr>
              <w:t>节能</w:t>
            </w:r>
            <w:r>
              <w:rPr>
                <w:rFonts w:hint="eastAsia" w:ascii="宋体" w:hAnsi="宋体" w:cs="宋体"/>
                <w:color w:val="auto"/>
                <w:kern w:val="0"/>
                <w:sz w:val="20"/>
                <w:szCs w:val="20"/>
                <w:highlight w:val="none"/>
                <w:lang w:eastAsia="zh-CN" w:bidi="ar"/>
              </w:rPr>
              <w:t>产品的清单</w:t>
            </w:r>
            <w:r>
              <w:rPr>
                <w:rFonts w:ascii="宋体" w:hAnsi="宋体" w:cs="宋体"/>
                <w:color w:val="auto"/>
                <w:kern w:val="0"/>
                <w:sz w:val="20"/>
                <w:szCs w:val="20"/>
                <w:highlight w:val="none"/>
                <w:lang w:bidi="ar"/>
              </w:rPr>
              <w:t>复印件，供货时需提供原厂参数确认函及售后服务承诺函原件。</w:t>
            </w:r>
          </w:p>
          <w:p>
            <w:pPr>
              <w:numPr>
                <w:ilvl w:val="255"/>
                <w:numId w:val="0"/>
              </w:numPr>
              <w:spacing w:after="0" w:line="380" w:lineRule="exact"/>
              <w:rPr>
                <w:b/>
                <w:bCs/>
                <w:color w:val="auto"/>
                <w:sz w:val="20"/>
                <w:szCs w:val="20"/>
                <w:highlight w:val="none"/>
              </w:rPr>
            </w:pPr>
            <w:r>
              <w:rPr>
                <w:b/>
                <w:bCs/>
                <w:color w:val="auto"/>
                <w:sz w:val="20"/>
                <w:szCs w:val="20"/>
                <w:highlight w:val="none"/>
              </w:rPr>
              <w:t>四、配套分布式桌面云系统（不低于280点系统授权）</w:t>
            </w:r>
          </w:p>
          <w:p>
            <w:pPr>
              <w:numPr>
                <w:ilvl w:val="255"/>
                <w:numId w:val="0"/>
              </w:numPr>
              <w:spacing w:after="0" w:line="380" w:lineRule="exact"/>
              <w:rPr>
                <w:color w:val="auto"/>
                <w:sz w:val="20"/>
                <w:szCs w:val="20"/>
                <w:highlight w:val="none"/>
              </w:rPr>
            </w:pPr>
            <w:r>
              <w:rPr>
                <w:color w:val="auto"/>
                <w:sz w:val="20"/>
                <w:szCs w:val="20"/>
                <w:highlight w:val="none"/>
              </w:rPr>
              <w:t>1.在首页页面，通过单一IP地址可访问 Web 管理平台并管理所有区域对象，多区域之间可以进行切换；在系统设置页面，可设定默认访问的主区域;在区域管理页面，可新增、修改、删除子区域，新增区域时验证对应平台的账号和密码。</w:t>
            </w:r>
          </w:p>
          <w:p>
            <w:pPr>
              <w:numPr>
                <w:ilvl w:val="255"/>
                <w:numId w:val="0"/>
              </w:numPr>
              <w:spacing w:after="0" w:line="380" w:lineRule="exact"/>
              <w:rPr>
                <w:color w:val="auto"/>
                <w:sz w:val="20"/>
                <w:szCs w:val="20"/>
                <w:highlight w:val="none"/>
              </w:rPr>
            </w:pPr>
            <w:r>
              <w:rPr>
                <w:color w:val="auto"/>
                <w:sz w:val="20"/>
                <w:szCs w:val="20"/>
                <w:highlight w:val="none"/>
              </w:rPr>
              <w:t>2.为保障安全自主可控的使用需求，平台的服务端部署于国产化服务器操作系统上（如欧拉），同时平台底层数据库应采用国产化数据库系统（如GreatSQL），且支持将同品牌的采用非国产化操作系统（如CentOS）的老版本平台，升级并通过迁移工具将原有使用数据迁移至安全自主可控的部署环境中运行；</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3.在操作日志页面，统计并整合呈现多个区域平台的操作日志，操作日志无法被管理员删除或修改，日志内容涵盖对操作者、操作者IP、操作时间、操作主机 IP、操作内容、操作状态、操作对象及操作对象类型，管理员可按照时间段筛选该时间段内所有的操作记录，也可通过搜索栏搜索操作内容、操作者、主机 IP 及操作对象快速筛选对应的信息。（</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p>
          <w:p>
            <w:pPr>
              <w:numPr>
                <w:ilvl w:val="255"/>
                <w:numId w:val="0"/>
              </w:numPr>
              <w:spacing w:after="0" w:line="380" w:lineRule="exact"/>
              <w:rPr>
                <w:color w:val="auto"/>
                <w:sz w:val="20"/>
                <w:szCs w:val="20"/>
                <w:highlight w:val="none"/>
              </w:rPr>
            </w:pPr>
            <w:r>
              <w:rPr>
                <w:color w:val="auto"/>
                <w:sz w:val="20"/>
                <w:szCs w:val="20"/>
                <w:highlight w:val="none"/>
              </w:rPr>
              <w:t xml:space="preserve">4.支持底层Linux系统或windows系统手动备份保护和实时自动备份保护两种模式； </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5.在区域管理页面，可对服务器进行维护管理，包括关机、重启、查看服务器详细硬件配置、CPU/内存/磁盘/显卡型号与数量;实时查看系统服务的开启、关闭状态，一键重启关键进程。（</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p>
          <w:p>
            <w:pPr>
              <w:numPr>
                <w:ilvl w:val="255"/>
                <w:numId w:val="0"/>
              </w:numPr>
              <w:spacing w:after="0" w:line="380" w:lineRule="exact"/>
              <w:rPr>
                <w:color w:val="auto"/>
                <w:sz w:val="20"/>
                <w:szCs w:val="20"/>
                <w:highlight w:val="none"/>
              </w:rPr>
            </w:pPr>
            <w:r>
              <w:rPr>
                <w:color w:val="auto"/>
                <w:sz w:val="20"/>
                <w:szCs w:val="20"/>
                <w:highlight w:val="none"/>
              </w:rPr>
              <w:t>6.可根据办公、实训、教学等不同场景应用需求来为模板自定义划分不同分组，新增模板时可设定模板分组，支持根据模板的操作系统选择固件为BIOS或UEFI，可列表式选择已生成的硬件配置进行模板的性能设置，可自定义开启磁盘兼容模式，自定义设置模板的网络配置，支持调用已上传的操作系统镜像作为模板的系统从而生成新的模板；</w:t>
            </w:r>
          </w:p>
          <w:p>
            <w:pPr>
              <w:numPr>
                <w:ilvl w:val="255"/>
                <w:numId w:val="0"/>
              </w:numPr>
              <w:spacing w:after="0" w:line="380" w:lineRule="exact"/>
              <w:rPr>
                <w:color w:val="auto"/>
                <w:sz w:val="20"/>
                <w:szCs w:val="20"/>
                <w:highlight w:val="none"/>
              </w:rPr>
            </w:pPr>
            <w:r>
              <w:rPr>
                <w:color w:val="auto"/>
                <w:sz w:val="20"/>
                <w:szCs w:val="20"/>
                <w:highlight w:val="none"/>
              </w:rPr>
              <w:t>7.在资源池管理页面，可设置集群内节点多个网卡的bond 模式,涵盖 activebackup、broadcast、roundrobin、random、lacp和loadbalance 六种模式。</w:t>
            </w:r>
          </w:p>
          <w:p>
            <w:pPr>
              <w:numPr>
                <w:ilvl w:val="255"/>
                <w:numId w:val="0"/>
              </w:numPr>
              <w:spacing w:after="0" w:line="380" w:lineRule="exact"/>
              <w:rPr>
                <w:color w:val="auto"/>
                <w:sz w:val="20"/>
                <w:szCs w:val="20"/>
                <w:highlight w:val="none"/>
              </w:rPr>
            </w:pPr>
            <w:r>
              <w:rPr>
                <w:color w:val="auto"/>
                <w:sz w:val="20"/>
                <w:szCs w:val="20"/>
                <w:highlight w:val="none"/>
              </w:rPr>
              <w:t>8.支持在WEB管理平台上直接对服务器SSD硬盘进行性能测试，不依赖第三方测试工具，可获取SSD硬盘16K随机读、顺序写数值，并给出测试评级结果，便于管理员定位系统故障；</w:t>
            </w:r>
          </w:p>
          <w:p>
            <w:pPr>
              <w:numPr>
                <w:ilvl w:val="255"/>
                <w:numId w:val="0"/>
              </w:numPr>
              <w:spacing w:after="0" w:line="380" w:lineRule="exact"/>
              <w:rPr>
                <w:color w:val="auto"/>
                <w:sz w:val="20"/>
                <w:szCs w:val="20"/>
                <w:highlight w:val="none"/>
              </w:rPr>
            </w:pPr>
            <w:r>
              <w:rPr>
                <w:color w:val="auto"/>
                <w:sz w:val="20"/>
                <w:szCs w:val="20"/>
                <w:highlight w:val="none"/>
              </w:rPr>
              <w:t>9.支持为批量桌面挂载共享磁盘，所有人具备资料共享区的读写权限，桌面上传区可查看个人上传的资料，管理员可手动立即清除共享磁盘空间，也可设定每周、每月指定日期和时间点自动清理共享磁盘空间；可导出系统镜像文件至U盘，将终端置于底层界面，通过快捷键导入U盘里的镜像文件从而恢复终端原有操作系统，恢复后的系统仍可被管理平台识别和管理。</w:t>
            </w:r>
          </w:p>
          <w:p>
            <w:pPr>
              <w:numPr>
                <w:ilvl w:val="255"/>
                <w:numId w:val="0"/>
              </w:numPr>
              <w:spacing w:after="0" w:line="380" w:lineRule="exact"/>
              <w:rPr>
                <w:color w:val="auto"/>
                <w:sz w:val="20"/>
                <w:szCs w:val="20"/>
                <w:highlight w:val="none"/>
              </w:rPr>
            </w:pPr>
            <w:r>
              <w:rPr>
                <w:color w:val="auto"/>
                <w:sz w:val="20"/>
                <w:szCs w:val="20"/>
                <w:highlight w:val="none"/>
              </w:rPr>
              <w:t>10.在教学模板页面，可在线制作模板;在测试客户端上安装 VOI Client软件，可在本地样机制作模板，测试客户端重启后可以进行模板上传系统操作，模板的操作系统支持使用黄金镜像、纯净镜像及用户现有系统镜像；</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11.在教学模板页面，可基于模板克隆一个无需设置硬件配置的新模板，支持克隆为VOI教学模板和个人模板，完整克隆模式不依赖原有模板数据创建完整副本模板并进行完整数据下发，链接克隆模式依赖原有模板数据创建增量模板并进行增量数据下发。（</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p>
          <w:p>
            <w:pPr>
              <w:numPr>
                <w:ilvl w:val="255"/>
                <w:numId w:val="0"/>
              </w:numPr>
              <w:spacing w:after="0" w:line="380" w:lineRule="exact"/>
              <w:rPr>
                <w:color w:val="auto"/>
                <w:sz w:val="20"/>
                <w:szCs w:val="20"/>
                <w:highlight w:val="none"/>
              </w:rPr>
            </w:pPr>
            <w:r>
              <w:rPr>
                <w:color w:val="auto"/>
                <w:sz w:val="20"/>
                <w:szCs w:val="20"/>
                <w:highlight w:val="none"/>
              </w:rPr>
              <w:t>12.单台终端可部署多个操作系统，基于VOI桌面可在管理平台上设置终端数据盘（VOI），可任意选定可使用数据盘的操作系统数量，可设置终端数据盘的容量大小，并能设定清除策略，包含不清除/每周清除/每月清除；</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13.在物理教室页面，可通过单双号方式筛选对应序号类型的终端；可通过Windows系统在线、Linux系统在线、底层选单在线、维护模式在线、部署模式在线、离线这六种终端运行状态筛选定位查看终端，（</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p>
          <w:p>
            <w:pPr>
              <w:numPr>
                <w:ilvl w:val="255"/>
                <w:numId w:val="0"/>
              </w:numPr>
              <w:spacing w:after="0" w:line="380" w:lineRule="exact"/>
              <w:rPr>
                <w:color w:val="auto"/>
                <w:sz w:val="20"/>
                <w:szCs w:val="20"/>
                <w:highlight w:val="none"/>
              </w:rPr>
            </w:pPr>
            <w:r>
              <w:rPr>
                <w:color w:val="auto"/>
                <w:sz w:val="20"/>
                <w:szCs w:val="20"/>
                <w:highlight w:val="none"/>
              </w:rPr>
              <w:t>14.支持管理平台的暴力破解防护，管理员可设置一定时间内用户连续密码校验错误的次数，当输入账号密码错误时会提示剩余错误次数，密码错误数达到管理员设置的阈值时对应账号变为禁用状态即刻强制冻结，管理员可设定强制冻结后自动解禁的时间阈值，当自动解禁后对应账号状态变为正常方可正常登录，也可由管理员将对应冻结账号一键解锁；</w:t>
            </w:r>
          </w:p>
          <w:p>
            <w:pPr>
              <w:numPr>
                <w:ilvl w:val="255"/>
                <w:numId w:val="0"/>
              </w:numPr>
              <w:spacing w:after="0" w:line="380" w:lineRule="exact"/>
              <w:rPr>
                <w:color w:val="auto"/>
                <w:sz w:val="20"/>
                <w:szCs w:val="20"/>
                <w:highlight w:val="none"/>
              </w:rPr>
            </w:pPr>
            <w:r>
              <w:rPr>
                <w:color w:val="auto"/>
                <w:sz w:val="20"/>
                <w:szCs w:val="20"/>
                <w:highlight w:val="none"/>
              </w:rPr>
              <w:t>15.桌面云助手软件可以检测服务器连接状态、终端连接状态、集群网络状态、数据库状态、文件系统状态、脏数据状态、授权激活状态、主控 HA 状态、Redis 服务状态、Rabbitmg Server服务状态、Guesttools 状态、模板状态、桌面状态；展示体检分数和检测结果详情；生成可下载的检测报告；提示检测异常并给出解决建议，可一键修复体检异常项。</w:t>
            </w:r>
          </w:p>
          <w:p>
            <w:pPr>
              <w:numPr>
                <w:ilvl w:val="255"/>
                <w:numId w:val="0"/>
              </w:numPr>
              <w:spacing w:after="0" w:line="380" w:lineRule="exact"/>
              <w:rPr>
                <w:b/>
                <w:bCs/>
                <w:color w:val="auto"/>
                <w:sz w:val="20"/>
                <w:szCs w:val="20"/>
                <w:highlight w:val="none"/>
              </w:rPr>
            </w:pPr>
            <w:r>
              <w:rPr>
                <w:b/>
                <w:bCs/>
                <w:color w:val="auto"/>
                <w:sz w:val="20"/>
                <w:szCs w:val="20"/>
                <w:highlight w:val="none"/>
              </w:rPr>
              <w:t>▲16.为保证产品兼容性、便于维护与管理，要求与多媒体教学管理软件为同一品牌；</w:t>
            </w:r>
          </w:p>
          <w:p>
            <w:pPr>
              <w:numPr>
                <w:ilvl w:val="255"/>
                <w:numId w:val="0"/>
              </w:numPr>
              <w:spacing w:after="0" w:line="380" w:lineRule="exact"/>
              <w:rPr>
                <w:b/>
                <w:bCs/>
                <w:color w:val="auto"/>
                <w:sz w:val="20"/>
                <w:szCs w:val="20"/>
                <w:highlight w:val="none"/>
              </w:rPr>
            </w:pPr>
            <w:r>
              <w:rPr>
                <w:b/>
                <w:bCs/>
                <w:color w:val="auto"/>
                <w:sz w:val="20"/>
                <w:szCs w:val="20"/>
                <w:highlight w:val="none"/>
              </w:rPr>
              <w:t>17.在排课计划页面，可以编辑学期课表，设置学期开始/结束时间、单双周、每节课起始时间；可以通过拖拽的方式，将场景拖拽到课表中，与课程时间进行对应；可一键清除全部课表；桌面系统可根据课表时间自动启动。</w:t>
            </w:r>
          </w:p>
          <w:p>
            <w:pPr>
              <w:numPr>
                <w:ilvl w:val="255"/>
                <w:numId w:val="0"/>
              </w:numPr>
              <w:spacing w:after="0" w:line="380" w:lineRule="exact"/>
              <w:rPr>
                <w:color w:val="auto"/>
                <w:sz w:val="20"/>
                <w:szCs w:val="20"/>
                <w:highlight w:val="none"/>
              </w:rPr>
            </w:pPr>
            <w:r>
              <w:rPr>
                <w:color w:val="auto"/>
                <w:sz w:val="20"/>
                <w:szCs w:val="20"/>
                <w:highlight w:val="none"/>
              </w:rPr>
              <w:t>18.为了避免因紧急的终端桌面更新而无法上课的情况，支持静默更新，开启静默更新后，面向VOI终端的桌面下发并不会影响到师生上课正常的操作系统使用，学生也无法关闭或影响当前下发任务，且支持断点续传，下发完成后重启终端即可使用到先下发的桌面。</w:t>
            </w:r>
          </w:p>
          <w:p>
            <w:pPr>
              <w:numPr>
                <w:ilvl w:val="255"/>
                <w:numId w:val="0"/>
              </w:numPr>
              <w:spacing w:after="0" w:line="380" w:lineRule="exact"/>
              <w:rPr>
                <w:color w:val="auto"/>
                <w:sz w:val="20"/>
                <w:szCs w:val="20"/>
                <w:highlight w:val="none"/>
              </w:rPr>
            </w:pPr>
            <w:r>
              <w:rPr>
                <w:color w:val="auto"/>
                <w:sz w:val="20"/>
                <w:szCs w:val="20"/>
                <w:highlight w:val="none"/>
              </w:rPr>
              <w:t>▲19.</w:t>
            </w:r>
            <w:r>
              <w:rPr>
                <w:b/>
                <w:bCs/>
                <w:color w:val="auto"/>
                <w:sz w:val="20"/>
                <w:szCs w:val="20"/>
                <w:highlight w:val="none"/>
              </w:rPr>
              <w:t>学校已部署一批桌面云设备</w:t>
            </w:r>
            <w:r>
              <w:rPr>
                <w:rFonts w:hint="eastAsia"/>
                <w:b/>
                <w:bCs/>
                <w:color w:val="auto"/>
                <w:sz w:val="20"/>
                <w:szCs w:val="20"/>
                <w:highlight w:val="none"/>
                <w:lang w:eastAsia="zh-CN"/>
              </w:rPr>
              <w:t>（噢易、戴尔）</w:t>
            </w:r>
            <w:r>
              <w:rPr>
                <w:b/>
                <w:bCs/>
                <w:color w:val="auto"/>
                <w:sz w:val="20"/>
                <w:szCs w:val="20"/>
                <w:highlight w:val="none"/>
              </w:rPr>
              <w:t>，为保护已有投资且简化管理，要求本期所投分布式桌面云系统能与学校现有的桌面云系统无缝对接，在同一集群同一平台下统一管理，此次建设软件要求可以实现同步更新我校计算机室终端的数据，已有数据要求保留。采购人负责投标时提供对接所需的原系统相关技术资料及相关协调工作，费用由中标人承担。本对接与管理的实现可接受以下形式（其中一种或多种均可）：</w:t>
            </w:r>
            <w:r>
              <w:rPr>
                <w:rFonts w:hint="eastAsia"/>
                <w:b/>
                <w:bCs/>
                <w:color w:val="auto"/>
                <w:sz w:val="20"/>
                <w:szCs w:val="20"/>
                <w:highlight w:val="none"/>
                <w:lang w:eastAsia="zh-CN"/>
              </w:rPr>
              <w:t>（</w:t>
            </w:r>
            <w:r>
              <w:rPr>
                <w:rFonts w:hint="eastAsia"/>
                <w:b/>
                <w:bCs/>
                <w:color w:val="auto"/>
                <w:sz w:val="20"/>
                <w:szCs w:val="20"/>
                <w:highlight w:val="none"/>
                <w:lang w:val="en-US" w:eastAsia="zh-CN"/>
              </w:rPr>
              <w:t>1</w:t>
            </w:r>
            <w:r>
              <w:rPr>
                <w:rFonts w:hint="eastAsia"/>
                <w:b/>
                <w:bCs/>
                <w:color w:val="auto"/>
                <w:sz w:val="20"/>
                <w:szCs w:val="20"/>
                <w:highlight w:val="none"/>
                <w:lang w:eastAsia="zh-CN"/>
              </w:rPr>
              <w:t>）</w:t>
            </w:r>
            <w:r>
              <w:rPr>
                <w:b/>
                <w:bCs/>
                <w:color w:val="auto"/>
                <w:sz w:val="20"/>
                <w:szCs w:val="20"/>
                <w:highlight w:val="none"/>
              </w:rPr>
              <w:t>原平台并入新建平台管理；</w:t>
            </w:r>
            <w:r>
              <w:rPr>
                <w:rFonts w:hint="eastAsia"/>
                <w:b/>
                <w:bCs/>
                <w:color w:val="auto"/>
                <w:sz w:val="20"/>
                <w:szCs w:val="20"/>
                <w:highlight w:val="none"/>
                <w:lang w:eastAsia="zh-CN"/>
              </w:rPr>
              <w:t>（</w:t>
            </w:r>
            <w:r>
              <w:rPr>
                <w:rFonts w:hint="eastAsia"/>
                <w:b/>
                <w:bCs/>
                <w:color w:val="auto"/>
                <w:sz w:val="20"/>
                <w:szCs w:val="20"/>
                <w:highlight w:val="none"/>
                <w:lang w:val="en-US" w:eastAsia="zh-CN"/>
              </w:rPr>
              <w:t>2</w:t>
            </w:r>
            <w:r>
              <w:rPr>
                <w:rFonts w:hint="eastAsia"/>
                <w:b/>
                <w:bCs/>
                <w:color w:val="auto"/>
                <w:sz w:val="20"/>
                <w:szCs w:val="20"/>
                <w:highlight w:val="none"/>
                <w:lang w:eastAsia="zh-CN"/>
              </w:rPr>
              <w:t>）</w:t>
            </w:r>
            <w:r>
              <w:rPr>
                <w:b/>
                <w:bCs/>
                <w:color w:val="auto"/>
                <w:sz w:val="20"/>
                <w:szCs w:val="20"/>
                <w:highlight w:val="none"/>
              </w:rPr>
              <w:t>新建平台 接入原平台管理；</w:t>
            </w:r>
            <w:r>
              <w:rPr>
                <w:rFonts w:hint="eastAsia"/>
                <w:b/>
                <w:bCs/>
                <w:color w:val="auto"/>
                <w:sz w:val="20"/>
                <w:szCs w:val="20"/>
                <w:highlight w:val="none"/>
                <w:lang w:eastAsia="zh-CN"/>
              </w:rPr>
              <w:t>（</w:t>
            </w:r>
            <w:r>
              <w:rPr>
                <w:rFonts w:hint="eastAsia"/>
                <w:b/>
                <w:bCs/>
                <w:color w:val="auto"/>
                <w:sz w:val="20"/>
                <w:szCs w:val="20"/>
                <w:highlight w:val="none"/>
                <w:lang w:val="en-US" w:eastAsia="zh-CN"/>
              </w:rPr>
              <w:t>3</w:t>
            </w:r>
            <w:r>
              <w:rPr>
                <w:rFonts w:hint="eastAsia"/>
                <w:b/>
                <w:bCs/>
                <w:color w:val="auto"/>
                <w:sz w:val="20"/>
                <w:szCs w:val="20"/>
                <w:highlight w:val="none"/>
                <w:lang w:eastAsia="zh-CN"/>
              </w:rPr>
              <w:t>）</w:t>
            </w:r>
            <w:r>
              <w:rPr>
                <w:b/>
                <w:bCs/>
                <w:color w:val="auto"/>
                <w:sz w:val="20"/>
                <w:szCs w:val="20"/>
                <w:highlight w:val="none"/>
              </w:rPr>
              <w:t>采用第三方平台进行统一对接管控；</w:t>
            </w:r>
            <w:r>
              <w:rPr>
                <w:rFonts w:hint="eastAsia"/>
                <w:b/>
                <w:bCs/>
                <w:color w:val="auto"/>
                <w:sz w:val="20"/>
                <w:szCs w:val="20"/>
                <w:highlight w:val="none"/>
                <w:lang w:eastAsia="zh-CN"/>
              </w:rPr>
              <w:t>（</w:t>
            </w:r>
            <w:r>
              <w:rPr>
                <w:rFonts w:hint="eastAsia"/>
                <w:b/>
                <w:bCs/>
                <w:color w:val="auto"/>
                <w:sz w:val="20"/>
                <w:szCs w:val="20"/>
                <w:highlight w:val="none"/>
                <w:lang w:val="en-US" w:eastAsia="zh-CN"/>
              </w:rPr>
              <w:t>4</w:t>
            </w:r>
            <w:r>
              <w:rPr>
                <w:rFonts w:hint="eastAsia"/>
                <w:b/>
                <w:bCs/>
                <w:color w:val="auto"/>
                <w:sz w:val="20"/>
                <w:szCs w:val="20"/>
                <w:highlight w:val="none"/>
                <w:lang w:eastAsia="zh-CN"/>
              </w:rPr>
              <w:t>）</w:t>
            </w:r>
            <w:r>
              <w:rPr>
                <w:b/>
                <w:bCs/>
                <w:color w:val="auto"/>
                <w:sz w:val="20"/>
                <w:szCs w:val="20"/>
                <w:highlight w:val="none"/>
              </w:rPr>
              <w:t>可实现 的具有成功案例的其他的对接与管理形式，并投标时提供无缝对接承诺函</w:t>
            </w:r>
            <w:r>
              <w:rPr>
                <w:color w:val="auto"/>
                <w:sz w:val="20"/>
                <w:szCs w:val="20"/>
                <w:highlight w:val="none"/>
              </w:rPr>
              <w:t xml:space="preserve">（ </w:t>
            </w:r>
            <w:r>
              <w:rPr>
                <w:rFonts w:hint="eastAsia"/>
                <w:b/>
                <w:bCs/>
                <w:color w:val="auto"/>
                <w:sz w:val="20"/>
                <w:szCs w:val="20"/>
                <w:highlight w:val="none"/>
              </w:rPr>
              <w:t>投标时须提供</w:t>
            </w:r>
            <w:r>
              <w:rPr>
                <w:b/>
                <w:bCs/>
                <w:color w:val="auto"/>
                <w:sz w:val="20"/>
                <w:szCs w:val="20"/>
                <w:highlight w:val="none"/>
              </w:rPr>
              <w:t>承诺函</w:t>
            </w:r>
            <w:r>
              <w:rPr>
                <w:rFonts w:hint="eastAsia"/>
                <w:b/>
                <w:bCs/>
                <w:color w:val="auto"/>
                <w:sz w:val="20"/>
                <w:szCs w:val="20"/>
                <w:highlight w:val="none"/>
              </w:rPr>
              <w:t>，</w:t>
            </w:r>
            <w:r>
              <w:rPr>
                <w:b/>
                <w:bCs/>
                <w:color w:val="auto"/>
                <w:sz w:val="20"/>
                <w:szCs w:val="20"/>
                <w:highlight w:val="none"/>
              </w:rPr>
              <w:t>格式自拟</w:t>
            </w:r>
            <w:r>
              <w:rPr>
                <w:color w:val="auto"/>
                <w:sz w:val="20"/>
                <w:szCs w:val="20"/>
                <w:highlight w:val="none"/>
              </w:rPr>
              <w:t>）。</w:t>
            </w:r>
          </w:p>
          <w:p>
            <w:pPr>
              <w:numPr>
                <w:ilvl w:val="255"/>
                <w:numId w:val="0"/>
              </w:numPr>
              <w:spacing w:after="0" w:line="380" w:lineRule="exact"/>
              <w:rPr>
                <w:b/>
                <w:bCs/>
                <w:color w:val="auto"/>
                <w:sz w:val="20"/>
                <w:szCs w:val="20"/>
                <w:highlight w:val="none"/>
              </w:rPr>
            </w:pPr>
            <w:r>
              <w:rPr>
                <w:b/>
                <w:bCs/>
                <w:color w:val="auto"/>
                <w:sz w:val="20"/>
                <w:szCs w:val="20"/>
                <w:highlight w:val="none"/>
              </w:rPr>
              <w:t>五、配套多媒体教学管理软件</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1.支持IPV4、IPV6网络环境下安装和正常使用，支持windows 7 32位/64位，windows10 64位、windows11 64位操作系统；（</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w:t>
            </w:r>
          </w:p>
          <w:p>
            <w:pPr>
              <w:numPr>
                <w:ilvl w:val="255"/>
                <w:numId w:val="0"/>
              </w:numPr>
              <w:spacing w:after="0" w:line="380" w:lineRule="exact"/>
              <w:rPr>
                <w:color w:val="auto"/>
                <w:sz w:val="20"/>
                <w:szCs w:val="20"/>
                <w:highlight w:val="none"/>
              </w:rPr>
            </w:pPr>
            <w:r>
              <w:rPr>
                <w:color w:val="auto"/>
                <w:sz w:val="20"/>
                <w:szCs w:val="20"/>
                <w:highlight w:val="none"/>
              </w:rPr>
              <w:t>2.教师自带笔记本可通过mac绑定和ip绑定两种方式快速连接服务器和学生端，实现多媒体互动教学；</w:t>
            </w:r>
          </w:p>
          <w:p>
            <w:pPr>
              <w:numPr>
                <w:ilvl w:val="255"/>
                <w:numId w:val="0"/>
              </w:numPr>
              <w:spacing w:after="0" w:line="380" w:lineRule="exact"/>
              <w:rPr>
                <w:color w:val="auto"/>
                <w:sz w:val="20"/>
                <w:szCs w:val="20"/>
                <w:highlight w:val="none"/>
              </w:rPr>
            </w:pPr>
            <w:r>
              <w:rPr>
                <w:color w:val="auto"/>
                <w:sz w:val="20"/>
                <w:szCs w:val="20"/>
                <w:highlight w:val="none"/>
              </w:rPr>
              <w:t xml:space="preserve">3.屏幕广播支持区域广播方式，教师端可选取一块区域广播给学生机；   </w:t>
            </w:r>
          </w:p>
          <w:p>
            <w:pPr>
              <w:numPr>
                <w:ilvl w:val="255"/>
                <w:numId w:val="0"/>
              </w:numPr>
              <w:spacing w:after="0" w:line="380" w:lineRule="exact"/>
              <w:rPr>
                <w:color w:val="auto"/>
                <w:sz w:val="20"/>
                <w:szCs w:val="20"/>
                <w:highlight w:val="none"/>
              </w:rPr>
            </w:pPr>
            <w:r>
              <w:rPr>
                <w:color w:val="auto"/>
                <w:sz w:val="20"/>
                <w:szCs w:val="20"/>
                <w:highlight w:val="none"/>
              </w:rPr>
              <w:t>4.屏幕广播状态下，教师可开启实时语音，学生端可以通过耳机接听教师语音，同时支持屏幕笔功能，教师可通过屏幕笔将屏幕当做画板进行绘制，便于教学互动；</w:t>
            </w:r>
          </w:p>
          <w:p>
            <w:pPr>
              <w:numPr>
                <w:ilvl w:val="255"/>
                <w:numId w:val="0"/>
              </w:numPr>
              <w:spacing w:after="0" w:line="380" w:lineRule="exact"/>
              <w:rPr>
                <w:color w:val="auto"/>
                <w:sz w:val="20"/>
                <w:szCs w:val="20"/>
                <w:highlight w:val="none"/>
              </w:rPr>
            </w:pPr>
            <w:r>
              <w:rPr>
                <w:color w:val="auto"/>
                <w:sz w:val="20"/>
                <w:szCs w:val="20"/>
                <w:highlight w:val="none"/>
              </w:rPr>
              <w:t>5.屏幕广播支持弹幕，教师机开启弹幕后，教师机和学生机可发送弹幕信息，便于及时交流、增强教学互动性；</w:t>
            </w:r>
          </w:p>
          <w:p>
            <w:pPr>
              <w:numPr>
                <w:ilvl w:val="255"/>
                <w:numId w:val="0"/>
              </w:numPr>
              <w:spacing w:after="0" w:line="380" w:lineRule="exact"/>
              <w:rPr>
                <w:color w:val="auto"/>
                <w:sz w:val="20"/>
                <w:szCs w:val="20"/>
                <w:highlight w:val="none"/>
              </w:rPr>
            </w:pPr>
            <w:r>
              <w:rPr>
                <w:color w:val="auto"/>
                <w:sz w:val="20"/>
                <w:szCs w:val="20"/>
                <w:highlight w:val="none"/>
              </w:rPr>
              <w:t>6.屏幕广播支持笔记截屏，教师机开启笔记截屏后，全屏广播时学生机可一键截取屏幕，保存上课重点信息；</w:t>
            </w:r>
          </w:p>
          <w:p>
            <w:pPr>
              <w:numPr>
                <w:ilvl w:val="255"/>
                <w:numId w:val="0"/>
              </w:numPr>
              <w:spacing w:after="0" w:line="380" w:lineRule="exact"/>
              <w:rPr>
                <w:color w:val="auto"/>
                <w:sz w:val="20"/>
                <w:szCs w:val="20"/>
                <w:highlight w:val="none"/>
              </w:rPr>
            </w:pPr>
            <w:r>
              <w:rPr>
                <w:color w:val="auto"/>
                <w:sz w:val="20"/>
                <w:szCs w:val="20"/>
                <w:highlight w:val="none"/>
              </w:rPr>
              <w:t>7.支持影音广播，即使在终端未进入桌面的状态，也能够实现全体学生的影音广播，影音广播下支持视频的切换、暂停，并支持点击进度条任意地方以改变视频播放进度；</w:t>
            </w:r>
          </w:p>
          <w:p>
            <w:pPr>
              <w:numPr>
                <w:ilvl w:val="255"/>
                <w:numId w:val="0"/>
              </w:numPr>
              <w:spacing w:after="0" w:line="380" w:lineRule="exact"/>
              <w:rPr>
                <w:color w:val="auto"/>
                <w:sz w:val="20"/>
                <w:szCs w:val="20"/>
                <w:highlight w:val="none"/>
              </w:rPr>
            </w:pPr>
            <w:r>
              <w:rPr>
                <w:color w:val="auto"/>
                <w:sz w:val="20"/>
                <w:szCs w:val="20"/>
                <w:highlight w:val="none"/>
              </w:rPr>
              <w:t>8.在屏幕广播之后连接上来的终端可直接接收屏幕广播内容，用户终端关闭虚拟桌面仍可同步广播教师机屏幕和视频，不会中断教学，供货时投标时提供对针对多台电脑/桌面的软件激活方法及激活系统技术的国家主管行政机关认可的技术证明证书复印件并加盖投标人公章；</w:t>
            </w:r>
          </w:p>
          <w:p>
            <w:pPr>
              <w:numPr>
                <w:ilvl w:val="255"/>
                <w:numId w:val="0"/>
              </w:numPr>
              <w:spacing w:after="0" w:line="380" w:lineRule="exact"/>
              <w:rPr>
                <w:color w:val="auto"/>
                <w:sz w:val="20"/>
                <w:szCs w:val="20"/>
                <w:highlight w:val="none"/>
              </w:rPr>
            </w:pPr>
            <w:r>
              <w:rPr>
                <w:color w:val="auto"/>
                <w:sz w:val="20"/>
                <w:szCs w:val="20"/>
                <w:highlight w:val="none"/>
              </w:rPr>
              <w:t>9.教师可选定一个学生操作本机或操作教师机进行教学演示，并将该学生演示的画面广播给每一个学生；被广播的学生将全屏/窗口接收演示学生的画面，全屏状态键盘和鼠标被锁定；</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10.教师机可以连续监看所选学生机屏幕，每屏可监视多个学生,可设置每屏学生机的数量以及学生机屏幕轮循的时间间隔；（</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 xml:space="preserve">）  </w:t>
            </w:r>
          </w:p>
          <w:p>
            <w:pPr>
              <w:numPr>
                <w:ilvl w:val="255"/>
                <w:numId w:val="0"/>
              </w:numPr>
              <w:spacing w:after="0" w:line="380" w:lineRule="exact"/>
              <w:rPr>
                <w:color w:val="auto"/>
                <w:sz w:val="20"/>
                <w:szCs w:val="20"/>
                <w:highlight w:val="none"/>
              </w:rPr>
            </w:pPr>
            <w:r>
              <w:rPr>
                <w:color w:val="auto"/>
                <w:sz w:val="20"/>
                <w:szCs w:val="20"/>
                <w:highlight w:val="none"/>
              </w:rPr>
              <w:t>11.具备游戏互动教学功能，支持击鼓传花，电子抢答等互动方式；</w:t>
            </w:r>
          </w:p>
          <w:p>
            <w:pPr>
              <w:numPr>
                <w:ilvl w:val="255"/>
                <w:numId w:val="0"/>
              </w:numPr>
              <w:spacing w:after="0" w:line="380" w:lineRule="exact"/>
              <w:rPr>
                <w:color w:val="auto"/>
                <w:sz w:val="20"/>
                <w:szCs w:val="20"/>
                <w:highlight w:val="none"/>
              </w:rPr>
            </w:pPr>
            <w:r>
              <w:rPr>
                <w:color w:val="auto"/>
                <w:sz w:val="20"/>
                <w:szCs w:val="20"/>
                <w:highlight w:val="none"/>
              </w:rPr>
              <w:t>12.上课过程中，老师可对学生奖励小红花，教师机可显示小红花奖励排行榜，显示每个学生的奖励数量，并可向学生发布奖励排行榜，提升学生参与感和学习兴趣；</w:t>
            </w:r>
          </w:p>
          <w:p>
            <w:pPr>
              <w:numPr>
                <w:ilvl w:val="255"/>
                <w:numId w:val="0"/>
              </w:numPr>
              <w:spacing w:after="0" w:line="380" w:lineRule="exact"/>
              <w:rPr>
                <w:color w:val="auto"/>
                <w:sz w:val="20"/>
                <w:szCs w:val="20"/>
                <w:highlight w:val="none"/>
              </w:rPr>
            </w:pPr>
            <w:r>
              <w:rPr>
                <w:color w:val="auto"/>
                <w:sz w:val="20"/>
                <w:szCs w:val="20"/>
                <w:highlight w:val="none"/>
              </w:rPr>
              <w:t>13.教师机可控制学生机是否可开启麦克风进行对话，开启语音连麦后，教师和学生可通过麦克风对话，语音交流可被班级其它所有学生听到，便于课堂语音互动；</w:t>
            </w:r>
          </w:p>
          <w:p>
            <w:pPr>
              <w:numPr>
                <w:ilvl w:val="255"/>
                <w:numId w:val="0"/>
              </w:numPr>
              <w:spacing w:after="0" w:line="380" w:lineRule="exact"/>
              <w:rPr>
                <w:color w:val="auto"/>
                <w:sz w:val="20"/>
                <w:szCs w:val="20"/>
                <w:highlight w:val="none"/>
              </w:rPr>
            </w:pPr>
            <w:r>
              <w:rPr>
                <w:color w:val="auto"/>
                <w:sz w:val="20"/>
                <w:szCs w:val="20"/>
                <w:highlight w:val="none"/>
              </w:rPr>
              <w:t>14.支持保存电子点名信息为班级座位信息，老师可导入班级座位信息，将机房上机机位与学生信息进行绑定，便于学生来机房后使用固定位置上机；</w:t>
            </w:r>
          </w:p>
          <w:p>
            <w:pPr>
              <w:numPr>
                <w:ilvl w:val="255"/>
                <w:numId w:val="0"/>
              </w:numPr>
              <w:spacing w:after="0" w:line="380" w:lineRule="exact"/>
              <w:rPr>
                <w:color w:val="auto"/>
                <w:sz w:val="20"/>
                <w:szCs w:val="20"/>
                <w:highlight w:val="none"/>
              </w:rPr>
            </w:pPr>
            <w:r>
              <w:rPr>
                <w:color w:val="auto"/>
                <w:sz w:val="20"/>
                <w:szCs w:val="20"/>
                <w:highlight w:val="none"/>
              </w:rPr>
              <w:t>15.支持作业下发，教师机可将自己机器上的文件传输到学生机，支持一对多传输，当选中多台学生机执行下发文件时，教师端需选择其中一台学生机作为样本机，并选择存放路径，支持发送文件或文件夹；</w:t>
            </w:r>
          </w:p>
          <w:p>
            <w:pPr>
              <w:numPr>
                <w:ilvl w:val="255"/>
                <w:numId w:val="0"/>
              </w:numPr>
              <w:spacing w:after="0" w:line="380" w:lineRule="exact"/>
              <w:rPr>
                <w:color w:val="auto"/>
                <w:sz w:val="20"/>
                <w:szCs w:val="20"/>
                <w:highlight w:val="none"/>
              </w:rPr>
            </w:pPr>
            <w:r>
              <w:rPr>
                <w:color w:val="auto"/>
                <w:sz w:val="20"/>
                <w:szCs w:val="20"/>
                <w:highlight w:val="none"/>
              </w:rPr>
              <w:t>16.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pPr>
              <w:numPr>
                <w:ilvl w:val="255"/>
                <w:numId w:val="0"/>
              </w:numPr>
              <w:spacing w:after="0" w:line="380" w:lineRule="exact"/>
              <w:rPr>
                <w:color w:val="auto"/>
                <w:sz w:val="20"/>
                <w:szCs w:val="20"/>
                <w:highlight w:val="none"/>
              </w:rPr>
            </w:pPr>
            <w:r>
              <w:rPr>
                <w:color w:val="auto"/>
                <w:sz w:val="20"/>
                <w:szCs w:val="20"/>
                <w:highlight w:val="none"/>
              </w:rPr>
              <w:t>17.支持电子白板功能，可用</w:t>
            </w:r>
            <w:r>
              <w:rPr>
                <w:rFonts w:hint="eastAsia"/>
                <w:color w:val="auto"/>
                <w:sz w:val="20"/>
                <w:szCs w:val="20"/>
                <w:highlight w:val="none"/>
              </w:rPr>
              <w:t>电子白板</w:t>
            </w:r>
            <w:r>
              <w:rPr>
                <w:color w:val="auto"/>
                <w:sz w:val="20"/>
                <w:szCs w:val="20"/>
                <w:highlight w:val="none"/>
              </w:rPr>
              <w:t>进行绘制演示，并可共享到学生机，支持教师和学生协作共同通过</w:t>
            </w:r>
            <w:r>
              <w:rPr>
                <w:rFonts w:hint="eastAsia"/>
                <w:color w:val="auto"/>
                <w:sz w:val="20"/>
                <w:szCs w:val="20"/>
                <w:highlight w:val="none"/>
              </w:rPr>
              <w:t>电子白板</w:t>
            </w:r>
            <w:r>
              <w:rPr>
                <w:color w:val="auto"/>
                <w:sz w:val="20"/>
                <w:szCs w:val="20"/>
                <w:highlight w:val="none"/>
              </w:rPr>
              <w:t>进行知识总结、画面制作等；</w:t>
            </w:r>
          </w:p>
          <w:p>
            <w:pPr>
              <w:numPr>
                <w:ilvl w:val="255"/>
                <w:numId w:val="0"/>
              </w:numPr>
              <w:spacing w:after="0" w:line="380" w:lineRule="exact"/>
              <w:rPr>
                <w:color w:val="auto"/>
                <w:sz w:val="20"/>
                <w:szCs w:val="20"/>
                <w:highlight w:val="none"/>
              </w:rPr>
            </w:pPr>
            <w:r>
              <w:rPr>
                <w:rFonts w:ascii="汉仪叶叶相思体简" w:hAnsi="汉仪叶叶相思体简" w:eastAsia="汉仪叶叶相思体简" w:cs="汉仪叶叶相思体简"/>
                <w:bCs/>
                <w:color w:val="auto"/>
                <w:sz w:val="24"/>
                <w:szCs w:val="21"/>
                <w:highlight w:val="none"/>
              </w:rPr>
              <w:t>★</w:t>
            </w:r>
            <w:r>
              <w:rPr>
                <w:color w:val="auto"/>
                <w:sz w:val="20"/>
                <w:szCs w:val="20"/>
                <w:highlight w:val="none"/>
              </w:rPr>
              <w:t>18.支持黑屏肃静，教师可对学生执行黑屏肃静操作，能够自定义黑屏肃静的提示信息，支持手动解锁、按时解锁、按时长解锁；（</w:t>
            </w:r>
            <w:r>
              <w:rPr>
                <w:rFonts w:hint="eastAsia"/>
                <w:b/>
                <w:bCs/>
                <w:color w:val="auto"/>
                <w:sz w:val="20"/>
                <w:szCs w:val="20"/>
                <w:highlight w:val="none"/>
              </w:rPr>
              <w:t>投标时如有</w:t>
            </w:r>
            <w:r>
              <w:rPr>
                <w:b/>
                <w:bCs/>
                <w:color w:val="auto"/>
                <w:sz w:val="20"/>
                <w:szCs w:val="20"/>
                <w:highlight w:val="none"/>
              </w:rPr>
              <w:t>提供第三方检测机构出具的具备</w:t>
            </w:r>
            <w:r>
              <w:rPr>
                <w:b/>
                <w:bCs/>
                <w:color w:val="auto"/>
                <w:sz w:val="20"/>
                <w:szCs w:val="20"/>
                <w:highlight w:val="none"/>
                <w:lang w:val="en"/>
              </w:rPr>
              <w:t>CNAS或CMA标识</w:t>
            </w:r>
            <w:r>
              <w:rPr>
                <w:b/>
                <w:bCs/>
                <w:color w:val="auto"/>
                <w:sz w:val="20"/>
                <w:szCs w:val="20"/>
                <w:highlight w:val="none"/>
              </w:rPr>
              <w:t>的产品功能测试报告复印件或扫描件</w:t>
            </w:r>
            <w:r>
              <w:rPr>
                <w:color w:val="auto"/>
                <w:sz w:val="20"/>
                <w:szCs w:val="20"/>
                <w:highlight w:val="none"/>
              </w:rPr>
              <w:t xml:space="preserve">）  </w:t>
            </w:r>
          </w:p>
          <w:p>
            <w:pPr>
              <w:numPr>
                <w:ilvl w:val="255"/>
                <w:numId w:val="0"/>
              </w:numPr>
              <w:spacing w:after="0" w:line="380" w:lineRule="exact"/>
              <w:rPr>
                <w:color w:val="auto"/>
                <w:sz w:val="20"/>
                <w:szCs w:val="20"/>
                <w:highlight w:val="none"/>
              </w:rPr>
            </w:pPr>
            <w:r>
              <w:rPr>
                <w:color w:val="auto"/>
                <w:sz w:val="20"/>
                <w:szCs w:val="20"/>
                <w:highlight w:val="none"/>
              </w:rPr>
              <w:t>19.教师机对学生执行黑屏肃静后，支持追加学生执行黑屏肃静，也支持对单个学生机取消黑屏肃静，上课管理更灵活；</w:t>
            </w:r>
          </w:p>
          <w:p>
            <w:pPr>
              <w:numPr>
                <w:ilvl w:val="255"/>
                <w:numId w:val="0"/>
              </w:numPr>
              <w:spacing w:after="0" w:line="380" w:lineRule="exact"/>
              <w:rPr>
                <w:color w:val="auto"/>
                <w:sz w:val="20"/>
                <w:szCs w:val="20"/>
                <w:highlight w:val="none"/>
              </w:rPr>
            </w:pPr>
            <w:r>
              <w:rPr>
                <w:color w:val="auto"/>
                <w:sz w:val="20"/>
                <w:szCs w:val="20"/>
                <w:highlight w:val="none"/>
              </w:rPr>
              <w:t>20.支持班级学生使用固定位置上机，开机后学生机显示该座位绑定的学生信息，学生可根据自己的姓名找到上一次上机的位置进行上机，并可直接上机签到；</w:t>
            </w:r>
          </w:p>
          <w:p>
            <w:pPr>
              <w:numPr>
                <w:ilvl w:val="255"/>
                <w:numId w:val="0"/>
              </w:numPr>
              <w:spacing w:after="0" w:line="380" w:lineRule="exact"/>
              <w:rPr>
                <w:color w:val="auto"/>
                <w:sz w:val="20"/>
                <w:szCs w:val="20"/>
                <w:highlight w:val="none"/>
              </w:rPr>
            </w:pPr>
            <w:r>
              <w:rPr>
                <w:color w:val="auto"/>
                <w:sz w:val="20"/>
                <w:szCs w:val="20"/>
                <w:highlight w:val="none"/>
              </w:rPr>
              <w:t xml:space="preserve">21.投标时提供行为管控模块，支持程序黑白名单限制，支持禁用外网，禁用USB设备，教师端主界面可展示USB设备、程序、网络禁用状态； </w:t>
            </w:r>
          </w:p>
          <w:p>
            <w:pPr>
              <w:numPr>
                <w:ilvl w:val="255"/>
                <w:numId w:val="0"/>
              </w:numPr>
              <w:spacing w:after="0" w:line="380" w:lineRule="exact"/>
              <w:rPr>
                <w:color w:val="auto"/>
                <w:sz w:val="20"/>
                <w:szCs w:val="20"/>
                <w:highlight w:val="none"/>
              </w:rPr>
            </w:pPr>
            <w:r>
              <w:rPr>
                <w:color w:val="auto"/>
                <w:sz w:val="20"/>
                <w:szCs w:val="20"/>
                <w:highlight w:val="none"/>
              </w:rPr>
              <w:t xml:space="preserve">22.支持对学生的网络搜索进行关键字屏蔽，教师机设置限制搜索的关键词后，学生机通过浏览器搜索禁用的关键词，会自动弹出提示信息，或直接关闭学生机浏览器； </w:t>
            </w:r>
          </w:p>
          <w:p>
            <w:pPr>
              <w:numPr>
                <w:ilvl w:val="255"/>
                <w:numId w:val="0"/>
              </w:numPr>
              <w:spacing w:after="0" w:line="380" w:lineRule="exact"/>
              <w:rPr>
                <w:color w:val="auto"/>
                <w:sz w:val="20"/>
                <w:szCs w:val="20"/>
                <w:highlight w:val="none"/>
              </w:rPr>
            </w:pPr>
            <w:r>
              <w:rPr>
                <w:color w:val="auto"/>
                <w:sz w:val="20"/>
                <w:szCs w:val="20"/>
                <w:highlight w:val="none"/>
              </w:rPr>
              <w:t>23.支持考试功能，包括试题编辑、下发试卷、考试监控、成绩统计。可添加单选题、多选题、判断题、填空题、问答题；可设置考试时长，倒计时结束后自动结束考试。阅卷时，单选题、多选题、判断题支持自动评分和统计正确率。</w:t>
            </w:r>
          </w:p>
          <w:p>
            <w:pPr>
              <w:numPr>
                <w:ilvl w:val="255"/>
                <w:numId w:val="0"/>
              </w:numPr>
              <w:spacing w:after="0" w:line="380" w:lineRule="exact"/>
              <w:rPr>
                <w:color w:val="auto"/>
                <w:sz w:val="20"/>
                <w:szCs w:val="20"/>
                <w:highlight w:val="none"/>
              </w:rPr>
            </w:pPr>
            <w:r>
              <w:rPr>
                <w:color w:val="auto"/>
                <w:sz w:val="20"/>
                <w:szCs w:val="20"/>
                <w:highlight w:val="none"/>
              </w:rPr>
              <w:t>24.投标时提供试题编制小工具，可下载小工具到教师自己的机器上，便于随时进行试卷编辑，编辑好的试卷可直接在教师机界面导入和下发；</w:t>
            </w:r>
          </w:p>
          <w:p>
            <w:pPr>
              <w:numPr>
                <w:ilvl w:val="255"/>
                <w:numId w:val="0"/>
              </w:numPr>
              <w:spacing w:after="0" w:line="380" w:lineRule="exact"/>
              <w:rPr>
                <w:color w:val="auto"/>
                <w:sz w:val="20"/>
                <w:szCs w:val="20"/>
                <w:highlight w:val="none"/>
              </w:rPr>
            </w:pPr>
            <w:r>
              <w:rPr>
                <w:color w:val="auto"/>
                <w:sz w:val="20"/>
                <w:szCs w:val="20"/>
                <w:highlight w:val="none"/>
              </w:rPr>
              <w:t>25.支持与桌面云软件融合打通，通过教学软件实现操作系统一键切换，可关闭云桌面服务器和学生机。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0016" w:type="dxa"/>
            <w:gridSpan w:val="6"/>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left"/>
              <w:rPr>
                <w:rFonts w:hint="eastAsia" w:ascii="宋体" w:hAnsi="宋体" w:cs="宋体"/>
                <w:color w:val="auto"/>
                <w:kern w:val="0"/>
                <w:szCs w:val="21"/>
                <w:highlight w:val="none"/>
              </w:rPr>
            </w:pPr>
            <w:r>
              <w:rPr>
                <w:rFonts w:ascii="宋体" w:hAnsi="宋体" w:cs="宋体"/>
                <w:b/>
                <w:color w:val="auto"/>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cs="宋体"/>
                <w:color w:val="auto"/>
                <w:kern w:val="0"/>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交付使用时间及</w:t>
            </w:r>
          </w:p>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Cs w:val="21"/>
                <w:highlight w:val="none"/>
              </w:rPr>
              <w:t>地点</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交付使用时间：自签订合同之日起，在30个日历日内交付使用并验收合格。</w:t>
            </w:r>
          </w:p>
          <w:p>
            <w:pPr>
              <w:widowControl/>
              <w:spacing w:after="0" w:line="440" w:lineRule="exact"/>
              <w:jc w:val="left"/>
              <w:rPr>
                <w:rFonts w:hint="eastAsia" w:ascii="宋体" w:hAnsi="宋体" w:cs="宋体"/>
                <w:color w:val="auto"/>
                <w:kern w:val="0"/>
                <w:sz w:val="20"/>
                <w:szCs w:val="20"/>
                <w:highlight w:val="none"/>
                <w:lang w:bidi="ar"/>
              </w:rPr>
            </w:pPr>
            <w:r>
              <w:rPr>
                <w:rFonts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交付使用地点：采购人指定地点。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报价要求</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jc w:val="left"/>
              <w:rPr>
                <w:rFonts w:hint="eastAsia" w:ascii="宋体" w:hAnsi="宋体" w:cs="仿宋"/>
                <w:color w:val="auto"/>
                <w:szCs w:val="21"/>
                <w:highlight w:val="none"/>
              </w:rPr>
            </w:pPr>
            <w:r>
              <w:rPr>
                <w:rFonts w:ascii="宋体" w:hAnsi="宋体" w:cs="仿宋"/>
                <w:color w:val="auto"/>
                <w:szCs w:val="21"/>
                <w:highlight w:val="none"/>
              </w:rPr>
              <w:t>投标报价为采购人指定地点的现场交货价，包括但不限于：</w:t>
            </w:r>
          </w:p>
          <w:p>
            <w:pPr>
              <w:widowControl/>
              <w:spacing w:after="0" w:line="440" w:lineRule="exact"/>
              <w:jc w:val="left"/>
              <w:rPr>
                <w:rFonts w:hint="eastAsia" w:ascii="宋体" w:hAnsi="宋体" w:cs="仿宋"/>
                <w:color w:val="auto"/>
                <w:szCs w:val="21"/>
                <w:highlight w:val="none"/>
              </w:rPr>
            </w:pPr>
            <w:r>
              <w:rPr>
                <w:rFonts w:ascii="宋体" w:hAnsi="宋体" w:cs="仿宋"/>
                <w:color w:val="auto"/>
                <w:szCs w:val="21"/>
                <w:highlight w:val="none"/>
              </w:rPr>
              <w:t>（1）货物的价格：包括货款、杂配件、安装调试费、验收费；</w:t>
            </w:r>
          </w:p>
          <w:p>
            <w:pPr>
              <w:widowControl/>
              <w:spacing w:after="0" w:line="440" w:lineRule="exact"/>
              <w:jc w:val="left"/>
              <w:rPr>
                <w:rFonts w:hint="eastAsia" w:ascii="宋体" w:hAnsi="宋体" w:cs="仿宋"/>
                <w:color w:val="auto"/>
                <w:szCs w:val="21"/>
                <w:highlight w:val="none"/>
              </w:rPr>
            </w:pPr>
            <w:r>
              <w:rPr>
                <w:rFonts w:ascii="宋体" w:hAnsi="宋体" w:cs="仿宋"/>
                <w:color w:val="auto"/>
                <w:szCs w:val="21"/>
                <w:highlight w:val="none"/>
              </w:rPr>
              <w:t>（2）货物的标准附件、备品备件、专用工具的价格；</w:t>
            </w:r>
          </w:p>
          <w:p>
            <w:pPr>
              <w:widowControl/>
              <w:spacing w:after="0" w:line="440" w:lineRule="exact"/>
              <w:jc w:val="left"/>
              <w:rPr>
                <w:rFonts w:hint="eastAsia" w:ascii="宋体" w:hAnsi="宋体" w:cs="仿宋"/>
                <w:color w:val="auto"/>
                <w:szCs w:val="21"/>
                <w:highlight w:val="none"/>
              </w:rPr>
            </w:pPr>
            <w:r>
              <w:rPr>
                <w:rFonts w:ascii="宋体" w:hAnsi="宋体" w:cs="仿宋"/>
                <w:color w:val="auto"/>
                <w:szCs w:val="21"/>
                <w:highlight w:val="none"/>
              </w:rPr>
              <w:t>（3）运输、装卸、调试、培训、技术支持、售后服务费；</w:t>
            </w:r>
          </w:p>
          <w:p>
            <w:pPr>
              <w:widowControl/>
              <w:spacing w:after="0" w:line="440" w:lineRule="exact"/>
              <w:jc w:val="left"/>
              <w:rPr>
                <w:rFonts w:hint="eastAsia" w:ascii="宋体" w:hAnsi="宋体" w:cs="仿宋"/>
                <w:color w:val="auto"/>
                <w:szCs w:val="21"/>
                <w:highlight w:val="none"/>
              </w:rPr>
            </w:pPr>
            <w:r>
              <w:rPr>
                <w:rFonts w:ascii="宋体" w:hAnsi="宋体" w:cs="仿宋"/>
                <w:color w:val="auto"/>
                <w:szCs w:val="21"/>
                <w:highlight w:val="none"/>
              </w:rPr>
              <w:t>（4）招标代理服务费、保险费和各项税金。</w:t>
            </w:r>
          </w:p>
          <w:p>
            <w:pPr>
              <w:widowControl/>
              <w:spacing w:after="0" w:line="440" w:lineRule="exact"/>
              <w:ind w:firstLine="420" w:firstLineChars="200"/>
              <w:jc w:val="left"/>
              <w:rPr>
                <w:rFonts w:hint="eastAsia" w:ascii="宋体" w:hAnsi="宋体" w:cs="宋体"/>
                <w:color w:val="auto"/>
                <w:kern w:val="0"/>
                <w:szCs w:val="21"/>
                <w:highlight w:val="none"/>
              </w:rPr>
            </w:pPr>
            <w:r>
              <w:rPr>
                <w:rFonts w:ascii="宋体" w:hAnsi="宋体" w:cs="仿宋"/>
                <w:color w:val="auto"/>
                <w:szCs w:val="21"/>
                <w:highlight w:val="none"/>
              </w:rPr>
              <w:t>在合同实施时，采购人将不予支付中标供应商没有列入的项目费用，并认为此项目的费用已包括在投标总报价中。</w:t>
            </w:r>
            <w:r>
              <w:rPr>
                <w:rFonts w:ascii="宋体" w:hAnsi="宋体" w:cs="宋体"/>
                <w:color w:val="auto"/>
                <w:kern w:val="0"/>
                <w:szCs w:val="21"/>
                <w:highlight w:val="none"/>
                <w:lang w:bidi="ar"/>
              </w:rPr>
              <w:t>采购人不再支付任何费用。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付款方式</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00" w:lineRule="exact"/>
              <w:ind w:firstLine="420" w:firstLineChars="200"/>
              <w:jc w:val="left"/>
              <w:rPr>
                <w:rFonts w:hint="eastAsia" w:eastAsia="宋体"/>
                <w:color w:val="auto"/>
                <w:highlight w:val="none"/>
                <w:lang w:eastAsia="zh-CN"/>
              </w:rPr>
            </w:pPr>
            <w:r>
              <w:rPr>
                <w:rFonts w:hint="eastAsia" w:ascii="宋体" w:hAnsi="宋体"/>
                <w:color w:val="auto"/>
                <w:szCs w:val="21"/>
                <w:highlight w:val="none"/>
              </w:rPr>
              <w:t>自签订合同之日起十个工作日内，甲方支付合同款总额30%作为预付款，货物交付并验收合格，乙方提供相应金额真实、合法、有效的正式发票后，甲方十个工作日内支付剩余款项。</w:t>
            </w:r>
            <w:r>
              <w:rPr>
                <w:rFonts w:hint="eastAsia" w:ascii="宋体" w:hAnsi="宋体" w:cs="宋体"/>
                <w:color w:val="auto"/>
                <w:kern w:val="0"/>
                <w:szCs w:val="21"/>
                <w:highlight w:val="none"/>
                <w:u w:val="single"/>
                <w:lang w:eastAsia="zh-CN"/>
              </w:rPr>
              <w:t>【乙方应提供货款全额的发票（货物采购须开具增值税专用发票）】。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质保期</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中标人负责免费送货上门、免费安装调试至合格。除“技术需求及要求”中另有约定外，其余货物按国家有关产品“三包”规定执行“三包”，质保期自货物验收合格之日起计算，不少于1年（若产品生产厂家免费质保期超过此年限的</w:t>
            </w:r>
            <w:r>
              <w:rPr>
                <w:rFonts w:hint="eastAsia" w:ascii="宋体" w:hAnsi="宋体" w:cs="宋体"/>
                <w:color w:val="auto"/>
                <w:kern w:val="0"/>
                <w:szCs w:val="21"/>
                <w:highlight w:val="none"/>
              </w:rPr>
              <w:t>，在</w:t>
            </w:r>
            <w:r>
              <w:rPr>
                <w:rFonts w:ascii="宋体" w:hAnsi="宋体" w:cs="宋体"/>
                <w:color w:val="auto"/>
                <w:kern w:val="0"/>
                <w:szCs w:val="21"/>
                <w:highlight w:val="none"/>
              </w:rPr>
              <w:t>合同履行过程中按厂家规定执行；若中标人质保期承诺优于产品生产厂家质保年限的，以中标人承诺执行）。</w:t>
            </w:r>
          </w:p>
          <w:p>
            <w:pPr>
              <w:widowControl/>
              <w:spacing w:after="0" w:line="44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在质量保证期内，在正常的操作下，出现的任何故障及损失，标人免费提供维修服务，免费提供系统软件升级。如涉及失效零件更换，该零件应由中标人提供免费上门服务。</w:t>
            </w:r>
            <w:r>
              <w:rPr>
                <w:rFonts w:ascii="宋体" w:hAnsi="宋体" w:cs="宋体"/>
                <w:color w:val="auto"/>
                <w:kern w:val="0"/>
                <w:szCs w:val="21"/>
                <w:highlight w:val="none"/>
                <w:lang w:bidi="ar"/>
              </w:rPr>
              <w:t>免费保修期外的服务承诺；免费提供终身技术支持服务承诺。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售后服务要求</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jc w:val="left"/>
              <w:rPr>
                <w:rFonts w:hint="eastAsia" w:ascii="宋体" w:hAnsi="宋体" w:cs="宋体"/>
                <w:bCs/>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eastAsia="zh-CN"/>
              </w:rPr>
              <w:t>.</w:t>
            </w:r>
            <w:r>
              <w:rPr>
                <w:rFonts w:ascii="宋体" w:hAnsi="宋体" w:cs="宋体"/>
                <w:color w:val="auto"/>
                <w:szCs w:val="21"/>
                <w:highlight w:val="none"/>
              </w:rPr>
              <w:t>所投货物必须为经合法渠道销售的全新原装产品；</w:t>
            </w:r>
            <w:r>
              <w:rPr>
                <w:rFonts w:ascii="宋体" w:hAnsi="宋体" w:cs="宋体"/>
                <w:bCs/>
                <w:color w:val="auto"/>
                <w:szCs w:val="21"/>
                <w:highlight w:val="none"/>
              </w:rPr>
              <w:t>免费送货上门、免费安装调试、免费培训。</w:t>
            </w:r>
          </w:p>
          <w:p>
            <w:pPr>
              <w:widowControl/>
              <w:spacing w:after="0" w:line="440" w:lineRule="exact"/>
              <w:jc w:val="left"/>
              <w:rPr>
                <w:rFonts w:hint="eastAsia" w:ascii="宋体" w:hAns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lang w:eastAsia="zh-CN"/>
              </w:rPr>
              <w:t>.</w:t>
            </w:r>
            <w:r>
              <w:rPr>
                <w:rFonts w:ascii="宋体" w:hAnsi="宋体" w:cs="宋体"/>
                <w:bCs/>
                <w:color w:val="auto"/>
                <w:szCs w:val="21"/>
                <w:highlight w:val="none"/>
              </w:rPr>
              <w:t>安装调试和培训：到货后，中标人需在采购人指定的时间内进行安装调试；提供采购人的现场操作使用及基本维护的免费培训。</w:t>
            </w:r>
          </w:p>
          <w:p>
            <w:pPr>
              <w:widowControl/>
              <w:spacing w:after="0" w:line="440" w:lineRule="exact"/>
              <w:jc w:val="left"/>
              <w:rPr>
                <w:rFonts w:hint="eastAsia" w:ascii="宋体" w:hAnsi="宋体" w:cs="宋体"/>
                <w:color w:val="auto"/>
                <w:kern w:val="0"/>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lang w:eastAsia="zh-CN"/>
              </w:rPr>
              <w:t>.</w:t>
            </w:r>
            <w:r>
              <w:rPr>
                <w:rFonts w:ascii="宋体" w:hAnsi="宋体" w:cs="宋体"/>
                <w:bCs/>
                <w:color w:val="auto"/>
                <w:szCs w:val="21"/>
                <w:highlight w:val="none"/>
              </w:rPr>
              <w:t>服务响应时间：质量保证期内，中标人应当提供24小时电话支持服务。采购人遇到使用或技术问题，中标人应在接到通知后24小时内响应，48个小时内排除故障。特殊情况无法到达</w:t>
            </w:r>
            <w:r>
              <w:rPr>
                <w:rFonts w:hint="eastAsia" w:ascii="宋体" w:hAnsi="宋体" w:cs="宋体"/>
                <w:bCs/>
                <w:color w:val="auto"/>
                <w:szCs w:val="21"/>
                <w:highlight w:val="none"/>
              </w:rPr>
              <w:t>需</w:t>
            </w:r>
            <w:r>
              <w:rPr>
                <w:rFonts w:ascii="宋体" w:hAnsi="宋体" w:cs="宋体"/>
                <w:bCs/>
                <w:color w:val="auto"/>
                <w:szCs w:val="21"/>
                <w:highlight w:val="none"/>
              </w:rPr>
              <w:t>提前与采购人沟通。设备出现严重故障无法修复的，质保期内中标人应无条件更换新货物或提供代用货物，或采取使货物可正常运转的措施，并出具书面报告给采购人，双方按实际情况协商修复时限。产生的一切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kern w:val="0"/>
                <w:szCs w:val="21"/>
                <w:highlight w:val="none"/>
              </w:rPr>
              <w:t>验收标准</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由采购人邀请相关部门及有关技术专家按照招标文件要求、合同及中标人承诺的技术要求和质量标准验收（必要时将邀请第三方专业的检测机构协助验收）。验收标准、规范：</w:t>
            </w:r>
          </w:p>
          <w:p>
            <w:pPr>
              <w:widowControl/>
              <w:spacing w:after="0"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项目需求文件及成交人响应文件中的“技术响应、偏离情况说明表，逐条验收</w:t>
            </w:r>
            <w:r>
              <w:rPr>
                <w:rFonts w:hint="eastAsia" w:ascii="宋体" w:hAnsi="宋体" w:cs="宋体"/>
                <w:bCs/>
                <w:color w:val="auto"/>
                <w:szCs w:val="21"/>
                <w:highlight w:val="none"/>
              </w:rPr>
              <w:t>。</w:t>
            </w:r>
          </w:p>
          <w:p>
            <w:pPr>
              <w:widowControl/>
              <w:spacing w:after="0"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项目需求文件及成交人响应文件中的“商务响应表”，逐条验收</w:t>
            </w:r>
            <w:r>
              <w:rPr>
                <w:rFonts w:hint="eastAsia" w:ascii="宋体" w:hAnsi="宋体" w:cs="宋体"/>
                <w:bCs/>
                <w:color w:val="auto"/>
                <w:szCs w:val="21"/>
                <w:highlight w:val="none"/>
              </w:rPr>
              <w:t>。</w:t>
            </w:r>
          </w:p>
          <w:p>
            <w:pPr>
              <w:widowControl/>
              <w:spacing w:after="0"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ascii="宋体" w:hAnsi="宋体" w:cs="宋体"/>
                <w:bCs/>
                <w:color w:val="auto"/>
                <w:szCs w:val="21"/>
                <w:highlight w:val="none"/>
              </w:rPr>
              <w:t>成交人响应文件中其他技术、服务、商务性的说明、承诺事项，逐条验收</w:t>
            </w:r>
            <w:r>
              <w:rPr>
                <w:rFonts w:hint="eastAsia" w:ascii="宋体" w:hAnsi="宋体" w:cs="宋体"/>
                <w:bCs/>
                <w:color w:val="auto"/>
                <w:szCs w:val="21"/>
                <w:highlight w:val="none"/>
              </w:rPr>
              <w:t>。</w:t>
            </w:r>
          </w:p>
          <w:p>
            <w:pPr>
              <w:widowControl/>
              <w:spacing w:after="0" w:line="440" w:lineRule="exact"/>
              <w:jc w:val="left"/>
              <w:rPr>
                <w:rFonts w:hint="eastAsia" w:ascii="宋体" w:hAnsi="宋体" w:cs="宋体"/>
                <w:color w:val="auto"/>
                <w:kern w:val="0"/>
                <w:szCs w:val="21"/>
                <w:highlight w:val="none"/>
              </w:rPr>
            </w:pPr>
            <w:r>
              <w:rPr>
                <w:rFonts w:hint="eastAsia" w:ascii="宋体" w:hAnsi="宋体" w:cs="宋体"/>
                <w:bCs/>
                <w:color w:val="auto"/>
                <w:szCs w:val="21"/>
                <w:highlight w:val="none"/>
              </w:rPr>
              <w:t>（4）</w:t>
            </w:r>
            <w:r>
              <w:rPr>
                <w:rFonts w:ascii="宋体" w:hAnsi="宋体" w:cs="宋体"/>
                <w:bCs/>
                <w:color w:val="auto"/>
                <w:szCs w:val="21"/>
                <w:highlight w:val="none"/>
              </w:rPr>
              <w:t>国家相关法律、法规、标准和规范等。</w:t>
            </w:r>
            <w:r>
              <w:rPr>
                <w:rFonts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ascii="宋体" w:hAnsi="宋体" w:cs="宋体"/>
                <w:color w:val="auto"/>
                <w:szCs w:val="21"/>
                <w:highlight w:val="none"/>
              </w:rPr>
              <w:t>核心产品</w:t>
            </w:r>
          </w:p>
        </w:tc>
        <w:tc>
          <w:tcPr>
            <w:tcW w:w="8099"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440" w:lineRule="exact"/>
              <w:jc w:val="left"/>
              <w:rPr>
                <w:rFonts w:hint="eastAsia" w:ascii="宋体" w:hAnsi="宋体" w:cs="宋体"/>
                <w:color w:val="auto"/>
                <w:szCs w:val="21"/>
                <w:highlight w:val="none"/>
              </w:rPr>
            </w:pPr>
            <w:r>
              <w:rPr>
                <w:rFonts w:hint="eastAsia" w:ascii="宋体" w:hAnsi="宋体" w:cs="宋体"/>
                <w:b/>
                <w:bCs/>
                <w:color w:val="auto"/>
                <w:szCs w:val="21"/>
                <w:highlight w:val="none"/>
                <w:lang w:eastAsia="zh-CN"/>
              </w:rPr>
              <w:t>项号</w:t>
            </w:r>
            <w:r>
              <w:rPr>
                <w:rFonts w:hint="eastAsia" w:ascii="宋体" w:hAnsi="宋体" w:cs="宋体"/>
                <w:b/>
                <w:bCs/>
                <w:color w:val="auto"/>
                <w:szCs w:val="21"/>
                <w:highlight w:val="none"/>
                <w:lang w:val="en-US" w:eastAsia="zh-CN"/>
              </w:rPr>
              <w:t>1</w:t>
            </w:r>
            <w:r>
              <w:rPr>
                <w:rFonts w:ascii="宋体" w:hAnsi="宋体" w:cs="宋体"/>
                <w:b/>
                <w:bCs/>
                <w:color w:val="auto"/>
                <w:szCs w:val="21"/>
                <w:highlight w:val="none"/>
              </w:rPr>
              <w:t>“</w:t>
            </w:r>
            <w:r>
              <w:rPr>
                <w:rFonts w:ascii="宋体" w:hAnsi="宋体" w:cs="宋体"/>
                <w:b/>
                <w:bCs/>
                <w:color w:val="auto"/>
                <w:kern w:val="0"/>
                <w:sz w:val="20"/>
                <w:szCs w:val="20"/>
                <w:highlight w:val="none"/>
                <w:lang w:bidi="ar"/>
              </w:rPr>
              <w:t>教学云终端一体机</w:t>
            </w:r>
            <w:r>
              <w:rPr>
                <w:rFonts w:ascii="宋体" w:hAnsi="宋体" w:cs="宋体"/>
                <w:b/>
                <w:bCs/>
                <w:color w:val="auto"/>
                <w:szCs w:val="21"/>
                <w:highlight w:val="none"/>
              </w:rPr>
              <w:t>”为本次采购的核心产品</w:t>
            </w:r>
            <w:r>
              <w:rPr>
                <w:rFonts w:ascii="宋体" w:hAnsi="宋体" w:cs="宋体"/>
                <w:color w:val="auto"/>
                <w:szCs w:val="21"/>
                <w:highlight w:val="none"/>
              </w:rPr>
              <w:t>。</w:t>
            </w:r>
          </w:p>
          <w:p>
            <w:pPr>
              <w:widowControl/>
              <w:spacing w:after="0" w:line="440" w:lineRule="exact"/>
              <w:jc w:val="left"/>
              <w:rPr>
                <w:rFonts w:hint="eastAsia" w:ascii="宋体" w:hAnsi="宋体" w:cs="宋体"/>
                <w:color w:val="auto"/>
                <w:szCs w:val="21"/>
                <w:highlight w:val="none"/>
              </w:rPr>
            </w:pPr>
            <w:r>
              <w:rPr>
                <w:rFonts w:ascii="宋体" w:hAnsi="宋体" w:cs="宋体"/>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60" w:lineRule="exact"/>
              <w:jc w:val="center"/>
              <w:rPr>
                <w:rFonts w:hint="eastAsia" w:ascii="宋体" w:hAnsi="宋体" w:cs="宋体"/>
                <w:color w:val="auto"/>
                <w:szCs w:val="21"/>
                <w:highlight w:val="none"/>
              </w:rPr>
            </w:pPr>
            <w:r>
              <w:rPr>
                <w:rFonts w:ascii="宋体" w:hAnsi="宋体"/>
                <w:b/>
                <w:color w:val="auto"/>
                <w:szCs w:val="21"/>
                <w:highlight w:val="none"/>
              </w:rPr>
              <w:t>其他要求及说明</w:t>
            </w:r>
          </w:p>
        </w:tc>
        <w:tc>
          <w:tcPr>
            <w:tcW w:w="8099" w:type="dxa"/>
            <w:gridSpan w:val="4"/>
            <w:tcBorders>
              <w:top w:val="single" w:color="auto" w:sz="4" w:space="0"/>
              <w:left w:val="single" w:color="auto" w:sz="4" w:space="0"/>
              <w:bottom w:val="single" w:color="auto" w:sz="4" w:space="0"/>
              <w:right w:val="single" w:color="auto" w:sz="4" w:space="0"/>
            </w:tcBorders>
          </w:tcPr>
          <w:p>
            <w:pPr>
              <w:widowControl/>
              <w:numPr>
                <w:ilvl w:val="0"/>
                <w:numId w:val="11"/>
              </w:numPr>
              <w:spacing w:after="0" w:line="440" w:lineRule="exact"/>
              <w:jc w:val="left"/>
              <w:rPr>
                <w:rFonts w:ascii="宋体" w:hAnsi="宋体" w:cs="宋体"/>
                <w:color w:val="auto"/>
                <w:szCs w:val="21"/>
                <w:highlight w:val="none"/>
              </w:rPr>
            </w:pPr>
            <w:r>
              <w:rPr>
                <w:rFonts w:ascii="宋体" w:hAnsi="宋体" w:cs="宋体"/>
                <w:color w:val="auto"/>
                <w:szCs w:val="21"/>
                <w:highlight w:val="none"/>
              </w:rPr>
              <w:t>所投产品必须是原厂生产的全新的、未使用过的、检验合格的优质产品，产品质量符合国家相关规定。</w:t>
            </w:r>
          </w:p>
          <w:p>
            <w:pPr>
              <w:widowControl/>
              <w:numPr>
                <w:ilvl w:val="0"/>
                <w:numId w:val="11"/>
              </w:numPr>
              <w:spacing w:after="0" w:line="440" w:lineRule="exact"/>
              <w:jc w:val="left"/>
              <w:rPr>
                <w:rFonts w:hint="eastAsia" w:ascii="宋体" w:hAnsi="宋体" w:cs="宋体"/>
                <w:color w:val="auto"/>
                <w:szCs w:val="21"/>
                <w:highlight w:val="none"/>
              </w:rPr>
            </w:pPr>
            <w:r>
              <w:rPr>
                <w:rFonts w:ascii="宋体" w:hAnsi="宋体" w:cs="宋体"/>
                <w:color w:val="auto"/>
                <w:szCs w:val="21"/>
                <w:highlight w:val="none"/>
                <w:lang w:bidi="ar"/>
              </w:rPr>
              <w:t>投标人在投标文件中</w:t>
            </w:r>
            <w:r>
              <w:rPr>
                <w:rFonts w:hint="eastAsia" w:ascii="宋体" w:hAnsi="宋体" w:cs="宋体"/>
                <w:color w:val="auto"/>
                <w:szCs w:val="21"/>
                <w:highlight w:val="none"/>
                <w:lang w:eastAsia="zh-CN" w:bidi="ar"/>
              </w:rPr>
              <w:t>投标时请</w:t>
            </w:r>
            <w:r>
              <w:rPr>
                <w:rFonts w:ascii="宋体" w:hAnsi="宋体" w:cs="宋体"/>
                <w:color w:val="auto"/>
                <w:szCs w:val="21"/>
                <w:highlight w:val="none"/>
                <w:lang w:bidi="ar"/>
              </w:rPr>
              <w:t>提供本项目详细的项目实施方案、安装调试方案、售后服务方案。</w:t>
            </w:r>
          </w:p>
          <w:p>
            <w:pPr>
              <w:widowControl/>
              <w:spacing w:after="0"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ascii="宋体" w:hAnsi="宋体" w:cs="宋体"/>
                <w:color w:val="auto"/>
                <w:szCs w:val="21"/>
                <w:highlight w:val="none"/>
              </w:rPr>
              <w:t>政策功能：</w:t>
            </w:r>
          </w:p>
          <w:p>
            <w:pPr>
              <w:widowControl/>
              <w:spacing w:after="0" w:line="440" w:lineRule="exact"/>
              <w:jc w:val="left"/>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（1）</w:t>
            </w:r>
            <w:r>
              <w:rPr>
                <w:rFonts w:ascii="宋体" w:hAnsi="宋体" w:cs="宋体"/>
                <w:b/>
                <w:bCs/>
                <w:color w:val="auto"/>
                <w:szCs w:val="21"/>
                <w:highlight w:val="none"/>
                <w:lang w:val="zh-CN"/>
              </w:rPr>
              <w:t>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扫描件或其他电子文件并加盖投标人公章，否则投标无效</w:t>
            </w:r>
            <w:r>
              <w:rPr>
                <w:rFonts w:ascii="宋体" w:hAnsi="宋体" w:cs="宋体"/>
                <w:b/>
                <w:bCs/>
                <w:color w:val="auto"/>
                <w:szCs w:val="21"/>
                <w:highlight w:val="none"/>
              </w:rPr>
              <w:t>。</w:t>
            </w:r>
          </w:p>
          <w:p>
            <w:pPr>
              <w:widowControl/>
              <w:numPr>
                <w:ilvl w:val="255"/>
                <w:numId w:val="0"/>
              </w:numPr>
              <w:spacing w:after="0"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w:t>
            </w:r>
            <w:r>
              <w:rPr>
                <w:rFonts w:ascii="宋体" w:hAnsi="宋体" w:cs="宋体"/>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扫描件或其他电子文件并加盖磋商供应商公章，否则不予认定。</w:t>
            </w:r>
          </w:p>
          <w:p>
            <w:pPr>
              <w:widowControl/>
              <w:spacing w:after="0"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ascii="宋体" w:hAnsi="宋体" w:cs="宋体"/>
                <w:b/>
                <w:bCs/>
                <w:color w:val="auto"/>
                <w:szCs w:val="21"/>
                <w:highlight w:val="none"/>
              </w:rPr>
              <w:t>供应商投标产品的配件（辅材）涉及节能认证、国家强制认证的，在验收时必须提供产品、配件的相关节能认证证书、国家强制认证证书，不能提供认证证书的采购人有权拒绝验收，由此产生的一切后果由供应商承担。</w:t>
            </w:r>
          </w:p>
          <w:p>
            <w:pPr>
              <w:widowControl/>
              <w:shd w:val="clear" w:color="auto" w:fill="FFFFFF"/>
              <w:spacing w:after="0" w:line="240" w:lineRule="auto"/>
              <w:jc w:val="left"/>
              <w:rPr>
                <w:rFonts w:hint="eastAsia" w:ascii="宋体" w:hAnsi="宋体" w:cs="宋体"/>
                <w:color w:val="auto"/>
                <w:szCs w:val="21"/>
                <w:highlight w:val="none"/>
              </w:rPr>
            </w:pPr>
            <w:r>
              <w:rPr>
                <w:rFonts w:ascii="宋体" w:hAnsi="宋体"/>
                <w:b/>
                <w:bCs/>
                <w:color w:val="auto"/>
                <w:szCs w:val="21"/>
                <w:highlight w:val="none"/>
              </w:rPr>
              <w:t>▲</w:t>
            </w:r>
            <w:r>
              <w:rPr>
                <w:rFonts w:hint="eastAsia"/>
                <w:color w:val="auto"/>
                <w:highlight w:val="none"/>
                <w:lang w:val="en-US" w:eastAsia="zh-CN"/>
              </w:rPr>
              <w:t>5.</w:t>
            </w:r>
            <w:r>
              <w:rPr>
                <w:rFonts w:ascii="宋体" w:hAnsi="宋体" w:cs="仿宋_GB2312"/>
                <w:b/>
                <w:color w:val="auto"/>
                <w:szCs w:val="21"/>
                <w:highlight w:val="none"/>
              </w:rPr>
              <w:t>本分标不接受整套进口产品投标</w:t>
            </w:r>
            <w:r>
              <w:rPr>
                <w:rFonts w:ascii="仿宋" w:hAnsi="仿宋" w:eastAsia="仿宋"/>
                <w:b/>
                <w:color w:val="auto"/>
                <w:szCs w:val="21"/>
                <w:highlight w:val="none"/>
              </w:rPr>
              <w:t>。</w:t>
            </w:r>
          </w:p>
        </w:tc>
      </w:tr>
      <w:bookmarkEnd w:id="2"/>
    </w:tbl>
    <w:p>
      <w:pPr>
        <w:pStyle w:val="70"/>
        <w:rPr>
          <w:color w:val="auto"/>
          <w:highlight w:val="none"/>
        </w:rPr>
      </w:pPr>
    </w:p>
    <w:p>
      <w:pPr>
        <w:widowControl/>
        <w:jc w:val="left"/>
        <w:rPr>
          <w:color w:val="auto"/>
          <w:highlight w:val="none"/>
        </w:rPr>
      </w:pPr>
      <w:r>
        <w:rPr>
          <w:color w:val="auto"/>
          <w:highlight w:val="none"/>
        </w:rPr>
        <w:br w:type="page"/>
      </w:r>
    </w:p>
    <w:p>
      <w:pPr>
        <w:pStyle w:val="22"/>
        <w:outlineLvl w:val="1"/>
        <w:rPr>
          <w:color w:val="auto"/>
          <w:highlight w:val="none"/>
        </w:rPr>
      </w:pPr>
      <w:r>
        <w:rPr>
          <w:rFonts w:hint="eastAsia"/>
          <w:b/>
          <w:bCs/>
          <w:color w:val="auto"/>
          <w:highlight w:val="none"/>
          <w:lang w:eastAsia="zh-CN"/>
        </w:rPr>
        <w:t>分标</w:t>
      </w:r>
      <w:r>
        <w:rPr>
          <w:rFonts w:hint="eastAsia"/>
          <w:b/>
          <w:bCs/>
          <w:color w:val="auto"/>
          <w:highlight w:val="none"/>
          <w:lang w:val="en-US" w:eastAsia="zh-CN"/>
        </w:rPr>
        <w:t>2</w:t>
      </w:r>
      <w:r>
        <w:rPr>
          <w:rFonts w:hint="eastAsia"/>
          <w:b/>
          <w:bCs/>
          <w:color w:val="auto"/>
          <w:highlight w:val="none"/>
        </w:rPr>
        <w:t>：</w:t>
      </w:r>
    </w:p>
    <w:tbl>
      <w:tblPr>
        <w:tblStyle w:val="53"/>
        <w:tblW w:w="9761"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207"/>
        <w:gridCol w:w="167"/>
        <w:gridCol w:w="945"/>
        <w:gridCol w:w="945"/>
        <w:gridCol w:w="57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项号</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货物名称</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数 量</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单位</w:t>
            </w:r>
          </w:p>
        </w:tc>
        <w:tc>
          <w:tcPr>
            <w:tcW w:w="5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教学实验</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一体机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15</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套</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一、硬件配置要求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w:t>
            </w:r>
            <w:r>
              <w:rPr>
                <w:rFonts w:hint="eastAsia" w:ascii="宋体" w:hAnsi="宋体" w:cs="宋体"/>
                <w:b/>
                <w:bCs/>
                <w:color w:val="auto"/>
                <w:kern w:val="0"/>
                <w:sz w:val="20"/>
                <w:szCs w:val="20"/>
                <w:highlight w:val="none"/>
                <w:lang w:bidi="ar"/>
              </w:rPr>
              <w:t>1.处理器:英特尔13代酷睿NewCorei5-13500T同等或以上处理器；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w:t>
            </w:r>
            <w:r>
              <w:rPr>
                <w:rFonts w:hint="eastAsia" w:ascii="宋体" w:hAnsi="宋体" w:cs="宋体"/>
                <w:b/>
                <w:bCs/>
                <w:color w:val="auto"/>
                <w:kern w:val="0"/>
                <w:sz w:val="20"/>
                <w:szCs w:val="20"/>
                <w:highlight w:val="none"/>
                <w:lang w:bidi="ar"/>
              </w:rPr>
              <w:t>2.内存：≥8GB DDR4 3200MHz，≥2个DIMM插槽，最高支持≥64GB内存,支持双通道内存；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3.端口和接口：2xUSB-A3.2Gen1接口</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3xUSB-A3.2 Gen2接口</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USB-C3.2Gen2接口</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HDMI2.0a接口:DP接口，1xRJ-45接口</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1x组合麦克风/耳机插口；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w:t>
            </w:r>
            <w:r>
              <w:rPr>
                <w:rFonts w:hint="eastAsia" w:ascii="宋体" w:hAnsi="宋体" w:cs="宋体"/>
                <w:b/>
                <w:bCs/>
                <w:color w:val="auto"/>
                <w:kern w:val="0"/>
                <w:sz w:val="20"/>
                <w:szCs w:val="20"/>
                <w:highlight w:val="none"/>
                <w:lang w:bidi="ar"/>
              </w:rPr>
              <w:t>4.硬盘：配置≥1TB PCIe Gen4 SSD高速固态硬盘，秒速启动与疾速读写；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5.摄像头：≥500万摄像头，摄像头支持保护隐私 (侧边开关可断电)；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6.网络接口：集成千兆网卡自适应10/100/1000M以太网卡；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7.键盘/鼠标：原厂同品牌标准键盘和鼠标；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8.声音：集成 Realtek ALC3252声卡；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9.显示屏：≥23.8英寸，分辨率≥1902x1080，三边窄边框设计，NTSC 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户内全彩</w:t>
            </w:r>
          </w:p>
          <w:p>
            <w:pPr>
              <w:widowControl/>
              <w:jc w:val="center"/>
              <w:textAlignment w:val="center"/>
              <w:rPr>
                <w:b/>
                <w:bCs/>
                <w:color w:val="auto"/>
                <w:highlight w:val="none"/>
              </w:rPr>
            </w:pPr>
            <w:r>
              <w:rPr>
                <w:rFonts w:hint="eastAsia" w:ascii="宋体" w:hAnsi="宋体" w:cs="宋体"/>
                <w:b/>
                <w:bCs/>
                <w:color w:val="auto"/>
                <w:kern w:val="0"/>
                <w:sz w:val="20"/>
                <w:szCs w:val="20"/>
                <w:highlight w:val="none"/>
                <w:lang w:bidi="ar"/>
              </w:rPr>
              <w:t>LED屏</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bCs/>
                <w:color w:val="auto"/>
                <w:highlight w:val="none"/>
              </w:rPr>
            </w:pPr>
            <w:r>
              <w:rPr>
                <w:rFonts w:hint="eastAsia" w:ascii="宋体" w:hAnsi="宋体" w:cs="宋体"/>
                <w:b/>
                <w:bCs/>
                <w:color w:val="auto"/>
                <w:kern w:val="0"/>
                <w:sz w:val="20"/>
                <w:szCs w:val="20"/>
                <w:highlight w:val="none"/>
                <w:lang w:bidi="ar"/>
              </w:rPr>
              <w:t>30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bCs/>
                <w:color w:val="auto"/>
                <w:highlight w:val="none"/>
              </w:rPr>
            </w:pPr>
            <w:r>
              <w:rPr>
                <w:rFonts w:hint="eastAsia" w:ascii="宋体" w:hAnsi="宋体" w:cs="宋体"/>
                <w:b/>
                <w:bCs/>
                <w:color w:val="auto"/>
                <w:kern w:val="0"/>
                <w:sz w:val="20"/>
                <w:szCs w:val="20"/>
                <w:highlight w:val="none"/>
                <w:lang w:bidi="ar"/>
              </w:rPr>
              <w:t>平方米</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全彩LED屏参数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1.LED显示屏灯珠采用表贴三合一铜线封装；LED封装形式：SMD1515黑灯；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2.LED显示屏采用≤2.0mm点间距；LED显示屏模组尺寸320mm*160mm；符合等同或优于IP5X防护等级;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3.LED显示屏采用前/后维护方式，可正面拆卸模组、接收卡、电源等低压器件，具备热插拔能力；</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4.LED显示屏亮度可达到450cd/㎡，可通过配套软件0-100%调节，设置亮度定时调节；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5.LED显示屏对比度≥10000：1；LED显示屏杂点率≤1/100000且无连续失控点；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6.LED显示屏亮度均匀性≥99%；LED显示色度均匀性±0.001Cx,Cy之内；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7.LED显示屏观看水平≥160°/垂直视角≥140°；刷新频率≥3840Hz;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8.LED显示屏峰值功耗为≤450W/㎡；LED显示屏平均功耗为≤150W/㎡；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LED显示屏具备低蓝光模式，可在控制软件中选择30%、40%、70%三挡调节显示屏蓝光输出，有效减少蓝光辐射对眼睛的伤害；具备LED显示屏开关机次数、使用时长记录，可形成数据保存周期≥100天，并支持对现场温湿度的监测，可在控制软件端实时显示数据，方便用户了解现场屏体、环境温湿度数据情况；(</w:t>
            </w:r>
            <w:r>
              <w:rPr>
                <w:rFonts w:hint="eastAsia" w:ascii="宋体" w:hAnsi="宋体" w:cs="宋体"/>
                <w:b w:val="0"/>
                <w:bCs w:val="0"/>
                <w:color w:val="auto"/>
                <w:kern w:val="0"/>
                <w:sz w:val="20"/>
                <w:szCs w:val="20"/>
                <w:highlight w:val="none"/>
                <w:lang w:bidi="ar"/>
              </w:rPr>
              <w:t>供货时</w:t>
            </w:r>
            <w:r>
              <w:rPr>
                <w:rFonts w:hint="eastAsia" w:ascii="宋体" w:hAnsi="宋体" w:cs="宋体"/>
                <w:b w:val="0"/>
                <w:bCs w:val="0"/>
                <w:color w:val="auto"/>
                <w:kern w:val="0"/>
                <w:sz w:val="20"/>
                <w:szCs w:val="20"/>
                <w:highlight w:val="none"/>
                <w:lang w:eastAsia="zh-CN" w:bidi="ar"/>
              </w:rPr>
              <w:t>，</w:t>
            </w:r>
            <w:r>
              <w:rPr>
                <w:rFonts w:hint="eastAsia" w:ascii="宋体" w:hAnsi="宋体" w:cs="宋体"/>
                <w:b w:val="0"/>
                <w:bCs w:val="0"/>
                <w:color w:val="auto"/>
                <w:kern w:val="0"/>
                <w:sz w:val="20"/>
                <w:szCs w:val="20"/>
                <w:highlight w:val="none"/>
                <w:lang w:bidi="ar"/>
              </w:rPr>
              <w:t>提供具备CMA或CNAS资质的第三方检测机构出具的检测报告复印件加盖投标人公章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移动端通过扫描二维码方式与管理电脑连接，从而实现对信号源和输出端进行远程管理控制。支持放大镜放大局部功能，可对软件中文字等较小或看不清的部分进行放大操作。具备基本辅助工具，包括画笔、聚光灯、放大镜等，画笔颜色、画笔大小通过移动端轻松可调。(</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▲11.可支持提供在线服务小程序，可通过微信小程序提交售前、售中或售后问题，厂家客服人员在线或回电及时解答。(</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二、配套视频处理器参数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1.整机CH系列设备带载≥650万像素自定义输出，宽度≥19200点，高度≥19200点；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★2.具备输入分辨率≥3840×2160@30Hz，（</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3.具备输入信号EDID管理（自定义宽度≥7680点，高度≥7680点）；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4.具备≥10路千兆网口输出，支持网口备份模式；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5.具备视频源任意切换；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6.具备亮度和色温调节；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7.具备≥8画面显示+≥1路OSD字幕画面；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8.具备画面位置、大小可自由调节；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9.具备检测输入信号、输出网口、接收卡通讯状态，可在软件端进行查看；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10.具备画面回显，通过上位机软件可以实时预览输入输出画面；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★11.具备≥3路HDMI 1.3输入接口，≥1路DVI输入接口，（</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三、配套控制设备硬件参数：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1.配备高分断空气漏电开关，具有双重过载和短路保护功能，每路输出均配备了过载、短路以及漏电保护机制；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2.内置≥12个继电器带控制，采用高品质铜镀镍材质；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多通讯协议，支持国际DMX512信号协议和ART-NET网络协议；支持智能互联，每路输出通道都具有电流电压测量功能，用户可通过手机和平板APP远程实时监控每路输出通道的电压、电流、功率、温度、湿度等参数；(</w:t>
            </w:r>
            <w:r>
              <w:rPr>
                <w:rFonts w:hint="eastAsia" w:ascii="宋体" w:hAnsi="宋体" w:cs="宋体"/>
                <w:b w:val="0"/>
                <w:bCs w:val="0"/>
                <w:color w:val="auto"/>
                <w:kern w:val="0"/>
                <w:sz w:val="20"/>
                <w:szCs w:val="20"/>
                <w:highlight w:val="none"/>
                <w:lang w:bidi="ar"/>
              </w:rPr>
              <w:t>在供货时，提供具备CMA或CNAS资质的第三方检测机构出具的检测报告复印件加盖投标人公章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4.支持独立开关控制，每路独立开关设计，可实现单独控制，同时支持定时开启和关闭功能；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5.支持多种操作方式，支持电柜主机物理按键手动开启每一路通断或灯光控台实时操作工作指令；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6.配备2.8寸液晶显示屏（触模按键），可直观显示设备状态和参数；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★7.支持≥12路×4kW额定功率输出，每个回路最大输出功率可达4kW，（</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8.为了保证整套系统的稳定及达到高标准的显示效果呈现，全彩LED屏和配套设备必须相互适配，投标时为同一品牌。</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四、管控平台软件参数：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1.采用图形化控制面板和状态指示设计，支持音量设置、视频导入、电源控制、环境监测及设备运行状态监测。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系统采用B/S架构，具备多端登录控制和管理模式，包括但不限于web端、手机移动端、平板电脑移动端。支持场景设计功能，使用者可根据现场需求设置定时触发、手动触发和条件触发场景秀，场景设计支持串行依次触发设备功能，也可以实现并行同步触发设备功能，可触发包括设备功能调用或者延时操作。</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u w:val="single"/>
                <w:lang w:bidi="ar"/>
              </w:rPr>
              <w:br w:type="textWrapping"/>
            </w:r>
            <w:r>
              <w:rPr>
                <w:rFonts w:hint="eastAsia" w:ascii="宋体" w:hAnsi="宋体" w:cs="宋体"/>
                <w:color w:val="auto"/>
                <w:kern w:val="0"/>
                <w:sz w:val="20"/>
                <w:szCs w:val="20"/>
                <w:highlight w:val="none"/>
                <w:lang w:bidi="ar"/>
              </w:rPr>
              <w:t>3.支持电箱性能监测与控制功能，包括电箱内部温度，每一路输出通道电流、电压、功率、开关状态、运行时长与电箱三相平衡监测，并且可以通过云平台对电箱每一路输出通道独立远程控制，每一路的电流、电压、功率功耗都以图形显示，并支持年月日格式切换，每个电路都可以进行自定义命名。电箱支持异常情况报警，状态可上报到云平台并支持在移动端进行查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4.支持定时任务功能，到达预设时间后自动切换场景，以预设程序按顺序自动控制设备开关，包括音视频、电力控制；也可以直接设置为手动触发模式。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5.支持条件触发功能，根据设备反馈数据满足特定条件时自动触发指定操作。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多级告警功能，告警配置中添加告警任务，设置告警任务名称、类型、级别并对告警任务说明，可关联场景触发任务实现告警，并记录告警情况，系统采用≥5种颜色区分告警紧急状态，并支持自定义告警级别名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7.支持告警记录功能，对出现的紧急告警情况进行通知，管理员可以进行查看问题，在修复故障后可以通过手动输入处理情况以关闭告警通知。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8.支持故障通知功能，对出现的设备问题进行信息记录并通知到移动终端，支持按照小时、24小时、周、指定日段为单位查询。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数据分析功能，支持对管理权限内的电力电箱内部温度、触点温湿度以及电压电流进行监测；支持查看设备的告警状态，并以图形化方式显示告警级别百分比占比数据；支持按月、日的格式显示告警数据与情况；支持环境数据检测与显示；支持设备统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10.支持集中管理功能，可以通过设备编码远程绑定、解绑设备，编辑设备名称详情，可查看设备名称、型号、编码ID、设备状态与运行状态、设备所在地址、绑定时间信息。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11.支持在线升级功能，平台下的设备可以进行远程更新升级、网络参数设置与更改。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12.包含质保三年，技术服务费和线材费，确保完成显示屏施工布线安装调试培训工作。</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五、AI运维管理中心参数：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▲1.管理中心由生物人脸识别系统全自动开启设备，完全真实实现无感知、无接触操作；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▲2.由全新一代生物人脸识别系统，智能语音辅助系统，ai智能控制系统及双向智能感应系统，智能自我纠错识别系统、无缝自动切换系统、防雷系统和大电流电器组件等组成；</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生物人脸识别系统可区分杜绝照片、图片、模型类的错误识别，可录入识别最大量为1万个单体，智能语音辅助系统可向导式指导步骤操作，并且可与电脑连接或与脱机导入导出开机数据信息，实现表格式管理方案。智能自我纠错识别系统可防止2次识别的错误命令；</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管理中心实现市电、备用电源、发电机组、流动电车之间的无缝自动切换，实现应急不间断运行，在电力缺乏、不稳定地区提供了有力保障，并设计了如遇软件操作系统崩溃时，设备电源管理部分可完全独立运行；</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▲5.ai智能系统控制并记录设备开机时间，开机使用人员（可设置多人组合开机）记录，开机次数等，智能自我纠错可防止2次识别误操作；</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bidi="ar"/>
              </w:rPr>
              <w:t>投标时</w:t>
            </w:r>
            <w:r>
              <w:rPr>
                <w:rFonts w:hint="eastAsia" w:ascii="宋体" w:hAnsi="宋体" w:cs="宋体"/>
                <w:b/>
                <w:bCs/>
                <w:color w:val="auto"/>
                <w:kern w:val="0"/>
                <w:sz w:val="20"/>
                <w:szCs w:val="20"/>
                <w:highlight w:val="none"/>
                <w:u w:val="single"/>
                <w:lang w:eastAsia="zh-CN" w:bidi="ar"/>
              </w:rPr>
              <w:t>，</w:t>
            </w:r>
            <w:r>
              <w:rPr>
                <w:rFonts w:hint="eastAsia" w:ascii="宋体" w:hAnsi="宋体" w:cs="宋体"/>
                <w:b/>
                <w:bCs/>
                <w:color w:val="auto"/>
                <w:kern w:val="0"/>
                <w:sz w:val="20"/>
                <w:szCs w:val="20"/>
                <w:highlight w:val="none"/>
                <w:u w:val="single"/>
                <w:lang w:bidi="ar"/>
              </w:rPr>
              <w:t>须在投标文件中提供此项参数功能的截图并加盖供应商公章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▲6.彩色显示屏可显示实时工作电压、实时工作电流，独立的11路大功率电源输出，万能插座，可满足多种三级的电源插座，如国标插座、美标插座以及欧标插座等；还可满足二级欧式的圆头插座；</w:t>
            </w:r>
          </w:p>
          <w:p>
            <w:pPr>
              <w:widowControl/>
              <w:numPr>
                <w:ilvl w:val="-1"/>
                <w:numId w:val="0"/>
              </w:numPr>
              <w:jc w:val="left"/>
              <w:textAlignment w:val="center"/>
              <w:rPr>
                <w:color w:val="auto"/>
                <w:highlight w:val="none"/>
              </w:rPr>
            </w:pPr>
            <w:r>
              <w:rPr>
                <w:rFonts w:hint="eastAsia" w:ascii="宋体" w:hAnsi="宋体" w:cs="宋体"/>
                <w:color w:val="auto"/>
                <w:kern w:val="0"/>
                <w:sz w:val="20"/>
                <w:szCs w:val="20"/>
                <w:highlight w:val="none"/>
                <w:lang w:bidi="ar"/>
              </w:rPr>
              <w:t>▲7.单路最大输出为15A，总输入电流容量60A；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▲8.11路通道开关状态可由面板控制应急操作；并可实现8通道时序功能；三通道直通功能；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▲9.生物人脸识别开机时由前个级到后个级按顺序逐个启动各类设备，关机时由后个级到前个级逐个关闭各个设备，有效的统一管理控制用电设备，确保整个系统的稳定运行；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10.电源输出:11路，万能插座；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11.控制方式:生物人脸识别启动及突发应急控制；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12.电源容量:总容量220V，60A；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13.输入电源:AC220V-240V/50Hz；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14.时序间隔:1.5s；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15.深层有效的用电更高安全级别系统控制。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空调（柜式）</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10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制冷量（kW)：12.15(1.8-13.3)；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2.制冷额定功率（kW)：4.7(0.5-6.0)；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3.制热量（kW)：13.85(1.8-18.0)；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4.制热额定功率（kW)：4.2(0.5-5.0)；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5.电热功率（kW)：3.5；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6.能效等级：2；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7.室内机／室外机噪音（dB(A))：52/59；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8.内机外形尺寸（长x宽x高）(mm)外机外形尺寸（长x宽x高）(mm)：1880×600×350，950×370×815；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9.APF [W ·h/(W .h)]：3.35；</w:t>
            </w:r>
          </w:p>
          <w:p>
            <w:pPr>
              <w:widowControl/>
              <w:numPr>
                <w:ilvl w:val="0"/>
                <w:numId w:val="0"/>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10.</w:t>
            </w:r>
            <w:r>
              <w:rPr>
                <w:rFonts w:hint="eastAsia" w:ascii="宋体" w:hAnsi="宋体" w:cs="宋体"/>
                <w:color w:val="auto"/>
                <w:kern w:val="0"/>
                <w:sz w:val="20"/>
                <w:szCs w:val="20"/>
                <w:highlight w:val="none"/>
                <w:lang w:bidi="ar"/>
              </w:rPr>
              <w:t>标配遥控器</w:t>
            </w:r>
            <w:r>
              <w:rPr>
                <w:rFonts w:hint="eastAsia" w:ascii="宋体" w:hAnsi="宋体" w:cs="宋体"/>
                <w:color w:val="auto"/>
                <w:kern w:val="0"/>
                <w:sz w:val="20"/>
                <w:szCs w:val="20"/>
                <w:highlight w:val="none"/>
                <w:lang w:val="en-US" w:eastAsia="zh-CN" w:bidi="ar"/>
              </w:rPr>
              <w:t>每台1个共计</w:t>
            </w:r>
            <w:r>
              <w:rPr>
                <w:rFonts w:hint="eastAsia" w:ascii="宋体" w:hAnsi="宋体" w:cs="宋体"/>
                <w:color w:val="auto"/>
                <w:kern w:val="0"/>
                <w:sz w:val="20"/>
                <w:szCs w:val="20"/>
                <w:highlight w:val="none"/>
                <w:lang w:bidi="ar"/>
              </w:rPr>
              <w:t>10个，脱氧无缝铜管含保温</w:t>
            </w:r>
            <w:r>
              <w:rPr>
                <w:rFonts w:hint="eastAsia" w:ascii="宋体" w:hAnsi="宋体" w:cs="宋体"/>
                <w:color w:val="auto"/>
                <w:kern w:val="0"/>
                <w:sz w:val="20"/>
                <w:szCs w:val="20"/>
                <w:highlight w:val="none"/>
                <w:lang w:val="en-US" w:eastAsia="zh-CN" w:bidi="ar"/>
              </w:rPr>
              <w:t>每台4米共计</w:t>
            </w:r>
            <w:r>
              <w:rPr>
                <w:rFonts w:hint="eastAsia" w:ascii="宋体" w:hAnsi="宋体" w:cs="宋体"/>
                <w:color w:val="auto"/>
                <w:kern w:val="0"/>
                <w:sz w:val="20"/>
                <w:szCs w:val="20"/>
                <w:highlight w:val="none"/>
                <w:lang w:bidi="ar"/>
              </w:rPr>
              <w:t>40米，冷凝排水管25PVC</w:t>
            </w:r>
            <w:r>
              <w:rPr>
                <w:rFonts w:hint="eastAsia" w:ascii="宋体" w:hAnsi="宋体" w:cs="宋体"/>
                <w:color w:val="auto"/>
                <w:kern w:val="0"/>
                <w:sz w:val="20"/>
                <w:szCs w:val="20"/>
                <w:highlight w:val="none"/>
                <w:lang w:val="en-US" w:eastAsia="zh-CN" w:bidi="ar"/>
              </w:rPr>
              <w:t>每台4米共计</w:t>
            </w:r>
            <w:r>
              <w:rPr>
                <w:rFonts w:hint="eastAsia" w:ascii="宋体" w:hAnsi="宋体" w:cs="宋体"/>
                <w:color w:val="auto"/>
                <w:kern w:val="0"/>
                <w:sz w:val="20"/>
                <w:szCs w:val="20"/>
                <w:highlight w:val="none"/>
                <w:lang w:bidi="ar"/>
              </w:rPr>
              <w:t>40米，电源线4*2.5</w:t>
            </w:r>
            <w:r>
              <w:rPr>
                <w:rFonts w:hint="eastAsia" w:ascii="宋体" w:hAnsi="宋体" w:cs="宋体"/>
                <w:color w:val="auto"/>
                <w:kern w:val="0"/>
                <w:sz w:val="20"/>
                <w:szCs w:val="20"/>
                <w:highlight w:val="none"/>
                <w:lang w:val="en-US" w:eastAsia="zh-CN" w:bidi="ar"/>
              </w:rPr>
              <w:t>每台4米共</w:t>
            </w:r>
            <w:r>
              <w:rPr>
                <w:rFonts w:hint="eastAsia" w:ascii="宋体" w:hAnsi="宋体" w:cs="宋体"/>
                <w:color w:val="auto"/>
                <w:kern w:val="0"/>
                <w:sz w:val="20"/>
                <w:szCs w:val="20"/>
                <w:highlight w:val="none"/>
                <w:lang w:bidi="ar"/>
              </w:rPr>
              <w:t>计40米，外机支架50*5角钢焊接</w:t>
            </w:r>
            <w:r>
              <w:rPr>
                <w:rFonts w:hint="eastAsia" w:ascii="宋体" w:hAnsi="宋体" w:cs="宋体"/>
                <w:color w:val="auto"/>
                <w:kern w:val="0"/>
                <w:sz w:val="20"/>
                <w:szCs w:val="20"/>
                <w:highlight w:val="none"/>
                <w:lang w:val="en-US" w:eastAsia="zh-CN" w:bidi="ar"/>
              </w:rPr>
              <w:t>每台1项共计</w:t>
            </w:r>
            <w:r>
              <w:rPr>
                <w:rFonts w:hint="eastAsia" w:ascii="宋体" w:hAnsi="宋体" w:cs="宋体"/>
                <w:color w:val="auto"/>
                <w:kern w:val="0"/>
                <w:sz w:val="20"/>
                <w:szCs w:val="20"/>
                <w:highlight w:val="none"/>
                <w:lang w:bidi="ar"/>
              </w:rPr>
              <w:t>10项，水磨打孔</w:t>
            </w:r>
            <w:r>
              <w:rPr>
                <w:rFonts w:hint="eastAsia" w:ascii="宋体" w:hAnsi="宋体" w:cs="宋体"/>
                <w:color w:val="auto"/>
                <w:kern w:val="0"/>
                <w:sz w:val="20"/>
                <w:szCs w:val="20"/>
                <w:highlight w:val="none"/>
                <w:lang w:val="en-US" w:eastAsia="zh-CN" w:bidi="ar"/>
              </w:rPr>
              <w:t>每台1个共计</w:t>
            </w:r>
            <w:r>
              <w:rPr>
                <w:rFonts w:hint="eastAsia" w:ascii="宋体" w:hAnsi="宋体" w:cs="宋体"/>
                <w:color w:val="auto"/>
                <w:kern w:val="0"/>
                <w:sz w:val="20"/>
                <w:szCs w:val="20"/>
                <w:highlight w:val="none"/>
                <w:lang w:bidi="ar"/>
              </w:rPr>
              <w:t>10个，含</w:t>
            </w:r>
            <w:r>
              <w:rPr>
                <w:rFonts w:hint="eastAsia" w:ascii="宋体" w:hAnsi="宋体" w:cs="宋体"/>
                <w:color w:val="auto"/>
                <w:kern w:val="0"/>
                <w:sz w:val="20"/>
                <w:szCs w:val="20"/>
                <w:highlight w:val="none"/>
                <w:lang w:val="en-US" w:eastAsia="zh-CN" w:bidi="ar"/>
              </w:rPr>
              <w:t>全部</w:t>
            </w:r>
            <w:r>
              <w:rPr>
                <w:rFonts w:hint="eastAsia" w:ascii="宋体" w:hAnsi="宋体" w:cs="宋体"/>
                <w:color w:val="auto"/>
                <w:kern w:val="0"/>
                <w:sz w:val="20"/>
                <w:szCs w:val="20"/>
                <w:highlight w:val="none"/>
                <w:lang w:bidi="ar"/>
              </w:rPr>
              <w:t>安装人工</w:t>
            </w:r>
            <w:r>
              <w:rPr>
                <w:rFonts w:hint="eastAsia" w:ascii="宋体" w:hAnsi="宋体" w:cs="宋体"/>
                <w:color w:val="auto"/>
                <w:kern w:val="0"/>
                <w:sz w:val="20"/>
                <w:szCs w:val="20"/>
                <w:highlight w:val="none"/>
                <w:lang w:val="en-US" w:eastAsia="zh-CN" w:bidi="ar"/>
              </w:rPr>
              <w:t>费用</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智慧黑板</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套</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1.显示参数：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显示模式：标准、用户、动态、亮丽；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背光源类型：LED背光；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像素间距：0.1645(H) × 0.4935(V)；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物理分辨率：3840 × 2160；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亮度：400 cd/m2；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对比度：4000：1；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响应时间：8 ms；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对角线尺寸：86 inch；</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色彩饱和度：72% NTSC；</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屏幕活动域：1895.04 mm × 1065.96 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屏幕材质：A规屏。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2.触控参数：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触摸方式：红外触摸；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玻璃：AG钢化玻璃；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触控点：20点触控；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触控响应速度：≤ 5 ms；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玻璃透过率：≥ 88%；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输入方式：手指或专用笔；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差值分辨率：32767 × 32767；</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最小触摸物体：3 mm（中间90%区域）；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理论点击次数：无限次；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抗强光干扰：在强光照射下，触控和书写正常；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3.系统参数：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操作系统：Android 14；</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CPU：Cortex A55 8核 1.55 GHz；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内存：4GB DDR4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内置存储：32 GB；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4.配置参数：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内部喇叭：15W(8欧)中高音 × 2  +  15W(8欧)重低音 × 2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电源开关：1个；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OSD语言：英文/中文；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5.接口参数：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音视频输入接口：HDMI in × 1（前置）；HDMI in × 1（后置）；Type C × 1（前置）；Line in（3.5mm） × 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音视频输出接口：Line out（3.5mm） × 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网络接口：千兆网口 × 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存储控制接口：前置Type-A USB 3.0 × 3；Type-C USB 3.0 × 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板载安卓：USB 2.0 × 1；multi USB 3.0 × 1；Touch USB × 1；RS 232 × 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6.电源参数：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电源：100~240 VAC，50/60 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待机功耗：≤ 0.5 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功耗：≤ 500 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7.通用参数：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副板：1346mm x 1296mm x 253mm；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装箱清单：主屏 × 1, 交流电源线 × 1，触控笔 × 2，壁挂背板 × 1，碳性干电池 × 2，遥控器 × 1，快速入门指南 × 1，墙体固定钣金×6，说明书×1；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产品尺寸：4203.96 mm × 1202.26 mm × 108.98 mm（含壁挂）；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存储温度：-20℃ ~ 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存储湿度：10% ~ 90% RH（无冷凝水）；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运行环境：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工作温度：0℃ ~ 40℃；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工作湿度：20% ~ 90% RH（无冷凝水）；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8.结构参数：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外壳材料：金属、塑料；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外壳颜色：黑色后壳，黑色、银色边框；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墙支撑：10-M6螺丝孔；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裸机外形尺寸（不含壁挂）：4203.96 mm × 1202.26 mm × 92.48 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9.摄像头参数：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像素：1600W；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麦克风参数：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麦克风类型：阵列麦克风；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10.功能参数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10.1整机具有整机内置NFC模块支持主从模式，支持搭配具有NFC功能的手机、平板，通过接触整机设备上的NFC模块，即可实现手机、wifi连接后平板与大屏的连接并同步手机、平板的画面到设备上，支持9台手机、平板同时连接并显示，无需其他操作设置；也支持使用设备绑定的IC卡，触碰同一NFC模块对整机大屏解锁。（</w:t>
            </w:r>
            <w:r>
              <w:rPr>
                <w:rFonts w:hint="eastAsia" w:ascii="宋体" w:hAnsi="宋体" w:cs="宋体"/>
                <w:color w:val="auto"/>
                <w:kern w:val="0"/>
                <w:sz w:val="20"/>
                <w:szCs w:val="20"/>
                <w:highlight w:val="none"/>
                <w:lang w:eastAsia="zh-CN" w:bidi="ar"/>
              </w:rPr>
              <w:t>如有请</w:t>
            </w:r>
            <w:r>
              <w:rPr>
                <w:rFonts w:hint="eastAsia" w:ascii="宋体" w:hAnsi="宋体" w:cs="宋体"/>
                <w:color w:val="auto"/>
                <w:kern w:val="0"/>
                <w:sz w:val="20"/>
                <w:szCs w:val="20"/>
                <w:highlight w:val="none"/>
                <w:lang w:bidi="ar"/>
              </w:rPr>
              <w:t>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10.2整机内置1600万像素摄像头麦克风，可拍摄1600万像素数的照片，无需外接线材连接，任何可见外接线材及模块化拼接痕迹，未占用整机设备端口，支持远程巡课、简易录播的应用，整机支持输出视场角145度且水平视场角120度画面摄像头运行时有指示灯提示，支持输出4K图片和视频。（</w:t>
            </w:r>
            <w:r>
              <w:rPr>
                <w:rFonts w:hint="eastAsia" w:ascii="宋体" w:hAnsi="宋体" w:cs="宋体"/>
                <w:color w:val="auto"/>
                <w:kern w:val="0"/>
                <w:sz w:val="20"/>
                <w:szCs w:val="20"/>
                <w:highlight w:val="none"/>
                <w:lang w:eastAsia="zh-CN" w:bidi="ar"/>
              </w:rPr>
              <w:t>如有请</w:t>
            </w:r>
            <w:r>
              <w:rPr>
                <w:rFonts w:hint="eastAsia" w:ascii="宋体" w:hAnsi="宋体" w:cs="宋体"/>
                <w:color w:val="auto"/>
                <w:kern w:val="0"/>
                <w:sz w:val="20"/>
                <w:szCs w:val="20"/>
                <w:highlight w:val="none"/>
                <w:lang w:bidi="ar"/>
              </w:rPr>
              <w:t>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★10.3整机具有物联传感器，安卓系统可以监控教室温度、湿度，并可上传到云端，云端可查看各教室温度、湿度情况</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如有请</w:t>
            </w:r>
            <w:r>
              <w:rPr>
                <w:rFonts w:hint="eastAsia" w:ascii="宋体" w:hAnsi="宋体" w:cs="宋体"/>
                <w:color w:val="auto"/>
                <w:kern w:val="0"/>
                <w:sz w:val="20"/>
                <w:szCs w:val="20"/>
                <w:highlight w:val="none"/>
                <w:lang w:bidi="ar"/>
              </w:rPr>
              <w:t>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★10.4外接电脑设备经双头Type-C线连接至整机，可将整机网络共享给外接电脑，并支持反向触控控制功能。（</w:t>
            </w:r>
            <w:r>
              <w:rPr>
                <w:rFonts w:hint="eastAsia" w:ascii="宋体" w:hAnsi="宋体" w:cs="宋体"/>
                <w:color w:val="auto"/>
                <w:kern w:val="0"/>
                <w:sz w:val="20"/>
                <w:szCs w:val="20"/>
                <w:highlight w:val="none"/>
                <w:lang w:eastAsia="zh-CN" w:bidi="ar"/>
              </w:rPr>
              <w:t>如有请</w:t>
            </w:r>
            <w:r>
              <w:rPr>
                <w:rFonts w:hint="eastAsia" w:ascii="宋体" w:hAnsi="宋体" w:cs="宋体"/>
                <w:color w:val="auto"/>
                <w:kern w:val="0"/>
                <w:sz w:val="20"/>
                <w:szCs w:val="20"/>
                <w:highlight w:val="none"/>
                <w:lang w:bidi="ar"/>
              </w:rPr>
              <w:t>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★10.5整机前置USB接口采用模块化的旋转式设计，支持接口向下翻转，保护U盘同时避免磕碰；前置USB旋转接口模块支持便捷拆卸更换，无需拆开整机前面板。（</w:t>
            </w:r>
            <w:r>
              <w:rPr>
                <w:rFonts w:hint="eastAsia" w:ascii="宋体" w:hAnsi="宋体" w:cs="宋体"/>
                <w:color w:val="auto"/>
                <w:kern w:val="0"/>
                <w:sz w:val="20"/>
                <w:szCs w:val="20"/>
                <w:highlight w:val="none"/>
                <w:lang w:eastAsia="zh-CN" w:bidi="ar"/>
              </w:rPr>
              <w:t>如有请</w:t>
            </w:r>
            <w:r>
              <w:rPr>
                <w:rFonts w:hint="eastAsia" w:ascii="宋体" w:hAnsi="宋体" w:cs="宋体"/>
                <w:color w:val="auto"/>
                <w:kern w:val="0"/>
                <w:sz w:val="20"/>
                <w:szCs w:val="20"/>
                <w:highlight w:val="none"/>
                <w:lang w:bidi="ar"/>
              </w:rPr>
              <w:t>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10.6在不使用设备时整机支持锁屏，并具有多种解锁方式，USBkey插入后解锁，密码解锁，刷卡解锁、人脸识别解锁，扫码解锁，支持在有网络和无网络的情况下通过手机APP扫码解锁；人脸识别解锁，老师人脸库由学校自行录入系统，并在2秒内完成设备解锁。（提供封面具有CNAS或CMA的检测机构的检测报告复印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11.解码器：</w:t>
            </w:r>
          </w:p>
          <w:p>
            <w:pPr>
              <w:widowControl/>
              <w:numPr>
                <w:ilvl w:val="255"/>
                <w:numId w:val="0"/>
              </w:numPr>
              <w:jc w:val="left"/>
              <w:textAlignment w:val="center"/>
              <w:rPr>
                <w:color w:val="auto"/>
                <w:highlight w:val="none"/>
              </w:rPr>
            </w:pPr>
            <w:r>
              <w:rPr>
                <w:rFonts w:hint="eastAsia" w:ascii="宋体" w:hAnsi="宋体" w:cs="宋体"/>
                <w:color w:val="auto"/>
                <w:kern w:val="0"/>
                <w:sz w:val="20"/>
                <w:szCs w:val="20"/>
                <w:highlight w:val="none"/>
                <w:lang w:bidi="ar"/>
              </w:rPr>
              <w:t>11.1 接入协议：RTSP/HTTP TS/HTTP FLV/RTMP/UDP；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11.2 解码格式：H.265/H.264；</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11.3 输出分辨率：2160P@30/1440P@30/1080P@60/1080I@60/1080P@50/1080I@50/1080P30/1080P25/720P60/720P50/576P50/480P60；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11.4解码能力：1-16路。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5</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教学电脑</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类型：商用台式机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操作系统：预装Windows 11；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主板芯片组：Intel B660；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CPU与内存；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CPU：Intel酷睿i5-12400；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内存：8GB DDR4 3200MHz（2个插槽，最大支持32GB）；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硬盘：2TB机械硬盘+256GB SSD组合；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光驱：无光驱；</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显卡：集成显卡（共享系统内存）；</w:t>
            </w:r>
            <w:r>
              <w:rPr>
                <w:rFonts w:hint="eastAsia" w:ascii="宋体" w:hAnsi="宋体" w:cs="宋体"/>
                <w:color w:val="auto"/>
                <w:kern w:val="0"/>
                <w:sz w:val="20"/>
                <w:szCs w:val="20"/>
                <w:highlight w:val="none"/>
                <w:lang w:val="en-US" w:eastAsia="zh-CN" w:bidi="ar"/>
              </w:rPr>
              <w:t>显示器：</w:t>
            </w:r>
            <w:r>
              <w:rPr>
                <w:rFonts w:hint="eastAsia" w:ascii="宋体" w:hAnsi="宋体" w:cs="宋体"/>
                <w:color w:val="auto"/>
                <w:kern w:val="0"/>
                <w:sz w:val="20"/>
                <w:szCs w:val="20"/>
                <w:highlight w:val="none"/>
                <w:lang w:bidi="ar"/>
              </w:rPr>
              <w:t>分辨率1080P（1920×1080）‌、‌24 英寸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视频接口：VGA、HDMI；</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前置接口：USB3.2、USB3.1、USB3.1 Type-C；后置接口：USB2.0、耳机/麦克风、HDMI、DisplayPort、VGA、RJ45网口；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产品质保期三年。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6</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教学投影仪</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1.影像系统：采用3LCD投影技术，液晶板尺寸≥0.62英寸；标准亮度以及色彩亮度≥4100流明；标准分辨率1920*1080 象素数2,073,600 dots x3；对比度≥16000：1。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2.投影画面比例16：9，变焦≥1.6倍。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3.灯泡功率≥230W；灯泡寿命标准模式≥5500小时，环保模式≥12000小时。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4.内置AV/Mute/Open滑盖实现随时待机随时开机，投影图像偏移量8:1，内置16W扬声器。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5.具有丰富的连接性：VGA输入*1，HDMI输入*2，USB-B*1，USB-A*1,S Video输入*1。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6.具有水平梯形物理滑钮，垂直梯形自动识别，无需进入任何菜单一键即可调整水平梯形，拥有Full HD全高清分辨率。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7.正常关机0 秒直接关机技术，当正常按下关闭电源后，风扇也随之停止工作，没有额外冷却时间，正常冷却时间是0秒。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8.投影机具有自动开机功能，在接入VGA信号或USB-B信号时，投影机可自动开机，无需手动。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9.通过无线网络可实现四画面同屏，最多可支持50个用户接入并任选4路信号；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10.具有自动信号源搜索功能，无需手动查找信号。 水平/ 垂直梯形校正；快速四角调节；可以选配无线投影功能。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11.具有防盗杠和开机保护、用户标识保护、计时保护等防盗装置及功能；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12.本产品主机质保期两年；灯泡质保一年。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7</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计算机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left"/>
              <w:textAlignment w:val="center"/>
              <w:rPr>
                <w:rFonts w:hint="eastAsia" w:ascii="宋体" w:hAnsi="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操作系统：预装Windows 11;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2.主板芯片组：Intel B660；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3.CPU与内存；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4.CPU：Intel酷睿i5-12400；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5.内存：16GB DDR4 3200MHz（2个插槽，最大支持32GB）；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6.硬盘：2TB机械硬盘+256GB SSD组合；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7.光驱：无光驱；</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8.显卡：集成显卡（共享系统内存）；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9.视频接口：VGA、HDMI；</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10.前置接口：USB3.2、USB3.1、USB3.1 Type-C；</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11.后置接口：USB2.0、耳机/麦克风、HDMI、DisplayPort、VGA、RJ45网口</w:t>
            </w:r>
            <w:r>
              <w:rPr>
                <w:rFonts w:hint="eastAsia" w:ascii="宋体" w:hAnsi="宋体" w:cs="宋体"/>
                <w:color w:val="auto"/>
                <w:kern w:val="0"/>
                <w:sz w:val="20"/>
                <w:szCs w:val="20"/>
                <w:highlight w:val="none"/>
                <w:lang w:eastAsia="zh-CN" w:bidi="ar"/>
              </w:rPr>
              <w:t>；</w:t>
            </w:r>
          </w:p>
          <w:p>
            <w:pPr>
              <w:widowControl/>
              <w:numPr>
                <w:ilvl w:val="0"/>
                <w:numId w:val="0"/>
              </w:numPr>
              <w:jc w:val="left"/>
              <w:textAlignment w:val="center"/>
              <w:rPr>
                <w:rFonts w:hint="eastAsia" w:ascii="宋体" w:hAnsi="宋体" w:cs="宋体"/>
                <w:color w:val="auto"/>
                <w:kern w:val="0"/>
                <w:sz w:val="20"/>
                <w:szCs w:val="20"/>
                <w:highlight w:val="none"/>
                <w:lang w:eastAsia="zh-CN" w:bidi="ar"/>
              </w:rPr>
            </w:pPr>
            <w:r>
              <w:rPr>
                <w:rFonts w:hint="eastAsia" w:ascii="宋体" w:hAnsi="宋体" w:cs="宋体"/>
                <w:color w:val="auto"/>
                <w:kern w:val="0"/>
                <w:sz w:val="20"/>
                <w:szCs w:val="20"/>
                <w:highlight w:val="none"/>
                <w:lang w:val="en-US" w:eastAsia="zh-CN" w:bidi="ar"/>
              </w:rPr>
              <w:t>12.显示器：</w:t>
            </w:r>
            <w:r>
              <w:rPr>
                <w:rFonts w:hint="eastAsia" w:ascii="宋体" w:hAnsi="宋体" w:cs="宋体"/>
                <w:color w:val="auto"/>
                <w:kern w:val="0"/>
                <w:sz w:val="20"/>
                <w:szCs w:val="20"/>
                <w:highlight w:val="none"/>
                <w:lang w:bidi="ar"/>
              </w:rPr>
              <w:t>分辨率1080P（1920×1080）‌、‌2</w:t>
            </w:r>
            <w:r>
              <w:rPr>
                <w:rFonts w:hint="eastAsia" w:ascii="宋体" w:hAnsi="宋体" w:cs="宋体"/>
                <w:color w:val="auto"/>
                <w:kern w:val="0"/>
                <w:sz w:val="20"/>
                <w:szCs w:val="20"/>
                <w:highlight w:val="none"/>
                <w:lang w:val="en-US" w:eastAsia="zh-CN" w:bidi="ar"/>
              </w:rPr>
              <w:t>5</w:t>
            </w:r>
            <w:r>
              <w:rPr>
                <w:rFonts w:hint="eastAsia" w:ascii="宋体" w:hAnsi="宋体" w:cs="宋体"/>
                <w:color w:val="auto"/>
                <w:kern w:val="0"/>
                <w:sz w:val="20"/>
                <w:szCs w:val="20"/>
                <w:highlight w:val="none"/>
                <w:lang w:bidi="ar"/>
              </w:rPr>
              <w:t xml:space="preserve"> 英寸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8</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空调</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4</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匹数：5匹；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2.空调类型：柜式空调；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3.单冷/冷暖：冷暖；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4.定频/变频：变频；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5.制冷剂：R32；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6.能效等级：一级；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7.能效比APF：4.07；</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8.制冷量(W)：12210；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9.制冷功率(W)：4400；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10.制热量(W)：14210；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11.制热功率(W)：4500；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12.室内机噪音dB(A)：52；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13.室外机噪音dB(A)：60；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14.循环风量（m3/h)：2110；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15.适用面积(m2)：54-80；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16.室内机尺寸(宽*高*深)mm：585*1830*405；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17.室外机尺寸(宽*高*深)mm：946*810*420；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18.室内机/室外机质量（kg）：50/72；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19.电辅热功率(W)：3500；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20.电压/频率V/HZ：380V 3N～/50Hz；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21.配置：外机1台，内机1台，标配铜管5米，遥控器1个，软管排水管1根，说明书和保修卡1本，附件包1件。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w:t>
            </w:r>
            <w:r>
              <w:rPr>
                <w:rFonts w:hint="eastAsia" w:ascii="宋体" w:hAnsi="宋体" w:cs="宋体"/>
                <w:color w:val="auto"/>
                <w:kern w:val="0"/>
                <w:sz w:val="20"/>
                <w:szCs w:val="20"/>
                <w:highlight w:val="none"/>
                <w:lang w:bidi="ar"/>
              </w:rPr>
              <w:t>柜机：</w:t>
            </w:r>
            <w:r>
              <w:rPr>
                <w:rFonts w:hint="eastAsia" w:ascii="宋体" w:hAnsi="宋体" w:eastAsia="宋体" w:cs="宋体"/>
                <w:color w:val="auto"/>
                <w:kern w:val="0"/>
                <w:sz w:val="20"/>
                <w:szCs w:val="20"/>
                <w:highlight w:val="none"/>
                <w:lang w:bidi="ar"/>
              </w:rPr>
              <w:t>标配</w:t>
            </w:r>
            <w:r>
              <w:rPr>
                <w:rFonts w:hint="eastAsia" w:ascii="宋体" w:hAnsi="宋体" w:cs="宋体"/>
                <w:color w:val="auto"/>
                <w:kern w:val="0"/>
                <w:sz w:val="20"/>
                <w:szCs w:val="20"/>
                <w:highlight w:val="none"/>
                <w:lang w:val="en-US" w:eastAsia="zh-CN" w:bidi="ar"/>
              </w:rPr>
              <w:t>每台</w:t>
            </w:r>
            <w:r>
              <w:rPr>
                <w:rFonts w:hint="eastAsia" w:ascii="宋体" w:hAnsi="宋体" w:eastAsia="宋体" w:cs="宋体"/>
                <w:color w:val="auto"/>
                <w:kern w:val="0"/>
                <w:sz w:val="20"/>
                <w:szCs w:val="20"/>
                <w:highlight w:val="none"/>
                <w:lang w:bidi="ar"/>
              </w:rPr>
              <w:t>铜管5米，PVC保温排水管5米</w:t>
            </w:r>
            <w:r>
              <w:rPr>
                <w:rFonts w:hint="eastAsia" w:ascii="宋体" w:hAnsi="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 xml:space="preserve">外机支架不锈钢焊接4付，水磨打孔4个，4楼及以上空调安装高空费4台，空开4个，遥控器4个。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9</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高清投影仪</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▲1.影像系统：采用3LCD投影技术，液晶板尺寸≥0.62英寸；标准亮度以及色彩亮度≥4100流明；标准分辨率1920*1080 象素数2,073,600 dots x3；对比度≥16000：1。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2.投影画面比例16：9，变焦≥1.6倍。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3.灯泡功率≥230W；灯泡寿命标准模式≥5500小时，环保模式≥12000小时。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4.内置AV/Mute/Open滑盖实现随时待机随时开机，投影图像偏移量8:1，内置16W扬声器。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5.具有丰富的连接性：VGA输入*1，HDMI输入*2，USB-B*1，USB-A*1,S Video输入*1。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▲6.具有水平梯形物理滑钮，垂直梯形自动识别，无需进入任何菜单一键即可调整水平梯形，拥有Full HD全高清分辨率。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7.正常关机0 秒直接关机技术，当正常按下关闭电源后，风扇也随之停止工作，没有额外冷却时间，正常冷却时间是0秒。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▲8.投影机具有自动开机功能，在接入VGA信号或USB-B信号时，投影机可自动开机，无需手动。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▲9.通过无线网络可实现四画面同屏，最多可支持50个用户接入并任选4路信号；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10.具有自动信号源搜索功能，无需手动查找信号。 水平/ 垂直梯形校正；快速四角调节；可以选配无线投影功能。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11.具有防盗杠和开机保护、用户标识保护、计时保护等防盗装置及功能；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12.确保投影仪正常安装使用，提供1副投影安装支架、2条20米光纤芯高清视频线、1条30米光纤芯高清视频线。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▲12.出具厂家3C。为保证售后服务及时，签订合同后必须提供生产厂家授权的售后服务中心的承诺函。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10</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光能黑板</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套</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一、硬件要求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1.一体机两侧各一块光能黑板。单块光能黑板尺寸≥1290（长）*1158（高）mm。下边框具有可调节托板，可根据触控一体机高度进行调节，兼具置物功能。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无需任何耗材，硬度适中的物体均可在板面进行书写，杜绝粉笔灰尘对师生的健康危害。配有塑料笔，书写时在物理压力的作用下板面显示出清晰绿色的笔迹，高度模拟硬笔书写状态，笔锋效果明显。书写压力为2N~3N，可擦次数不低于10万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★3.板面无频闪、无背光，上膜不应产生眩光。板书笔迹可视距离40米，可视角度≥150°，对比度≥150:1。光泽度不高于30光泽单位，（</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★4.下边框配有一键清除按键，可一键擦除板面整体板书。一键擦除时间不大于1.5秒，擦除应无断点、无死角等，擦除后应无明显残留痕迹，（</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▲5.为减少老师长时间书写疲劳感，板面粗糙度Sa≤0.3um。可使用板擦和手势对板书进行局部擦除，局部擦除时间不大于0.4秒，擦除应无断点、无死角等，擦除后应无明显残留痕迹，非擦除区域不受影响。</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u w:val="single"/>
                <w:lang w:bidi="ar"/>
              </w:rPr>
              <w:t>须提供带CNAS或CMA的检测机构所出具的报告复印件并加盖投标人公章。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▲6.最大工作电流（瞬间电流）不得超过1000mA。（</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u w:val="single"/>
                <w:lang w:bidi="ar"/>
              </w:rPr>
              <w:t>须提供带CNAS或CMA的检测机构所出具的报告复印件并加盖投标人公章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u w:val="single"/>
                <w:lang w:bidi="ar"/>
              </w:rPr>
              <w:br w:type="textWrapping"/>
            </w:r>
            <w:r>
              <w:rPr>
                <w:rFonts w:hint="eastAsia" w:ascii="宋体" w:hAnsi="宋体" w:cs="宋体"/>
                <w:color w:val="auto"/>
                <w:kern w:val="0"/>
                <w:sz w:val="20"/>
                <w:szCs w:val="20"/>
                <w:highlight w:val="none"/>
                <w:lang w:bidi="ar"/>
              </w:rPr>
              <w:t>▲7.黑板表面具有经纬暗格，用以提供给师生在书写板书时的直线参照，可避免板书歪斜。黑板表面可吸附磁贴、磁扣等教学工具，便于老师教学使用。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8.黑板的功能接口应在产品后侧，安装后正面观察无明显外露。为方便老师使用，应在下方预留接口，用于外接设备。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9.黑板侧面配有侧封板，用于遮挡黑板侧面与墙面缝隙，活动安装后能调节与墙面的闭合距离。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二、软件要求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1.在光能黑板上的书写内容可同步显示在触控一体机上。同步显示时可设置10种不同的笔迹颜色，实现老师对于教学重点的标识及批注。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2.为便于老师记忆和操作，板书界面与电脑桌面/PPT课件之间，可以一键来回切换，方便快捷。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3.光能黑板具有两种书写记录模式，支持单板书写时，单页面显示（此时只有一块黑板界面），也可以支持多板同时书写时，多页面同时显示；可以通过触摸快捷键，快速切换。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4.保存后的板书可以上下翻页，也可以通过触摸快捷键，快速预览所有已经存储的板书内容。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5.板书电子文档可进行分享，可以存储在本地PC端，同时生成二维码，便于师生扫码获取。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6.可以对课堂的板书和讲解进行录制，生成视频文档，利于学生课后复习回放。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7.支持导入PPT课件，可以在同传软件上同时显示出PPT课件和板书的记录文本。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8.具备打印功能，可连接打印机将保存的板书文档传输至打印机打印，方便灵活。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三、其他要求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为确保产品功能的真实性和有效性，在签订合同正式供货时，采购人将根据投标文件对所提供本次采购产品一套预安装，对参数的真实性和实际效果进行逐条逐字的功能验证，在检测测试过程中如发现有虚假应标行为的，采购人将不予通过验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2.为确保是全新、合格的产品，签订合同后需提供有厂家出具并盖章的技术参数确认表、售后服务保证原件、供货证明原件，否则</w:t>
            </w:r>
            <w:r>
              <w:rPr>
                <w:rFonts w:hint="eastAsia" w:ascii="宋体" w:hAnsi="宋体" w:cs="宋体"/>
                <w:color w:val="auto"/>
                <w:kern w:val="0"/>
                <w:sz w:val="20"/>
                <w:szCs w:val="20"/>
                <w:highlight w:val="none"/>
                <w:lang w:eastAsia="zh-CN" w:bidi="ar"/>
              </w:rPr>
              <w:t>采购人</w:t>
            </w:r>
            <w:r>
              <w:rPr>
                <w:rFonts w:hint="eastAsia" w:ascii="宋体" w:hAnsi="宋体" w:cs="宋体"/>
                <w:color w:val="auto"/>
                <w:kern w:val="0"/>
                <w:sz w:val="20"/>
                <w:szCs w:val="20"/>
                <w:highlight w:val="none"/>
                <w:lang w:bidi="ar"/>
              </w:rPr>
              <w:t>将不予验收通过。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显示器</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 面板尺寸：≥23.8英寸；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屏幕比例：16:9；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最佳分辨率： ≥1920 x 1080；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HDMI：≥1个。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升降光能</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黑板</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4</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一、硬件要求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由可上下滑动的两块光能黑板及边框组成。完整一组产品的尺寸≥2200（长）*2400（高）mm，单块黑板尺寸≥2000（长）*1150（高）mm。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上下升降过程中，黑板可在任意位置悬停进行书写，便于老师调整书写高度。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无需任何耗材，硬度适中的物体均可在板面进行书写，杜绝粉笔灰尘对师生的健康危害。配有塑料笔，书写时在物理压力的作用下板面显示出清晰绿色的笔迹，高度模拟硬笔书写状态，笔锋效果明显。书写压力为2N~3N，可擦次数不低于10万次，（</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color w:val="auto"/>
                <w:highlight w:val="none"/>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板面无频闪、无背光，上膜不应产生眩光。板书笔迹可视距离40米，可视角度≥150°，对比度≥150:1。光泽度不高于30光泽单位，（</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color w:val="auto"/>
                <w:highlight w:val="none"/>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下边框配有一键清除按键，可一键擦除板面整体板书。一键擦除时间不大于1.5秒，擦除应无断点、无死角等，擦除后应无明显残留痕迹，（</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具有检测资质</w:t>
            </w:r>
            <w:r>
              <w:rPr>
                <w:rFonts w:hint="eastAsia" w:ascii="宋体" w:hAnsi="宋体" w:cs="宋体"/>
                <w:color w:val="auto"/>
                <w:kern w:val="0"/>
                <w:sz w:val="20"/>
                <w:szCs w:val="20"/>
                <w:highlight w:val="none"/>
                <w:lang w:bidi="ar"/>
              </w:rPr>
              <w:t>的第三方检测机构出具的检测报告复印件佐证，并加盖投标人公章）</w:t>
            </w:r>
            <w:r>
              <w:rPr>
                <w:rFonts w:hint="eastAsia"/>
                <w:color w:val="auto"/>
                <w:highlight w:val="none"/>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可使用板擦和手势对板书进行局部擦除，局部擦除时间不大于0.4秒，擦除应无断点、无死角等，擦除后应无明显残留痕迹，非擦除区域不受影响。（供货时</w:t>
            </w:r>
            <w:r>
              <w:rPr>
                <w:rFonts w:hint="eastAsia" w:ascii="宋体" w:hAnsi="宋体" w:cs="宋体"/>
                <w:color w:val="auto"/>
                <w:kern w:val="0"/>
                <w:sz w:val="20"/>
                <w:szCs w:val="20"/>
                <w:highlight w:val="none"/>
                <w:lang w:eastAsia="zh-CN" w:bidi="ar"/>
              </w:rPr>
              <w:t>，须</w:t>
            </w:r>
            <w:r>
              <w:rPr>
                <w:rFonts w:hint="eastAsia" w:ascii="宋体" w:hAnsi="宋体" w:cs="宋体"/>
                <w:color w:val="auto"/>
                <w:kern w:val="0"/>
                <w:sz w:val="20"/>
                <w:szCs w:val="20"/>
                <w:highlight w:val="none"/>
                <w:lang w:bidi="ar"/>
              </w:rPr>
              <w:t>提供带CNAS或CMA的检测机构所出具的报告复印件并加盖投标人公章。）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为减少老师长时间书写疲劳感，板面粗糙度Sa≤0.3um。（供货时</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提供带CNAS或CMA的检测机构所出具的报告复印件并加盖投标人公章。）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黑板内有电压调整机制，支持自动感应调整，也支持通过手势按压书写板板面的特定位置，调节局部擦除的灵敏度，适应不同用户的使用需求。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最大工作电流（瞬间电流）不得超过1000mA。（供货时</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提供带CNAS或CMA的检测机构所出具的报告复印件并加盖投标人公章。）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黑板表面具有经纬暗格，用以提供给师生在书写板书时的直线参照，可避免板书歪斜。黑板表面可吸附磁贴、磁扣等教学工具，便于老师教学使用。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每块黑板上均带有互联快捷键，便于老师随时进行操作。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二、软件要求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1.互联快捷键为触摸式设计，布置在黑板两侧靠近边框位置，使用按压点触方式进行操作，方便教师用软件与板书交互。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2.无需在PC端双击软件，在黑板上点击快捷键即可实现互联板书的启动。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3.每块板的互联快捷键数量不少于14个，且每个按键均可以与软件产生联动效果。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4.支持多种教学场景：全屏模式，可实现每块黑板的全屏同步效果；分屏模式可实现多块黑板的同步效果；桌面模式可切换显示终端的电脑画面。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5.支持白笔，红笔，黄笔三种常用颜色设置；通过上页、下页可以快速查看页面记录的板书信息。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6.使用任意一块黑板的保存按键，均支持保存板书笔迹。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7.每块黑板上的分享键均可实现板书的快速分享，可以采用移动设备通过扫描二维码直接保存相关板书。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8.互联软件支持快速投票功能，用户可以通过使用移动设备扫描二维码进行快速投票，对于投票的结果系统自动统计数据并展示。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三、其他要求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为确保产品功能的真实性和有效性，在签订合同后正式供货时，采购人将根据投标文件对所提供本次采购产品一套预安装，对参数的真实性和实际效果进行逐条逐字的功能验证，在检测测试过程中如发现有虚假应标行为的，采购人将不予通过验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2.为确保是全新、合格的产品，签订合同后,需提供有厂家出具并盖章的技术参数确认表、售后服务保证原件、供货证明原件，否则</w:t>
            </w:r>
            <w:r>
              <w:rPr>
                <w:rFonts w:hint="eastAsia" w:ascii="宋体" w:hAnsi="宋体" w:cs="宋体"/>
                <w:color w:val="auto"/>
                <w:kern w:val="0"/>
                <w:sz w:val="20"/>
                <w:szCs w:val="20"/>
                <w:highlight w:val="none"/>
                <w:lang w:eastAsia="zh-CN" w:bidi="ar"/>
              </w:rPr>
              <w:t>采购人</w:t>
            </w:r>
            <w:r>
              <w:rPr>
                <w:rFonts w:hint="eastAsia" w:ascii="宋体" w:hAnsi="宋体" w:cs="宋体"/>
                <w:color w:val="auto"/>
                <w:kern w:val="0"/>
                <w:sz w:val="20"/>
                <w:szCs w:val="20"/>
                <w:highlight w:val="none"/>
                <w:lang w:bidi="ar"/>
              </w:rPr>
              <w:t>将不予验收通过。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光能黑板</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ascii="宋体" w:hAnsi="宋体" w:cs="宋体"/>
                <w:color w:val="auto"/>
                <w:kern w:val="0"/>
                <w:sz w:val="20"/>
                <w:szCs w:val="20"/>
                <w:highlight w:val="none"/>
                <w:lang w:bidi="ar"/>
              </w:rPr>
              <w:t>一、硬件要求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1.一体机两侧各一块光能黑板。单块光能黑板尺寸≥1129（长）*1319（高）mm。下边框具有可调节托板，可根据触控一体机高度进行调节，兼具置物功能。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无需任何耗材，硬度适中的物体均可在板面进行书写，杜绝粉笔灰尘对师生的健康危害。配有塑料笔，书写时在物理压力的作用下板面显示出清晰绿色的笔迹，高度模拟硬笔书写状态，笔锋效果明显。书写压力为2N~3N，可擦次数不低于10万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★3.板面无频闪、无背光，上膜不应产生眩光。板书笔迹可视距离40米，可视角度≥150°，对比度≥150:1。光泽度不高于30光泽单位，（</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w:t>
            </w:r>
            <w:r>
              <w:rPr>
                <w:rFonts w:hint="eastAsia" w:ascii="宋体" w:hAnsi="宋体" w:cs="宋体"/>
                <w:color w:val="auto"/>
                <w:kern w:val="0"/>
                <w:sz w:val="20"/>
                <w:szCs w:val="20"/>
                <w:highlight w:val="none"/>
                <w:lang w:bidi="ar"/>
              </w:rPr>
              <w:t>资质的第三方检测机构出具的检测报告复印件佐证，并加盖投标人公章）</w:t>
            </w:r>
            <w:r>
              <w:rPr>
                <w:rFonts w:hint="eastAsia"/>
                <w:color w:val="auto"/>
                <w:highlight w:val="none"/>
              </w:rPr>
              <w:t>；</w:t>
            </w:r>
          </w:p>
          <w:p>
            <w:pPr>
              <w:widowControl/>
              <w:jc w:val="left"/>
              <w:rPr>
                <w:rFonts w:hint="eastAsia" w:ascii="宋体" w:hAnsi="宋体"/>
                <w:color w:val="auto"/>
                <w:szCs w:val="21"/>
                <w:highlight w:val="none"/>
              </w:rPr>
            </w:pPr>
            <w:r>
              <w:rPr>
                <w:rFonts w:hint="eastAsia" w:ascii="宋体" w:hAnsi="宋体" w:cs="宋体"/>
                <w:color w:val="auto"/>
                <w:kern w:val="0"/>
                <w:sz w:val="20"/>
                <w:szCs w:val="20"/>
                <w:highlight w:val="none"/>
                <w:lang w:bidi="ar"/>
              </w:rPr>
              <w:t>4.下边框配有一键清除按键，可一键擦除板面整体板书。一键擦除时间不大于1.5秒，擦除应无断点、无死角等，擦除后应无明显残留痕迹。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▲5.为减少老师长时间书写疲劳感，板面粗糙度Sa≤0.3um。可使用板擦和手势对板书进行局部擦除，局部擦除时间不大于0.4秒，擦除应无断点、无死角等，擦除后应无明显残留痕迹，非擦除区域不受影响。（供货时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提供带CNAS或CMA的检测机构所出具的报告复印件并加盖投标人公章。）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▲6.最大工作电流（瞬间电流）不得超过1000mA。（供货时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提供带CNAS或CMA的检测机构所出具的报告复印件并加盖投标人公章。）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▲7.黑板表面具有经纬暗格，用以提供给师生在书写板书时的直线参照，可避免板书歪斜。黑板表面可吸附磁贴、磁扣等教学工具，便于老师教学使用。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8.黑板的功能接口应在产品后侧，安装后正面观察无明显外露。为方便老师使用，应在下方预留接口，用于外接设备。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9.黑板侧面配有侧封板，用于遮挡黑板侧面与墙面缝隙，活动安装后能调节与墙面的闭合距离。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二、软件要求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★1.在光能黑板上的书写内容可同步显示在触控一体机上。同步显示时可设置10种不同的笔迹颜色，实现老师对于教学重点的标识及批注，（</w:t>
            </w:r>
            <w:r>
              <w:rPr>
                <w:rFonts w:hint="eastAsia" w:ascii="宋体" w:hAnsi="宋体" w:cs="宋体"/>
                <w:color w:val="auto"/>
                <w:kern w:val="0"/>
                <w:sz w:val="20"/>
                <w:szCs w:val="20"/>
                <w:highlight w:val="none"/>
                <w:lang w:eastAsia="zh-CN" w:bidi="ar"/>
              </w:rPr>
              <w:t>投标时如有请</w:t>
            </w:r>
            <w:r>
              <w:rPr>
                <w:rFonts w:hint="eastAsia" w:ascii="宋体" w:hAnsi="宋体" w:cs="宋体"/>
                <w:color w:val="auto"/>
                <w:kern w:val="0"/>
                <w:sz w:val="20"/>
                <w:szCs w:val="20"/>
                <w:highlight w:val="none"/>
                <w:lang w:bidi="ar"/>
              </w:rPr>
              <w:t>提供</w:t>
            </w:r>
            <w:r>
              <w:rPr>
                <w:rFonts w:hint="eastAsia" w:ascii="宋体" w:hAnsi="宋体" w:cs="宋体"/>
                <w:color w:val="auto"/>
                <w:kern w:val="0"/>
                <w:sz w:val="20"/>
                <w:szCs w:val="20"/>
                <w:highlight w:val="none"/>
                <w:lang w:eastAsia="zh-CN" w:bidi="ar"/>
              </w:rPr>
              <w:t>具有检测</w:t>
            </w:r>
            <w:r>
              <w:rPr>
                <w:rFonts w:hint="eastAsia" w:ascii="宋体" w:hAnsi="宋体" w:cs="宋体"/>
                <w:color w:val="auto"/>
                <w:kern w:val="0"/>
                <w:sz w:val="20"/>
                <w:szCs w:val="20"/>
                <w:highlight w:val="none"/>
                <w:lang w:bidi="ar"/>
              </w:rPr>
              <w:t>资质的第三方检测机构出具的检测报告复印件佐证，并加盖投标人公章）</w:t>
            </w:r>
            <w:r>
              <w:rPr>
                <w:rFonts w:hint="eastAsia"/>
                <w:color w:val="auto"/>
                <w:highlight w:val="none"/>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2.为便于老师记忆和操作，板书界面与电脑桌面/PPT课件之间，可以一键来回切换，方便快捷。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3.光能黑板具有两种书写记录模式，支持单板书写时，单页面显示（此时只有一块黑板界面），也可以支持多板同时书写时，多页面同时显示；可以通过触摸快捷键，快速切换。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4.保存后的板书可以上下翻页，也可以通过触摸快捷键，快速预览所有已经存储的板书内容。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5.板书电子文档可进行分享，可以存储在本地PC端，同时生成二维码，便于师生扫码获取。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6.可以对课堂的板书和讲解进行录制，生成视频文档，利于学生课后复习回放。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7.支持导入PPT课件，可以在同传软件上同时显示出PPT课件和板书的记录文本。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8.具备打印功能，可连接打印机将保存的板书文档传输至打印机打印，方便灵活。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三、其他要求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为确保产品功能的真实性和有效性，在签订合同正式供货时，采购人将根据投标文件对所提供本次采购产品一套预安装，对参数的真实性和实际效果进行逐条逐字的功能验证，在检测测试过程中如发现有虚假应标行为的，采购人将不予通过验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▲2.为确保是全新、合格的产品，签订合同后</w:t>
            </w:r>
            <w:r>
              <w:rPr>
                <w:rFonts w:hint="eastAsia" w:ascii="宋体" w:hAnsi="宋体" w:cs="宋体"/>
                <w:color w:val="auto"/>
                <w:kern w:val="0"/>
                <w:sz w:val="20"/>
                <w:szCs w:val="20"/>
                <w:highlight w:val="none"/>
                <w:lang w:eastAsia="zh-CN" w:bidi="ar"/>
              </w:rPr>
              <w:t>须</w:t>
            </w:r>
            <w:r>
              <w:rPr>
                <w:rFonts w:hint="eastAsia" w:ascii="宋体" w:hAnsi="宋体" w:cs="宋体"/>
                <w:color w:val="auto"/>
                <w:kern w:val="0"/>
                <w:sz w:val="20"/>
                <w:szCs w:val="20"/>
                <w:highlight w:val="none"/>
                <w:lang w:bidi="ar"/>
              </w:rPr>
              <w:t>提供有厂家出具并盖章的技术参数确认表、售后服务保证原件、供货证明原件，否则</w:t>
            </w:r>
            <w:r>
              <w:rPr>
                <w:rFonts w:hint="eastAsia" w:ascii="宋体" w:hAnsi="宋体" w:cs="宋体"/>
                <w:color w:val="auto"/>
                <w:kern w:val="0"/>
                <w:sz w:val="20"/>
                <w:szCs w:val="20"/>
                <w:highlight w:val="none"/>
                <w:lang w:eastAsia="zh-CN" w:bidi="ar"/>
              </w:rPr>
              <w:t>采购人</w:t>
            </w:r>
            <w:r>
              <w:rPr>
                <w:rFonts w:hint="eastAsia" w:ascii="宋体" w:hAnsi="宋体" w:cs="宋体"/>
                <w:color w:val="auto"/>
                <w:kern w:val="0"/>
                <w:sz w:val="20"/>
                <w:szCs w:val="20"/>
                <w:highlight w:val="none"/>
                <w:lang w:bidi="ar"/>
              </w:rPr>
              <w:t>将不予验收通过。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3.所销售产品应有知识产权或经权利人合法授权，保证没有侵犯第三方知识产权等权利。构成侵权的，供货方需承担法律责任。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智慧教学终端</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一、整机设计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1.整体采用包边设计，表面钢化玻璃在合金边框内，四角圆弧，双重保护，安全抗冲击。产品具有两个笔槽设计，分别在底部两端，支持触控笔吸附；具有前置挡板设计,保护前置接口及接入的设备。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2.屏幕尺寸≥98英寸，分辨率≥3840×2160，表面采用耐磨、防眩光、防划伤、高安全系数钢化玻璃。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3.整机具备2.1声道音箱，前置≥2个20W中高音音箱，后置≥1个20W低音音箱,额定总功率≥60W，支持单独听功能。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▲4.产品采用红外多点触控技术，需支持手指轻触式多点（不少于20点触控）互动体验，触摸免驱动，即插即用，需支持主流多种操作系统。（供货时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5.设备需支持NFC碰碰传功能：支持带有NFC功能的移动设备靠近NFC标签时可近场感应，能快速将其屏幕传至大屏，实现无线教学。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6.具有触摸防遮挡功能，触摸屏具有防遮挡功能，触摸接收器在单点或单边遮挡后仍能正常触控书写和操作；触控连续响应无间断，有效识别≤2毫米，触控精准度32768x32768。</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▲7.具有触摸悬浮菜单功能，需支持三指罗盘跟随，可通过三指调用此悬浮菜单到屏幕任意位置，需支持任意通道下无需点击物理按键，可随时调用计算器、日历等小工具。（供货时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9.要求整机具有纸质护眼模式，包括素描、牛皮纸、宣纸、水彩纸等。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10.需支持安卓系统启动后可自动启动内置ops系统，需支持无信号接收状态时能够自动熄屏，自动熄屏的时间间隔可选，支持定时开关机。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▲12.产品在任意通道下，支持手势识别调出板擦工具擦除批注内容，支持调整板擦工具的大小。（供货时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 当设备切换到任何信号源下，均可通过HDMI输出接口将当前画面输出到其他显示设备上。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14.需支持锁定屏幕触摸，可通过软件菜单（调试菜单）锁定屏幕触摸，锁定应用、锁定USB。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▲15.内置触摸中控菜单，需支持信号源通道切换、背光、声音等，无须实体按键，在任意显示通道下均可通过手势在屏幕上调取触摸菜单，方便快捷；（</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▲16.具有不少于8个前置物理按键，至少包含电源键、菜单、主页、信号源、音量等，按键具备明显标识；支持电源按键三合一功能，可选择关闭产品、内置电脑、节能等，具有供电保护功能。（</w:t>
            </w:r>
            <w:r>
              <w:rPr>
                <w:rFonts w:hint="eastAsia" w:ascii="宋体" w:hAnsi="宋体" w:cs="宋体"/>
                <w:b/>
                <w:bCs/>
                <w:color w:val="auto"/>
                <w:kern w:val="0"/>
                <w:sz w:val="20"/>
                <w:szCs w:val="20"/>
                <w:highlight w:val="none"/>
                <w:lang w:val="en-US" w:eastAsia="zh-CN" w:bidi="ar"/>
              </w:rPr>
              <w:t>供货时</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需支持侧边栏功能，支持无操作自动隐藏，侧边栏可设置返回、主页、任务、批注、信号源等功能调用，批注；需支持任意通道下使用，并可设置颜色和画笔大小，可选择二维码分享批注内容。（供货时，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18.产品需支持环境感光功能，能感应并自动调节屏幕亮度来达到在不同光照环境下的最佳显示效果；需支持开启护眼模式。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19.内置安卓系统，系统版本不低于14.0，内存不低于4G,存储不低于32G；需支持对内置电脑进行还原操作，可通过前置物理按键对内置电脑系统进行还原。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▲20.整机内置非独立的高清摄像头，摄像头像素≥1300万，视角≥118°，需支持阵列数字音频MIC，支持调用，实现场景音视录制。（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21.支持无PC状态下，支持无线投屏功能，支持APP投屏、USB发射器投屏、热点共享投屏三种模式，支持手机、平板电脑、笔记本电脑多个终端无线投屏。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22.需支持网络共享功能（双系统单网口上网），单根网线接入产品，即可实现产品安卓系统和内置的电脑同时有线上网。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23.内置无线网络模块，采用全向信号收发设计，支持无线网络连接。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▲24.需支持展板、会议功能，可快速完成欢迎界面和会议主题设置，全屏显示，支持不少于12种模板，可对欢迎文字的字体、大小、颜色进行编辑；需支持会议签名功能，并可扫码带走签名及模板。（</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 无需借助PC，设备需支持一键进行硬件自检，至少包括对系统内存、存储、设备温度、光感系统、内置电脑、网络、摄像头、麦克风等进行状态提示及故障提示，支持一键优化。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26.设备内置安卓教学辅助系统，支持安装第三方APP软件并可以正常使用APP软件，支持第三方APP安装阻断功能，可限制未知来源的第三方APP安装。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27.设备内置安卓教学辅助系统，支持录屏，录制分辨率支持1080P、720P可选。支持设置录制时间，达到指定时间自动停止录制。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28.OPS插拔式电脑：采用插拔式架构，针脚数≥80pin，屏体与插拔式电脑无单独接线；处理器配置不低于Intel Core i5；内存不低于8G；硬盘不低于256G-SSD 固态硬盘；具有独立非外扩展接口：HDMI out≥1个 、Mic in≥1个、 LINE-out≥1个、USB口≥6个，Rj45≥1个；内置有线网卡和无线网卡。</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二、白板软件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1.备课支持插入本地PPT，并保持原有格式无变化，动效动画无丢失，支持批注，批注可设置保存；支持显示保存在云端的课件信息，可接收或忽略其他用户分享的课件。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2.支持对课件进行分享、下载、重命名、移动、删除操作，分享可按照手机号码及链接的方式进行分享，链接分享形式支持设置文件有效期（支持不少于永久、30天、7天等）、私密和公开的设置。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▲3.课件支持自动同步至云端，支持设置课件自动保存时间，至少可设置为1分钟、3分钟、5分钟、10分钟、20分钟、30分钟等。（</w:t>
            </w:r>
            <w:r>
              <w:rPr>
                <w:rFonts w:hint="eastAsia" w:ascii="宋体" w:hAnsi="宋体" w:cs="宋体"/>
                <w:b w:val="0"/>
                <w:bCs w:val="0"/>
                <w:color w:val="auto"/>
                <w:kern w:val="0"/>
                <w:sz w:val="20"/>
                <w:szCs w:val="20"/>
                <w:highlight w:val="none"/>
                <w:lang w:bidi="ar"/>
              </w:rPr>
              <w:t>供货时，提供具有CNAS或CMA标识的检测报告复印件并加投标人公章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4.新建课件支持选择课件主题，提供预设课件主题，至少包含学科主题、创意主题，可在编辑课件的过程中更改。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5.支持插入和导出文件，可将制作的课件导出为课件、图片、pdf格式；支持插入文本，可对文本进行字体、字号、颜色、对齐、缩进等多种设置；支持插入本地素材，包括视频、音频、图片、文档等多种格式。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同时打开多个课件窗口，支持新建课件页面，可拖动、移动、删除、复制页面；支持课件页面切换，提供淡入、推入、旋转、分割、交换、圆形、揭开等不少于7种形式的特效；支持顺序调整，支持应用到全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8.支持对对象进行复制、剪切、粘贴、删除、置于顶层、置于底层、锁定、设置蒙层等操作。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对对象设置元素动画和播放顺序，提供进入（无效果、百叶窗、擦入、浮入、放大、旋转、掉落）、动作（无效果、闪烁、抖动、心跳、旋转、翻转）、退出（无效果、淡出、百叶窗、擦出、浮出、缩小、旋转、飞出）等不少于20种元素动画形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▲10.支持创建课堂活动，提供分类达人、选词填空、匹配能手等多种互动练习形式，可插入至页面中进行游戏交互练习；支持通过模板制作个人活动，个人活动可保存至云端。（</w:t>
            </w:r>
            <w:r>
              <w:rPr>
                <w:rFonts w:hint="eastAsia" w:ascii="宋体" w:hAnsi="宋体" w:cs="宋体"/>
                <w:b w:val="0"/>
                <w:bCs w:val="0"/>
                <w:color w:val="auto"/>
                <w:kern w:val="0"/>
                <w:sz w:val="20"/>
                <w:szCs w:val="20"/>
                <w:highlight w:val="none"/>
                <w:lang w:bidi="ar"/>
              </w:rPr>
              <w:t>供货时，提供具有CNAS或CMA标识的检测报告复印件并加投标人公章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11.支持从备课状态一键进入授课状态，并可快速返回备课状态；支持交换底部索引栏，教师可根据授课时的站立位置选择与另一侧的按钮进行互换；支持将软件最小化，可将软件缩至状态栏。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12.工具栏包括菜单、选择、笔、橡皮、工具、学科等功能；云课件支持导出分享功能，支持生成二维码分享，可使用微信扫码可预览、保存课件。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▲13.提供小黑板、截图、录屏、撤销、还原、放大镜、计时器、形状、思维导图、幕布、分屏、漫游等通用工具。（</w:t>
            </w:r>
            <w:r>
              <w:rPr>
                <w:rFonts w:hint="eastAsia" w:ascii="宋体" w:hAnsi="宋体" w:cs="宋体"/>
                <w:b w:val="0"/>
                <w:bCs w:val="0"/>
                <w:color w:val="auto"/>
                <w:kern w:val="0"/>
                <w:sz w:val="20"/>
                <w:szCs w:val="20"/>
                <w:highlight w:val="none"/>
                <w:lang w:bidi="ar"/>
              </w:rPr>
              <w:t>供货时</w:t>
            </w:r>
            <w:r>
              <w:rPr>
                <w:rFonts w:hint="eastAsia" w:ascii="宋体" w:hAnsi="宋体" w:cs="宋体"/>
                <w:b w:val="0"/>
                <w:bCs w:val="0"/>
                <w:color w:val="auto"/>
                <w:kern w:val="0"/>
                <w:sz w:val="20"/>
                <w:szCs w:val="20"/>
                <w:highlight w:val="none"/>
                <w:lang w:eastAsia="zh-CN" w:bidi="ar"/>
              </w:rPr>
              <w:t>，</w:t>
            </w:r>
            <w:r>
              <w:rPr>
                <w:rFonts w:hint="eastAsia" w:ascii="宋体" w:hAnsi="宋体" w:cs="宋体"/>
                <w:b w:val="0"/>
                <w:bCs w:val="0"/>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14.支持橡皮功能，可擦除书写的笔迹，可设置擦除的面积，可一键清空画布中的笔迹和形状。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15.支持对象选择功能，选中的对象可进行形状、角度的调整，可进行置顶、克隆、删除等操作；支持书写功能，可设置硬笔、荧光笔、图章笔、纹理笔，可改变笔迹的粗细和颜色，支持最多十指同时书写。</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三、同屏软件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1.支持手机、笔记本电脑等移动端通过自动搜索接收端设备和六位识别码两种方式无线连接到产品。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2.支持将手机中的音视频文件无线推送至产品 ,并能进行播放和进行音量大小调节。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▲3.支持不少于6个投屏客户端图像画面对比展示，在产品上可以反向控制操作笔记本电脑上的内容,支持单击、双击、右键控制。（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4.要求产品显示桌面可以实时同步到手机上,手机通过两个手指对产品桌面进行放大、缩小和漫游操作 ,方便手机端对产品进行远程控制。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5.支持鼠标遥控器功能,通过软件一键进行鼠标左键、右键、上下滚轮滑动、触摸板操控等功能。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▲6.Windows客户端投屏至少支持桌面同步、镜像投屏和拓展投屏功能，点击功能会跳转至对应控制页面；Windows客户端进入控制页面，支持调节投屏清晰度，至少支持超清、高清等标准。</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u w:val="single"/>
                <w:lang w:val="en-US" w:eastAsia="zh-CN" w:bidi="ar"/>
              </w:rPr>
              <w:t>，</w:t>
            </w:r>
            <w:r>
              <w:rPr>
                <w:rFonts w:hint="eastAsia" w:ascii="宋体" w:hAnsi="宋体" w:cs="宋体"/>
                <w:b/>
                <w:bCs/>
                <w:color w:val="auto"/>
                <w:kern w:val="0"/>
                <w:sz w:val="20"/>
                <w:szCs w:val="20"/>
                <w:highlight w:val="none"/>
                <w:u w:val="single"/>
                <w:lang w:bidi="ar"/>
              </w:rPr>
              <w:t>须提供具有CNAS或CMA标识的检测报告复印件并加投标人公章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四、微课软件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▲1.支持对音源、分辨率、录制区域进行设置；录制音源至少支持仅系统、仅麦克风、系统与麦克风。（</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2.支持打开录课列表窗口，查看文件列表；支持打开云微课窗口，查看云端存储的文件列表。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▲3.支持倒计时功能，开始录制倒计时3S后开始录制；支持录制过程中，录制工具条不影响录制画面。（</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4.录制结束后，支持弹出视频预览画面，展示用户录制的整个视频，可任意拖动进度条查看内容，调整音量大小，全屏播放。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5.支持将录制的视频内容保存至本地硬盘；并可将本地的录制文件上传到个人云端，数据存储更方便、更安全。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▲6.支持对录制后的视频进行剪辑，剪辑包括视频合并、视频剪切、视频预览、并且可以添加水印；剪辑功能支持添加至少25字文字水印，支持字号选择、透明度调整，支持多种颜色，水印显示位置可选择。</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u w:val="single"/>
                <w:lang w:bidi="ar"/>
              </w:rPr>
              <w:t>须提供具有CNAS或CMA标识的检测报告复印件并加投标人公章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7.支持打开录课列表窗口，查看文件列表，在录课列表的任意目录下对文件或文件夹进行移动、删除、重命名等操作，可新建文件夹，快速搜索文件或文件夹。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▲8.支持将视频文件上传至云端存储；支持在上传列表查看所有上传中的文件状态，可进行暂停、开始、取消等操作。（</w:t>
            </w:r>
            <w:r>
              <w:rPr>
                <w:rFonts w:hint="eastAsia" w:ascii="宋体" w:hAnsi="宋体" w:cs="宋体"/>
                <w:b w:val="0"/>
                <w:bCs w:val="0"/>
                <w:color w:val="auto"/>
                <w:kern w:val="0"/>
                <w:sz w:val="20"/>
                <w:szCs w:val="20"/>
                <w:highlight w:val="none"/>
                <w:lang w:bidi="ar"/>
              </w:rPr>
              <w:t>供货时，</w:t>
            </w:r>
            <w:r>
              <w:rPr>
                <w:rFonts w:hint="eastAsia" w:ascii="宋体" w:hAnsi="宋体" w:cs="宋体"/>
                <w:color w:val="auto"/>
                <w:kern w:val="0"/>
                <w:sz w:val="20"/>
                <w:szCs w:val="20"/>
                <w:highlight w:val="none"/>
                <w:lang w:bidi="ar"/>
              </w:rPr>
              <w:t>提供具有CNAS或CMA标识的检测报告复印件并加投标人公章）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五、教学管理软件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2.可快速打开平台查看对应的资源中心及个人云盘；教师的个人云盘存储空间不少于50G，教师可查看自己的个人资源、云微课、云课件；教师可将本地资源进行上传，也可将云端资源下载到本地。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w:t>
            </w:r>
            <w:r>
              <w:rPr>
                <w:rFonts w:hint="eastAsia" w:ascii="宋体" w:hAnsi="宋体" w:cs="宋体"/>
                <w:color w:val="auto"/>
                <w:kern w:val="0"/>
                <w:sz w:val="20"/>
                <w:szCs w:val="20"/>
                <w:highlight w:val="none"/>
                <w:u w:val="single"/>
                <w:lang w:bidi="ar"/>
              </w:rPr>
              <w:t>（</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u w:val="single"/>
                <w:lang w:bidi="ar"/>
              </w:rPr>
              <w:t>须提供具有CNAS或CMA标识的检测报告复印件并加投标人公章</w:t>
            </w:r>
            <w:r>
              <w:rPr>
                <w:rFonts w:hint="eastAsia" w:ascii="宋体" w:hAnsi="宋体" w:cs="宋体"/>
                <w:color w:val="auto"/>
                <w:kern w:val="0"/>
                <w:sz w:val="20"/>
                <w:szCs w:val="20"/>
                <w:highlight w:val="none"/>
                <w:u w:val="singl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4.支持查看课程列表，至少包括常规课程、互动课程、直播课程；课表以日历的形式呈现，可直接切换点击日期查看对应的课程数量及列表。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5.支持常规课程创建，可设置课程名称、上课日期、时间，选择班级、关联课件，设置课件自动打开时间。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6.支持远程互动课程创建，可设置课程主题、开课日期、时间，设置成员加入课程自动上台、设置成员加入课程自动静音、设置课程密码、设置课程模式。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7.支持直播课程创建，可在教育专属桌面直接打开平台并创建直播课程，创建完成后，在平台端可观看直播。</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8.支持对云端资源的文件/文件夹的操作，至少包含移动、重命名、分享、下载、删除、新建文件夹、刷新列表、搜索，也可通过文件名、文件更新时间、文件大小进行排序。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r>
              <w:rPr>
                <w:rFonts w:hint="eastAsia" w:ascii="宋体" w:hAnsi="宋体" w:cs="宋体"/>
                <w:b w:val="0"/>
                <w:bCs w:val="0"/>
                <w:color w:val="auto"/>
                <w:kern w:val="0"/>
                <w:sz w:val="20"/>
                <w:szCs w:val="20"/>
                <w:highlight w:val="none"/>
                <w:lang w:bidi="ar"/>
              </w:rPr>
              <w:t>供货时，提供具有CNAS或CMA标识的检测报告复印件并加投标人公章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w:t>
            </w:r>
            <w:r>
              <w:rPr>
                <w:rFonts w:hint="eastAsia" w:ascii="宋体" w:hAnsi="宋体" w:cs="宋体"/>
                <w:b w:val="0"/>
                <w:bCs w:val="0"/>
                <w:color w:val="auto"/>
                <w:kern w:val="0"/>
                <w:sz w:val="20"/>
                <w:szCs w:val="20"/>
                <w:highlight w:val="none"/>
                <w:lang w:bidi="ar"/>
              </w:rPr>
              <w:t>供货时，提供具有CNAS或CMA标识的检测报告复印件并加投标人公章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11.支持云微课功能，可自动获取该账号下使用微课软件录制并上传至云端的全部文件列表；支持云课件功能，可自动获取该账号下使用白板软件制作并上传至云端的全部文件列表。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w:t>
            </w:r>
            <w:r>
              <w:rPr>
                <w:rFonts w:hint="eastAsia" w:ascii="宋体" w:hAnsi="宋体" w:cs="宋体"/>
                <w:b w:val="0"/>
                <w:bCs w:val="0"/>
                <w:color w:val="auto"/>
                <w:kern w:val="0"/>
                <w:sz w:val="20"/>
                <w:szCs w:val="20"/>
                <w:highlight w:val="none"/>
                <w:lang w:bidi="ar"/>
              </w:rPr>
              <w:t>供货时，提供具有CNAS或CMA标识的检测报告复印件并加投标人公章</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15</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交互教学</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终端</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一、整机设计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1.整体采用包边设计，表面钢化玻璃在合金边框内，四角圆弧，双重保护，安全抗冲击。产品具有两个笔槽设计，分别在底部两端，支持触控笔吸附；具有前置挡板设计,保护前置接口及接入的设备。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2.屏幕尺寸≥75英寸，分辨率≥3840×2160，表面采用耐磨、防眩光、防划伤、高安全系数钢化玻璃。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3.整机具备前置2×15W中高音音箱,采用防尘设计。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▲4.产品采用红外多点触控技术，需支持手指轻触式多点（不少于20点触控）互动体验，触摸免驱动，即插即用，需支持主流多种操作系统。（</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5.设备需支持NFC碰碰传功能：支持带有NFC功能的移动设备靠近NFC标签时可近场感应，能快速将其屏幕传至大屏，实现无线教学。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6.具有触摸防遮挡功能，触摸屏具有防遮挡功能，触摸接收器在单点或单边遮挡后仍能正常触控书写和操作；触控连续响应无间断，有效识别≤2毫米，触控精准度32768x32768。</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▲7.具有触摸悬浮菜单功能，需支持三指罗盘跟随，可通过三指调用此悬浮菜单到屏幕任意位置，需支持任意通道下无需点击物理按键，可随时调用计算器、日历等小工具。（</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9.要求整机具有纸质护眼模式，包括素描、牛皮纸、宣纸、水彩纸等。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10.需支持安卓系统启动后可自动启动内置ops系统，需支持无信号接收状态时能够自动熄屏，自动熄屏的时间间隔可选，支持定时开关机。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▲12.产品在任意通道下，支持手势识别调出板擦工具擦除批注内容，支持调整板擦工具的大小。（</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 当设备切换到任何信号源下，均可通过HDMI输出接口将当前画面输出到其他显示设备上。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14.需支持锁定屏幕触摸，可通过软件菜单（调试菜单）锁定屏幕触摸，锁定应用、锁定USB。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▲15.内置触摸中控菜单，需支持信号源通道切换、背光、声音等，无须实体按键，在任意显示通道下均可通过手势在屏幕上调取触摸菜单，方便快捷；（</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▲16.具有不少于8个前置物理按键，至少包含电源键、菜单、主页、信号源、音量等，按键具备明显标识；支持电源按键三合一功能，可选择关闭产品、内置电脑、节能等，具有供电保护功能。（</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▲17.需支持侧边栏功能，支持无操作自动隐藏，侧边栏可设置返回、主页、任务、批注、信号源等功能调用，批注；需支持任意通道下使用，并可设置颜色和画笔大小，可选择二维码分享批注内容。（</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18.产品需支持环境感光功能，能感应并自动调节屏幕亮度来达到在不同光照环境下的最佳显示效果；需支持开启护眼模式。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19.内置安卓系统，系统版本不低于14.0，内存不低于4G,存储不低于16G；需支持对内置电脑进行还原操作。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▲20.整机内置非独立的高清摄像头，摄像头像素≥1300万，视角≥118°，需支持阵列数字音频MIC，支持调用，实现场景音视录制。（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21.支持无PC状态下，支持无线投屏功能，支持APP投屏、USB发射器投屏、热点共享投屏三种模式，支持手机、平板电脑、笔记本电脑多个终端无线投屏。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22.需支持网络共享功能（双系统单网口上网），单根网线接入产品，即可实现产品安卓系统和内置的电脑同时有线上网。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23.内置无线网络模块，采用全向信号收发设计，支持无线网络连接。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▲24.需支持展板、会议功能，可快速完成欢迎界面和会议主题设置，全屏显示，支持不少于12种模板，可对欢迎文字的字体、大小、颜色进行编辑；需支持会议签名功能，并可扫码带走签名及模板。（</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 无需借助PC，设备需支持一键进行硬件自检，至少包括对系统内存、存储、设备温度、光感系统、内置电脑、网络、摄像头、麦克风等进行状态提示及故障提示，支持一键优化。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26.设备内置安卓教学辅助系统，支持安装第三方APP软件并可以正常使用APP软件，支持第三方APP安装阻断功能，可限制未知来源的第三方APP安装。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27.设备内置安卓教学辅助系统，支持录屏，录制分辨率支持1080P、720P可选。支持设置录制时间，达到指定时间自动停止录制。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28.OPS插拔式电脑：采用插拔式架构，针脚数≥80pin，屏体与插拔式电脑无单独接线；处理器配置不低于Intel Core i5；内存不低于8G；硬盘不低于256G-SSD 固态硬盘；具有独立非外扩展接口：HDMI out≥1个 、Mic in≥1个、 LINE-out≥1个、USB口≥6个，Rj45≥1个；内置有线网卡和无线网卡。</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二、白板软件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1.备课支持插入本地PPT，并保持原有格式无变化，动效动画无丢失，支持批注，批注可设置保存；支持显示保存在云端的课件信息，可接收或忽略其他用户分享的课件。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2.支持对课件进行分享、下载、重命名、移动、删除操作，分享可按照手机号码及链接的方式进行分享，链接分享形式支持设置文件有效期（支持不少于永久、30天、7天等）、私密和公开的设置。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▲3.课件支持自动同步至云端，支持设置课件自动保存时间，至少可设置为1分钟、3分钟、5分钟、10分钟、20分钟、30分钟等。（</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4.新建课件支持选择课件主题，提供预设课件主题，至少包含学科主题、创意主题，可在编辑课件的过程中更改。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5.支持插入和导出文件，可将制作的课件导出为课件、图片、pdf格式；支持插入文本，可对文本进行字体、字号、颜色、对齐、缩进等多种设置；支持插入本地素材，包括视频、音频、图片、文档等多种格式。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同时打开多个课件窗口，支持新建课件页面，可拖动、移动、删除、复制页面；支持课件页面切换，提供淡入、推入、旋转、分割、交换、圆形、揭开等不少于7种形式的特效；支持顺序调整，支持应用到全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8.支持对对象进行复制、剪切、粘贴、删除、置于顶层、置于底层、锁定、设置蒙层等操作。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对对象设置元素动画和播放顺序，提供进入（无效果、百叶窗、擦入、浮入、放大、旋转、掉落）、动作（无效果、闪烁、抖动、心跳、旋转、翻转）、退出（无效果、淡出、百叶窗、擦出、浮出、缩小、旋转、飞出）等不少于20种元素动画形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▲10.支持创建课堂活动，提供分类达人、选词填空、匹配能手等多种互动练习形式，可插入至页面中进行游戏交互练习；支持通过模板制作个人活动，个人活动可保存至云端。（</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11.支持从备课状态一键进入授课状态，并可快速返回备课状态；支持交换底部索引栏，教师可根据授课时的站立位置选择与另一侧的按钮进行互换；支持将软件最小化，可将软件缩至状态栏。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12.工具栏包括菜单、选择、笔、橡皮、工具、学科等功能；云课件支持导出分享功能，支持生成二维码分享，可使用微信扫码可预览、保存课件。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▲13.提供小黑板、截图、录屏、撤销、还原、放大镜、计时器、形状、思维导图、幕布、分屏、漫游等通用工具。（</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14.支持橡皮功能，可擦除书写的笔迹，可设置擦除的面积，可一键清空画布中的笔迹和形状。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15.支持对象选择功能，选中的对象可进行形状、角度的调整，可进行置顶、克隆、删除等操作；支持书写功能，可设置硬笔、荧光笔、图章笔、纹理笔，可改变笔迹的粗细和颜色，支持最多十指同时书写。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三、同屏软件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1.支持手机、笔记本电脑等移动端通过自动搜索接收端设备和六位识别码两种方式无线连接到产品。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2.支持将手机中的音视频文件无线推送至产品 ,并能进行播放和进行音量大小调节。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▲3.支持不少于6个投屏客户端图像画面对比展示，在产品上可以反向控制操作笔记本电脑上的内容,支持单击、双击、右键控制。（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4.要求产品显示桌面可以实时同步到手机上,手机通过两个手指对产品桌面进行放大、缩小和漫游操作 ,方便手机端对产品进行远程控制。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5.支持鼠标遥控器功能,通过软件一键进行鼠标左键、右键、上下滚轮滑动、触摸板操控等功能。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▲6.Windows客户端投屏至少支持桌面同步、镜像投屏和拓展投屏功能，点击功能会跳转至对应控制页面；Windows客户端进入控制页面，支持调节投屏清晰度，至少支持超清、高清等标准。（</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四、微课软件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▲1.支持对音源、分辨率、录制区域进行设置；录制音源至少支持仅系统、仅麦克风、系统与麦克风。（</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2.支持打开录课列表窗口，查看文件列表；支持打开云微课窗口，查看云端存储的文件列表。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▲3.支持倒计时功能，开始录制倒计时3S后开始录制；支持录制过程中，录制工具条不影响录制画面。（</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4.录制结束后，支持弹出视频预览画面，展示用户录制的整个视频，可任意拖动进度条查看内容，调整音量大小，全屏播放。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5.支持将录制的视频内容保存至本地硬盘；并可将本地的录制文件上传到个人云端，数据存储更方便、更安全。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▲6.支持对录制后的视频进行剪辑，剪辑包括视频合并、视频剪切、视频预览、并且可以添加水印；剪辑功能支持添加至少25字文字水印，支持字号选择、透明度调整，支持多种颜色，水印显示位置可选择。（</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7.支持打开录课列表窗口，查看文件列表，在录课列表的任意目录下对文件或文件夹进行移动、删除、重命名等操作，可新建文件夹，快速搜索文件或文件夹。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▲8.支持将视频文件上传至云端存储；支持在上传列表查看所有上传中的文件状态，可进行暂停、开始、取消等操作。（</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五、教学管理软件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2.可快速打开平台查看对应的资源中心及个人云盘；教师的个人云盘存储空间不少于50G，教师可查看自己的个人资源、云微课、云课件；教师可将本地资源进行上传，也可将云端资源下载到本地。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4.支持查看课程列表，至少包括常规课程、互动课程、直播课程；课表以日历的形式呈现，可直接切换点击日期查看对应的课程数量及列表。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5.支持常规课程创建，可设置课程名称、上课日期、时间，选择班级、关联课件，设置课件自动打开时间。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6.支持远程互动课程创建，可设置课程主题、开课日期、时间，设置成员加入课程自动上台、设置成员加入课程自动静音、设置课程密码、设置课程模式。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7.支持直播课程创建，可在教育专属桌面直接打开平台并创建直播课程，创建完成后，在平台端可观看直播。</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8.支持对云端资源的文件/文件夹的操作，至少包含移动、重命名、分享、下载、删除、新建文件夹、刷新列表、搜索，也可通过文件名、文件更新时间、文件大小进行排序。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w:t>
            </w:r>
            <w:r>
              <w:rPr>
                <w:rFonts w:hint="eastAsia" w:ascii="宋体" w:hAnsi="宋体" w:cs="宋体"/>
                <w:color w:val="auto"/>
                <w:kern w:val="0"/>
                <w:sz w:val="20"/>
                <w:szCs w:val="20"/>
                <w:highlight w:val="none"/>
                <w:lang w:bidi="ar"/>
              </w:rPr>
              <w:t>提供具有CNAS或CMA标识的检测报告复印件并加盖投标人公章）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11.支持云微课功能，可自动获取该账号下使用微课软件录制并上传至云端的全部文件列表；支持云课件功能，可自动获取该账号下使用白板软件制作并上传至云端的全部文件列表。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须提供具有CNAS或CMA标识的检测报告复印件并加盖投标人公章</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16</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智慧展示</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终端</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套</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1、采用1.2mm-2.0mm冷轧钢板桌体，整体外观流线型设计，美观大方，具备防火特性，正面中部受到170N的冲击力时不会倾倒。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2、桌面为抗倍特板材质，具备防水、耐撞击性、耐磨、防火、耐烟灼、防静电，稳定性强、平整又不易变形、无毒无害、绿色环保等特性。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3、设计尺寸长×宽×高约为1200mm×650mm×1020mm，根据人体力学设计，讲台桌面高度合适老师放置教学用品，兼顾站立教学或者坐着操作电脑。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4、桌面内置23.8英寸电容触控屏，并支持10点同时触摸。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5、电容触控屏具备单独的开关按键，显示屏接口类型为VGA，HDMI，屏幕分辨率支持1920x1080像素，屏幕融合在讲台中，无突出边角，无法在没有工具的情况下拆除。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6、电容触控屏支持同步显示并能操控交互智能平板的画面，与桌面呈25°角，以最佳视角显示教学内容，教师正面授课，录像效果好，提高教学效率。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7、桌面内置弹射式接口面板，包含1个HDMI接口、1个VGA接口、1个USB口、1个网络接口、1个音频接口等，不使用时，可按下与桌面平齐，避免受到撞击，支持笔记本电脑接入。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8、支持外接PC电脑，可以将PC电脑内容显示在23.8英寸主屏上，支持1路HDMI OUT输出，可外接投影、显示器等多媒体设备。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9、讲桌柜体左侧预留电脑主机观察窗口，无需打开柜体的情况下也能正常开关电脑主机；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10、设置有2个220V电源接口，方便老师接入笔记本电脑等设备。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设置有键盘抽屉，可放置黑板擦、书写笔、键盘和鼠标等，抽屉内预留4路USB快速充电接口，即使讲桌不开机，依然可以持续充电，可连接键盘鼠标使用,方便教师操作，讲桌桌面留有足够空间放置笔记本、教案等物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12、柜体下方设置有19英寸设备安装机柜，高度10U。</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13、柜体下方预留多处散热孔，可以有效保证讲桌内设备的热量及时散出。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14、讲桌支持安装地脚，增高底座，预留增高底座安装孔位。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17</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智慧教学</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双屏终端</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套</w:t>
            </w:r>
          </w:p>
        </w:tc>
        <w:tc>
          <w:tcPr>
            <w:tcW w:w="5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一．智慧教学终端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1.整机需采用一体化拼接设计，外部无任何可见内部功能模块的连接线；采用阻燃材质外壳，边角采用弧形设计，表面无尖锐边缘或凸起。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2.副板需支持磁性教学器材吸附，需支持普通粉笔、无尘粉笔、水溶性粉笔、水笔直接书写。左右副板均带一体化粉笔槽，便于老师放置粉笔。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3.整机外观尺寸宽度不低于4000mm，高度1200mm。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4.采用电容触控技术，整机支持20点触控。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▲5.屏幕采用双屏设计，每块屏幕尺寸不小于86英寸，屏幕显示分辨率最高可支持4K（3840*2160），屏幕刷新率可达60Hz画面无闪烁。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6.液晶屏幕对比度不小于4000:1，亮度不小于350cd/㎡；屏幕表面采用厚度≤4mm钢化玻璃，具有防眩光功能。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▲7.为方便老师教学操作及避免误操作，支持实体按键≥8个，功能至少包括开关、主页、音量+、音量-、菜单、信号源、返回、护眼等。按键支持复用，支持通过长按、短按实现多种功能。(</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8.设备具备三合一电源按键，同一电源物理按键可实现Android系统和Windows系统的开/关机、节能的操作；关机状态下轻按按键可开机；开机状态下轻按按键可熄屏/唤醒，长按按键可关机。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▲9.整机具备2.1声道音箱，前置2个≥20W中高音音箱，后置1个≥20W低音音箱,额定总功率≥60W，支持单独听功能。(</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设备在任意信号下，需支持通过多指按压屏幕实现对屏幕的开关，多指实现黑板背光的关闭与开启，触控功能与传统书写功能瞬间切换，切换响应速度≤2s。需支持物理按键、虚拟按键实现节能熄屏/唤醒，并可与多指熄屏功能互通互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11.具有触摸悬浮菜单，支持三指罗盘跟随功能，可通过三指调用此触摸悬浮菜单到屏幕任意位置；支持任意通道下无需点击物理按键，可随时调用计算器、计时器、日历等小工具。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为了方便教师教学使用，要求设备具有丰富的扩展接口：前置≥1路HDMI接口（非转接）、≥1路Type-C，≥2路USB输入接口（支持双通道），≥1路触摸接口。侧置≥2路USB接口，≥2路HDMI输入接口,≥1路HDMI输出接口,≥1路网络接口，≥1路3.5mm LIN out接口，1个TF扩展卡槽（最大支持扩展容量128GB）。(</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▲13.当设备切换到任何信号源下，均可通过HDMI输出接口将当前画面输出到其他显示设备上。(</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14.无需借助PC，设备需支持一键进行硬件自检，至少包括对系统内存、存储、设备温度、光感系统、内置电脑、网络、摄像头、麦克风等进行状态提示及故障提示，支持一键优化。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15.在关机状态下，设备支持外接信号输入时自动唤醒设备功能；在开机状态下，设备支持接入信号源时自动跳转至接入的信号源，设备支持设备在无信号的情况下，自动跳转至其他通道。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16.整机可以兼容第三方中控系统，通过RS232控制接口实现远程开关机功能。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17.产品需内置安卓教学辅助系统，安卓系统版本不低于14.0，CPU不少于8核，RAM不低于4G,ROM不低于32G。支持蓝牙5.0。支持与蓝牙设备连接，实现数据传输。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 外接电脑设备连接整机且触摸信号连通时，外接电脑设备支持直接读取整机前置USB接口的移动存储设备数据；连接前置USB接口的翻页笔、无线键鼠可直接使用于外接电脑。(</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左右两侧具有≥10个快捷键，可以双侧显示，至少具有白板、批注、主页、截屏、放大镜、聚光灯、幕布、屏幕下移、返回等常用教学按键；具有自定义功能，至少包含：计时器、投票、日历、相机、欢迎词、计算器、锁屏、多任务等功能。(</w:t>
            </w:r>
            <w:r>
              <w:rPr>
                <w:rFonts w:hint="eastAsia" w:ascii="宋体" w:hAnsi="宋体" w:cs="宋体"/>
                <w:b/>
                <w:bCs/>
                <w:color w:val="auto"/>
                <w:kern w:val="0"/>
                <w:sz w:val="20"/>
                <w:szCs w:val="20"/>
                <w:highlight w:val="none"/>
                <w:lang w:bidi="ar"/>
              </w:rPr>
              <w:t>投标时须提供具有CNAS或CMA检测报告复印件并加盖投标人公章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 在任意信号源下，从屏幕下方任意位置向上滑动，可调用快捷菜单栏，调出的菜单栏跟随使用者所处的位置，点击菜单应用，不需要使用者移动到屏幕中间操作，涵盖教学过程中常用的功能，支持切换页面，至少包括信号源、有线网络开关、无线网络开关、热点开关、蓝牙开关、截屏、智能护眼开关、触摸感应开关、节能开关、声音调节、亮度调节、锁屏、单独听、息屏、冻屏等功能。(</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21.设备内置的OPS支持一键还原功能，具备前置针孔还原按键。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22.设备支持快速完成欢迎界面设置，支持全屏显示，不少于15种模板，支持字体、大小，颜色编辑；支持插入背景、图片、文字、音乐；支持签名功能，并可扫码带走签名及模板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▲23.要求设备支持设置USB锁、屏幕锁、应用锁功能，其中USB锁、屏幕锁、应用锁可以设置对应解锁的密码。(</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24.要求整机具有纸质护眼模式，包括素描、牛皮纸、宣纸、水彩纸等。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▲25.设备需内置NFC 模块，支持自定义模块功能，功能不限于控制开关机、锁屏、解锁、熄屏唤醒、触摸解锁等；并且支持授权管理具有NFC功能的设备、卡片等实现模块功能，支持具有NFC功能的手机、平板电脑、智能手表、手环等移动终端。(</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26.设备需支持NFC碰碰传功能：支持带有NFC功能的移动设备靠近NFC标签时可近场感应，能快速将其屏幕传至大屏，实现无线教学。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27.设备内置安卓教学辅助系统，支持安装第三方APP软件并可以正常使用APP软件，支持第三方APP安装阻断功能，可限制未知来源的第三方APP安装。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28.设备内置安卓教学辅助系统，支持录屏，录制分辨率支持1080P、720P可选。支持设置录制时间，达到指定时间自动停止录制。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29.支持快传功能：扫码即可上传文字、图片到智慧黑板。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30.在未配置OPS的情况下支持无线投屏功能，支持APP投屏、USB发射器投屏、热点共享投屏三种模式，支持手机、平板电脑、笔记本电脑多个终端无线投屏。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▲31.整机需内置≥1600万像素展台，最高分辨率支持4640x3480，自带LED补光灯，支持多级灯光调节。(</w:t>
            </w:r>
            <w:r>
              <w:rPr>
                <w:rFonts w:hint="eastAsia" w:ascii="宋体" w:hAnsi="宋体" w:cs="宋体"/>
                <w:b/>
                <w:bCs/>
                <w:color w:val="auto"/>
                <w:kern w:val="0"/>
                <w:sz w:val="20"/>
                <w:szCs w:val="20"/>
                <w:highlight w:val="none"/>
                <w:u w:val="single"/>
                <w:lang w:eastAsia="zh-CN" w:bidi="ar"/>
              </w:rPr>
              <w:t>供货时</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32.OPS插拔式电脑：采用插拔式电脑模块架构，针脚数≥80pin，屏体与插拔式电脑无单独接线；处理器配置Intel Core i7处理器，不低于16G内存，不低于512G-SSD固态硬盘；具有独立非外扩展接口：支持HDMI out≥1、Mic in≥1、LINE-out≥1、USB口≥6，Rj45≥1；内置有线网卡和无线网卡。</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二、白板软件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 支持插入本地的PPT文件到课程中，并确保插入后的PPT保持其原始格式不变，所有的动态效果和动画都将被完整保留。支持在PPT上进行批注，添加笔记和标记，支持批注保存。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对课件执行多项管理操作，包括但不限于分享、下载、重命名、移动及删除。在分享课件时，可以选择通过手机号码或生成链接的方式进行。链接形式分享支持设置文件的有效期，选项包括7天有效期、30天有效期、永久有效期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支持课件自动上传到云存储，支持自动保存时间设置，可选择在1分钟、3分钟、5分钟、10分钟或30分钟等多个时间间隔后，课件将被自动保存至云端。(</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新建课件可选择学科主题、创意主题，在编辑课件过程中支持修改主题。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支持同时打开多个课件窗口，支持新建课件页面；支持课件页面切换不少于7种形式的特效，包含淡入、推入、旋转、分割、交换、圆形、揭开等；支持顺序调整，支持应用到全部。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支持对对象进行复制、剪切、粘贴、删除、置于顶层、置于底层、锁定、设置蒙层等操作。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支持动画设置并控制播放顺序，提供丰富的动画效果选项，不少于20种元素动画形式可供选择。进入场景时，可以选择无效果、百叶窗、擦入、浮入、放大、旋转、掉落等多种方式；在动作表现上，有无效果、闪烁、抖动、心跳、旋转、翻转等选项可供挑选；退出场景时，可以选择无效果、淡出、百叶窗、擦出、浮出、缩小、旋转、飞出等多种方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 支持文件的导入和导出功能，可以将创建的课件保存为课件、图片或PDF格式。支持文本的插入，并允许对文本进行多种编辑，如修改字体、字号、颜色、对齐方式和缩进等。支持插入本地素材，包括视频、音频、图片、文档等多种格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 支持插入网页，可搜索选择网页内容，插入后可点击链接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 通过一键操作从备课模式切换到授课模式，并且可以回到备课模式。支持交换底部索引栏的功能，教师可以根据自己授课时所站立的位置，选择将一侧的按钮与另一侧的按钮互换，支持软件最小化功能，可以将正在使用的软件缩小到状态栏，以便在需要时快速恢复窗口。云课件支持导出分享功能，支持生成二维码分享，可使用微信扫码可预览、保存课件。(</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 工具栏包括菜单、选择、笔、橡皮、工具、学科等功能；。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 支持对象选择功能，选中的对象可进行形状、角度的调整，可进行置顶、克隆、删除等操作；支持书写功能，可设置硬笔、荧光笔、图章笔、纹理笔，可改变笔迹的粗细和颜色，支持最多十指同时书写。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 支持橡皮功能，可擦除书写的笔迹，可设置擦除的面积，可一键清空笔迹。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 提供形状、思维导图、分屏、小黑板、截图、录屏、撤销、还原、放大镜、计时器、幕布、漫游等通用工具。(</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三、投屏软件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1.支持手机、笔记本电脑等移动端通过自动搜索接收端设备和六位识别码两种方式无线连接到智慧黑板。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支持在智慧黑板上可以反向控制操作笔记本电脑上的内容,支持单击、双击、右键控制，支持至少6个画面同时显示，方便对比教学。(</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支持对移动端、电脑端设备推送至智慧黑板的音视频文件 ,进行播放和调节音量。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支持模拟鼠标左键、右键、上下滚轮滑动、触摸板操控等功能，支持遥控器功能。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通过两个手指对同步到移动端的智慧黑板桌面进行放大、缩小和漫游操作。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电脑端投屏至少支持桌面同步、镜像投屏和拓展投屏功能，支持对应控制页面点击切换；支持调节投屏清晰度，至少支持超清、高清等标准。(</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四、微课软件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 支持仅系统、仅麦克风、系统与麦克风对录制音源设置；支持分辨率、录制区域进行设置。(</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支持打开录课列表窗口，查看文件列表，快速搜索文件或文件夹，支持预览播放录课列表中的视频文件。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3.支持倒计时功能，开始录制倒计时3S后开始录制；支持录制过程中，录制工具条不影响录制画面。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4.录制结束后，支持弹出视频预览画面，展示用户录制的整个视频，可任意拖动进度条查看内容，调整音量大小，全屏播放。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5.支持将录制的视频内容保存至本地硬盘；并可将本地的录制文件上传到个人云端，数据存储更方便、更安全。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支持对录制完成的视频进行后期编辑，包括合并多个视频文件、剪切视频片段以及预览编辑后的视频效果；支持在视频中加入不少于24个文字水印。在添加水印时，可以选择字体大小、字体颜色、透明度等设置，可以自由设定水印在视频中的显示位置。(</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7.支持打开录课列表窗口，查看文件列表，在录课列表的任意目录下对文件或文件夹进行移动、删除、重命名等操作，可新建文件夹，快速搜索文件或文件夹。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 在云端文件列表中，支持查看、分享、下载、重命名云微课文件或文件夹；支持新建文件夹，快速搜索文件或文件夹；支持包含手机号分享和链接分享，被分享用户登录后可打开并查看分享文件。</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五、智慧教学桌面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 支持组件及应用，包含课表、日历、时钟、我的云盘、资源中心、我的电脑、回收站、文件快传、白板、传屏、展台。可任意添加或移除组件，已添加到桌面上的组件可任意拖动改变位置；支持将任意路径下的文件一键发送至教学桌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支持打开、查看资源中心及个人云盘；不少于50G个人云存储空间，支持查看、上传、下载。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支持以日历的形式呈现常规课程、互动课程、直播课程等列表；可直接切换点击日期查看对应的课程数量及列表。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常规课程：支持新建和设置课程名称、上课日期、时间，选择班级、关联课件，设置课件自动打开时间。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远程互动课程：支持新建和设置课程主题、开课日期、时间，设置成员加入课程自动上台、设置成员加入课程自动静音、设置课程密码、设置课程模式。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文件快传功能：支持移动端和大屏端之间的文件互传，支持通过扫码来选择上传文件。支持在大屏端选择要下发的文件，可以通过扫码将文件带走，实现文件共享。(</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桌面应用：支持查看多个桌面列表，可任意增加、删除桌面，并对桌面进行命名，点击桌面可快速定位到桌面。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 个性化设置：支持设置欢迎语，可设置文本内容、颜色、字体、字号、下划线、加粗、斜体等。支持设置在开机时自动启动教学桌面，设备开机将直接加载教学桌面界面；关闭后，开机后不会自动加载教学桌面，可通过点击相应的图标手动打开教学桌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 数据同步：支持个人定制化教学桌面，并自动同步到云端存储，支持跨大屏端实时同步数据应用。</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六、视频展台软件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1.支持账号登录、扫码登录、第三方账号登录，临时使用时可不登录。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2.工具：支持预设功能，可选工具包含：选择、批注、橡皮等。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3.操作：支持对实物展示画面做以下操作：重置、清空、保存、锁定、对比、右旋、撤销、还原、删除、放大、扫码、文本扫描、镜像等。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4.画面调节：支持调整实物展示画面的亮度、饱和度、对比度和分辨率。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▲5.批注：支持对实物展示画面进行批注，支持批注笔的粗细调节、颜色选择。具有批注擦除功能，可调整橡皮大小，手动擦除或一键清除笔迹；画面与批注内容可同步放缩、移动、旋转、保存。(</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6.拍照：支持普通拍照、连续拍照、延迟拍照三种拍照模式；支持照片导出，直接保存至本地，也支持转换成PDF文件保存到本地。支持二维码分享，也支持微信扫码带走资料。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▲7.同屏对比：支持将实物展示画面、照片及本地导入的图片进行对比，同时可支持9个画面对比。(</w:t>
            </w:r>
            <w:r>
              <w:rPr>
                <w:rFonts w:hint="eastAsia" w:ascii="宋体" w:hAnsi="宋体" w:cs="宋体"/>
                <w:b/>
                <w:bCs/>
                <w:color w:val="auto"/>
                <w:kern w:val="0"/>
                <w:sz w:val="20"/>
                <w:szCs w:val="20"/>
                <w:highlight w:val="none"/>
                <w:lang w:val="en-US" w:eastAsia="zh-CN" w:bidi="ar"/>
              </w:rPr>
              <w:t>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须提供具有CNAS或CMA检测报告复印件并加盖投标人公章</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761" w:type="dxa"/>
            <w:gridSpan w:val="6"/>
            <w:tcBorders>
              <w:top w:val="single" w:color="auto" w:sz="4" w:space="0"/>
              <w:left w:val="single" w:color="auto" w:sz="4" w:space="0"/>
              <w:bottom w:val="single" w:color="auto" w:sz="4" w:space="0"/>
              <w:right w:val="single" w:color="auto" w:sz="4" w:space="0"/>
            </w:tcBorders>
            <w:vAlign w:val="center"/>
          </w:tcPr>
          <w:p>
            <w:pPr>
              <w:widowControl/>
              <w:ind w:left="422" w:hanging="421" w:hangingChars="200"/>
              <w:textAlignment w:val="center"/>
              <w:rPr>
                <w:rFonts w:hint="eastAsia" w:ascii="宋体" w:hAnsi="宋体"/>
                <w:color w:val="auto"/>
                <w:szCs w:val="21"/>
                <w:highlight w:val="none"/>
              </w:rPr>
            </w:pPr>
            <w:r>
              <w:rPr>
                <w:rFonts w:hint="eastAsia" w:ascii="宋体" w:hAnsi="宋体" w:cs="宋体"/>
                <w:b/>
                <w:color w:val="auto"/>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交付使用时间及地点</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交付使用时间：自签订合同之日起，在30个日历日内交付使用并验收合格。</w:t>
            </w:r>
          </w:p>
          <w:p>
            <w:pPr>
              <w:widowControl/>
              <w:spacing w:line="440" w:lineRule="exact"/>
              <w:jc w:val="left"/>
              <w:rPr>
                <w:rFonts w:hint="eastAsia" w:ascii="宋体" w:hAnsi="宋体" w:cs="宋体"/>
                <w:color w:val="auto"/>
                <w:kern w:val="0"/>
                <w:sz w:val="20"/>
                <w:szCs w:val="20"/>
                <w:highlight w:val="none"/>
                <w:lang w:bidi="ar"/>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交付使用地点：采购人指定地点。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报价要求</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投标报价为采购人指定地点的现场交货价，包括但不限于：</w:t>
            </w:r>
          </w:p>
          <w:p>
            <w:pPr>
              <w:widowControl/>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（1）货物的价格：包括货款、杂配件、安装调试费、验收费；</w:t>
            </w:r>
          </w:p>
          <w:p>
            <w:pPr>
              <w:widowControl/>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（2）货物的标准附件、备品备件、专用工具的价格。</w:t>
            </w:r>
          </w:p>
          <w:p>
            <w:pPr>
              <w:widowControl/>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（3）运输、装卸、调试、培训、技术支持、售后服务费。</w:t>
            </w:r>
          </w:p>
          <w:p>
            <w:pPr>
              <w:widowControl/>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（4）招标代理服务费、保险费和各项税金。</w:t>
            </w:r>
          </w:p>
          <w:p>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仿宋"/>
                <w:color w:val="auto"/>
                <w:szCs w:val="21"/>
                <w:highlight w:val="none"/>
              </w:rPr>
              <w:t>在合同实施时，采购人将不予支付中标供应商没有列入的项目费用，并认为此项目的费用已包括在投标总报价中。</w:t>
            </w:r>
            <w:r>
              <w:rPr>
                <w:rFonts w:hint="eastAsia" w:ascii="宋体" w:hAnsi="宋体" w:cs="宋体"/>
                <w:color w:val="auto"/>
                <w:kern w:val="0"/>
                <w:szCs w:val="21"/>
                <w:highlight w:val="none"/>
                <w:lang w:bidi="ar"/>
              </w:rPr>
              <w:t>采购人不再支付任何费用。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付款方式</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olor w:val="auto"/>
                <w:szCs w:val="21"/>
                <w:highlight w:val="none"/>
              </w:rPr>
              <w:t>自签订合同之日起十个工作日内，甲方支付合同款总额30%作为预付款，货物交付并验收合格，乙方提供相应金额真实、合法、有效的正式发票后，甲方十个工作日内支付剩余款项。</w:t>
            </w:r>
            <w:r>
              <w:rPr>
                <w:rFonts w:hint="eastAsia" w:ascii="宋体" w:hAnsi="宋体" w:cs="宋体"/>
                <w:color w:val="auto"/>
                <w:kern w:val="0"/>
                <w:szCs w:val="21"/>
                <w:highlight w:val="none"/>
                <w:lang w:eastAsia="zh-CN"/>
              </w:rPr>
              <w:t>【乙方应提供货款全额的发票（货物采购须开具增值税专用发票）】。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质保期</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中标人负责免费送货上门、免费安装调试至合格。除“技术需求及要求”中另有约定外，其余货物按国家有关产品“三包”规定执行“三包”，质保期自货物验收合格之日起计算，不少于1年（若产品生产厂家免费质保期超过此年限的，合同履行过程中按厂家规定执行；若中标人质保期承诺优于产品生产厂家质保年限的，以中标人承诺执行）。</w:t>
            </w:r>
          </w:p>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在质量保证期内，在正常的操作下，出现的任何故障及损失，标人免费提供维修服务，免费提供系统软件升级。如涉及失效零件更换，该零件应由中标人提供免费上门服务。</w:t>
            </w:r>
            <w:r>
              <w:rPr>
                <w:rFonts w:ascii="宋体" w:hAnsi="宋体" w:cs="宋体"/>
                <w:color w:val="auto"/>
                <w:kern w:val="0"/>
                <w:szCs w:val="21"/>
                <w:highlight w:val="none"/>
                <w:lang w:bidi="ar"/>
              </w:rPr>
              <w:t>免费保修期外的服务承诺；免费提供终身技术支持服务承诺。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售后服务要求</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所投货物必须为经合法渠道销售的全新原装产品；</w:t>
            </w:r>
            <w:r>
              <w:rPr>
                <w:rFonts w:hint="eastAsia" w:ascii="宋体" w:hAnsi="宋体" w:cs="宋体"/>
                <w:bCs/>
                <w:color w:val="auto"/>
                <w:szCs w:val="21"/>
                <w:highlight w:val="none"/>
              </w:rPr>
              <w:t>免费送货上门、免费安装调试、免费培训。</w:t>
            </w:r>
          </w:p>
          <w:p>
            <w:pPr>
              <w:widowControl/>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安装调试和培训：到货后，中标人需在采购人指定的时间内进行安装调试；提供采购人的现场操作使用及基本维护的免费培训。</w:t>
            </w:r>
          </w:p>
          <w:p>
            <w:pPr>
              <w:widowControl/>
              <w:spacing w:line="440" w:lineRule="exact"/>
              <w:jc w:val="left"/>
              <w:rPr>
                <w:rFonts w:hint="eastAsia" w:ascii="宋体" w:hAnsi="宋体" w:cs="宋体"/>
                <w:color w:val="auto"/>
                <w:kern w:val="0"/>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服务响应时间：质量保证期内，中标人应当提供24小时电话支持服务。采购人遇到使用或技术问题，中标人应在接到通知后24小时内响应，48个小时内排除故障。特殊情况无法到达须提前与采购人沟通。设备出现严重故障无法修复的，质保期内中标人应无条件更换新货物或提供代用货物，或采取使货物可正常运转的措施，并出具书面报告给采购人，双方按实际情况协商修复时限。产生的一切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Cs w:val="21"/>
                <w:highlight w:val="none"/>
              </w:rPr>
              <w:t>验收标准</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由采购人邀请相关部门及有关技术专家按照招标文件要求、合同及中标人承诺的技术要求和质量标准验收（必要时将邀请第三方专业的检测机构协助验收）。</w:t>
            </w:r>
          </w:p>
          <w:p>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验收标准、规范：</w:t>
            </w:r>
          </w:p>
          <w:p>
            <w:pPr>
              <w:widowControl/>
              <w:spacing w:line="440" w:lineRule="exact"/>
              <w:ind w:left="420" w:leftChars="200"/>
              <w:jc w:val="left"/>
              <w:rPr>
                <w:rFonts w:hint="eastAsia" w:ascii="宋体" w:hAnsi="宋体" w:cs="宋体"/>
                <w:bCs/>
                <w:color w:val="auto"/>
                <w:szCs w:val="21"/>
                <w:highlight w:val="none"/>
              </w:rPr>
            </w:pPr>
            <w:r>
              <w:rPr>
                <w:rFonts w:hint="eastAsia" w:ascii="宋体" w:hAnsi="宋体" w:cs="宋体"/>
                <w:bCs/>
                <w:color w:val="auto"/>
                <w:szCs w:val="21"/>
                <w:highlight w:val="none"/>
              </w:rPr>
              <w:t>1）项目需求文件及成交人响应文件中的“技术响应、偏离情况说明表，逐条验收；</w:t>
            </w:r>
          </w:p>
          <w:p>
            <w:pPr>
              <w:widowControl/>
              <w:spacing w:line="440" w:lineRule="exact"/>
              <w:ind w:left="420" w:leftChars="200"/>
              <w:jc w:val="left"/>
              <w:rPr>
                <w:rFonts w:hint="eastAsia" w:ascii="宋体" w:hAnsi="宋体" w:cs="宋体"/>
                <w:bCs/>
                <w:color w:val="auto"/>
                <w:szCs w:val="21"/>
                <w:highlight w:val="none"/>
              </w:rPr>
            </w:pPr>
            <w:r>
              <w:rPr>
                <w:rFonts w:hint="eastAsia" w:ascii="宋体" w:hAnsi="宋体" w:cs="宋体"/>
                <w:bCs/>
                <w:color w:val="auto"/>
                <w:szCs w:val="21"/>
                <w:highlight w:val="none"/>
              </w:rPr>
              <w:t>2）项目需求文件及成交人响应文件中的“商务响应表”，逐条验收；</w:t>
            </w:r>
          </w:p>
          <w:p>
            <w:pPr>
              <w:widowControl/>
              <w:spacing w:line="440" w:lineRule="exact"/>
              <w:ind w:left="420" w:leftChars="200"/>
              <w:jc w:val="left"/>
              <w:rPr>
                <w:rFonts w:hint="eastAsia" w:ascii="宋体" w:hAnsi="宋体" w:cs="宋体"/>
                <w:bCs/>
                <w:color w:val="auto"/>
                <w:szCs w:val="21"/>
                <w:highlight w:val="none"/>
              </w:rPr>
            </w:pPr>
            <w:r>
              <w:rPr>
                <w:rFonts w:hint="eastAsia" w:ascii="宋体" w:hAnsi="宋体" w:cs="宋体"/>
                <w:bCs/>
                <w:color w:val="auto"/>
                <w:szCs w:val="21"/>
                <w:highlight w:val="none"/>
              </w:rPr>
              <w:t>3）成交人响应文件中其他技术、服务、商务性的说明、承诺事项，逐条验收；</w:t>
            </w:r>
          </w:p>
          <w:p>
            <w:pPr>
              <w:widowControl/>
              <w:spacing w:line="440" w:lineRule="exact"/>
              <w:ind w:left="420" w:left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4）国家相关法律、法规、标准和规范等。</w:t>
            </w:r>
            <w:r>
              <w:rPr>
                <w:rFonts w:hint="eastAsia"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szCs w:val="21"/>
                <w:highlight w:val="none"/>
              </w:rPr>
              <w:t>核心产品</w:t>
            </w:r>
          </w:p>
        </w:tc>
        <w:tc>
          <w:tcPr>
            <w:tcW w:w="7844"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分标</w:t>
            </w:r>
            <w:r>
              <w:rPr>
                <w:rFonts w:hint="eastAsia" w:ascii="宋体" w:hAnsi="宋体" w:cs="宋体"/>
                <w:b/>
                <w:bCs/>
                <w:color w:val="auto"/>
                <w:szCs w:val="21"/>
                <w:highlight w:val="none"/>
                <w:lang w:eastAsia="zh-CN"/>
              </w:rPr>
              <w:t>项号</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户内全彩LED屏</w:t>
            </w:r>
            <w:r>
              <w:rPr>
                <w:rFonts w:hint="eastAsia" w:ascii="宋体" w:hAnsi="宋体" w:cs="宋体"/>
                <w:b/>
                <w:bCs/>
                <w:color w:val="auto"/>
                <w:szCs w:val="21"/>
                <w:highlight w:val="none"/>
              </w:rPr>
              <w:t>”</w:t>
            </w:r>
            <w:r>
              <w:rPr>
                <w:rFonts w:hint="eastAsia" w:ascii="宋体" w:hAnsi="宋体" w:cs="宋体"/>
                <w:color w:val="auto"/>
                <w:szCs w:val="21"/>
                <w:highlight w:val="none"/>
              </w:rPr>
              <w:t>为本次采购的核心产品。</w:t>
            </w:r>
          </w:p>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b/>
                <w:color w:val="auto"/>
                <w:szCs w:val="21"/>
                <w:highlight w:val="none"/>
              </w:rPr>
              <w:t>其他要求及说明</w:t>
            </w:r>
          </w:p>
        </w:tc>
        <w:tc>
          <w:tcPr>
            <w:tcW w:w="7844" w:type="dxa"/>
            <w:gridSpan w:val="4"/>
            <w:tcBorders>
              <w:top w:val="single" w:color="auto" w:sz="4" w:space="0"/>
              <w:left w:val="single" w:color="auto" w:sz="4" w:space="0"/>
              <w:bottom w:val="single" w:color="auto" w:sz="4" w:space="0"/>
              <w:right w:val="single" w:color="auto" w:sz="4" w:space="0"/>
            </w:tcBorders>
          </w:tcPr>
          <w:p>
            <w:pPr>
              <w:widowControl/>
              <w:numPr>
                <w:ilvl w:val="0"/>
                <w:numId w:val="16"/>
              </w:num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所投产品必须是原厂生产的全新的、未使用过的、检验合格的优质产品，产品质量符合国家相关规定。</w:t>
            </w:r>
          </w:p>
          <w:p>
            <w:pPr>
              <w:widowControl/>
              <w:numPr>
                <w:ilvl w:val="0"/>
                <w:numId w:val="16"/>
              </w:num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投标人在投标文件中</w:t>
            </w:r>
            <w:r>
              <w:rPr>
                <w:rFonts w:hint="eastAsia" w:ascii="宋体" w:hAnsi="宋体" w:cs="宋体"/>
                <w:color w:val="auto"/>
                <w:szCs w:val="21"/>
                <w:highlight w:val="none"/>
                <w:lang w:eastAsia="zh-CN" w:bidi="ar"/>
              </w:rPr>
              <w:t>请</w:t>
            </w:r>
            <w:r>
              <w:rPr>
                <w:rFonts w:hint="eastAsia" w:ascii="宋体" w:hAnsi="宋体" w:cs="宋体"/>
                <w:color w:val="auto"/>
                <w:szCs w:val="21"/>
                <w:highlight w:val="none"/>
                <w:lang w:bidi="ar"/>
              </w:rPr>
              <w:t>提供本项目详细的项目实施方案、安装调试方案、售后服务方案。</w:t>
            </w:r>
          </w:p>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政策功能：</w:t>
            </w:r>
          </w:p>
          <w:p>
            <w:pPr>
              <w:widowControl/>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zh-CN"/>
              </w:rPr>
              <w:t>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扫描件或其他电子文件并加盖投标人公章，否则投标无效</w:t>
            </w:r>
            <w:r>
              <w:rPr>
                <w:rFonts w:hint="eastAsia" w:ascii="宋体" w:hAnsi="宋体" w:cs="宋体"/>
                <w:b/>
                <w:bCs/>
                <w:color w:val="auto"/>
                <w:szCs w:val="21"/>
                <w:highlight w:val="none"/>
              </w:rPr>
              <w:t>。</w:t>
            </w:r>
          </w:p>
          <w:p>
            <w:pPr>
              <w:widowControl/>
              <w:numPr>
                <w:ilvl w:val="255"/>
                <w:numId w:val="0"/>
              </w:num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扫描件或其他电子文件并加盖磋商供应商公章，否则不予认定。</w:t>
            </w:r>
          </w:p>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投标产品的配件（辅材）涉及节能认证、国家强制认证的，在验收时必须提供产品、配件的相关节能认证证书、国家强制认证证书，不能提供认证证书的采购人有权拒绝验收，由此产生的一切后果由供应商承担。</w:t>
            </w:r>
          </w:p>
          <w:p>
            <w:pPr>
              <w:widowControl/>
              <w:shd w:val="clear" w:color="auto" w:fill="FFFFFF"/>
              <w:jc w:val="left"/>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color w:val="auto"/>
                <w:highlight w:val="none"/>
                <w:lang w:val="en-US" w:eastAsia="zh-CN"/>
              </w:rPr>
              <w:t>5.</w:t>
            </w:r>
            <w:r>
              <w:rPr>
                <w:rFonts w:hint="eastAsia" w:ascii="宋体" w:hAnsi="宋体" w:cs="仿宋_GB2312"/>
                <w:b/>
                <w:color w:val="auto"/>
                <w:szCs w:val="21"/>
                <w:highlight w:val="none"/>
              </w:rPr>
              <w:t>本分标不接受整套进口产品投标</w:t>
            </w:r>
            <w:r>
              <w:rPr>
                <w:rFonts w:hint="eastAsia" w:ascii="仿宋" w:hAnsi="仿宋" w:eastAsia="仿宋"/>
                <w:b/>
                <w:color w:val="auto"/>
                <w:szCs w:val="21"/>
                <w:highlight w:val="none"/>
              </w:rPr>
              <w:t>。</w:t>
            </w:r>
          </w:p>
        </w:tc>
      </w:tr>
    </w:tbl>
    <w:p>
      <w:pPr>
        <w:widowControl/>
        <w:jc w:val="left"/>
        <w:rPr>
          <w:color w:val="auto"/>
          <w:highlight w:val="none"/>
        </w:rPr>
      </w:pPr>
      <w:r>
        <w:rPr>
          <w:color w:val="auto"/>
          <w:highlight w:val="none"/>
        </w:rPr>
        <w:br w:type="page"/>
      </w:r>
    </w:p>
    <w:p>
      <w:pPr>
        <w:pStyle w:val="23"/>
        <w:outlineLvl w:val="0"/>
        <w:rPr>
          <w:color w:val="auto"/>
          <w:highlight w:val="none"/>
        </w:rPr>
      </w:pPr>
      <w:r>
        <w:rPr>
          <w:rFonts w:hint="eastAsia"/>
          <w:b/>
          <w:bCs/>
          <w:color w:val="auto"/>
          <w:highlight w:val="none"/>
        </w:rPr>
        <w:t xml:space="preserve">   分标3：</w:t>
      </w:r>
    </w:p>
    <w:tbl>
      <w:tblPr>
        <w:tblStyle w:val="53"/>
        <w:tblW w:w="9944"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207"/>
        <w:gridCol w:w="167"/>
        <w:gridCol w:w="1035"/>
        <w:gridCol w:w="945"/>
        <w:gridCol w:w="5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项号</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货物名称</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数 量</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单位</w:t>
            </w:r>
          </w:p>
        </w:tc>
        <w:tc>
          <w:tcPr>
            <w:tcW w:w="58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阶梯教室</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桌椅前排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176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站脚：采用铝合金一体压铸成型，无毛刺，无焊接，表面作防氧化处理后经高温喷涂处理附着力强，抗冲击、耐腐蚀、不生锈、不褪色、经久耐用，站脚平地高度：800mm、（有台阶加高高度900mm）站脚宽度：50mm，站脚底部长度170mm,三角孔位固定螺丝，外盖3个螺丝盖。</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w:t>
            </w:r>
            <w:r>
              <w:rPr>
                <w:rFonts w:hint="eastAsia" w:ascii="宋体" w:hAnsi="宋体" w:cs="宋体"/>
                <w:color w:val="auto"/>
                <w:kern w:val="0"/>
                <w:sz w:val="20"/>
                <w:szCs w:val="20"/>
                <w:highlight w:val="none"/>
                <w:lang w:bidi="ar"/>
              </w:rPr>
              <w:t>2.写字板：桌面板采用厚宽度300mm刨花板桌板双面贴防火板（面板颜色为榉木色），木纹浮雕面，桌面前后两边采用防火板包边，（要求PVC与桌面颜色及木纹统一、匹配），环保耐用。左右两边采用1.5mm厚PVC热熔封边处理（要求PVC与桌面颜色及木纹统一、匹配），环保耐用。桌面回位机构桌面防止人与桌面边角发生碰撞而受伤。</w:t>
            </w:r>
          </w:p>
          <w:p>
            <w:pPr>
              <w:widowControl/>
              <w:jc w:val="left"/>
              <w:textAlignment w:val="center"/>
              <w:rPr>
                <w:color w:val="auto"/>
                <w:highlight w:val="none"/>
              </w:rPr>
            </w:pPr>
            <w:r>
              <w:rPr>
                <w:rFonts w:hint="eastAsia" w:ascii="宋体" w:hAnsi="宋体" w:cs="宋体"/>
                <w:color w:val="auto"/>
                <w:kern w:val="0"/>
                <w:sz w:val="20"/>
                <w:szCs w:val="20"/>
                <w:highlight w:val="none"/>
                <w:lang w:bidi="ar"/>
              </w:rPr>
              <w:t>3.固定支架：固定桌面支撑件，采用1.5mm厚优质钢板冲压成型，无毛刺，无焊接；表面经喷涂处理，防锈蚀，经久耐用。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4.书网：采用优质φ5×φ3mm冷拉钢丝、表面采用静电喷涂处理。书篓内腔不小于100mm方便放取书物。采用4颗M6螺丝连接于铝合金站脚左右两边，保证牢固不松动。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椅背：430mm(高）×517mm（宽）×10mm（厚），外型根据人体工程学设计，背板采用10mm多层板优质旋切木经模具热压成型并双面压防火板，采用环保油漆和环保胶粘接，防潮、耐用、不褪色.框架采用优质钢板经模具加工成型后焊接而成.背框横条采用1.5mm优质钢板经模压型，表面做防氧化处理后，高温喷涂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阶梯教室</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桌椅中排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396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座椅高度为 930mm，台面板基准点离地 750mm，座椅中心距520mm，座板基准点离地 450mm，排距约900mm。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产品材质说明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1.站脚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采用优质ADC12铝合金材料一体压铸成型，站脚宽50mm，高度930mm，带有深315mm宽50mm扶手，扶手到地高度为650mm，扶手呈微斜形下设有加强筋，站脚底部长度为355mm，孔距为310mm，厚度为25mm，需要打2颗8*60mm地爆膨胀螺丝与地面固定，转轴直径80mm，内部设计有卡槽，与220*80/90*13mm铝合金座托无缝镶嵌式链接，座托处装有消音垫及旋转轴套，具有静音式自动回复功能，为了安全及美观连排两端镶嵌长438mm宽40mm绿色夜光装饰盖，站脚整体外观采用专用金属粉末喷涂处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2.椅背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椅背的整体外部尺寸为宽470mm、高435mm。其上下压条采用优质1.2</w:t>
            </w:r>
            <w:r>
              <w:rPr>
                <w:rFonts w:hint="eastAsia" w:ascii="宋体" w:hAnsi="宋体" w:cs="宋体"/>
                <w:color w:val="auto"/>
                <w:kern w:val="0"/>
                <w:sz w:val="20"/>
                <w:szCs w:val="20"/>
                <w:highlight w:val="none"/>
                <w:lang w:val="en-US" w:eastAsia="zh-CN" w:bidi="ar"/>
              </w:rPr>
              <w:t>mm铝合金</w:t>
            </w:r>
            <w:r>
              <w:rPr>
                <w:rFonts w:hint="eastAsia" w:ascii="宋体" w:hAnsi="宋体" w:cs="宋体"/>
                <w:color w:val="auto"/>
                <w:kern w:val="0"/>
                <w:sz w:val="20"/>
                <w:szCs w:val="20"/>
                <w:highlight w:val="none"/>
                <w:lang w:bidi="ar"/>
              </w:rPr>
              <w:t>材质，经过精密模具冲压锻造焊接成型，确保了优良的耐用性和稳定性。椅背的框架与站脚设计为镶嵌式结构，这种设计不仅提升了椅子的整体美观度，同时也显著增强了结构的稳固性。框架与站脚之间采用白内柱螺丝串联的独特方式，使得整体结构更为简洁和优雅。靠背板选用10mm多层板，经过双面热压防火皮处理，既美观大方，又具备优秀的耐用性和防火性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3.椅座：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椅座采用优质多层板材料，经过精密双面热压工艺处理，覆盖防火皮，确保其安全性和耐用性。外观尺寸为深度425mm、宽度447mm、厚度15mm，既符合人体工程学原理，又保证了舒适性和实用性。座板与铝合金回复机构采用穿透式螺丝连接方式，使整体结构更加稳固，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4.铝合金座托：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采用高品质的铝合金基材，经过精密模具一体压铸成型，长度为218mm，宽为80mm，弧度与坐板弧度相吻合，表面施以粉末喷涂工艺，确保涂层附着力强且不易剥落。产品配备重力铁及消音垫，实现静音式重力自动回复功能，有效防止夹手，整体结构坚固耐用，确保长期使用性能稳定可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5.固定写字桌：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采用宽度为300mm厚度为25mm的刨花板作为基材，双面热压0.8mm的优质防火板。正面防火板经过热弯处理，形成圆弧形状。短边采用2mmPVC封边工艺。同时，采用冷轧钢板冲压成型长220mm高105mm的支架与站脚进行连接，确保承重力达到25公斤以上。在板面下方，装有冷拉钢丝书网，采用5mm及3mm的冷轧钢丝经过折弯焊接成型，形成书网兜，其内空不小于100mm，整体外观采用专用金属粉末喷涂处理。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（注：该产品的尺寸是通过手工测量得出的，部分区域可能会有5mm内的误差，这在正常范围内。）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阶梯教室</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桌椅后排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176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座椅高度为 930mm，台面板基准点离地 750mm，座椅中心距520mm，座板基准点离地 450mm，建议排距900mm。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产品材质说明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1.站脚：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采用优质ADC12铝合金材料一体压铸成型，站脚宽50mm，高度930mm，带有深315mm宽50mm扶手，扶手到地高度为650mm，扶手呈微斜形下设有加强筋，站脚底部长度为355mm，孔距为310mm，厚度为25mm，需要打2颗8*60mm地爆膨胀螺丝与地面固定，转轴直径80mm，内部设计有卡槽，与220*80/90*13mm铝合金座托无缝镶嵌式链接，座托处装有消音垫及旋转轴套，具有静音式自动回复功能，为了安全及美观连排两端镶嵌长438mm宽40mm绿色夜光装饰盖，站脚整体外观采用专用金属粉末喷涂处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2.椅背：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椅背的整体外部尺寸为宽470mm、高435mm。其上下压条采用优质1.2材质，经过精密模具冲压锻造焊接成型，确保了优良的耐用性和稳定性。椅背的框架与站脚设计为镶嵌式结构，这种设计不仅提升了椅子的整体美观度，同时也显著增强了结构的稳固性。框架与站脚之间采用白内柱螺丝串联的独特方式，使得整体结构更为简洁和优雅。靠背板选用10mm多层板，经过双面热压防火皮处理，既美观大方，又具备优秀的耐用性和防火性能。这款椅背设计在外观与实用舒适性之间达到了完美的平衡，既美观又坚固耐用，满足了用户对高品质座椅的追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3.椅座：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椅座采用优质多层板材料，经过精密双面热压工艺处理，覆盖防火皮，确保其安全性和耐用性。外观尺寸为深度425mm、宽度447mm、厚度15mm，既符合人体工程学原理，又保证了舒适性和实用性。座板与铝合金回复机构采用穿透式螺丝连接方式，使整体结构更加稳固，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4.铝合金座托：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采用高品质的铝合金基材，经过精密模具一体压铸成型，长度为218mm，宽为80mm，弧度与坐板弧度相吻合，表面施以粉末喷涂工艺，确保涂层附着力强且不易剥落。产品配备重力铁及消音垫，实现静音式重力自动回复功能，有效防止夹手，整体结构坚固耐用，确保长期使用性能稳定可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（注：该产品的尺寸是通过手工测量得出的，部分区域可能会有5mm内的误差，这在正常范围内。）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教室桌椅</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前排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1.前排站脚：采用铝合金一体压铸成型，无毛刺，无焊接，表面作防氧化处理后经高温喷涂处理附着力强，抗冲击、耐腐蚀、不生锈、不褪色、经久耐用，站脚平地高度：800mm、（有台阶加高高度900mm）站脚宽度：50mm，站脚底部长度170mm,三角孔位固定螺丝，外盖3个螺丝盖。防尘、安全、美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写字板：桌面板采用厚宽度300mm刨花板桌板双面贴防火板（面板颜色为榉木色），木纹浮雕面，桌面前后两边采用防火板包边，（要求PVC与桌面颜色及木纹统一、匹配），环保耐用。左右两边采用1.5mm厚PVC热熔封边处理（要求PVC与桌面颜色及木纹统一、匹配），环保耐用。桌面回位机构桌面防止人与桌面边角发生碰撞而受伤，安全、牢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固定支架：固定桌面支撑件，采用1.5mm厚优质钢板冲压成型，无毛刺，无焊接；表面经喷涂处理，防锈蚀，经久耐用。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4.书网：采用优质φ5×φ3mm冷拉钢丝、表面采用静电喷涂处理。书篓内腔不小于100mm方便放取书物。采用4颗M6螺丝连接于铝合金站脚左右两边，保证牢固不松动。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背：430mm(高）×517mm（宽）×10mm（厚），外型根据人体工程学设计，背板采用10mm多层板优质旋切木经模具热压成型并双面压防火板，采用环保油漆和环保胶粘接，防潮、耐用、不褪色.框架采用优质钢板经模具加工成型后焊接而成.背框横条采用1.5mm优质钢板经模压型，表面做防氧化处理后，高温喷涂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5</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教室桌椅</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中排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156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1.规格 中心距:520mm、座高：450mm、整椅深度:555mm。写字板高度：750mm。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2.写字板 桌面板采用厚宽度150mm多层板双面贴防火板（面板颜色为榉木色），木纹浮雕面，桌面前后两边采用防火板包边，采用铰链机构，带有活动作用，方便使用。（要求PVC与桌面颜色及木纹统一、匹配），环保耐用。左右两边采用1.5mm厚PVC热熔封边处理（要求PVC与桌面颜色及木纹统一、匹配），环保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3.站脚: 采用铝合金一体压铸成型，无毛刺，无焊接，表面作防氧化处理后经高温喷涂处理附着力强，抗冲击、耐腐蚀、不生锈、不褪色、经久耐用，站脚高度：900mm、站脚厚度：50mm，站脚前后宽度:368mm.脚底部到座板转轴高度：392mm。全包围式地脚螺丝孔内藏式地爆螺丝。站脚底部长度355mm, 站脚固定安装孔距不小于308mm，固定螺丝可根据地面情况特定长度，外盖2个螺丝盖。防尘、安全、美观。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4.椅背: 490mm(高）×517mm（宽）×10mm（厚），外型根据人体工程学设计，背板采用10mm多层板优质旋切木经模具热压成型并双面压防火板，采用环保油漆和环保胶粘接，防潮、耐用、不褪色.框架采用优质钢板经模具加工成型后焊接而成.背框横条采用1.5mm优质钢板经模压型，表面做防氧化处理后，高温喷涂处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5.椅: 座 430mm(深）×450mm（宽）×15mm（厚），采用不小于15mm多层板优质旋切木经模具热压成型并双面压防火板，采用环保胶粘接，防潮、耐用、不褪色。板与铝合金一体压铸成型角码采用穿透式连接，采用M8圆柱头六角螺丝2个/角码，整体弧度及曲线符合人体工程学设计。强度高，抗老化，经久耐用，坐感舒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桌面支撑件 固定桌面支撑件，采用1.5mm厚优质钢板冲压成型，无毛刺，无焊接；表面经喷涂处理，防锈蚀，经久耐用。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6.书网:采用优质φ5×φ3mm冷拉钢丝、表面采用静电喷涂处理。书篓内腔不小于100mm方便放取书物。采用4颗M6螺丝连接于铝合金站脚左右两边，保证牢固不松动。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7.回复机构 采用13mm厚铝合金一体压铸成型座角码，无毛刺，无焊接，防夹手功能，座角码表面作防氧化处理后，高温喷涂处理。静音处理得力回复机构，坚固耐用。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6</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教室桌椅</w:t>
            </w:r>
          </w:p>
          <w:p>
            <w:pPr>
              <w:widowControl/>
              <w:jc w:val="center"/>
              <w:textAlignment w:val="center"/>
              <w:rPr>
                <w:color w:val="auto"/>
                <w:highlight w:val="none"/>
              </w:rPr>
            </w:pPr>
            <w:r>
              <w:rPr>
                <w:rFonts w:hint="eastAsia" w:ascii="宋体" w:hAnsi="宋体" w:cs="宋体"/>
                <w:color w:val="auto"/>
                <w:kern w:val="0"/>
                <w:sz w:val="20"/>
                <w:szCs w:val="20"/>
                <w:highlight w:val="none"/>
                <w:lang w:bidi="ar"/>
              </w:rPr>
              <w:t>后排</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位</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numPr>
                <w:ilvl w:val="255"/>
                <w:numId w:val="0"/>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1.规格中心距:520mm、座高：450mm、整椅深度:555mm、写字板高度：750mm。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站脚：采用铝合金一体压铸成型，无毛刺，无焊接，表面作防氧化处理后经高温喷涂处理附着力强，抗冲击、耐腐蚀、不生锈、不褪色、经久耐用，站脚高度：900mm、站脚厚度：50mm，站脚前后宽度:368mm.脚底部到座板转轴高度：392mm。全包围式地脚螺丝孔内藏式地爆螺丝。站脚底部长度355mm, 站脚固定安装孔距不小于308mm，固定螺丝可根据地面情况特定长度，外盖2个螺丝盖。防尘、安全、美观。</w:t>
            </w:r>
          </w:p>
          <w:p>
            <w:pPr>
              <w:widowControl/>
              <w:numPr>
                <w:ilvl w:val="0"/>
                <w:numId w:val="17"/>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椅背 490mm(高）×517mm（宽）×10mm（厚），外型根据人体工程学设计，背板采用10mm多层板优质旋切木经模具热压成型并双面压防火板，采用环保油漆和环保胶粘接，防潮、耐用、不褪色.框架采用优质钢板经模具加工成型后焊接而成.背框横条采用1.5mm优质钢板经模压型，表面做防氧化处理后，高温喷涂处理。</w:t>
            </w:r>
          </w:p>
          <w:p>
            <w:pPr>
              <w:widowControl/>
              <w:jc w:val="left"/>
              <w:textAlignment w:val="center"/>
              <w:rPr>
                <w:color w:val="auto"/>
                <w:highlight w:val="none"/>
              </w:rPr>
            </w:pPr>
            <w:r>
              <w:rPr>
                <w:rFonts w:hint="eastAsia" w:ascii="宋体" w:hAnsi="宋体" w:cs="宋体"/>
                <w:color w:val="auto"/>
                <w:kern w:val="0"/>
                <w:sz w:val="20"/>
                <w:szCs w:val="20"/>
                <w:highlight w:val="none"/>
                <w:lang w:bidi="ar"/>
              </w:rPr>
              <w:t>4.椅座 430mm(深）×450mm（宽）×15mm（厚），采用不小于15mm多层板优质旋切木经模具热压成型并双面压防火板，采用环保胶粘接，防潮、耐用、不褪色。板与铝合金一体压铸成型角码采用穿透式连接，采用M8圆柱头六角螺丝2个/角码，整体弧度及曲线符合人体工程学设计。强度高，抗老化，经久耐用，坐感舒适。5.桌面支撑件 固定桌面支撑件，采用1.5mm厚优质钢板冲压成型，无毛刺，无焊接；表面经喷涂处理，防锈蚀，经久耐用。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6.书网:采用优质φ5×φ3mm冷拉钢丝、表面采用静电喷涂处理。书篓内腔不小于100mm方便放取书物。采用4颗M6螺丝连接于铝合金站脚左右两边，保证牢固不松动。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7.回复机构:采用13mm厚铝合金一体压铸成型座角码，无毛刺，无焊接，防夹手功能，座角码表面作防氧化处理后，高温喷涂处理。静音处理得力回复机构，坚固耐用。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7</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学生桌子</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66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规格:尺寸:800*430*500。</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1.材质：钢木结合，桌面为厚度25mm三聚氰胺环保板材（颜色可选）基材环保板材含浸渍胶膜纸饰面刨花板、符合GB 18580-2017《室内装饰装修材料 人造板及其制品中甲醛释放限量》、加厚双色封边条；下体设有钢制置物架，可放置书本用品，主架采用1.5mm厚度冷轧钢板冲压成型，增加桌子的稳固性桌底有支撑横梁、桌腿采用1.5mm厚度钢架，桌底两桌腿中间设有钢制挡板，桌脚配有黑色静音防滑PU万向轮。GB/T 3325-2017《金属家具通用技术条件》、GB/T 700-2006《碳素结构钢》。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2.制作工艺：主体钢材采用除油、除锈、磷化、静电喷涂工艺处理，涂层均匀牢固，无流挂、气泡等缺陷。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3.功能：适用于会议室，研讨室，办公室、展厅、课外活动桌，课桌等，配有移动万向轮，移动方便，方便参与者沟通。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4.外观设计：符合人体工程学结构设计，产品可折叠、可堆叠、可移动，外观规整，色泽均匀，无明显瑕疵。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8</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学生椅子</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66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1.550mmX460mmX900mm 座板&amp;脚盘 统一采用PP原生料注塑成型,具有抗老化，不褪色，韧性强，结实耐用。                                                                                                                                                                                                                                          2.座板托盘采用3厘厚连钢钢板冲压成型 四周无缝连接包裹座板 用8厘防滑内六角螺丝连接 稳固性强 不易脱落。                                                                                                               3.气杆采用三级气杆。通过安全检测，符合国家及行业安全标准。                                                                                                                                                                                        4.脚轮采用品牌万向轮。整体功能：椅子可360度旋转,具备升降功能。脚盘里可放资料、书包等。可踏脚。坐背板有扶手可以挂书包</w:t>
            </w:r>
            <w:r>
              <w:rPr>
                <w:rFonts w:hint="eastAsia" w:ascii="宋体" w:hAnsi="宋体" w:cs="宋体"/>
                <w:strike/>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9</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长条双人桌</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64</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1.材质：钢木结合，桌面为厚度25mm三聚氰胺环保板材（颜色可选）基材环保板材含浸渍胶膜纸饰面刨花板、符合GB 18580-2017《室内装饰装修材料 人造板及其制品中甲醛释放限量》、加厚双色封边条；下体设有钢制置物架，可放置书本用品，主架采用1.5mm厚度冷轧钢板冲压成型，增加桌子的稳固性桌底有支撑横梁、桌腿采用1.5mm厚度钢架，桌底两桌腿中间设有钢制挡板，桌脚配有黑色静音防滑PU万向轮。GB/T 3325-2017《金属家具通用技术条件》、GB/T 700-2006《碳素结构钢》。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2.制作工艺：主体钢材采用除油、除锈、磷化、静电喷涂工艺处理，涂层均匀牢固，无流挂、气泡等缺陷。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3.功能：适用于会议室，研讨室，办公室、展厅、课外活动桌，课桌等，配有移动万向轮，移动方便，方便参与者沟通。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4.外观设计：1200mm*450mm*750mm符合人体工程学理念及个性化需求，可折叠、堆叠、移动，造型美观大方，符合现代特色。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10</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长条桌椅子</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128</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w:t>
            </w:r>
            <w:r>
              <w:rPr>
                <w:rFonts w:hint="eastAsia" w:ascii="宋体" w:hAnsi="宋体" w:cs="宋体"/>
                <w:color w:val="auto"/>
                <w:kern w:val="0"/>
                <w:sz w:val="20"/>
                <w:szCs w:val="20"/>
                <w:highlight w:val="none"/>
                <w:lang w:bidi="ar"/>
              </w:rPr>
              <w:t>1.一体成型塑料胶板，全新PP料，符合环保要求（符合GB 28481-2012&lt;塑料家具中有害物质限量&gt;有证书）。厚度8mm(椅身），胶背净重2.6KG。背宽410mm，对背部支持作用更好，包裹性更强，符合人体工学概念；结构稳定，可承重130KG，胶背34KG12万次循环推背测试，有BIFMA测试证书；（常规6色可选、可接受定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2.椅领为衣领设计，方便单手搬运，加上腰身部分手提式设计，更加符合人体力学，方便不同人群移动椅子。背部的线条设计，也一定程度增加背部支撑力，腰部支撑更加有效，符合人体工学概念；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3.优质钢架@19mm*1.5mm厚；喷涂脚架，表面经酸洗、磷化等防锈处理，流水线静电喷涂，具有耐磨，防腐，抗老化等性能。特制固定脚垫，使产品处于水平状态，全新PVC制作。可以堆叠。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4.防滑耐落螺丝8.8级加硬；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5.尺寸（MM）：椅深545.椅宽510.椅高805。座宽410.座深445.座高425。胶背高度370.衣领深度45.笑口高度50。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实验凳</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150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1.样式：螺纹升降圆凳；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2.凳面直径：29cm；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3.凳面材质：201不锈钢；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4.凳脚材质：电镀铁；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4.带PP实心耐磨脚钉；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5高度：43-58cm。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多媒体讲台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套</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规格：1140*820*1000mm。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1.选用1.2mm优质冷轧钢板，经数控设备加工而成，表面除油、酸洗、磷化、防腐、防锈、钝化后静电喷塑，色彩牢固，经久耐用，灰白色（主体）+橡木（扶手、装饰板）；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上柜体：讲台实木扶手及背板选用橡木精细加工而成，表面增光处理。桌面选用E1级环保高密度防火板，耐酸碱、防火、防潮、耐划伤、纹路精美。显示器翻转设计，角度可根据教师身高或光线强弱调整倾斜角度。键盘向外翻转，键盘托有调节挡板，可根据键盘大小调整位置，固定键盘。内部面板可开孔安装中控，方便教学设备使用。面板有鼠标槽，方便鼠标闲置时放置。柜体背面开有通风散热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下柜体选用优质冷轧钢板制作，国标19英寸机架，上下可调节托盘，轻松应对各种尺寸的设备，前侧对开门设计，留有小窗口，方便各种设备的操作。讲台后侧上下两门均可打开，方便设备安装维护。柜体正面及左右两侧开有精美通风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4.一把钥匙控制整个讲台，翻转开启显示器盖板，键盘托盘可翻转，右侧抽拉隐藏式视频展台；对开下柜门，操作相应的设备；（可选装IC卡电子锁和漏电保护装置）；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5.讲台整体设计符合人体工程学，整体高度适中，显示器角度可调，白灰色和实木色双色彩合理搭配，精致优雅，美观大方，高度集成。上下分体式设计，便于维护、搬运和仓储；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6.上柜体内预留空间，可安装17-21寸液晶显示器，键盘、鼠标、中央控制器面板、电源插座、视频展台；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7.下柜体内配有可调节托盘，可安装电脑主机、中央控制器主机、DVD、卡座、功放、话筒主机等设备。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教师椅</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把</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1.规格：长470mm*宽440mm（±30mm），坐凳可调节高度≥90mm；椅背长440mm*高470mm（±30mm）；五星脚直径600mm（±30mm）。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2.坐垫采用加厚海绵，不少于50mm厚度。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3.固定扶手。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4.靠背采用透气网布。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5.底盘为加厚钢制，脚轮为PU包边静音椅轮，沉稳无阻。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6.采用加厚钢板冲压成型托盘，SGS认证气压杆。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组合式</w:t>
            </w:r>
          </w:p>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八边形</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学习桌椅</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套</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1.八边形组合式学习桌椅；每张桌子配备一把椅子，一套1桌8椅，椅子带万向脚轮。</w:t>
            </w:r>
            <w:r>
              <w:rPr>
                <w:rFonts w:hint="eastAsia" w:ascii="宋体" w:hAnsi="宋体" w:cs="宋体"/>
                <w:b/>
                <w:bCs/>
                <w:color w:val="auto"/>
                <w:kern w:val="0"/>
                <w:sz w:val="20"/>
                <w:szCs w:val="20"/>
                <w:highlight w:val="none"/>
                <w:lang w:bidi="ar"/>
              </w:rPr>
              <w:t>八边形组合桌直径2米 单张梯形770*460*50*高750，椅子570*500*830，凳面470*450，距离地面高度为450mm。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2.符合E1国家级环保标准，台面板采用2.5CM厚度高密度刨花板，面贴三聚氰胺面，PU封边，耐磨。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3.台面托架采用冷轧钢板冲压折弯工艺，壁厚3.0mm，表面采用防锈静电喷涂处理，前挡板采用1.6cm高密度刨花板，脚采用冷轧钢经典喷涂处理，壁厚1.2MM，书网采用防锈静电喷涂处理，厚度1.0mm。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4.椅子为海绵坐垫网布包裹，高强度塑料靠背框，高弹性网布靠背，冷轧钢1.2mm壁厚静电喷漆椅架。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15</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不锈钢</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陈列柜</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15</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规格：长1200mm*宽600mm*高2500mm，分上中下三段，上段700mm高，中段900mm高，下段700mm高；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材质采用国标304不锈钢，对开门，上段、下段为不锈钢实门，中段带钢化玻璃门，柜内层板间距可调，冷光照明，配漏电保护器。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16</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不锈钢圆凳</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105</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个</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304不锈钢；可气压升降；升降范围：44-58cm；带轮；凳面直径34cm。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17</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讲台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讲台：</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1.整体设计符合人机工程学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2.整体采用分体式结构，规格为长1200mm、宽700mm、高1000mm；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3.多媒体讲台整体采用1.0mm优质冷轧钢板，无接缝，边缘及拐角均采用圆弧设计，确保学生安全，耐冲击性强，防盗性能优越。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4.颜色选用哑光灰白色，LOGO板及下体前门采用木纹色，表面经脱脂磷化工艺处理后选用优质塑粉静电喷涂而成，耐腐蚀性强，有效保护学生视力，美观耐用。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5.配置翻转式显示器保护盖，可容纳23寸以下的显示器，结构独特新颖。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6.键盘采用翻转式结构，节省空间，操作简单方便；键盘为标准键盘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7.桌面右侧为隐藏式抽屉，可放置视频展台，空间560*540*200mm，承载重量≥12kg。</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8.键盘盒下方为中控，可放置260x160mm内的中央控制器，整体结构紧凑，空间设计合理。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9.所有布线孔均采用绝缘品装置隔离电源线，安全可靠。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10.全部的加工件均采用模具成型，先进的工装夹具、配合全自动焊接工艺，保障尺寸精度及各部件一致性。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18</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实验室</w:t>
            </w:r>
          </w:p>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不锈钢</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升降圆凳</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40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把</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1.304不锈钢升降圆凳：32cm。可升至最高600mm；可降至最低460mm。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2.不锈钢凳脚全部采用高铜201#不锈钢；凳脚管采用直径：25mm；管壁厚度：30mm。中间不锈钢支柱采用高铜201#不锈钢；管壁实际厚度：1.5mm。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3.气杆升降，升降非常稳定，不会左右摇摆或者摆动。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19</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实验室</w:t>
            </w:r>
          </w:p>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靠背椅</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(工作椅)</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把</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numPr>
                <w:ilvl w:val="0"/>
                <w:numId w:val="18"/>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可升降带靠背实验工作椅，座垫420mm，靠背390mm，钢圈直径450mm，可升至最高850mm；可降至最低600mm。 2.强硬防爆,耐刮耐磨,5mm加厚防爆托盘。</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3.气杆升降，升降非常稳定，不会左右摇摆或者摆动。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20</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中型</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置物架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4</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个</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numPr>
                <w:ilvl w:val="0"/>
                <w:numId w:val="19"/>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规格：150*50*200cm，四层。</w:t>
            </w:r>
          </w:p>
          <w:p>
            <w:pPr>
              <w:widowControl/>
              <w:numPr>
                <w:ilvl w:val="0"/>
                <w:numId w:val="19"/>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承重：300KG/层。</w:t>
            </w:r>
          </w:p>
          <w:p>
            <w:pPr>
              <w:widowControl/>
              <w:numPr>
                <w:ilvl w:val="0"/>
                <w:numId w:val="19"/>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层板厚度：0.45mm冷轧钢。</w:t>
            </w:r>
          </w:p>
          <w:p>
            <w:pPr>
              <w:widowControl/>
              <w:numPr>
                <w:ilvl w:val="0"/>
                <w:numId w:val="19"/>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立柱厚度：40*80*1.0mmC型钢。</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5.横梁规格：40*60*1.0mmP型钢。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壁柜1</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1.尺寸约：6750*400*600mm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2.全木结构，柜体：采用E1级15mm厚优质环保型三聚氰胺双饰面中纤板；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★3.层板：采用E1级18mm厚优质环保型三聚氰胺双饰面中纤板；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4.柜门板：采用E1级18mm厚优质环保型中纤板，表面粘贴三聚氰胺双饰面板；板材横断面均以2mm厚优质PVC封边条利用专业封边机械高温热压封边防水、防潮处理,按场实际定做。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壁柜2</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auto"/>
                <w:highlight w:val="none"/>
              </w:rPr>
            </w:pPr>
            <w:r>
              <w:rPr>
                <w:rFonts w:hint="eastAsia" w:ascii="宋体" w:hAnsi="宋体" w:cs="宋体"/>
                <w:color w:val="auto"/>
                <w:kern w:val="0"/>
                <w:sz w:val="20"/>
                <w:szCs w:val="20"/>
                <w:highlight w:val="none"/>
                <w:lang w:bidi="ar"/>
              </w:rPr>
              <w:t>1.尺寸约：5050*400*600mm。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2.全木结构，柜体：采用E1级15mm厚优质环保型三聚氰胺双饰面中纤板；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3.层板：采用E1级18mm厚优质环保型三聚氰胺双饰面中纤板；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4.柜门板：采用E1级18mm厚优质环保型中纤板，表面粘贴三聚氰胺双饰面板；板材横断面均以2mm厚优质PVC封边条利专业封边机械高温热压封边防水、防潮处理，按场实际定做。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壁柜3</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1.尺寸约：2000*400*600mm。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2.全木结构，柜体：采用E1级15mm厚优质环保型三聚氰胺双饰面中纤板；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3.层板：采用E1级18mm厚优质环保型三聚氰胺双饰面中纤板；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4.柜门板：采用E1级18mm厚优质环保型中纤板，表面粘贴三聚氰胺双饰面板；板材横断面均以2mm厚优质PVC封边条利专业封边机械高温热压封边防水、防潮处理，按场实际定做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边台1</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color w:val="auto"/>
                <w:highlight w:val="none"/>
              </w:rPr>
              <w:t>1.</w:t>
            </w:r>
            <w:r>
              <w:rPr>
                <w:rFonts w:hint="eastAsia" w:ascii="宋体" w:hAnsi="宋体" w:cs="宋体"/>
                <w:color w:val="auto"/>
                <w:kern w:val="0"/>
                <w:sz w:val="20"/>
                <w:szCs w:val="20"/>
                <w:highlight w:val="none"/>
                <w:lang w:bidi="ar"/>
              </w:rPr>
              <w:t>规格约：1800*750*850钢木结构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2.台面：采用国内≥12.7mm厚双面膜实芯理化板台面，由专业生产厂家用CNC机械加工而成。供货时需提供以下参数检测报告：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（1）按照GB/T 17657-2022标准对台面板正反两面进行检验，其中98硫酸、77%硫酸、硝酸（65%）、乙酸(99%)、氢氟酸（48%）、双氧水(3%)、无水乙醇、水杨酸、碘伏、亚甲基蓝(5%)、乙腈、无水甲醇、正己烷、三氯乙酸等不少于140种溶液或试剂检验结果达到5级并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（2）台面板依据GB/T 17657-2022《人造板及饰面人造板理化性能试验方法》标准及其他检测方法进行检测。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（3）环保检测：甲醛释放量按照GB/T 39600-2021《人造板及其制品甲醛释放量分级》标准检测，满足技术E0级，检验结果为≤0.005mg/m3。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（4）依据JC/T 2039-2010标准检测板材抗霉菌性能：黑曲霉、土曲霉、宛氏拟青霉、绳状青霉、出芽短梗霉、球毛壳霉、长枝木霉等7种的霉菌检测抗霉等级≤0级。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（6）依据HJ571-2010（环境标志产品技术要求 人造板及其制品）检测，总挥发性有机化合物TVOC释放量为未检出。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（7）台面板符合《建筑材料放射性核素限量》GB 6566-2010标准进行检测，放射性核素限量≤0.1。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（8）氙灯老化：按照GB/T 16422.2-2022检测方法，102min循环光照，辐照度0.51W/㎡@340nm，黑标温度65℃，体箱温度38℃，相对湿度50%RH,氙灯老化580小时测试结果为样品无变色、发粘、裂纹等异常，等级为5级。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（9）重金属检测要求：检测参照 GB 18584-2001《室内装饰装修材料木家具中有害物质限量》标准，满足 4 种重金属含量 mg/kg（可溶性铅≤0.3；镉：未检出；铬≤0.7；汞：未检出）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（10）参照GB 8624-2012《建筑材料及制品燃烧性能分级》作为检测和判定依据进行检测，燃烧性能等级结果达B1（C)级；产烟特性等级S1级；燃烧滴落物/微粒等级d0级；烟气毒性项目符合t1级要求。2）参照GB/T 2408-2021《塑料燃烧性能的测定 水平法和垂直法》作为判定依据进行检测，水平燃烧符合HB级，垂直燃烧符合V-0级。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w:t>
            </w:r>
            <w:r>
              <w:rPr>
                <w:rFonts w:hint="eastAsia" w:ascii="宋体" w:hAnsi="宋体" w:cs="宋体"/>
                <w:b/>
                <w:bCs/>
                <w:color w:val="auto"/>
                <w:kern w:val="0"/>
                <w:sz w:val="20"/>
                <w:szCs w:val="20"/>
                <w:highlight w:val="none"/>
                <w:lang w:bidi="ar"/>
              </w:rPr>
              <w:t>为保证质量，投标人供货时</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bidi="ar"/>
              </w:rPr>
              <w:t>须提供以上台面技术参数要求，提供符合或优于参数的检测报告复印件，供货时必须提供厂家投标授权书原件和质保服务承诺函原件加盖公章，以备查验</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钢制框架：采用40×60δ1.2mmC型钢材,连接处冷轧钢板冲压一体成型专用连接件连接,使整体框架结构更为合理,其承重性能及整个台体的稳定性特别强；钢材表面经酸洗、磷化、静电粉沫喷涂处理，具有耐腐蚀、防火、防潮等功能。承重性能好，使用寿命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柜体部分：柜体采用15mm厚E1优质三聚氢胺中密度纤维板，断面以1mm厚PVC封边条封边，黏结牢固可靠，防潮耐腐蚀；板与板间采用三合一锁件结构连接，安装灵活，方便牢固；板材颜色可选。柜体规格：L*500*600mm，五金配件：轨道采用400mm优质三节轨道。铰链可选用110°优质合金铰链；开合次数能超过十万次以上。层板（选配）：采用15mm厚E1优质三聚氢胺中密度纤维板，断面以1mm厚PVC封边条封边，黏结牢固可靠，防潮耐腐蚀；活动结构，可调节相对高度。6.拉手： 采用一字型铝合金暗拉手，表面经化学处理，耐腐蚀，外形美观，设计人性化。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7.门板及抽屉面板：采用18mm厚E1优质三聚氢胺中密度纤维板，断面以2mm厚PVC封边条封边，黏结牢固可靠，防潮耐腐蚀，美观大方。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25</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边台2</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尺寸约 ：2500*750*850mm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1.台面：采用国内≥12.7mm厚双面膜实芯理化板台面，由专业生产厂家用CNC机械加工而成。各项性能满足或优于如下要求：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（1）按照GB/T 17657-2022标准对台面板正反两面进行检验，其中98硫酸、77%硫酸、硝酸（65%）、乙酸(99%)、氢氟酸（48%）、双氧水(3%)、无水乙醇、水杨酸、碘伏、亚甲基蓝(5%)、乙腈、无水甲醇、正己烷、三氯乙酸等不少于140种溶液或试剂检验结果达到5级并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（2）台面板依据GB/T 17657-2022《人造板及饰面人造板理化性能试验方法》标准及其他检测方法进行检测。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（3）环保检测：甲醛释放量按照GB/T 39600-2021《人造板及其制品甲醛释放量分级》标准检测，满足技术E0级，检验结果为≤0.005mg/m3。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（4）依据JC/T 2039-2010标准检测板材抗霉菌性能：黑曲霉、土曲霉、宛氏拟青霉、绳状青霉、出芽短梗霉、球毛壳霉、长枝木霉等7种的霉菌检测抗霉等级≤0级。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（6）依据HJ571-2010（环境标志产品技术要求 人造板及其制品）检测，总挥发性有机化合物TVOC释放量为未检出。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（7）台面板符合《建筑材料放射性核素限量》GB 6566-2010标准进行检测，放射性核素限量≤0.1。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（8）氙灯老化：按照GB/T 16422.2-2022检测方法，102min循环光照，辐照度0.51W/㎡@340nm，黑标温度65℃，体箱温度38℃，相对湿度50%RH,氙灯老化580小时测试结果为样品无变色、发粘、裂纹等异常，等级为5级。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（9）重金属检测要求：检测参照 GB 18584-2001《室内装饰装修材料木家具中有害物质限量》标准，满足 4 种重金属含量 mg/kg（可溶性铅≤0.3；镉：未检出；铬≤0.7；汞：未检出）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（10）参照GB 8624-2012《建筑材料及制品燃烧性能分级》作为检测和判定依据进行检测，燃烧性能等级结果达B1（C)级；产烟特性等级S1级；燃烧滴落物/微粒等级d0级；烟气毒性项目符合t1级要求。2）参照GB/T 2408-2021《塑料燃烧性能的测定 水平法和垂直法》作为判定依据进行检测，水平燃烧符合HB级，垂直燃烧符合V-0级。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▲为保证质量，供货时必须提供以上参数的检测报告，以备查验。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钢制框架：采用40×60δ1.2mmC型钢材,连接处冷轧钢板冲压一体成型专用连接件连接,使整体框架结构更为合理,其承重性能及整个台体的稳定性特别强；钢材表面经酸洗、磷化、静电粉沫喷涂处理，具有耐腐蚀、防火、防潮等功能。承重性能好，使用寿命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柜体部分：柜体采用15mm厚E1优质三聚氢胺中密度纤维板，断面以1mm厚PVC封边条封边，黏结牢固可靠，防潮耐腐蚀；板与板间采用三合一锁件结构连接，安装灵活，方便牢固；板材颜色可选。柜体规格：L*500*600mm，五金配件：轨道采用400mm优质三节轨道。铰链可选用110°优质合金铰链；开合次数能超过十万次以上。层板（选配）：采用15mm厚E1优质三聚氢胺中密度纤维板，断面以1mm厚PVC封边条封边，黏结牢固可靠，防潮耐腐蚀；活动结构，可调节相对高度。4.拉手： 采用一字型铝合金暗拉手，表面经化学处理，耐腐蚀，外形美观，设计人性化。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5.门板及抽屉面板：采用18mm厚E1优质三聚氢胺中密度纤维板，断面以2mm厚PVC封边条封边，黏结牢固可靠，防潮耐腐蚀，美观大方。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26</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边台3</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尺寸约 ：1300*750*850mm1（L型）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1.台面：采用国内≥12.7mm厚双面膜实芯理化板台面，由专业生产厂家用CNC机械加工而成。各项性能满足或优于如下要求：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（1）按照GB/T 17657-2022标准对台面板正反两面进行检验，其中98硫酸、77%硫酸、硝酸（65%）、乙酸(99%)、氢氟酸（48%）、双氧水(3%)、无水乙醇、水杨酸、碘伏、亚甲基蓝(5%)、乙腈、无水甲醇、正己烷、三氯乙酸等不少于140种溶液或试剂检验结果达到5级并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（2）依据GB/T 17657-2022《人造板及饰面人造板理化性能试验方法》标准及其他检测方法进行检测。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（3）环保检测：甲醛释放量按照GB/T 39600-2021《人造板及其制品甲醛释放量分级》标准检测，满足技术E0级，检验结果为≤0.005mg/m3。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（4）依据JC/T 2039-2010标准检测板材抗霉菌性能：黑曲霉、土曲霉、宛氏拟青霉、绳状青霉、出芽短梗霉、球毛壳霉、长枝木霉等7种的霉菌检测抗霉等级≤0级。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（6）依据HJ571-2010（环境标志产品技术要求 人造板及其制品）检测，总挥发性有机化合物TVOC释放量为未检出。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（7）台面板符合《建筑材料放射性核素限量》GB 6566-2010标准进行检测，放射性核素限量≤0.1。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（8）氙灯老化：按照GB/T 16422.2-2022检测方法，102min循环光照，辐照度0.51W/㎡@340nm，黑标温度65℃，体箱温度38℃，相对湿度50%RH,氙灯老化580小时测试结果为样品无变色、发粘、裂纹等异常，等级为5级。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（9）重金属检测要求：检测参照 GB 18584-2001《室内装饰装修材料木家具中有害物质限量》标准，满足 4 种重金属含量 mg/kg（可溶性铅≤0.3；镉：未检出；铬≤0.7；汞：未检出）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（10）参照GB 8624-2012《建筑材料及制品燃烧性能分级》作为检测和判定依据进行检测，燃烧性能等级结果达B1（C)级；产烟特性等级S1级；燃烧滴落物/微粒等级d0级；烟气毒性项目符合t1级要求。参照GB/T 2408-2021《塑料燃烧性能的测定 水平法和垂直法》作为判定依据进行检测，水平燃烧符合HB级，垂直燃烧符合V-0级。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钢制框架：采用40×60δ1.2mmC型钢材,连接处冷轧钢板冲压一体成型专用连接件连接,使整体框架结构更为合理,其承重性能及整个台体的稳定性特别强；钢材表面经酸洗、磷化、静电粉沫喷涂处理，具有耐腐蚀、防火、防潮等功能。承重性能好，使用寿命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柜体部分：柜体采用15mm厚E1优质三聚氢胺中密度纤维板，断面以1mm厚PVC封边条封边，黏结牢固可靠，防潮耐腐蚀；板与板间采用三合一锁件结构连接，安装灵活，方便牢固；板材颜色可选。柜体规格：L*500*600mm，五金配件：轨道采用400mm优质三节轨道。铰链可选用110°优质合金铰链；开合次数能超过十万次以上。层板（选配）：采用15mm厚E1优质三聚氢胺中密度纤维板，断面以1mm厚PVC封边条封边，黏结牢固可靠，防潮耐腐蚀；活动结构，可调节相对高度。拉手： 采用一字型铝合金暗拉手，表面经化学处理，耐腐蚀。</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4.门板及抽屉面板：采用18mm厚E1优质三聚氢胺中密度纤维板，断面以2mm厚PVC封边条封边，黏结牢固可靠，防潮耐腐蚀</w:t>
            </w:r>
            <w:r>
              <w:rPr>
                <w:rFonts w:hint="eastAsia" w:ascii="宋体" w:hAnsi="宋体" w:cs="宋体"/>
                <w:strike/>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27</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中央台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8</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尺寸约 ：7124*1500*850mm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1.台面：采用国内≥12.7mm厚双面膜实芯理化板台面，由专业生产厂家用CNC机械加工而成。各项性能满足或优于如下要求：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（1）按照GB/T 17657-2022标准对台面板正反两面进行检验，其中98硫酸、77%硫酸、硝酸（65%）、乙酸(99%)、氢氟酸（48%）、双氧水(3%)、无水乙醇、水杨酸、碘伏、亚甲基蓝(5%)、乙腈、无水甲醇、正己烷、三氯乙酸等不少于140种溶液或试剂检验结果达到5级并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（2）台面板依据GB/T 17657-2022《人造板及饰面人造板理化性能试验方法》标准及其他检测方法进行检测。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（3）环保检测：甲醛释放量按照GB/T 39600-2021《人造板及其制品甲醛释放量分级》标准检测，满足技术E0级，检验结果为≤0.005mg/m3。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（4）依据JC/T 2039-2010标准检测板材抗霉菌性能：黑曲霉、土曲霉、宛氏拟青霉、绳状青霉、出芽短梗霉、球毛壳霉、长枝木霉等7种的霉菌检测抗霉等级≤0级。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（6）依据HJ571-2010（环境标志产品技术要求 人造板及其制品）检测，总挥发性有机化合物TVOC释放量为未检出。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（7）台面板符合《建筑材料放射性核素限量》GB 6566-2010标准进行检测，放射性核素限量≤0.1。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（8）氙灯老化：按照GB/T 16422.2-2022检测方法，102min循环光照，辐照度0.51W/㎡@340nm，黑标温度65℃，体箱温度38℃，相对湿度50%RH,氙灯老化580小时测试结果为样品无变色、发粘、裂纹等异常，等级为5级。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（9）重金属检测要求：检测参照 GB 18584-2001《室内装饰装修材料木家具中有害物质限量》标准，满足 4 种重金属含量 mg/kg（可溶性铅≤0.3；镉：未检出；铬≤0.7；汞：未检出）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（10）参照GB 8624-2012《建筑材料及制品燃烧性能分级》作为检测和判定依据进行检测，燃烧性能等级结果达B1（C)级；产烟特性等级S1级；燃烧滴落物/微粒等级d0级；烟气毒性项目符合t1级要求。2）参照GB/T 2408-2021《塑料燃烧性能的测定 水平法和垂直法》作为判定依据进行检测，水平燃烧符合HB级，垂直燃烧符合V-0级。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▲为保证质量，投标人供货时须提供以上台面技术检测报告，提供符合或优于参数的检测报告复印件，供货时必须提供厂家投标授权书原件和质保服务承诺函原件加盖公章，以备查验。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28</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操作台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规格约：900×600×850mm，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1.台面：采用国内≥12.7mm厚双面膜实芯理化板台面，由专业生产厂家用CNC机械加工而成。各项性能满足或优于如下要求：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（1）按照GB/T 17657-2022标准对台面板正反两面进行检验，其中98硫酸、77%硫酸、硝酸（65%）、乙酸(99%)、氢氟酸（48%）、双氧水(3%)、无水乙醇、水杨酸、碘伏、亚甲基蓝(5%)、乙腈、无水甲醇、正己烷、三氯乙酸等不少于140种溶液或试剂检验结果达到5级并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（2）台面板依据GB/T 17657-2022《人造板及饰面人造板理化性能试验方法》标准及其他检测方法进行检测。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（3）环保检测：甲醛释放量按照GB/T 39600-2021《人造板及其制品甲醛释放量分级》标准检测，满足技术E0级，检验结果为≤0.005mg/m3。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（4）依据JC/T 2039-2010标准检测板材抗霉菌性能：黑曲霉、土曲霉、宛氏拟青霉、绳状青霉、出芽短梗霉、球毛壳霉、长枝木霉等7种的霉菌检测抗霉等级≤0级。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（6）依据HJ571-2010（环境标志产品技术要求 人造板及其制品）检测，总挥发性有机化合物TVOC释放量为未检出。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（7）台面板符合《建筑材料放射性核素限量》GB 6566-2010标准进行检测，放射性核素限量≤0.1。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（8）氙灯老化：按照GB/T 16422.2-2022检测方法，102min循环光照，辐照度0.51W/㎡@340nm，黑标温度65℃，体箱温度38℃，相对湿度50%RH,氙灯老化580小时测试结果为样品无变色、发粘、裂纹等异常，等级为5级。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（9）重金属检测要求：检测参照 GB 18584-2001《室内装饰装修材料木家具中有害物质限量》标准，满足 4 种重金属含量 mg/kg（可溶性铅≤0.3；镉：未检出；铬≤0.7；汞：未检出）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（10）参照GB 8624-2012《建筑材料及制品燃烧性能分级》作为检测和判定依据进行检测，燃烧性能等级结果达B1（C)级；产烟特性等级S1级；燃烧滴落物/微粒等级d0级；烟气毒性项目符合t1级要求。参照GB/T 2408-2021《塑料燃烧性能的测定 水平法和垂直法》作为判定依据进行检测，水平燃烧符合HB级，垂直燃烧符合V-0级。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▲为保证质量，投标人供货时须提供以上台面技术检测报告，提供符合或优于参数的检测报告复印件，供货时必须提供厂家投标授权书原件和质保服务承诺函原件加盖公章，以备查验。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钢制框架：采用40×60δ1.2mmC型钢材,连接处冷轧钢板冲压一体成型专用连接件连接,使整体框架结构更为合理,其承重性能及整个台体的稳定性特别强；钢材表面经酸洗、磷化、静电粉沫喷涂处理，具有耐腐蚀、防火、防潮等功能。承重性能好，使用寿命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柜体部分：柜体采用15mm厚E1优质三聚氢胺中密度纤维板，断面以1mm厚PVC封边条封边，黏结牢固可靠，防潮耐腐蚀；板与板间采用三合一锁件结构连接，安装灵活，方便牢固；板材颜色可选。柜体规格：L*500*600mm，五金配件：轨道采用400mm优质三节轨道。铰链可选用110°优质合金铰链；开合次数能超过十万次以上。层板（选配）：采用15mm厚E1优质三聚氢胺中密度纤维板，断面以1mm厚PVC封边条封边，黏结牢固可靠，防潮耐腐蚀；活动结构，可调节相对高度。4.拉手： 采用一字型铝合金暗拉手，表面经化学处理，耐腐蚀，外形美观，设计人性化。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5.门板及抽屉面板：采用18mm厚E1优质三聚氢胺中密度纤维板，断面以2mm厚PVC封边条封边，黏结牢固可靠，防潮耐腐蚀，美观大方。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29</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凳子</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95</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张</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★1.凳面直径：29cm， 高：30mm，实际厚度：1.5mm；净重：1.8kg/个。可升至最高680mm；可降至最低480mm。凳面底部增加4片3mm厚不锈钢加强筋使其更加牢固耐用。整只净重：3.7kg/只。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2.不锈钢凳脚全部采用高铜201#不锈钢；凳脚管采用直径：25mm；管壁厚度：1.5mm。中间不锈钢支柱采用高铜201#不锈钢；支柱管采用直径：36.5mm；管壁实际厚度：1.5mm。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螺旋杆升降，升降非常稳定，不会左右摇摆或者摆动。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4.螺旋杆长：230mm，螺旋杆丝牙深度半径达到3.0mm。因为螺旋杆丝牙深度够深永远不会磨损，螺旋杆采用45#钢成品又经过热处理，用几十年都不磨损的。可以承受280kg重量的人在上面旋转不磨损的。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5.不锈钢圆凳脚采用马蹄形状着地非常稳固，做工非常精细。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30</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试剂架</w:t>
            </w:r>
          </w:p>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带插座、网络插口</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4</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1.规格约：7125*400*800mm钢玻结构。</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2.立柱：采用150×50×1.0mm优质冷轧钢板制作，经酸洗磷化等十三道工序处理后经环氧树脂粉末流水线自动喷绘，高温烘烤固化，表面需附着力高、硬度耐腐蚀性极强，外形美观，目视平整无焊点。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层板：采用10mm厚钢化安全玻璃，四周作磨边处理，安全光滑，边缘配40mm高铝合金挡条，以防止试剂瓶跌落，既美观大方，又增强层板的承受力。层板高低可调节，下方带线槽并配电源插座。</w:t>
            </w:r>
          </w:p>
          <w:p>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4</w:t>
            </w:r>
            <w:r>
              <w:rPr>
                <w:rFonts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t>试剂架底层带灯</w:t>
            </w:r>
            <w:r>
              <w:rPr>
                <w:rFonts w:hint="eastAsia" w:ascii="宋体" w:hAnsi="宋体" w:cs="宋体"/>
                <w:color w:val="auto"/>
                <w:kern w:val="0"/>
                <w:sz w:val="20"/>
                <w:szCs w:val="20"/>
                <w:highlight w:val="none"/>
                <w:lang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31</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水槽、三联水嘴、滴水架1</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规格约:550*450*300</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1.水龙头：</w:t>
            </w:r>
            <w:r>
              <w:rPr>
                <w:rFonts w:hint="eastAsia" w:ascii="宋体" w:hAnsi="宋体" w:cs="宋体"/>
                <w:color w:val="auto"/>
                <w:kern w:val="0"/>
                <w:sz w:val="20"/>
                <w:szCs w:val="20"/>
                <w:highlight w:val="none"/>
                <w:lang w:bidi="ar"/>
              </w:rPr>
              <w:t>龙头选用H63黄铜管，使用红冲锻造工艺，不出现沙眼；涂层经哑光环氧树脂粉末涂料热固处理，防紫外线辐射，耐化学腐蚀；陶瓷阀芯可90度旋转、耐磨、耐腐蚀，开关使用寿命测试可达60万次，静态最大耐压2.5MPa，鹅颈出水管可360度旋转；旋钮把手为PP全新料无添加碳酸钙；供水软管:长度1.5米，软性PVC管外覆不锈钢网,外层包裹PE管，有效防止生锈、渗漏。</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2.水槽：</w:t>
            </w:r>
            <w:r>
              <w:rPr>
                <w:rFonts w:hint="eastAsia" w:ascii="宋体" w:hAnsi="宋体" w:cs="宋体"/>
                <w:color w:val="auto"/>
                <w:kern w:val="0"/>
                <w:sz w:val="20"/>
                <w:szCs w:val="20"/>
                <w:highlight w:val="none"/>
                <w:lang w:bidi="ar"/>
              </w:rPr>
              <w:t>水槽采用全新PP料及进口色母料，无碳酸钙成分；下水口与水槽一体注塑成型，水槽内壁无缩印，四边平整，表面光滑顺畅，不有划伤、裂纹、气泡、爆边等明显缺陷。水槽壁厚≤5mm；为防止水槽中间或四周有积液，槽体底部有导流线。</w:t>
            </w:r>
          </w:p>
          <w:p>
            <w:pPr>
              <w:widowControl/>
              <w:spacing w:line="440" w:lineRule="exact"/>
              <w:jc w:val="left"/>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3.滴水架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材料：采用高密度PP，一体成型，无异味；表面光洁，无缩印，无划痕，无飞边；内部无气泡、无气纹；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款式：滴水棒卡扣设计为嵌入式，可拆卸，安装简便，插好后不易脱落，左右摇晃&lt;1mm；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接水底部：中间设有排水孔；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可拆卸式滴水棒，滴水棒27/61根；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安装方式：壁挂式/台式。</w:t>
            </w:r>
          </w:p>
          <w:p>
            <w:pPr>
              <w:widowControl/>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r>
              <w:rPr>
                <w:rFonts w:hint="eastAsia" w:hAnsi="宋体" w:cs="宋体"/>
                <w:color w:val="auto"/>
                <w:kern w:val="0"/>
                <w:sz w:val="20"/>
                <w:szCs w:val="20"/>
                <w:highlight w:val="none"/>
                <w:lang w:bidi="ar"/>
              </w:rPr>
              <w:t>4.水嘴</w:t>
            </w:r>
            <w:r>
              <w:rPr>
                <w:rFonts w:hAnsi="宋体" w:cs="宋体"/>
                <w:color w:val="auto"/>
                <w:kern w:val="0"/>
                <w:sz w:val="20"/>
                <w:szCs w:val="20"/>
                <w:highlight w:val="none"/>
                <w:lang w:val="en" w:bidi="ar"/>
              </w:rPr>
              <w:t>：</w:t>
            </w:r>
            <w:r>
              <w:rPr>
                <w:rFonts w:hint="eastAsia" w:ascii="宋体" w:hAnsi="宋体" w:cs="宋体"/>
                <w:b/>
                <w:bCs/>
                <w:color w:val="auto"/>
                <w:kern w:val="0"/>
                <w:sz w:val="20"/>
                <w:szCs w:val="20"/>
                <w:highlight w:val="none"/>
                <w:lang w:bidi="ar"/>
              </w:rPr>
              <w:t>属《节能产品政府采购清单》中强制采购节能产品范围，必须提供节能产品</w:t>
            </w:r>
            <w:r>
              <w:rPr>
                <w:rFonts w:hint="eastAsia" w:ascii="宋体" w:hAnsi="宋体" w:cs="宋体"/>
                <w:color w:val="auto"/>
                <w:kern w:val="0"/>
                <w:sz w:val="20"/>
                <w:szCs w:val="20"/>
                <w:highlight w:val="none"/>
                <w:lang w:bidi="ar"/>
              </w:rPr>
              <w:t>，并提供</w:t>
            </w:r>
            <w:r>
              <w:rPr>
                <w:rFonts w:ascii="宋体" w:hAnsi="宋体" w:cs="宋体"/>
                <w:color w:val="auto"/>
                <w:kern w:val="0"/>
                <w:sz w:val="20"/>
                <w:szCs w:val="20"/>
                <w:highlight w:val="none"/>
                <w:lang w:val="en" w:bidi="ar"/>
              </w:rPr>
              <w:t>清单</w:t>
            </w:r>
            <w:r>
              <w:rPr>
                <w:rFonts w:hint="eastAsia" w:ascii="宋体" w:hAnsi="宋体" w:cs="宋体"/>
                <w:color w:val="auto"/>
                <w:kern w:val="0"/>
                <w:sz w:val="20"/>
                <w:szCs w:val="20"/>
                <w:highlight w:val="none"/>
                <w:lang w:bidi="ar"/>
              </w:rPr>
              <w:t>证明材料。（如：所投产品列入的《节能产品政府采购清单》截图）</w:t>
            </w:r>
            <w:r>
              <w:rPr>
                <w:rFonts w:hint="eastAsia" w:ascii="宋体" w:hAnsi="宋体" w:cs="宋体"/>
                <w:color w:val="auto"/>
                <w:szCs w:val="21"/>
                <w:highlight w:val="none"/>
              </w:rPr>
              <w:t>。</w:t>
            </w:r>
          </w:p>
          <w:p>
            <w:pPr>
              <w:spacing w:line="440" w:lineRule="exact"/>
              <w:rPr>
                <w:color w:val="auto"/>
                <w:highlight w:val="none"/>
              </w:rPr>
            </w:pPr>
            <w:r>
              <w:rPr>
                <w:rFonts w:hint="eastAsia" w:ascii="宋体" w:hAnsi="宋体" w:cs="宋体"/>
                <w:color w:val="auto"/>
                <w:kern w:val="0"/>
                <w:sz w:val="20"/>
                <w:szCs w:val="20"/>
                <w:highlight w:val="none"/>
                <w:lang w:bidi="ar"/>
              </w:rPr>
              <w:t>供货时，提供水槽提供以下参数检测报告。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▲（1）耐污染性能：依据GB/T 17657-2022标准，同一份检测报告需包含2,4,5-三氯苯胺、2-甲氧基乙醇（特纯）、40%氢氟酸、N-甲基吡咯烷酮、苯甲酸苄酯、丙二醇甲醚、丙烯酸异辛酯、48%氢溴酸、50%氟硼酸、氢氧化铵、冰醋酸、丙酮、碘、单宁酸、碘酸钾、次氯酸钠、二硫化碳、甘油、高碘酸钾、酚酞、二氯甲烷等≥154种有机、无机试剂，检验结果均为5级，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▲（2）抗菌性：依据JC/T 897-2014标准，要求≥14种细菌的检测，检测值≥99.99%（菌种包括金黄色葡萄球菌，大肠埃希氏菌，粘滞沙雷氏菌、鼠伤寒沙门氏菌）。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▲（3）耐老化测试：通过氙弧灯老化测试（依据GB/T 16422.2-2022和GB/T 250-2008，测试条件：3000小时，黑标温度65℃，辐照度0.51W/m2?nm），色牢度等级达4级，符合相关技术要求。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（4）邵氏硬度：依据GB/T2411-2008标准，检测结果≥66D。</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（5）拉伸强度：依据GB/T 1040.2-2022标准，检测结果≥45MPa。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32</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b/>
                <w:bCs/>
                <w:color w:val="auto"/>
                <w:kern w:val="0"/>
                <w:sz w:val="20"/>
                <w:szCs w:val="20"/>
                <w:highlight w:val="none"/>
                <w:lang w:bidi="ar"/>
              </w:rPr>
              <w:t>水槽、三联水嘴、滴水架2</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组</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规格约：800mm*450mm*330mm</w:t>
            </w:r>
          </w:p>
          <w:p>
            <w:pPr>
              <w:widowControl/>
              <w:spacing w:line="440" w:lineRule="exact"/>
              <w:jc w:val="left"/>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1.水龙头：</w:t>
            </w:r>
            <w:r>
              <w:rPr>
                <w:rFonts w:hint="eastAsia" w:ascii="宋体" w:hAnsi="宋体" w:cs="宋体"/>
                <w:color w:val="auto"/>
                <w:kern w:val="0"/>
                <w:sz w:val="20"/>
                <w:szCs w:val="20"/>
                <w:highlight w:val="none"/>
                <w:lang w:bidi="ar"/>
              </w:rPr>
              <w:t>龙头选用H63黄铜管，使用红冲锻造工艺，不出现沙眼；涂层经哑光环氧树脂粉末涂料热固处理，防紫外线辐射，耐化学腐蚀；陶瓷阀芯可90度旋转、耐磨、耐腐蚀，开关使用寿命测试可达60万次，静态最大耐压2.5MPa，鹅颈出水管可360度旋转；旋钮把手为PP全新料无添加碳酸钙；供水软管:长度1.5米，软性PVC管外覆不锈钢网,外层包裹PE管，有效防止生锈、渗漏。</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2.水槽：</w:t>
            </w:r>
            <w:r>
              <w:rPr>
                <w:rFonts w:hint="eastAsia" w:ascii="宋体" w:hAnsi="宋体" w:cs="宋体"/>
                <w:color w:val="auto"/>
                <w:kern w:val="0"/>
                <w:sz w:val="20"/>
                <w:szCs w:val="20"/>
                <w:highlight w:val="none"/>
                <w:lang w:bidi="ar"/>
              </w:rPr>
              <w:t>水槽采用全新PP料及进口色母料，无碳酸钙成分；下水口与水槽一体注塑成型，水槽内壁无缩印，四边平整，表面光滑顺畅，不有划伤、裂纹、气泡、爆边等明显缺陷。水槽壁厚≤5mm；为防止水槽中间或四周有积液，槽体底部有导流线。</w:t>
            </w:r>
          </w:p>
          <w:p>
            <w:pPr>
              <w:widowControl/>
              <w:spacing w:line="440" w:lineRule="exact"/>
              <w:jc w:val="left"/>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3.滴水架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材料：采用高密度PP，一体成型，无异味；表面光洁，无缩印，无划痕，无飞边；内部无气泡、无气纹；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款式：滴水棒卡扣设计为嵌入式，可拆卸，安装简便，插好后不易脱落，左右摇晃&lt;1mm；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接水底部：中间设有排水孔；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可拆卸式滴水棒，滴水棒27/61根；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安装方式：壁挂式/台式。</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r>
              <w:rPr>
                <w:rFonts w:hint="eastAsia" w:hAnsi="宋体" w:cs="宋体"/>
                <w:color w:val="auto"/>
                <w:kern w:val="0"/>
                <w:sz w:val="20"/>
                <w:szCs w:val="20"/>
                <w:highlight w:val="none"/>
                <w:lang w:bidi="ar"/>
              </w:rPr>
              <w:t>4.水嘴</w:t>
            </w:r>
            <w:r>
              <w:rPr>
                <w:rFonts w:hAnsi="宋体" w:cs="宋体"/>
                <w:color w:val="auto"/>
                <w:kern w:val="0"/>
                <w:sz w:val="20"/>
                <w:szCs w:val="20"/>
                <w:highlight w:val="none"/>
                <w:lang w:val="en" w:bidi="ar"/>
              </w:rPr>
              <w:t>：</w:t>
            </w:r>
            <w:r>
              <w:rPr>
                <w:rFonts w:hint="eastAsia" w:ascii="宋体" w:hAnsi="宋体" w:cs="宋体"/>
                <w:b/>
                <w:bCs/>
                <w:color w:val="auto"/>
                <w:kern w:val="0"/>
                <w:sz w:val="20"/>
                <w:szCs w:val="20"/>
                <w:highlight w:val="none"/>
                <w:lang w:bidi="ar"/>
              </w:rPr>
              <w:t>属《节能产品政府采购清单》中强制采购节能产品范围，必须提供节能产品</w:t>
            </w:r>
            <w:r>
              <w:rPr>
                <w:rFonts w:hint="eastAsia" w:ascii="宋体" w:hAnsi="宋体" w:cs="宋体"/>
                <w:color w:val="auto"/>
                <w:kern w:val="0"/>
                <w:sz w:val="20"/>
                <w:szCs w:val="20"/>
                <w:highlight w:val="none"/>
                <w:lang w:bidi="ar"/>
              </w:rPr>
              <w:t>，并提供</w:t>
            </w:r>
            <w:r>
              <w:rPr>
                <w:rFonts w:ascii="宋体" w:hAnsi="宋体" w:cs="宋体"/>
                <w:color w:val="auto"/>
                <w:kern w:val="0"/>
                <w:sz w:val="20"/>
                <w:szCs w:val="20"/>
                <w:highlight w:val="none"/>
                <w:lang w:val="en" w:bidi="ar"/>
              </w:rPr>
              <w:t>清单</w:t>
            </w:r>
            <w:r>
              <w:rPr>
                <w:rFonts w:hint="eastAsia" w:ascii="宋体" w:hAnsi="宋体" w:cs="宋体"/>
                <w:color w:val="auto"/>
                <w:kern w:val="0"/>
                <w:sz w:val="20"/>
                <w:szCs w:val="20"/>
                <w:highlight w:val="none"/>
                <w:lang w:bidi="ar"/>
              </w:rPr>
              <w:t>证明材料。（如：所投产品列入的《节能产品政府采购清单》截图）</w:t>
            </w:r>
            <w:r>
              <w:rPr>
                <w:rFonts w:hint="eastAsia" w:ascii="宋体" w:hAnsi="宋体" w:cs="宋体"/>
                <w:color w:val="auto"/>
                <w:szCs w:val="21"/>
                <w:highlight w:val="none"/>
              </w:rPr>
              <w:t>。</w:t>
            </w:r>
          </w:p>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供货时，提供水槽提供以下参数检测报告。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▲（1）耐污染性能：依据GB/T 17657-2022标准，同一份检测报告需包含2,4,5-三氯苯胺、2-甲氧基乙醇（特纯）、40%氢氟酸、N-甲基吡咯烷酮、苯甲酸苄酯、丙二醇甲醚、丙烯酸异辛酯、48%氢溴酸、50%氟硼酸、氢氧化铵、冰醋酸、丙酮、碘、单宁酸、碘酸钾、次氯酸钠、二硫化碳、甘油、高碘酸钾、酚酞、二氯甲烷等≥154种有机、无机试剂，检验结果均为5级，无明显变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▲（2）抗菌性：依据JC/T 897-2014标准，要求≥14种细菌的检测，检测值≥99.99%（菌种包括金黄色葡萄球菌，大肠埃希氏菌，粘滞沙雷氏菌、鼠伤寒沙门氏菌）。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▲（3）耐老化测试：通过氙弧灯老化测试（依据GB/T 16422.2-2022和GB/T 250-2008，测试条件：3000小时，黑标温度65℃，辐照度0.51W/m2?nm），色牢度等级达4级，符合相关技术要求。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（4）邵氏硬度：依据GB/T2411-2008标准，检测结果≥66D。</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（5）拉伸强度：依据GB/T 1040.2-2022标准，检测结果≥45MPa。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33</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全钢通风柜（含配件）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台</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规格约：1800*850*2350mm 全钢结构，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1.规格尺寸：1800mm*850mm*2350mm，全钢上下分体式结构，实芯理化板实验台面。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2.上柜外表材质：采用1.0mm厚优质冷轧钢板，经过防腐除锈后外喷环氧树脂粉体喷塑，接缝处密封处理，无拉铆钉设计。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3.内衬材质：实验室专用5mm厚抗倍特板。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4.导流板：设计为三段式吸风结构，实验室专用5mm厚抗倍特板。采用防腐专用件连接，在标准情况下，导流板上方与中、下方出风口排风量的比例约50%。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操作台幕门及视窗：幕门为上下拉门，无段式平衡设计，可停于任何位置，拉手为一字型通长铝镁合金环氧喷塑；采用链轮式传动，不接受钢丝传动方式，链条安装时隐藏于轨道内，上下拉动时，不与轨道摩擦；视窗为5mm厚安全钢化透明玻璃。门的开启600-800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6.下柜外表材质：采用1.0mm厚优质冷轧钢板，表面经打磨、防腐除锈、环氧树脂塑粉喷涂等处理，厚度≥75μm。接缝处密封处理。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7.拉手：与柜门一体成型结构，经打磨、防腐除锈、环氧树脂塑粉喷涂等处理，厚度≥75μm。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8.铰链：采用三节导轨和防锈合金铰链（开合角度不小于110度），开合次数能超过十万次以上。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9.下柜：有门，柜体后背板可拆。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10.台面材质：12.7mm厚实芯理化板，带止水槽。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11.水杯：实验室专用PP水杯。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水龙头：铜质，开关活门为精密瓷阀铸造。▲</w:t>
            </w:r>
            <w:r>
              <w:rPr>
                <w:rFonts w:hint="eastAsia" w:ascii="宋体" w:hAnsi="宋体" w:cs="宋体"/>
                <w:b/>
                <w:bCs/>
                <w:color w:val="auto"/>
                <w:kern w:val="0"/>
                <w:sz w:val="20"/>
                <w:szCs w:val="20"/>
                <w:highlight w:val="none"/>
                <w:lang w:bidi="ar"/>
              </w:rPr>
              <w:t>水嘴属《节能产品政府采购清单》中强制采购节能产品范围，必须提供节能产品</w:t>
            </w:r>
            <w:r>
              <w:rPr>
                <w:rFonts w:hint="eastAsia" w:ascii="宋体" w:hAnsi="宋体" w:cs="宋体"/>
                <w:color w:val="auto"/>
                <w:kern w:val="0"/>
                <w:sz w:val="20"/>
                <w:szCs w:val="20"/>
                <w:highlight w:val="none"/>
                <w:lang w:bidi="ar"/>
              </w:rPr>
              <w:t>，并提供</w:t>
            </w:r>
            <w:r>
              <w:rPr>
                <w:rFonts w:ascii="宋体" w:hAnsi="宋体" w:cs="宋体"/>
                <w:color w:val="auto"/>
                <w:kern w:val="0"/>
                <w:sz w:val="20"/>
                <w:szCs w:val="20"/>
                <w:highlight w:val="none"/>
                <w:lang w:val="en" w:bidi="ar"/>
              </w:rPr>
              <w:t>清单</w:t>
            </w:r>
            <w:r>
              <w:rPr>
                <w:rFonts w:hint="eastAsia" w:ascii="宋体" w:hAnsi="宋体" w:cs="宋体"/>
                <w:color w:val="auto"/>
                <w:kern w:val="0"/>
                <w:sz w:val="20"/>
                <w:szCs w:val="20"/>
                <w:highlight w:val="none"/>
                <w:lang w:bidi="ar"/>
              </w:rPr>
              <w:t>证明材料。（如：所投产品列入的《节能产品政府采购清单》截图）。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13.照明：操作区顶端安装电子镇流器30w日光灯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14.插座：4个三孔插座（两个10A,两个16A）。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ind w:left="420" w:hanging="420" w:hangingChars="200"/>
              <w:jc w:val="center"/>
              <w:textAlignment w:val="center"/>
              <w:rPr>
                <w:rFonts w:hint="eastAsia" w:ascii="宋体" w:hAnsi="宋体"/>
                <w:color w:val="auto"/>
                <w:szCs w:val="21"/>
                <w:highlight w:val="none"/>
              </w:rPr>
            </w:pPr>
            <w:r>
              <w:rPr>
                <w:rFonts w:hint="eastAsia" w:ascii="宋体" w:hAnsi="宋体"/>
                <w:color w:val="auto"/>
                <w:szCs w:val="21"/>
                <w:highlight w:val="none"/>
              </w:rPr>
              <w:t>34</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高隔断</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left="420" w:hanging="400" w:hangingChars="200"/>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个</w:t>
            </w:r>
          </w:p>
        </w:tc>
        <w:tc>
          <w:tcPr>
            <w:tcW w:w="5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 w:val="20"/>
                <w:szCs w:val="20"/>
                <w:highlight w:val="none"/>
                <w:lang w:bidi="ar"/>
              </w:rPr>
              <w:t>1.屏风执行标准：GB/2279.2-2008 《办公家具屏风：安全要求》 GB/2279.3-2008 《办公屏风：试验方法》 GB 18584-2001 《室内装饰装修材料木家具中有害物质限量》的国家标准。</w:t>
            </w:r>
            <w:r>
              <w:rPr>
                <w:rFonts w:hint="eastAsia" w:ascii="宋体" w:hAnsi="宋体" w:cs="宋体"/>
                <w:color w:val="auto"/>
                <w:kern w:val="0"/>
                <w:sz w:val="20"/>
                <w:szCs w:val="20"/>
                <w:highlight w:val="none"/>
                <w:lang w:bidi="ar"/>
              </w:rPr>
              <w:br w:type="textWrapping"/>
            </w:r>
            <w:r>
              <w:rPr>
                <w:rFonts w:hint="eastAsia"/>
                <w:color w:val="auto"/>
                <w:highlight w:val="none"/>
              </w:rPr>
              <w:t>2</w:t>
            </w:r>
            <w:r>
              <w:rPr>
                <w:rFonts w:hint="eastAsia" w:ascii="宋体" w:hAnsi="宋体" w:cs="宋体"/>
                <w:color w:val="auto"/>
                <w:kern w:val="0"/>
                <w:sz w:val="20"/>
                <w:szCs w:val="20"/>
                <w:highlight w:val="none"/>
                <w:lang w:bidi="ar"/>
              </w:rPr>
              <w:t>.屏风办公规格要求：长7500mm*离地高3200mm，屏风离地高1050mm</w:t>
            </w:r>
            <w:r>
              <w:rPr>
                <w:rFonts w:hint="eastAsia" w:ascii="宋体" w:hAnsi="宋体" w:cs="宋体"/>
                <w:color w:val="auto"/>
                <w:kern w:val="0"/>
                <w:sz w:val="20"/>
                <w:szCs w:val="20"/>
                <w:highlight w:val="none"/>
                <w:lang w:bidi="ar"/>
              </w:rPr>
              <w:br w:type="textWrapping"/>
            </w:r>
            <w:r>
              <w:rPr>
                <w:rFonts w:hint="eastAsia"/>
                <w:color w:val="auto"/>
                <w:highlight w:val="none"/>
              </w:rPr>
              <w:t>3</w:t>
            </w:r>
            <w:r>
              <w:rPr>
                <w:rFonts w:hint="eastAsia" w:ascii="宋体" w:hAnsi="宋体" w:cs="宋体"/>
                <w:color w:val="auto"/>
                <w:kern w:val="0"/>
                <w:sz w:val="20"/>
                <w:szCs w:val="20"/>
                <w:highlight w:val="none"/>
                <w:lang w:bidi="ar"/>
              </w:rPr>
              <w:t>.屏风办公桌主要部件的尺寸和要求：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★1)屏风边框采用38mm 宽铝材，铝材厚度为1.0mm，所有铝合金采用优质铝材（新达.浩锋.中辰或同等以上品牌），接头选用铝合金接头。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2)板材：基材：E1级中纤板，表面贴三胺面板，板材采用≥15mm厚，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3)封边: PVC近色封边条,封边牢固、整洁、无毛刺，线条平直，接缝吻合。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4)五金配件：采用国内优质五金配件，品质优越，持久耐用。（乐斯特弗</w:t>
            </w:r>
            <w:r>
              <w:rPr>
                <w:rFonts w:ascii="宋体" w:hAnsi="宋体" w:cs="宋体"/>
                <w:color w:val="auto"/>
                <w:kern w:val="0"/>
                <w:sz w:val="20"/>
                <w:szCs w:val="20"/>
                <w:highlight w:val="none"/>
                <w:lang w:val="en" w:bidi="ar"/>
              </w:rPr>
              <w:t>、</w:t>
            </w:r>
            <w:r>
              <w:rPr>
                <w:rFonts w:hint="eastAsia" w:ascii="宋体" w:hAnsi="宋体" w:cs="宋体"/>
                <w:color w:val="auto"/>
                <w:kern w:val="0"/>
                <w:sz w:val="20"/>
                <w:szCs w:val="20"/>
                <w:highlight w:val="none"/>
                <w:lang w:bidi="ar"/>
              </w:rPr>
              <w:t>小博士</w:t>
            </w:r>
            <w:r>
              <w:rPr>
                <w:rFonts w:ascii="宋体" w:hAnsi="宋体" w:cs="宋体"/>
                <w:color w:val="auto"/>
                <w:kern w:val="0"/>
                <w:sz w:val="20"/>
                <w:szCs w:val="20"/>
                <w:highlight w:val="none"/>
                <w:lang w:val="en" w:bidi="ar"/>
              </w:rPr>
              <w:t>、</w:t>
            </w:r>
            <w:r>
              <w:rPr>
                <w:rFonts w:hint="eastAsia" w:ascii="宋体" w:hAnsi="宋体" w:cs="宋体"/>
                <w:color w:val="auto"/>
                <w:kern w:val="0"/>
                <w:sz w:val="20"/>
                <w:szCs w:val="20"/>
                <w:highlight w:val="none"/>
                <w:lang w:bidi="ar"/>
              </w:rPr>
              <w:t>安帝斯或同等以上品牌）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5)桌面屏风芯上部分采用单层条纹磨砂玻璃，下部分采用E1级环保中纤板，表面贴三胺面板。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val="en-US" w:eastAsia="zh-CN" w:bidi="ar"/>
              </w:rPr>
              <w:t>4.</w:t>
            </w:r>
            <w:r>
              <w:rPr>
                <w:rFonts w:hint="eastAsia" w:ascii="宋体" w:hAnsi="宋体" w:cs="宋体"/>
                <w:color w:val="auto"/>
                <w:kern w:val="0"/>
                <w:sz w:val="20"/>
                <w:szCs w:val="20"/>
                <w:highlight w:val="none"/>
                <w:lang w:bidi="ar"/>
              </w:rPr>
              <w:t>颜色任选。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44"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olor w:val="auto"/>
                <w:szCs w:val="21"/>
                <w:highlight w:val="none"/>
              </w:rPr>
            </w:pPr>
            <w:r>
              <w:rPr>
                <w:rFonts w:hint="eastAsia" w:ascii="宋体" w:hAnsi="宋体"/>
                <w:b/>
                <w:color w:val="auto"/>
                <w:szCs w:val="21"/>
                <w:highlight w:val="none"/>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s="宋体"/>
                <w:b/>
                <w:bCs/>
                <w:color w:val="auto"/>
                <w:kern w:val="0"/>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交付使用时间</w:t>
            </w:r>
          </w:p>
          <w:p>
            <w:pPr>
              <w:snapToGrid w:val="0"/>
              <w:spacing w:line="440" w:lineRule="exact"/>
              <w:jc w:val="center"/>
              <w:rPr>
                <w:rFonts w:hint="eastAsia" w:ascii="宋体" w:hAnsi="宋体"/>
                <w:b/>
                <w:bCs/>
                <w:color w:val="auto"/>
                <w:szCs w:val="21"/>
                <w:highlight w:val="none"/>
              </w:rPr>
            </w:pPr>
            <w:r>
              <w:rPr>
                <w:rFonts w:hint="eastAsia" w:ascii="宋体" w:hAnsi="宋体" w:cs="宋体"/>
                <w:b/>
                <w:bCs/>
                <w:color w:val="auto"/>
                <w:kern w:val="0"/>
                <w:szCs w:val="21"/>
                <w:highlight w:val="none"/>
              </w:rPr>
              <w:t>及地点</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交付使用时间：自签订合同之日起，在30个日历日内交付使用并验收合格。</w:t>
            </w:r>
          </w:p>
          <w:p>
            <w:pPr>
              <w:widowControl/>
              <w:spacing w:line="440" w:lineRule="exact"/>
              <w:jc w:val="left"/>
              <w:rPr>
                <w:rFonts w:hint="eastAsia" w:ascii="宋体" w:hAnsi="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交付使用地点：采购人指定地点。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报价要求</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投标报价为采购人指定地点的现场交货价，包括但不限于：</w:t>
            </w:r>
          </w:p>
          <w:p>
            <w:pPr>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（1）货物的价格：包括货款、杂配件、安装调试费、验收费；</w:t>
            </w:r>
          </w:p>
          <w:p>
            <w:pPr>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（2）货物的标准附件、备品备件、专用工具的价格。</w:t>
            </w:r>
          </w:p>
          <w:p>
            <w:pPr>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（3）运输、装卸、调试、培训、技术支持、售后服务费。</w:t>
            </w:r>
          </w:p>
          <w:p>
            <w:pPr>
              <w:spacing w:line="440" w:lineRule="exact"/>
              <w:jc w:val="left"/>
              <w:rPr>
                <w:rFonts w:hint="eastAsia" w:ascii="宋体" w:hAnsi="宋体" w:cs="仿宋"/>
                <w:color w:val="auto"/>
                <w:szCs w:val="21"/>
                <w:highlight w:val="none"/>
              </w:rPr>
            </w:pPr>
            <w:r>
              <w:rPr>
                <w:rFonts w:hint="eastAsia" w:ascii="宋体" w:hAnsi="宋体" w:cs="仿宋"/>
                <w:color w:val="auto"/>
                <w:szCs w:val="21"/>
                <w:highlight w:val="none"/>
              </w:rPr>
              <w:t>（4）招标代理服务费、保险费和各项税金。</w:t>
            </w:r>
          </w:p>
          <w:p>
            <w:pPr>
              <w:widowControl/>
              <w:spacing w:line="440" w:lineRule="exact"/>
              <w:ind w:firstLine="420" w:firstLineChars="200"/>
              <w:jc w:val="left"/>
              <w:rPr>
                <w:color w:val="auto"/>
                <w:highlight w:val="none"/>
              </w:rPr>
            </w:pPr>
            <w:r>
              <w:rPr>
                <w:rFonts w:hint="eastAsia" w:ascii="宋体" w:hAnsi="宋体" w:cs="仿宋"/>
                <w:color w:val="auto"/>
                <w:szCs w:val="21"/>
                <w:highlight w:val="none"/>
              </w:rPr>
              <w:t>在合同实施时，采购人将不予支付中标供应商没有列入的项目费用，并认为此项目的费用已包括在投标总报价中。</w:t>
            </w:r>
            <w:r>
              <w:rPr>
                <w:rFonts w:hint="eastAsia" w:ascii="宋体" w:hAnsi="宋体" w:cs="宋体"/>
                <w:color w:val="auto"/>
                <w:kern w:val="0"/>
                <w:szCs w:val="21"/>
                <w:highlight w:val="none"/>
                <w:lang w:bidi="ar"/>
              </w:rPr>
              <w:t>采购人不再支付任何费用。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付款方式</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420" w:firstLineChars="200"/>
              <w:jc w:val="left"/>
              <w:rPr>
                <w:rFonts w:hint="eastAsia" w:eastAsia="宋体"/>
                <w:b/>
                <w:color w:val="auto"/>
                <w:highlight w:val="none"/>
                <w:lang w:eastAsia="zh-CN"/>
              </w:rPr>
            </w:pPr>
            <w:r>
              <w:rPr>
                <w:rFonts w:hint="eastAsia" w:ascii="宋体" w:hAnsi="宋体"/>
                <w:color w:val="auto"/>
                <w:szCs w:val="21"/>
                <w:highlight w:val="none"/>
              </w:rPr>
              <w:t>自签订合同之日起十个工作日内，甲方支付合同款总额30%作为预付款，货物交付并验收合格，乙方提供相应金额真实、合法、有效的正式发票后，甲方十个工作日内支付剩余款项。</w:t>
            </w:r>
            <w:r>
              <w:rPr>
                <w:rFonts w:hint="eastAsia" w:ascii="宋体" w:hAnsi="宋体" w:cs="宋体"/>
                <w:color w:val="auto"/>
                <w:kern w:val="0"/>
                <w:szCs w:val="21"/>
                <w:highlight w:val="none"/>
                <w:lang w:eastAsia="zh-CN"/>
              </w:rPr>
              <w:t>【乙方应提供货款全额的发票（货物采购须开具增值税专用发票）】。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质保期</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中标人负责免费送货上门、免费安装调试至合格。除“技术需求及要求”中另有约定外，其余货物按国家有关产品“三包”规定执行“三包”，质保期自货物验收合格之日起计算，不少于1年（若产品生产厂家免费质保期超过此年限的，合同履行过程中按厂家规定执行；若中标人质保期承诺优于产品生产厂家质保年限的，以中标人承诺执行）。</w:t>
            </w:r>
          </w:p>
          <w:p>
            <w:pPr>
              <w:widowControl/>
              <w:spacing w:line="440" w:lineRule="exact"/>
              <w:jc w:val="left"/>
              <w:rPr>
                <w:color w:val="auto"/>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在质量保证期内，在正常的操作下，出现的任何故障及损失，标人免费提供维修服务，免费提供系统软件升级。如涉及失效零件更换，该零件应由中标人提供免费上门服务。</w:t>
            </w:r>
            <w:r>
              <w:rPr>
                <w:rFonts w:ascii="宋体" w:hAnsi="宋体" w:cs="宋体"/>
                <w:color w:val="auto"/>
                <w:kern w:val="0"/>
                <w:szCs w:val="21"/>
                <w:highlight w:val="none"/>
                <w:lang w:bidi="ar"/>
              </w:rPr>
              <w:t>免费保修期外的服务承诺；免费提供终身技术支持服务承诺。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售后服务要求</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所投货物必须为经合法渠道销售的全新原装产品；</w:t>
            </w:r>
            <w:r>
              <w:rPr>
                <w:rFonts w:hint="eastAsia" w:ascii="宋体" w:hAnsi="宋体" w:cs="宋体"/>
                <w:bCs/>
                <w:color w:val="auto"/>
                <w:szCs w:val="21"/>
                <w:highlight w:val="none"/>
              </w:rPr>
              <w:t>免费送货上门、免费安装调试、免费培训。</w:t>
            </w:r>
          </w:p>
          <w:p>
            <w:pPr>
              <w:widowControl/>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安装调试和培训：到货后，中标人需在采购人指定的时间内进行安装调试；提供采购人的现场操作使用及基本维护的免费培训。</w:t>
            </w:r>
          </w:p>
          <w:p>
            <w:pPr>
              <w:widowControl/>
              <w:spacing w:line="440" w:lineRule="exact"/>
              <w:jc w:val="left"/>
              <w:rPr>
                <w:rFonts w:hint="eastAsia" w:ascii="宋体" w:hAnsi="宋体"/>
                <w:b/>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服务响应时间：质量保证期内，中标人应当提供24小时电话支持服务。采购人遇到使用或技术问题，中标人应在接到通知后24小时内响应，48个小时内排除故障。特殊情况无法到达须提前与采购人沟通。设备出现严重故障无法修复的，质保期内中标人应无条件更换新货物或提供代用货物，或采取使货物可正常运转的措施，并出具书面报告给采购人，双方按实际情况协商修复时限。产生的一切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kern w:val="0"/>
                <w:szCs w:val="21"/>
                <w:highlight w:val="none"/>
              </w:rPr>
              <w:t>验收标准</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由采购人邀请相关部门及有关技术专家按照招标文件要求、合同及中标人承诺的技术要求和质量标准验收（必要时将邀请第三方专业的检测机构协助验收）。验收标准、规范：</w:t>
            </w:r>
          </w:p>
          <w:p>
            <w:pPr>
              <w:widowControl/>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（1）项目需求文件及成交人响应文件中的“技术响应、偏离情况说明表，逐条验收；（2）项目需求文件及成交人响应文件中的“商务响应表”，逐条验收；</w:t>
            </w:r>
          </w:p>
          <w:p>
            <w:pPr>
              <w:widowControl/>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（3）成交人响应文件中其他技术、服务、商务性的说明、承诺事项，逐条验收；</w:t>
            </w:r>
          </w:p>
          <w:p>
            <w:pPr>
              <w:widowControl/>
              <w:spacing w:line="440" w:lineRule="exact"/>
              <w:jc w:val="left"/>
              <w:rPr>
                <w:rFonts w:hint="eastAsia" w:ascii="宋体" w:hAnsi="宋体"/>
                <w:b/>
                <w:color w:val="auto"/>
                <w:szCs w:val="21"/>
                <w:highlight w:val="none"/>
              </w:rPr>
            </w:pPr>
            <w:r>
              <w:rPr>
                <w:rFonts w:hint="eastAsia" w:ascii="宋体" w:hAnsi="宋体" w:cs="宋体"/>
                <w:bCs/>
                <w:color w:val="auto"/>
                <w:szCs w:val="21"/>
                <w:highlight w:val="none"/>
              </w:rPr>
              <w:t>（4）国家相关法律、法规、标准和规范等。</w:t>
            </w:r>
            <w:r>
              <w:rPr>
                <w:rFonts w:hint="eastAsia"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400" w:firstLineChars="200"/>
              <w:rPr>
                <w:rFonts w:hint="eastAsia" w:ascii="宋体" w:hAnsi="宋体"/>
                <w:b/>
                <w:bCs/>
                <w:color w:val="auto"/>
                <w:szCs w:val="21"/>
                <w:highlight w:val="none"/>
              </w:rPr>
            </w:pPr>
            <w:r>
              <w:rPr>
                <w:rFonts w:ascii="宋体" w:hAnsi="宋体" w:cs="宋体"/>
                <w:color w:val="auto"/>
                <w:kern w:val="0"/>
                <w:sz w:val="20"/>
                <w:szCs w:val="20"/>
                <w:highlight w:val="none"/>
                <w:lang w:bidi="ar"/>
              </w:rPr>
              <w:t>▲</w:t>
            </w:r>
            <w:r>
              <w:rPr>
                <w:rFonts w:hint="eastAsia" w:ascii="宋体" w:hAnsi="宋体" w:cs="宋体"/>
                <w:b/>
                <w:bCs/>
                <w:color w:val="auto"/>
                <w:szCs w:val="21"/>
                <w:highlight w:val="none"/>
              </w:rPr>
              <w:t>核心产品</w:t>
            </w:r>
          </w:p>
        </w:tc>
        <w:tc>
          <w:tcPr>
            <w:tcW w:w="802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left"/>
              <w:rPr>
                <w:rFonts w:hint="eastAsia" w:ascii="宋体" w:hAnsi="宋体" w:cs="宋体"/>
                <w:color w:val="auto"/>
                <w:szCs w:val="21"/>
                <w:highlight w:val="none"/>
              </w:rPr>
            </w:pPr>
            <w:r>
              <w:rPr>
                <w:rFonts w:ascii="宋体" w:hAnsi="宋体" w:cs="宋体"/>
                <w:b/>
                <w:bCs/>
                <w:color w:val="auto"/>
                <w:szCs w:val="21"/>
                <w:highlight w:val="none"/>
                <w:u w:val="single"/>
                <w:lang w:val="en"/>
              </w:rPr>
              <w:t>项号</w:t>
            </w:r>
            <w:r>
              <w:rPr>
                <w:rFonts w:hint="eastAsia" w:ascii="宋体" w:hAnsi="宋体" w:cs="宋体"/>
                <w:b/>
                <w:bCs/>
                <w:color w:val="auto"/>
                <w:szCs w:val="21"/>
                <w:highlight w:val="none"/>
                <w:u w:val="single"/>
              </w:rPr>
              <w:t xml:space="preserve"> 27“中央台”</w:t>
            </w:r>
            <w:r>
              <w:rPr>
                <w:rFonts w:hint="eastAsia" w:ascii="宋体" w:hAnsi="宋体" w:cs="宋体"/>
                <w:color w:val="auto"/>
                <w:szCs w:val="21"/>
                <w:highlight w:val="none"/>
              </w:rPr>
              <w:t>为本次采购的核心产品。</w:t>
            </w:r>
          </w:p>
          <w:p>
            <w:pPr>
              <w:spacing w:line="440" w:lineRule="exact"/>
              <w:ind w:firstLine="420" w:firstLineChars="200"/>
              <w:jc w:val="left"/>
              <w:rPr>
                <w:rFonts w:hint="eastAsia" w:ascii="宋体" w:hAnsi="宋体"/>
                <w:b/>
                <w:color w:val="auto"/>
                <w:szCs w:val="21"/>
                <w:highlight w:val="none"/>
              </w:rPr>
            </w:pPr>
            <w:r>
              <w:rPr>
                <w:rFonts w:hint="eastAsia" w:ascii="宋体" w:hAnsi="宋体" w:cs="宋体"/>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仿宋" w:hAnsi="仿宋" w:eastAsia="仿宋"/>
                <w:b/>
                <w:bCs/>
                <w:color w:val="auto"/>
                <w:szCs w:val="21"/>
                <w:highlight w:val="none"/>
              </w:rPr>
            </w:pPr>
            <w:r>
              <w:rPr>
                <w:rFonts w:hint="eastAsia" w:ascii="宋体" w:hAnsi="宋体"/>
                <w:b/>
                <w:bCs/>
                <w:color w:val="auto"/>
                <w:szCs w:val="21"/>
                <w:highlight w:val="none"/>
              </w:rPr>
              <w:t>其他要求及说明</w:t>
            </w:r>
          </w:p>
        </w:tc>
        <w:tc>
          <w:tcPr>
            <w:tcW w:w="8027" w:type="dxa"/>
            <w:gridSpan w:val="4"/>
            <w:tcBorders>
              <w:top w:val="single" w:color="auto" w:sz="4" w:space="0"/>
              <w:left w:val="single" w:color="auto" w:sz="4" w:space="0"/>
              <w:bottom w:val="single" w:color="auto" w:sz="4" w:space="0"/>
              <w:right w:val="single" w:color="auto" w:sz="4" w:space="0"/>
            </w:tcBorders>
          </w:tcPr>
          <w:p>
            <w:pPr>
              <w:widowControl/>
              <w:numPr>
                <w:ilvl w:val="0"/>
                <w:numId w:val="20"/>
              </w:num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所投产品必须是原厂生产的全新的、未使用过的、检验合格的优质产品，产品质量符合国家相关规定。</w:t>
            </w:r>
          </w:p>
          <w:p>
            <w:pPr>
              <w:widowControl/>
              <w:numPr>
                <w:ilvl w:val="0"/>
                <w:numId w:val="0"/>
              </w:num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kern w:val="0"/>
                <w:szCs w:val="21"/>
                <w:highlight w:val="none"/>
                <w:lang w:bidi="ar"/>
              </w:rPr>
              <w:t>投标人在投标文件中</w:t>
            </w:r>
            <w:r>
              <w:rPr>
                <w:rFonts w:hint="eastAsia" w:ascii="宋体" w:hAnsi="宋体" w:cs="宋体"/>
                <w:color w:val="auto"/>
                <w:kern w:val="0"/>
                <w:szCs w:val="21"/>
                <w:highlight w:val="none"/>
                <w:lang w:eastAsia="zh-CN" w:bidi="ar"/>
              </w:rPr>
              <w:t>请</w:t>
            </w:r>
            <w:r>
              <w:rPr>
                <w:rFonts w:hint="eastAsia" w:ascii="宋体" w:hAnsi="宋体" w:cs="宋体"/>
                <w:color w:val="auto"/>
                <w:kern w:val="0"/>
                <w:szCs w:val="21"/>
                <w:highlight w:val="none"/>
                <w:lang w:bidi="ar"/>
              </w:rPr>
              <w:t>提供本项目详细的项目实施方案、安装调试方案、售后服务方案。</w:t>
            </w:r>
          </w:p>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政策功能：</w:t>
            </w:r>
          </w:p>
          <w:p>
            <w:pPr>
              <w:widowControl/>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zh-CN"/>
              </w:rPr>
              <w:t>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扫描件或其他电子文件并加盖投标人公章，否则投标无效</w:t>
            </w:r>
            <w:r>
              <w:rPr>
                <w:rFonts w:hint="eastAsia" w:ascii="宋体" w:hAnsi="宋体" w:cs="宋体"/>
                <w:b/>
                <w:bCs/>
                <w:color w:val="auto"/>
                <w:szCs w:val="21"/>
                <w:highlight w:val="none"/>
              </w:rPr>
              <w:t>。</w:t>
            </w:r>
          </w:p>
          <w:p>
            <w:pPr>
              <w:widowControl/>
              <w:numPr>
                <w:ilvl w:val="255"/>
                <w:numId w:val="0"/>
              </w:num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扫描件或其他电子文件并加盖磋商供应商公章，否则不予认定。</w:t>
            </w:r>
          </w:p>
          <w:p>
            <w:pPr>
              <w:widowControl/>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b/>
                <w:bCs/>
                <w:color w:val="auto"/>
                <w:szCs w:val="21"/>
                <w:highlight w:val="none"/>
              </w:rPr>
              <w:t>供应商投标产品的配件（辅材）涉及节能认证、国家强制认证的，在验收时必须提供产品、配件的相关节能认证证书、国家强制认证证书，不能提供认证证书的采购人有权拒绝验收，由此产生的一切后果由供应商承担</w:t>
            </w:r>
            <w:r>
              <w:rPr>
                <w:rFonts w:hint="eastAsia" w:ascii="宋体" w:hAnsi="宋体" w:cs="宋体"/>
                <w:color w:val="auto"/>
                <w:szCs w:val="21"/>
                <w:highlight w:val="none"/>
              </w:rPr>
              <w:t>。</w:t>
            </w:r>
          </w:p>
          <w:p>
            <w:pPr>
              <w:widowControl/>
              <w:shd w:val="clear" w:color="auto" w:fill="FFFFFF"/>
              <w:jc w:val="left"/>
              <w:rPr>
                <w:rFonts w:hint="eastAsia" w:ascii="仿宋" w:hAnsi="仿宋" w:eastAsia="仿宋"/>
                <w:b/>
                <w:color w:val="auto"/>
                <w:szCs w:val="21"/>
                <w:highlight w:val="none"/>
              </w:rPr>
            </w:pPr>
            <w:r>
              <w:rPr>
                <w:rFonts w:hint="eastAsia" w:ascii="宋体" w:hAnsi="宋体"/>
                <w:b/>
                <w:bCs/>
                <w:color w:val="auto"/>
                <w:szCs w:val="21"/>
                <w:highlight w:val="none"/>
              </w:rPr>
              <w:t>▲</w:t>
            </w:r>
            <w:r>
              <w:rPr>
                <w:rFonts w:hint="eastAsia"/>
                <w:color w:val="auto"/>
                <w:highlight w:val="none"/>
                <w:lang w:val="en-US" w:eastAsia="zh-CN"/>
              </w:rPr>
              <w:t>5.</w:t>
            </w:r>
            <w:r>
              <w:rPr>
                <w:rFonts w:hint="eastAsia" w:ascii="宋体" w:hAnsi="宋体" w:cs="仿宋_GB2312"/>
                <w:b/>
                <w:color w:val="auto"/>
                <w:szCs w:val="21"/>
                <w:highlight w:val="none"/>
              </w:rPr>
              <w:t>本分标不接受整套进口产品投标</w:t>
            </w:r>
            <w:r>
              <w:rPr>
                <w:rFonts w:hint="eastAsia" w:ascii="仿宋" w:hAnsi="仿宋" w:eastAsia="仿宋"/>
                <w:b/>
                <w:color w:val="auto"/>
                <w:szCs w:val="21"/>
                <w:highlight w:val="none"/>
              </w:rPr>
              <w:t>。</w:t>
            </w:r>
          </w:p>
        </w:tc>
      </w:tr>
    </w:tbl>
    <w:p>
      <w:pPr>
        <w:pStyle w:val="52"/>
        <w:ind w:firstLine="241"/>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pStyle w:val="101"/>
        <w:rPr>
          <w:rFonts w:ascii="仿宋_GB2312" w:eastAsia="仿宋_GB2312"/>
          <w:b/>
          <w:color w:val="auto"/>
          <w:szCs w:val="21"/>
          <w:highlight w:val="none"/>
        </w:rPr>
      </w:pPr>
    </w:p>
    <w:p>
      <w:pPr>
        <w:pStyle w:val="22"/>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jc w:val="center"/>
        <w:rPr>
          <w:rFonts w:hint="eastAsia" w:ascii="宋体" w:hAnsi="宋体" w:cs="Courier New"/>
          <w:b/>
          <w:color w:val="auto"/>
          <w:sz w:val="44"/>
          <w:szCs w:val="44"/>
          <w:highlight w:val="none"/>
        </w:rPr>
      </w:pPr>
      <w:r>
        <w:rPr>
          <w:rFonts w:hint="eastAsia" w:ascii="宋体" w:hAnsi="宋体" w:cs="Courier New"/>
          <w:b/>
          <w:color w:val="auto"/>
          <w:sz w:val="44"/>
          <w:szCs w:val="44"/>
          <w:highlight w:val="none"/>
        </w:rPr>
        <w:t>第三章  投标人须知</w:t>
      </w:r>
    </w:p>
    <w:p>
      <w:pPr>
        <w:spacing w:line="360" w:lineRule="exact"/>
        <w:jc w:val="center"/>
        <w:rPr>
          <w:rFonts w:ascii="仿宋_GB2312" w:eastAsia="仿宋_GB2312"/>
          <w:b/>
          <w:color w:val="auto"/>
          <w:szCs w:val="21"/>
          <w:highlight w:val="none"/>
        </w:rPr>
      </w:pPr>
      <w:r>
        <w:rPr>
          <w:rFonts w:ascii="仿宋_GB2312" w:eastAsia="仿宋_GB2312"/>
          <w:b/>
          <w:color w:val="auto"/>
          <w:szCs w:val="21"/>
          <w:highlight w:val="none"/>
        </w:rPr>
        <w:br w:type="page"/>
      </w:r>
    </w:p>
    <w:p>
      <w:pPr>
        <w:spacing w:line="360" w:lineRule="exact"/>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投标</w:t>
      </w:r>
      <w:bookmarkStart w:id="4" w:name="_Toc254970526"/>
      <w:bookmarkStart w:id="5" w:name="_Toc254970667"/>
      <w:r>
        <w:rPr>
          <w:rFonts w:hint="eastAsia" w:ascii="仿宋_GB2312" w:eastAsia="仿宋_GB2312"/>
          <w:b/>
          <w:color w:val="auto"/>
          <w:sz w:val="32"/>
          <w:szCs w:val="32"/>
          <w:highlight w:val="none"/>
        </w:rPr>
        <w:t>人须知及前附表</w:t>
      </w:r>
      <w:bookmarkEnd w:id="4"/>
      <w:bookmarkEnd w:id="5"/>
    </w:p>
    <w:p>
      <w:pPr>
        <w:spacing w:line="360" w:lineRule="exact"/>
        <w:jc w:val="center"/>
        <w:rPr>
          <w:rFonts w:ascii="仿宋_GB2312" w:eastAsia="仿宋_GB2312"/>
          <w:b/>
          <w:color w:val="auto"/>
          <w:szCs w:val="21"/>
          <w:highlight w:val="none"/>
        </w:rPr>
      </w:pPr>
    </w:p>
    <w:tbl>
      <w:tblPr>
        <w:tblStyle w:val="53"/>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序号</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bCs/>
                <w:color w:val="auto"/>
                <w:szCs w:val="21"/>
                <w:highlight w:val="none"/>
              </w:rPr>
            </w:pPr>
            <w:r>
              <w:rPr>
                <w:rFonts w:hint="eastAsia" w:ascii="宋体"/>
                <w:bCs/>
                <w:color w:val="auto"/>
                <w:szCs w:val="21"/>
                <w:highlight w:val="none"/>
              </w:rPr>
              <w:t>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color w:val="auto"/>
                <w:szCs w:val="21"/>
                <w:highlight w:val="none"/>
                <w:lang w:val="en"/>
              </w:rPr>
            </w:pPr>
            <w:r>
              <w:rPr>
                <w:rFonts w:hint="eastAsia" w:ascii="宋体"/>
                <w:b/>
                <w:bCs/>
                <w:color w:val="auto"/>
                <w:szCs w:val="21"/>
                <w:highlight w:val="none"/>
              </w:rPr>
              <w:t>项目名称：广西医科大学武鸣校区教学设施采购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bCs/>
                <w:color w:val="auto"/>
                <w:szCs w:val="21"/>
                <w:highlight w:val="none"/>
              </w:rPr>
            </w:pPr>
            <w:r>
              <w:rPr>
                <w:rFonts w:hint="eastAsia" w:ascii="宋体"/>
                <w:bCs/>
                <w:color w:val="auto"/>
                <w:szCs w:val="21"/>
                <w:highlight w:val="none"/>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color w:val="auto"/>
                <w:szCs w:val="21"/>
                <w:highlight w:val="none"/>
              </w:rPr>
            </w:pPr>
            <w:r>
              <w:rPr>
                <w:rFonts w:hint="eastAsia" w:ascii="宋体"/>
                <w:color w:val="auto"/>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Cs/>
                <w:color w:val="auto"/>
                <w:highlight w:val="none"/>
              </w:rPr>
            </w:pPr>
            <w:r>
              <w:rPr>
                <w:rFonts w:hint="eastAsia"/>
                <w:bCs/>
                <w:color w:val="auto"/>
                <w:highlight w:val="none"/>
              </w:rPr>
              <w:t>3</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bCs/>
                <w:color w:val="auto"/>
                <w:highlight w:val="none"/>
              </w:rPr>
            </w:pPr>
            <w:r>
              <w:rPr>
                <w:rFonts w:hint="eastAsia"/>
                <w:bCs/>
                <w:color w:val="auto"/>
                <w:highlight w:val="none"/>
              </w:rPr>
              <w:t>详见公开招标公告</w:t>
            </w:r>
          </w:p>
          <w:p>
            <w:pPr>
              <w:snapToGrid w:val="0"/>
              <w:spacing w:line="300" w:lineRule="exact"/>
              <w:rPr>
                <w:bCs/>
                <w:color w:val="auto"/>
                <w:highlight w:val="none"/>
              </w:rPr>
            </w:pPr>
            <w:r>
              <w:rPr>
                <w:rFonts w:hint="eastAsia"/>
                <w:bCs/>
                <w:color w:val="auto"/>
                <w:highlight w:val="none"/>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Cs/>
                <w:color w:val="auto"/>
                <w:highlight w:val="none"/>
              </w:rPr>
            </w:pPr>
            <w:r>
              <w:rPr>
                <w:rFonts w:hint="eastAsia"/>
                <w:bCs/>
                <w:color w:val="auto"/>
                <w:highlight w:val="none"/>
              </w:rPr>
              <w:t>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b/>
                <w:bCs/>
                <w:color w:val="auto"/>
                <w:highlight w:val="none"/>
              </w:rPr>
            </w:pPr>
            <w:r>
              <w:rPr>
                <w:rFonts w:hint="eastAsia" w:ascii="宋体"/>
                <w:b/>
                <w:color w:val="auto"/>
                <w:szCs w:val="21"/>
                <w:highlight w:val="none"/>
              </w:rPr>
              <w:t>现场勘查：详见采购需求(如有)。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5</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color w:val="auto"/>
                <w:szCs w:val="21"/>
                <w:highlight w:val="none"/>
              </w:rPr>
            </w:pPr>
            <w:r>
              <w:rPr>
                <w:rFonts w:hint="eastAsia" w:ascii="宋体"/>
                <w:color w:val="auto"/>
                <w:szCs w:val="21"/>
                <w:highlight w:val="none"/>
              </w:rPr>
              <w:t>演示时间及地点：无</w:t>
            </w:r>
            <w:r>
              <w:rPr>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color w:val="auto"/>
                <w:szCs w:val="21"/>
                <w:highlight w:val="none"/>
              </w:rPr>
            </w:pPr>
            <w:r>
              <w:rPr>
                <w:rFonts w:hint="eastAsia"/>
                <w:color w:val="auto"/>
                <w:szCs w:val="21"/>
                <w:highlight w:val="none"/>
              </w:rPr>
              <w:t>（1）答疑、澄清：</w:t>
            </w:r>
            <w:r>
              <w:rPr>
                <w:rFonts w:hint="eastAsia"/>
                <w:b/>
                <w:color w:val="auto"/>
                <w:szCs w:val="21"/>
                <w:highlight w:val="none"/>
                <w:u w:val="single"/>
              </w:rPr>
              <w:t>投标人如认为招标文件表述不清晰、</w:t>
            </w:r>
            <w:r>
              <w:rPr>
                <w:rFonts w:hint="eastAsia"/>
                <w:b/>
                <w:bCs/>
                <w:color w:val="auto"/>
                <w:highlight w:val="none"/>
                <w:u w:val="single"/>
              </w:rPr>
              <w:t>有误或有不合理要求的</w:t>
            </w:r>
            <w:r>
              <w:rPr>
                <w:rFonts w:hint="eastAsia"/>
                <w:color w:val="auto"/>
                <w:szCs w:val="21"/>
                <w:highlight w:val="none"/>
              </w:rPr>
              <w:t>，</w:t>
            </w:r>
            <w:r>
              <w:rPr>
                <w:color w:val="auto"/>
                <w:szCs w:val="21"/>
                <w:highlight w:val="none"/>
              </w:rPr>
              <w:t>应当以书面形式要求采购人或者本中心作出书面答疑、澄清</w:t>
            </w:r>
            <w:r>
              <w:rPr>
                <w:rFonts w:hint="eastAsia"/>
                <w:color w:val="auto"/>
                <w:szCs w:val="21"/>
                <w:highlight w:val="none"/>
              </w:rPr>
              <w:t>；</w:t>
            </w:r>
          </w:p>
          <w:p>
            <w:pPr>
              <w:snapToGrid w:val="0"/>
              <w:spacing w:line="300" w:lineRule="exact"/>
              <w:rPr>
                <w:rFonts w:hint="eastAsia" w:hAnsi="宋体"/>
                <w:color w:val="auto"/>
                <w:szCs w:val="21"/>
                <w:highlight w:val="none"/>
              </w:rPr>
            </w:pPr>
            <w:r>
              <w:rPr>
                <w:rFonts w:hint="eastAsia" w:hAnsi="宋体"/>
                <w:color w:val="auto"/>
                <w:szCs w:val="21"/>
                <w:highlight w:val="none"/>
              </w:rPr>
              <w:t>（2）询问、质疑：</w:t>
            </w:r>
            <w:r>
              <w:rPr>
                <w:rFonts w:hint="eastAsia" w:hAnsi="宋体"/>
                <w:b/>
                <w:color w:val="auto"/>
                <w:szCs w:val="21"/>
                <w:highlight w:val="none"/>
                <w:u w:val="single"/>
              </w:rPr>
              <w:t>如投标人认为招标文件存在歧视性、排他性或者其他违法内容的</w:t>
            </w:r>
            <w:r>
              <w:rPr>
                <w:rFonts w:hint="eastAsia" w:hAnsi="宋体"/>
                <w:color w:val="auto"/>
                <w:szCs w:val="21"/>
                <w:highlight w:val="none"/>
              </w:rPr>
              <w:t>，按投标人须知“一、总则（九）询问、质疑和投诉”中的要求向</w:t>
            </w:r>
            <w:r>
              <w:rPr>
                <w:rFonts w:ascii="宋体" w:hAnsi="宋体"/>
                <w:color w:val="auto"/>
                <w:szCs w:val="21"/>
                <w:highlight w:val="none"/>
              </w:rPr>
              <w:t>采购人或者采购代理机构</w:t>
            </w:r>
            <w:r>
              <w:rPr>
                <w:rFonts w:hint="eastAsia" w:hAnsi="宋体"/>
                <w:color w:val="auto"/>
                <w:szCs w:val="21"/>
                <w:highlight w:val="none"/>
              </w:rPr>
              <w:t>提出书面询问、质疑，并提供必要的证明材料。</w:t>
            </w:r>
          </w:p>
          <w:p>
            <w:pPr>
              <w:snapToGrid w:val="0"/>
              <w:spacing w:line="300" w:lineRule="exact"/>
              <w:ind w:firstLine="420" w:firstLineChars="200"/>
              <w:rPr>
                <w:rFonts w:ascii="宋体"/>
                <w:color w:val="auto"/>
                <w:szCs w:val="21"/>
                <w:highlight w:val="none"/>
              </w:rPr>
            </w:pPr>
            <w:r>
              <w:rPr>
                <w:rFonts w:hint="eastAsia" w:hAnsi="宋体"/>
                <w:color w:val="auto"/>
                <w:szCs w:val="21"/>
                <w:highlight w:val="none"/>
              </w:rPr>
              <w:t>答疑、澄清内容是招标文件的组成部份，本中心将以书面形式送达所有已报名的投标人。</w:t>
            </w:r>
            <w:r>
              <w:rPr>
                <w:rFonts w:hint="eastAsia" w:hAnsi="宋体"/>
                <w:color w:val="auto"/>
                <w:highlight w:val="none"/>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7</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hAnsi="宋体"/>
                <w:color w:val="auto"/>
                <w:szCs w:val="21"/>
                <w:highlight w:val="none"/>
              </w:rPr>
              <w:t>投标文件形式：</w:t>
            </w:r>
            <w:r>
              <w:rPr>
                <w:rFonts w:hint="eastAsia" w:ascii="宋体"/>
                <w:snapToGrid w:val="0"/>
                <w:color w:val="auto"/>
                <w:sz w:val="22"/>
                <w:highlight w:val="none"/>
              </w:rPr>
              <w:t>投标供应商应准备电子投标文件。</w:t>
            </w:r>
          </w:p>
          <w:p>
            <w:pPr>
              <w:autoSpaceDE w:val="0"/>
              <w:autoSpaceDN w:val="0"/>
              <w:snapToGrid w:val="0"/>
              <w:spacing w:line="300" w:lineRule="exact"/>
              <w:textAlignment w:val="bottom"/>
              <w:rPr>
                <w:rFonts w:ascii="宋体"/>
                <w:color w:val="auto"/>
                <w:szCs w:val="21"/>
                <w:highlight w:val="none"/>
              </w:rPr>
            </w:pPr>
            <w:r>
              <w:rPr>
                <w:rFonts w:hint="eastAsia" w:ascii="宋体"/>
                <w:snapToGrid w:val="0"/>
                <w:color w:val="auto"/>
                <w:sz w:val="22"/>
                <w:highlight w:val="none"/>
              </w:rPr>
              <w:t>电子投标文件是指通过“</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olor w:val="auto"/>
                <w:szCs w:val="21"/>
                <w:highlight w:val="none"/>
              </w:rPr>
            </w:pPr>
            <w:r>
              <w:rPr>
                <w:rFonts w:hint="eastAsia" w:ascii="宋体"/>
                <w:snapToGrid w:val="0"/>
                <w:color w:val="auto"/>
                <w:sz w:val="22"/>
                <w:highlight w:val="none"/>
              </w:rPr>
              <w:t>投标文件的编制：供应商应先安装“</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客户端”，并按照本招标文件和“</w:t>
            </w:r>
            <w:r>
              <w:rPr>
                <w:rFonts w:ascii="宋体"/>
                <w:snapToGrid w:val="0"/>
                <w:color w:val="auto"/>
                <w:sz w:val="22"/>
                <w:highlight w:val="none"/>
                <w:lang w:val="en"/>
              </w:rPr>
              <w:t>广西政府采购云平台</w:t>
            </w:r>
            <w:r>
              <w:rPr>
                <w:rFonts w:hint="eastAsia" w:ascii="宋体"/>
                <w:snapToGrid w:val="0"/>
                <w:color w:val="auto"/>
                <w:sz w:val="22"/>
                <w:highlight w:val="none"/>
              </w:rPr>
              <w:t>”的要求，通过“</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法定代表人或其授权代表签字或签章：本招标文件所涉及的法定代表人或其授权代表签字或签章的内容，如果投标单位没有法定代表人电子签章，涉及到法定代表人或其授权代表签字或签章的内容，投标单位可以线下签字或签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投标文件的上传和提交：本项目通过“</w:t>
            </w:r>
            <w:r>
              <w:rPr>
                <w:rFonts w:ascii="宋体"/>
                <w:snapToGrid w:val="0"/>
                <w:color w:val="auto"/>
                <w:sz w:val="22"/>
                <w:highlight w:val="none"/>
                <w:lang w:val="en"/>
              </w:rPr>
              <w:t>广西政府采购云平台（http://www.gcy.zfcg.gxzf.gov.cn）</w:t>
            </w:r>
            <w:r>
              <w:rPr>
                <w:rFonts w:ascii="宋体"/>
                <w:snapToGrid w:val="0"/>
                <w:color w:val="auto"/>
                <w:sz w:val="22"/>
                <w:highlight w:val="none"/>
              </w:rPr>
              <w:t>”实行在线投标响应（电子投标），投标供应商应当在投标截止时间前，将生成的“电子加密投标文件”上传提交至“</w:t>
            </w:r>
            <w:r>
              <w:rPr>
                <w:rFonts w:hint="eastAsia" w:ascii="宋体"/>
                <w:snapToGrid w:val="0"/>
                <w:color w:val="auto"/>
                <w:sz w:val="22"/>
                <w:highlight w:val="none"/>
              </w:rPr>
              <w:t>广西政府采购云平台</w:t>
            </w:r>
            <w:r>
              <w:rPr>
                <w:rFonts w:ascii="宋体"/>
                <w:snapToGrid w:val="0"/>
                <w:color w:val="auto"/>
                <w:sz w:val="22"/>
                <w:highlight w:val="none"/>
              </w:rPr>
              <w:t>”。</w:t>
            </w:r>
          </w:p>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“电子加密投标文件”的上传、提交：</w:t>
            </w:r>
          </w:p>
          <w:p>
            <w:pPr>
              <w:spacing w:line="300" w:lineRule="exact"/>
              <w:rPr>
                <w:rFonts w:ascii="宋体"/>
                <w:snapToGrid w:val="0"/>
                <w:color w:val="auto"/>
                <w:sz w:val="22"/>
                <w:highlight w:val="none"/>
              </w:rPr>
            </w:pPr>
            <w:r>
              <w:rPr>
                <w:rFonts w:hint="eastAsia" w:ascii="宋体"/>
                <w:snapToGrid w:val="0"/>
                <w:color w:val="auto"/>
                <w:sz w:val="22"/>
                <w:highlight w:val="none"/>
              </w:rPr>
              <w:t>a.投标供应商应在投标截止时间前将“电子加密投标文件”成功上传提交至“广西政府采购云平台”，否则投标无效。</w:t>
            </w:r>
          </w:p>
          <w:p>
            <w:pPr>
              <w:spacing w:line="300" w:lineRule="exact"/>
              <w:rPr>
                <w:rFonts w:ascii="宋体"/>
                <w:snapToGrid w:val="0"/>
                <w:color w:val="auto"/>
                <w:sz w:val="22"/>
                <w:highlight w:val="none"/>
              </w:rPr>
            </w:pPr>
            <w:r>
              <w:rPr>
                <w:rFonts w:hint="eastAsia" w:ascii="宋体"/>
                <w:snapToGrid w:val="0"/>
                <w:color w:val="auto"/>
                <w:sz w:val="22"/>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电子加密投标文件的解密：</w:t>
            </w:r>
          </w:p>
          <w:p>
            <w:pPr>
              <w:spacing w:line="300" w:lineRule="exact"/>
              <w:rPr>
                <w:rFonts w:ascii="宋体"/>
                <w:snapToGrid w:val="0"/>
                <w:color w:val="auto"/>
                <w:sz w:val="22"/>
                <w:highlight w:val="none"/>
              </w:rPr>
            </w:pPr>
            <w:r>
              <w:rPr>
                <w:rFonts w:hint="eastAsia" w:ascii="宋体"/>
                <w:snapToGrid w:val="0"/>
                <w:color w:val="auto"/>
                <w:sz w:val="22"/>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投标截止时间及地点：</w:t>
            </w:r>
            <w:r>
              <w:rPr>
                <w:rFonts w:hint="eastAsia"/>
                <w:color w:val="auto"/>
                <w:highlight w:val="none"/>
              </w:rPr>
              <w:t xml:space="preserve"> </w:t>
            </w:r>
            <w:r>
              <w:rPr>
                <w:b/>
                <w:bCs/>
                <w:color w:val="auto"/>
                <w:highlight w:val="none"/>
                <w:lang w:val="en"/>
              </w:rPr>
              <w:t>202</w:t>
            </w:r>
            <w:r>
              <w:rPr>
                <w:rFonts w:hint="eastAsia"/>
                <w:b/>
                <w:bCs/>
                <w:color w:val="auto"/>
                <w:highlight w:val="none"/>
              </w:rPr>
              <w:t>6</w:t>
            </w:r>
            <w:r>
              <w:rPr>
                <w:b/>
                <w:bCs/>
                <w:color w:val="auto"/>
                <w:highlight w:val="none"/>
                <w:lang w:val="en"/>
              </w:rPr>
              <w:t>年月日</w:t>
            </w:r>
            <w:r>
              <w:rPr>
                <w:rFonts w:hint="eastAsia"/>
                <w:b/>
                <w:color w:val="auto"/>
                <w:highlight w:val="none"/>
              </w:rPr>
              <w:t>上午10时整，</w:t>
            </w:r>
            <w:r>
              <w:rPr>
                <w:rFonts w:ascii="宋体" w:hAnsi="宋体" w:cs="Arial"/>
                <w:b/>
                <w:color w:val="auto"/>
                <w:szCs w:val="21"/>
                <w:highlight w:val="none"/>
                <w:u w:val="single"/>
                <w:lang w:val="en"/>
              </w:rPr>
              <w:t>南宁市星湖路22号</w:t>
            </w:r>
            <w:r>
              <w:rPr>
                <w:rFonts w:hint="eastAsia" w:ascii="宋体" w:hAnsi="宋体" w:cs="Arial"/>
                <w:b/>
                <w:color w:val="auto"/>
                <w:szCs w:val="21"/>
                <w:highlight w:val="none"/>
                <w:u w:val="single"/>
              </w:rPr>
              <w:t>广西壮族自治区政府采购中心开标大厅</w:t>
            </w:r>
            <w:r>
              <w:rPr>
                <w:rFonts w:hint="eastAsia"/>
                <w:b/>
                <w:color w:val="auto"/>
                <w:highlight w:val="none"/>
                <w:u w:val="single"/>
              </w:rPr>
              <w:t>。</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开标时间及地点：</w:t>
            </w:r>
            <w:r>
              <w:rPr>
                <w:rFonts w:hint="eastAsia"/>
                <w:b/>
                <w:bCs/>
                <w:color w:val="auto"/>
                <w:highlight w:val="none"/>
              </w:rPr>
              <w:t xml:space="preserve"> </w:t>
            </w:r>
            <w:r>
              <w:rPr>
                <w:b/>
                <w:bCs/>
                <w:color w:val="auto"/>
                <w:highlight w:val="none"/>
                <w:lang w:val="en"/>
              </w:rPr>
              <w:t>202</w:t>
            </w:r>
            <w:r>
              <w:rPr>
                <w:rFonts w:hint="eastAsia"/>
                <w:b/>
                <w:bCs/>
                <w:color w:val="auto"/>
                <w:highlight w:val="none"/>
              </w:rPr>
              <w:t>6</w:t>
            </w:r>
            <w:r>
              <w:rPr>
                <w:b/>
                <w:bCs/>
                <w:color w:val="auto"/>
                <w:highlight w:val="none"/>
                <w:lang w:val="en"/>
              </w:rPr>
              <w:t>年月日</w:t>
            </w:r>
            <w:r>
              <w:rPr>
                <w:rFonts w:hint="eastAsia"/>
                <w:b/>
                <w:color w:val="auto"/>
                <w:highlight w:val="none"/>
              </w:rPr>
              <w:t>上午10时整，</w:t>
            </w:r>
            <w:r>
              <w:rPr>
                <w:rFonts w:ascii="宋体" w:hAnsi="宋体" w:cs="Arial"/>
                <w:b/>
                <w:color w:val="auto"/>
                <w:szCs w:val="21"/>
                <w:highlight w:val="none"/>
                <w:u w:val="single"/>
                <w:lang w:val="en"/>
              </w:rPr>
              <w:t>南宁市星湖路22号</w:t>
            </w:r>
            <w:r>
              <w:rPr>
                <w:rFonts w:hint="eastAsia" w:ascii="宋体" w:hAnsi="宋体" w:cs="Arial"/>
                <w:b/>
                <w:color w:val="auto"/>
                <w:szCs w:val="21"/>
                <w:highlight w:val="none"/>
                <w:u w:val="single"/>
              </w:rPr>
              <w:t>广西壮族自治区政府采购中心开标大厅</w:t>
            </w:r>
            <w:r>
              <w:rPr>
                <w:rFonts w:hint="eastAsia"/>
                <w:b/>
                <w:color w:val="auto"/>
                <w:highlight w:val="none"/>
                <w:u w:val="single"/>
              </w:rPr>
              <w:t>。</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hint="eastAsia" w:ascii="宋体" w:hAnsi="宋体"/>
                <w:color w:val="auto"/>
                <w:szCs w:val="21"/>
                <w:highlight w:val="none"/>
              </w:rPr>
            </w:pPr>
            <w:r>
              <w:rPr>
                <w:rFonts w:ascii="宋体" w:hAnsi="宋体"/>
                <w:color w:val="auto"/>
                <w:szCs w:val="21"/>
                <w:highlight w:val="none"/>
                <w:lang w:val="en"/>
              </w:rPr>
              <w:t>评标</w:t>
            </w:r>
            <w:r>
              <w:rPr>
                <w:rFonts w:hint="eastAsia" w:ascii="宋体" w:hAnsi="宋体"/>
                <w:color w:val="auto"/>
                <w:szCs w:val="21"/>
                <w:highlight w:val="none"/>
                <w:lang w:val="en"/>
              </w:rPr>
              <w:t>方</w:t>
            </w:r>
            <w:r>
              <w:rPr>
                <w:rFonts w:ascii="宋体" w:hAnsi="宋体"/>
                <w:color w:val="auto"/>
                <w:szCs w:val="21"/>
                <w:highlight w:val="none"/>
                <w:lang w:val="en"/>
              </w:rPr>
              <w:t>法</w:t>
            </w:r>
            <w:r>
              <w:rPr>
                <w:rFonts w:hint="eastAsia" w:ascii="宋体" w:hAnsi="宋体"/>
                <w:color w:val="auto"/>
                <w:szCs w:val="21"/>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hint="eastAsia" w:ascii="宋体" w:hAnsi="宋体"/>
                <w:color w:val="auto"/>
                <w:szCs w:val="21"/>
                <w:highlight w:val="none"/>
              </w:rPr>
            </w:pPr>
            <w:r>
              <w:rPr>
                <w:rFonts w:hint="eastAsia" w:ascii="宋体" w:hAnsi="宋体"/>
                <w:color w:val="auto"/>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rPr>
              <w:t>（详细见公告中公布的网站）</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hint="eastAsia" w:ascii="宋体" w:hAnsi="宋体"/>
                <w:color w:val="auto"/>
                <w:szCs w:val="21"/>
                <w:highlight w:val="none"/>
              </w:rPr>
            </w:pPr>
            <w:r>
              <w:rPr>
                <w:rFonts w:hint="eastAsia" w:ascii="宋体" w:hAnsi="宋体"/>
                <w:color w:val="auto"/>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88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auto"/>
                <w:kern w:val="0"/>
                <w:szCs w:val="21"/>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s="Arial"/>
                <w:color w:val="auto"/>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lang w:val="en"/>
              </w:rPr>
            </w:pPr>
            <w:r>
              <w:rPr>
                <w:rFonts w:ascii="宋体" w:hAnsi="宋体"/>
                <w:color w:val="auto"/>
                <w:szCs w:val="21"/>
                <w:highlight w:val="none"/>
                <w:lang w:val="en"/>
              </w:rPr>
              <w:t>21</w:t>
            </w:r>
          </w:p>
        </w:tc>
        <w:tc>
          <w:tcPr>
            <w:tcW w:w="8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接收质疑函方式：以书面形式。</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质疑联系部门及联系方式：</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 xml:space="preserve">（1）广西壮族自治区政府采购中心内审科     </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电话：0771-8600453</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地址：广西南宁市星湖路22号</w:t>
            </w:r>
          </w:p>
          <w:p>
            <w:pPr>
              <w:rPr>
                <w:rFonts w:hint="eastAsia" w:ascii="宋体" w:hAnsi="宋体"/>
                <w:b/>
                <w:bCs/>
                <w:snapToGrid w:val="0"/>
                <w:color w:val="auto"/>
                <w:szCs w:val="21"/>
                <w:highlight w:val="none"/>
                <w:lang w:val="en"/>
              </w:rPr>
            </w:pPr>
            <w:r>
              <w:rPr>
                <w:rFonts w:hint="eastAsia" w:ascii="宋体" w:hAnsi="宋体"/>
                <w:b/>
                <w:bCs/>
                <w:snapToGrid w:val="0"/>
                <w:color w:val="auto"/>
                <w:szCs w:val="21"/>
                <w:highlight w:val="none"/>
              </w:rPr>
              <w:t>（2）采购单位名称：</w:t>
            </w:r>
            <w:r>
              <w:rPr>
                <w:rFonts w:ascii="宋体" w:hAnsi="宋体"/>
                <w:b/>
                <w:bCs/>
                <w:snapToGrid w:val="0"/>
                <w:color w:val="auto"/>
                <w:szCs w:val="21"/>
                <w:highlight w:val="none"/>
                <w:lang w:val="en"/>
              </w:rPr>
              <w:t>广西医科大学</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电话：0771-5358884</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地址：</w:t>
            </w:r>
            <w:r>
              <w:rPr>
                <w:rFonts w:hint="eastAsia"/>
                <w:b/>
                <w:bCs/>
                <w:color w:val="auto"/>
                <w:highlight w:val="none"/>
              </w:rPr>
              <w:t>广西南宁市双拥路22号</w:t>
            </w:r>
          </w:p>
          <w:p>
            <w:pPr>
              <w:rPr>
                <w:rFonts w:hint="eastAsia" w:ascii="宋体" w:hAnsi="宋体"/>
                <w:color w:val="auto"/>
                <w:szCs w:val="21"/>
                <w:highlight w:val="none"/>
              </w:rPr>
            </w:pPr>
            <w:r>
              <w:rPr>
                <w:rFonts w:hint="eastAsia" w:ascii="宋体" w:hAnsi="宋体"/>
                <w:b/>
                <w:bCs/>
                <w:snapToGrid w:val="0"/>
                <w:color w:val="auto"/>
                <w:szCs w:val="21"/>
                <w:highlight w:val="none"/>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lang w:val="en"/>
              </w:rPr>
            </w:pPr>
            <w:r>
              <w:rPr>
                <w:rFonts w:hint="eastAsia" w:ascii="宋体" w:hAnsi="宋体"/>
                <w:color w:val="auto"/>
                <w:szCs w:val="21"/>
                <w:highlight w:val="none"/>
              </w:rPr>
              <w:t>2</w:t>
            </w:r>
            <w:r>
              <w:rPr>
                <w:rFonts w:ascii="宋体" w:hAnsi="宋体"/>
                <w:color w:val="auto"/>
                <w:szCs w:val="21"/>
                <w:highlight w:val="none"/>
                <w:lang w:val="en"/>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hAnsi="宋体"/>
                <w:color w:val="auto"/>
                <w:highlight w:val="none"/>
              </w:rPr>
              <w:t>本招标文件解释权属广西壮族自治区政府采购中心。</w:t>
            </w:r>
          </w:p>
        </w:tc>
      </w:tr>
    </w:tbl>
    <w:p>
      <w:pPr>
        <w:pStyle w:val="31"/>
        <w:snapToGrid w:val="0"/>
        <w:spacing w:before="120" w:after="120" w:line="360" w:lineRule="exact"/>
        <w:jc w:val="center"/>
        <w:rPr>
          <w:rFonts w:ascii="仿宋_GB2312" w:eastAsia="仿宋_GB2312"/>
          <w:b/>
          <w:color w:val="auto"/>
          <w:sz w:val="32"/>
          <w:szCs w:val="32"/>
          <w:highlight w:val="none"/>
        </w:rPr>
      </w:pPr>
    </w:p>
    <w:p>
      <w:pPr>
        <w:pStyle w:val="31"/>
        <w:snapToGrid w:val="0"/>
        <w:spacing w:before="120" w:after="120" w:line="360" w:lineRule="exact"/>
        <w:jc w:val="center"/>
        <w:rPr>
          <w:b/>
          <w:color w:val="auto"/>
          <w:highlight w:val="none"/>
        </w:rPr>
      </w:pPr>
      <w:r>
        <w:rPr>
          <w:rFonts w:ascii="仿宋_GB2312" w:eastAsia="仿宋_GB2312"/>
          <w:b/>
          <w:color w:val="auto"/>
          <w:sz w:val="32"/>
          <w:szCs w:val="32"/>
          <w:highlight w:val="none"/>
        </w:rPr>
        <w:br w:type="page"/>
      </w:r>
      <w:r>
        <w:rPr>
          <w:rFonts w:hint="eastAsia" w:ascii="仿宋_GB2312" w:eastAsia="仿宋_GB2312"/>
          <w:b/>
          <w:color w:val="auto"/>
          <w:sz w:val="32"/>
          <w:szCs w:val="32"/>
          <w:highlight w:val="none"/>
        </w:rPr>
        <w:t>投标人须知</w:t>
      </w:r>
    </w:p>
    <w:p>
      <w:pPr>
        <w:pStyle w:val="31"/>
        <w:snapToGrid w:val="0"/>
        <w:spacing w:before="120" w:after="120" w:line="360" w:lineRule="exact"/>
        <w:rPr>
          <w:b/>
          <w:color w:val="auto"/>
          <w:highlight w:val="none"/>
        </w:rPr>
      </w:pPr>
      <w:r>
        <w:rPr>
          <w:rFonts w:hint="eastAsia"/>
          <w:b/>
          <w:color w:val="auto"/>
          <w:highlight w:val="none"/>
        </w:rPr>
        <w:t>一、总  则</w:t>
      </w:r>
    </w:p>
    <w:p>
      <w:pPr>
        <w:snapToGrid w:val="0"/>
        <w:spacing w:line="360" w:lineRule="exact"/>
        <w:ind w:firstLine="411" w:firstLineChars="196"/>
        <w:jc w:val="left"/>
        <w:outlineLvl w:val="1"/>
        <w:rPr>
          <w:rFonts w:ascii="宋体"/>
          <w:color w:val="auto"/>
          <w:szCs w:val="21"/>
          <w:highlight w:val="none"/>
        </w:rPr>
      </w:pPr>
      <w:r>
        <w:rPr>
          <w:rFonts w:hint="eastAsia" w:ascii="宋体"/>
          <w:color w:val="auto"/>
          <w:szCs w:val="21"/>
          <w:highlight w:val="none"/>
        </w:rPr>
        <w:t>（一） 适用范围</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rPr>
      </w:pPr>
      <w:r>
        <w:rPr>
          <w:rFonts w:hint="eastAsia"/>
          <w:b/>
          <w:color w:val="auto"/>
          <w:highlight w:val="none"/>
        </w:rPr>
        <w:t>（二）定义</w:t>
      </w:r>
    </w:p>
    <w:p>
      <w:pPr>
        <w:snapToGrid w:val="0"/>
        <w:spacing w:line="360" w:lineRule="exact"/>
        <w:ind w:firstLine="420" w:firstLineChars="200"/>
        <w:jc w:val="left"/>
        <w:rPr>
          <w:rFonts w:hint="eastAsia" w:hAnsi="宋体"/>
          <w:color w:val="auto"/>
          <w:highlight w:val="none"/>
        </w:rPr>
      </w:pPr>
      <w:r>
        <w:rPr>
          <w:rFonts w:hint="eastAsia" w:ascii="宋体" w:hAnsi="宋体"/>
          <w:color w:val="auto"/>
          <w:szCs w:val="21"/>
          <w:highlight w:val="none"/>
        </w:rPr>
        <w:t>1.</w:t>
      </w:r>
      <w:r>
        <w:rPr>
          <w:rFonts w:hint="eastAsia" w:hAnsi="宋体"/>
          <w:color w:val="auto"/>
          <w:highlight w:val="none"/>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hAnsi="宋体"/>
          <w:color w:val="auto"/>
          <w:highlight w:val="none"/>
        </w:rPr>
        <w:t xml:space="preserve"> “采购代理机构”系指广西壮族自治区政府采购中心（以下简称“本中心</w:t>
      </w:r>
      <w:r>
        <w:rPr>
          <w:rFonts w:hAnsi="宋体"/>
          <w:color w:val="auto"/>
          <w:highlight w:val="none"/>
        </w:rPr>
        <w:t>”</w:t>
      </w:r>
      <w:r>
        <w:rPr>
          <w:rFonts w:hint="eastAsia" w:hAnsi="宋体"/>
          <w:color w:val="auto"/>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hAnsi="宋体"/>
          <w:color w:val="auto"/>
          <w:highlight w:val="none"/>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7.“书面形式”包括信函、传真、电报等。</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8.“▲”系指在投标人须知中的实质性要求条款。</w:t>
      </w:r>
    </w:p>
    <w:p>
      <w:pPr>
        <w:snapToGrid w:val="0"/>
        <w:spacing w:before="156" w:beforeLines="50" w:line="360" w:lineRule="exact"/>
        <w:ind w:firstLine="413" w:firstLineChars="196"/>
        <w:jc w:val="left"/>
        <w:outlineLvl w:val="1"/>
        <w:rPr>
          <w:rFonts w:ascii="宋体"/>
          <w:b/>
          <w:color w:val="auto"/>
          <w:szCs w:val="21"/>
          <w:highlight w:val="none"/>
        </w:rPr>
      </w:pPr>
      <w:r>
        <w:rPr>
          <w:rFonts w:hint="eastAsia" w:ascii="宋体"/>
          <w:b/>
          <w:color w:val="auto"/>
          <w:szCs w:val="21"/>
          <w:highlight w:val="none"/>
        </w:rPr>
        <w:t>（三）招标方式</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公开招标方式。</w:t>
      </w:r>
    </w:p>
    <w:p>
      <w:pPr>
        <w:snapToGrid w:val="0"/>
        <w:spacing w:before="156" w:beforeLines="50"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（四）投标委托</w:t>
      </w:r>
    </w:p>
    <w:p>
      <w:pPr>
        <w:pStyle w:val="24"/>
        <w:snapToGrid w:val="0"/>
        <w:spacing w:line="360" w:lineRule="exact"/>
        <w:ind w:firstLine="420" w:firstLineChars="200"/>
        <w:jc w:val="left"/>
        <w:rPr>
          <w:rFonts w:ascii="宋体" w:eastAsia="宋体"/>
          <w:color w:val="auto"/>
          <w:sz w:val="21"/>
          <w:szCs w:val="21"/>
          <w:highlight w:val="none"/>
        </w:rPr>
      </w:pPr>
      <w:r>
        <w:rPr>
          <w:rFonts w:hint="eastAsia" w:ascii="宋体" w:hAnsi="宋体" w:eastAsia="宋体"/>
          <w:color w:val="auto"/>
          <w:sz w:val="21"/>
          <w:szCs w:val="21"/>
          <w:highlight w:val="none"/>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（五）投标费用</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投标人均应自行承担所有与投标有关的全部费用（招标文件有相关的规定除外）。</w:t>
      </w:r>
    </w:p>
    <w:p>
      <w:pPr>
        <w:snapToGrid w:val="0"/>
        <w:spacing w:line="360" w:lineRule="exact"/>
        <w:ind w:firstLine="421" w:firstLineChars="200"/>
        <w:jc w:val="left"/>
        <w:rPr>
          <w:rFonts w:ascii="宋体"/>
          <w:b/>
          <w:color w:val="auto"/>
          <w:szCs w:val="21"/>
          <w:highlight w:val="none"/>
        </w:rPr>
      </w:pPr>
      <w:r>
        <w:rPr>
          <w:rFonts w:hint="eastAsia" w:ascii="宋体"/>
          <w:b/>
          <w:color w:val="auto"/>
          <w:szCs w:val="21"/>
          <w:highlight w:val="none"/>
        </w:rPr>
        <w:t>（六）</w:t>
      </w:r>
      <w:r>
        <w:rPr>
          <w:rFonts w:hint="eastAsia"/>
          <w:b/>
          <w:color w:val="auto"/>
          <w:highlight w:val="none"/>
        </w:rPr>
        <w:t>本项目不接受联合体投标</w:t>
      </w:r>
    </w:p>
    <w:p>
      <w:pPr>
        <w:snapToGrid w:val="0"/>
        <w:spacing w:before="156" w:beforeLines="50" w:line="360" w:lineRule="exact"/>
        <w:ind w:firstLine="413" w:firstLineChars="196"/>
        <w:outlineLvl w:val="0"/>
        <w:rPr>
          <w:rFonts w:ascii="宋体" w:cs="宋体"/>
          <w:b/>
          <w:color w:val="auto"/>
          <w:kern w:val="0"/>
          <w:szCs w:val="21"/>
          <w:highlight w:val="none"/>
        </w:rPr>
      </w:pPr>
      <w:r>
        <w:rPr>
          <w:rFonts w:hint="eastAsia" w:ascii="宋体"/>
          <w:b/>
          <w:color w:val="auto"/>
          <w:szCs w:val="21"/>
          <w:highlight w:val="none"/>
        </w:rPr>
        <w:t>（七）</w:t>
      </w:r>
      <w:r>
        <w:rPr>
          <w:rFonts w:hint="eastAsia" w:ascii="宋体" w:cs="宋体"/>
          <w:b/>
          <w:color w:val="auto"/>
          <w:kern w:val="0"/>
          <w:szCs w:val="21"/>
          <w:highlight w:val="none"/>
        </w:rPr>
        <w:t>转包与分包</w:t>
      </w:r>
    </w:p>
    <w:p>
      <w:pPr>
        <w:snapToGrid w:val="0"/>
        <w:spacing w:line="3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1.本项目不允许转包。</w:t>
      </w:r>
    </w:p>
    <w:p>
      <w:pPr>
        <w:snapToGrid w:val="0"/>
        <w:spacing w:line="360" w:lineRule="exact"/>
        <w:ind w:firstLine="420" w:firstLineChars="200"/>
        <w:rPr>
          <w:rFonts w:ascii="宋体"/>
          <w:color w:val="auto"/>
          <w:szCs w:val="21"/>
          <w:highlight w:val="none"/>
        </w:rPr>
      </w:pPr>
      <w:r>
        <w:rPr>
          <w:rFonts w:hint="eastAsia" w:ascii="宋体" w:cs="宋体"/>
          <w:color w:val="auto"/>
          <w:kern w:val="0"/>
          <w:szCs w:val="21"/>
          <w:highlight w:val="none"/>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（八）特别说明：</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lang w:val="en"/>
        </w:rPr>
        <w:t>评标方法</w:t>
      </w:r>
      <w:r>
        <w:rPr>
          <w:color w:val="auto"/>
          <w:highlight w:val="none"/>
          <w:lang w:val="en"/>
        </w:rPr>
        <w:t>及评分标准</w:t>
      </w:r>
      <w:r>
        <w:rPr>
          <w:rFonts w:hint="eastAsia"/>
          <w:color w:val="auto"/>
          <w:highlight w:val="none"/>
        </w:rPr>
        <w:t>》中的推荐原则确定一个投标人获得中标人推荐资格，其他同品牌投标人不作为中标候选人。</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▲4.投标人在投标活动中提供任何虚假材料、互相串通投标，其投标无效，并报监管部门查处。</w:t>
      </w:r>
    </w:p>
    <w:p>
      <w:pPr>
        <w:pStyle w:val="31"/>
        <w:snapToGrid w:val="0"/>
        <w:spacing w:line="360" w:lineRule="exact"/>
        <w:ind w:left="2" w:leftChars="1" w:firstLine="420" w:firstLineChars="200"/>
        <w:rPr>
          <w:rFonts w:hint="eastAsia" w:hAnsi="宋体" w:cs="宋体"/>
          <w:color w:val="auto"/>
          <w:kern w:val="0"/>
          <w:highlight w:val="none"/>
        </w:rPr>
      </w:pPr>
      <w:r>
        <w:rPr>
          <w:rFonts w:hint="eastAsia" w:hAnsi="宋体" w:cs="宋体"/>
          <w:color w:val="auto"/>
          <w:kern w:val="0"/>
          <w:highlight w:val="none"/>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pStyle w:val="70"/>
        <w:ind w:firstLine="480" w:firstLineChars="200"/>
        <w:rPr>
          <w:rFonts w:hint="eastAsia" w:hAnsi="宋体"/>
          <w:color w:val="auto"/>
          <w:sz w:val="21"/>
          <w:szCs w:val="21"/>
          <w:highlight w:val="none"/>
        </w:rPr>
      </w:pPr>
      <w:r>
        <w:rPr>
          <w:rFonts w:hint="eastAsia" w:hAnsi="宋体"/>
          <w:color w:val="auto"/>
          <w:szCs w:val="21"/>
          <w:highlight w:val="none"/>
        </w:rPr>
        <w:t>▲6.中小企业价格评审优惠：</w:t>
      </w:r>
      <w:r>
        <w:rPr>
          <w:rFonts w:hint="eastAsia" w:hAnsi="宋体"/>
          <w:color w:val="auto"/>
          <w:sz w:val="21"/>
          <w:szCs w:val="21"/>
          <w:highlight w:val="none"/>
        </w:rPr>
        <w:t>根据《政府采购促进中小企业发展管理办法》（财库〔2020〕46号）的规定，</w:t>
      </w:r>
      <w:r>
        <w:rPr>
          <w:rFonts w:hint="eastAsia" w:ascii="宋体" w:hAnsi="宋体" w:eastAsia="宋体" w:cs="宋体"/>
          <w:color w:val="auto"/>
          <w:kern w:val="0"/>
          <w:sz w:val="21"/>
          <w:szCs w:val="21"/>
          <w:highlight w:val="none"/>
          <w:lang w:val="en-US" w:eastAsia="zh-CN" w:bidi="ar-SA"/>
        </w:rPr>
        <w:t>本项目</w:t>
      </w:r>
      <w:r>
        <w:rPr>
          <w:rFonts w:hint="eastAsia" w:ascii="宋体" w:hAnsi="宋体" w:eastAsia="宋体" w:cs="宋体"/>
          <w:color w:val="auto"/>
          <w:kern w:val="0"/>
          <w:sz w:val="21"/>
          <w:szCs w:val="21"/>
          <w:highlight w:val="none"/>
          <w:lang w:val="en" w:eastAsia="zh-CN" w:bidi="ar-SA"/>
        </w:rPr>
        <w:t>为</w:t>
      </w:r>
      <w:r>
        <w:rPr>
          <w:rFonts w:hint="eastAsia" w:ascii="宋体" w:hAnsi="宋体" w:eastAsia="宋体" w:cs="宋体"/>
          <w:color w:val="auto"/>
          <w:kern w:val="0"/>
          <w:sz w:val="21"/>
          <w:szCs w:val="21"/>
          <w:highlight w:val="none"/>
          <w:lang w:val="en-US" w:eastAsia="zh-CN" w:bidi="ar-SA"/>
        </w:rPr>
        <w:t>非专门面向中小企业采购：对</w:t>
      </w:r>
      <w:r>
        <w:rPr>
          <w:rFonts w:hint="eastAsia" w:hAnsi="宋体"/>
          <w:color w:val="auto"/>
          <w:sz w:val="21"/>
          <w:szCs w:val="21"/>
          <w:highlight w:val="none"/>
        </w:rPr>
        <w:t>符合条件的小型、微型企业（以下简称“中小企业”）的报价给予价格扣除优惠，扣除比例详见评标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标方法及评分标准。投标人如申请享受此项价格扣除，必须按本文件“投标文件格式”要求，填写并提交《关于符合本国产品标准的声明函》。未提交或提交不符合要求的，不享受扣除，按其原报价计算价格分。</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31"/>
        <w:snapToGrid w:val="0"/>
        <w:spacing w:line="360" w:lineRule="exact"/>
        <w:ind w:firstLine="309" w:firstLineChars="147"/>
        <w:outlineLvl w:val="0"/>
        <w:rPr>
          <w:b/>
          <w:bCs/>
          <w:color w:val="auto"/>
          <w:highlight w:val="none"/>
        </w:rPr>
      </w:pPr>
      <w:r>
        <w:rPr>
          <w:rFonts w:hint="eastAsia"/>
          <w:b/>
          <w:bCs/>
          <w:color w:val="auto"/>
          <w:highlight w:val="none"/>
        </w:rPr>
        <w:t>（九）</w:t>
      </w:r>
      <w:r>
        <w:rPr>
          <w:rFonts w:hint="eastAsia"/>
          <w:b/>
          <w:color w:val="auto"/>
          <w:highlight w:val="none"/>
        </w:rPr>
        <w:t>询问、质疑和投诉</w:t>
      </w:r>
    </w:p>
    <w:p>
      <w:pPr>
        <w:pStyle w:val="31"/>
        <w:snapToGrid w:val="0"/>
        <w:spacing w:line="360" w:lineRule="exact"/>
        <w:ind w:firstLine="420" w:firstLineChars="200"/>
        <w:rPr>
          <w:color w:val="auto"/>
          <w:highlight w:val="none"/>
        </w:rPr>
      </w:pPr>
      <w:r>
        <w:rPr>
          <w:rFonts w:hint="eastAsia"/>
          <w:color w:val="auto"/>
          <w:highlight w:val="none"/>
        </w:rPr>
        <w:t>1．投标人对政府采购活动事项有疑问的，可以向采购人、采购代理机构提出询问。</w:t>
      </w:r>
    </w:p>
    <w:p>
      <w:pPr>
        <w:pStyle w:val="31"/>
        <w:snapToGrid w:val="0"/>
        <w:spacing w:line="360" w:lineRule="exact"/>
        <w:ind w:firstLine="420" w:firstLineChars="200"/>
        <w:rPr>
          <w:color w:val="auto"/>
          <w:highlight w:val="none"/>
        </w:rPr>
      </w:pPr>
      <w:r>
        <w:rPr>
          <w:rFonts w:hint="eastAsia"/>
          <w:color w:val="auto"/>
          <w:highlight w:val="none"/>
        </w:rPr>
        <w:t>2.投标人认为招标文件、招标过程或中标结果使自己的合法权益受到损害的，应当在知道或者应知其权益受到损害之日起七个工作日内，以书面形式向采购人提出质疑。具体计算时间如下：</w:t>
      </w:r>
    </w:p>
    <w:p>
      <w:pPr>
        <w:pStyle w:val="31"/>
        <w:snapToGrid w:val="0"/>
        <w:spacing w:line="360" w:lineRule="exact"/>
        <w:ind w:firstLine="309" w:firstLineChars="147"/>
        <w:rPr>
          <w:bCs/>
          <w:color w:val="auto"/>
          <w:highlight w:val="none"/>
        </w:rPr>
      </w:pPr>
      <w:r>
        <w:rPr>
          <w:rFonts w:hint="eastAsia"/>
          <w:b/>
          <w:color w:val="auto"/>
          <w:highlight w:val="none"/>
        </w:rPr>
        <w:t>（一）对可以质疑的招标采购文件提出质疑的，为收到采购文件之日；</w:t>
      </w:r>
    </w:p>
    <w:p>
      <w:pPr>
        <w:widowControl/>
        <w:spacing w:line="360" w:lineRule="exact"/>
        <w:jc w:val="left"/>
        <w:rPr>
          <w:rFonts w:ascii="宋体" w:cs="Courier New"/>
          <w:b/>
          <w:color w:val="auto"/>
          <w:szCs w:val="21"/>
          <w:highlight w:val="none"/>
        </w:rPr>
      </w:pPr>
      <w:r>
        <w:rPr>
          <w:rFonts w:hint="eastAsia" w:ascii="宋体" w:cs="Courier New"/>
          <w:color w:val="auto"/>
          <w:szCs w:val="21"/>
          <w:highlight w:val="none"/>
        </w:rPr>
        <w:t xml:space="preserve">　 </w:t>
      </w:r>
      <w:r>
        <w:rPr>
          <w:rFonts w:hint="eastAsia" w:ascii="宋体" w:cs="Courier New"/>
          <w:b/>
          <w:color w:val="auto"/>
          <w:szCs w:val="21"/>
          <w:highlight w:val="none"/>
        </w:rPr>
        <w:t>（二）对招标采购过程提出质疑的，为各采购程序环节结束之日；</w:t>
      </w:r>
    </w:p>
    <w:p>
      <w:pPr>
        <w:widowControl/>
        <w:spacing w:line="360" w:lineRule="exact"/>
        <w:ind w:firstLine="309" w:firstLineChars="147"/>
        <w:jc w:val="left"/>
        <w:rPr>
          <w:rFonts w:ascii="宋体" w:cs="Courier New"/>
          <w:b/>
          <w:color w:val="auto"/>
          <w:szCs w:val="21"/>
          <w:highlight w:val="none"/>
        </w:rPr>
      </w:pPr>
      <w:r>
        <w:rPr>
          <w:rFonts w:hint="eastAsia" w:cs="Courier New"/>
          <w:b/>
          <w:color w:val="auto"/>
          <w:szCs w:val="21"/>
          <w:highlight w:val="none"/>
        </w:rPr>
        <w:t>（三）对中标结果提出质疑的，为中标结果公告期限届满之日。投标人对采购单位的质疑答复不满意或者</w:t>
      </w:r>
      <w:r>
        <w:rPr>
          <w:rFonts w:hint="eastAsia" w:ascii="宋体" w:hAnsi="宋体" w:cs="Courier New"/>
          <w:b/>
          <w:color w:val="auto"/>
          <w:szCs w:val="21"/>
          <w:highlight w:val="none"/>
        </w:rPr>
        <w:t>采购人</w:t>
      </w:r>
      <w:r>
        <w:rPr>
          <w:rFonts w:hint="eastAsia" w:cs="Courier New"/>
          <w:b/>
          <w:color w:val="auto"/>
          <w:szCs w:val="21"/>
          <w:highlight w:val="none"/>
        </w:rPr>
        <w:t>未在规定时间内作出答复的，可以在答复期满后十五个工作日内向同级采购监管部门投诉。</w:t>
      </w:r>
    </w:p>
    <w:p>
      <w:pPr>
        <w:pStyle w:val="31"/>
        <w:snapToGrid w:val="0"/>
        <w:spacing w:line="360" w:lineRule="exact"/>
        <w:ind w:firstLine="420" w:firstLineChars="200"/>
        <w:rPr>
          <w:bCs/>
          <w:color w:val="auto"/>
          <w:highlight w:val="none"/>
        </w:rPr>
      </w:pPr>
      <w:r>
        <w:rPr>
          <w:rFonts w:hint="eastAsia"/>
          <w:bCs/>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31"/>
        <w:spacing w:line="360" w:lineRule="exact"/>
        <w:ind w:firstLine="421" w:firstLineChars="200"/>
        <w:rPr>
          <w:b/>
          <w:color w:val="auto"/>
          <w:highlight w:val="none"/>
          <w:lang w:val="en"/>
        </w:rPr>
      </w:pPr>
      <w:r>
        <w:rPr>
          <w:b/>
          <w:color w:val="auto"/>
          <w:highlight w:val="none"/>
          <w:lang w:val="en"/>
        </w:rPr>
        <w:t>4.采购人、采购代理机构接收质疑函的方式、联系部门、联系电话和地址等信息详见“投标人须知前附表”。</w:t>
      </w:r>
    </w:p>
    <w:p>
      <w:pPr>
        <w:pStyle w:val="31"/>
        <w:snapToGrid w:val="0"/>
        <w:spacing w:line="360" w:lineRule="auto"/>
        <w:ind w:firstLine="421" w:firstLineChars="200"/>
        <w:rPr>
          <w:rFonts w:hint="eastAsia" w:hAnsi="宋体"/>
          <w:color w:val="auto"/>
          <w:highlight w:val="none"/>
        </w:rPr>
      </w:pPr>
      <w:r>
        <w:rPr>
          <w:rFonts w:hint="eastAsia"/>
          <w:b/>
          <w:color w:val="auto"/>
          <w:highlight w:val="none"/>
        </w:rPr>
        <w:t>5.</w:t>
      </w:r>
      <w:r>
        <w:rPr>
          <w:rFonts w:hint="eastAsia" w:hAnsi="宋体"/>
          <w:color w:val="auto"/>
          <w:highlight w:val="none"/>
        </w:rPr>
        <w:t>质疑供应商提起质疑应当符合下列条件：</w:t>
      </w:r>
    </w:p>
    <w:p>
      <w:pPr>
        <w:pStyle w:val="31"/>
        <w:snapToGrid w:val="0"/>
        <w:spacing w:line="360" w:lineRule="auto"/>
        <w:ind w:firstLine="420" w:firstLineChars="200"/>
        <w:rPr>
          <w:rFonts w:hint="eastAsia" w:hAnsi="宋体"/>
          <w:color w:val="auto"/>
          <w:highlight w:val="none"/>
        </w:rPr>
      </w:pPr>
      <w:r>
        <w:rPr>
          <w:rFonts w:hint="eastAsia" w:hAnsi="宋体"/>
          <w:color w:val="auto"/>
          <w:highlight w:val="none"/>
        </w:rPr>
        <w:t>（1）质疑供应商是参与所质疑项目采购活动的供应商（潜在供应商已依法获取可之一的采购文件的，可以对该采购文件质疑）；</w:t>
      </w:r>
    </w:p>
    <w:p>
      <w:pPr>
        <w:pStyle w:val="31"/>
        <w:snapToGrid w:val="0"/>
        <w:spacing w:line="360" w:lineRule="auto"/>
        <w:ind w:firstLine="420" w:firstLineChars="200"/>
        <w:rPr>
          <w:rFonts w:hint="eastAsia" w:hAnsi="宋体"/>
          <w:color w:val="auto"/>
          <w:highlight w:val="none"/>
        </w:rPr>
      </w:pPr>
      <w:r>
        <w:rPr>
          <w:rFonts w:hint="eastAsia" w:hAnsi="宋体"/>
          <w:color w:val="auto"/>
          <w:highlight w:val="none"/>
        </w:rPr>
        <w:t>（2）质疑函内容符合本章第3项的规定；</w:t>
      </w:r>
    </w:p>
    <w:p>
      <w:pPr>
        <w:pStyle w:val="31"/>
        <w:snapToGrid w:val="0"/>
        <w:spacing w:line="360" w:lineRule="auto"/>
        <w:ind w:firstLine="420" w:firstLineChars="200"/>
        <w:rPr>
          <w:rFonts w:hint="eastAsia" w:hAnsi="宋体"/>
          <w:color w:val="auto"/>
          <w:highlight w:val="none"/>
        </w:rPr>
      </w:pPr>
      <w:r>
        <w:rPr>
          <w:rFonts w:hint="eastAsia" w:hAnsi="宋体"/>
          <w:color w:val="auto"/>
          <w:highlight w:val="none"/>
        </w:rPr>
        <w:t>（3）在质疑有效期限内提起质疑；</w:t>
      </w:r>
    </w:p>
    <w:p>
      <w:pPr>
        <w:pStyle w:val="31"/>
        <w:snapToGrid w:val="0"/>
        <w:spacing w:line="360" w:lineRule="auto"/>
        <w:ind w:firstLine="420" w:firstLineChars="200"/>
        <w:rPr>
          <w:rFonts w:hint="eastAsia" w:hAnsi="宋体"/>
          <w:color w:val="auto"/>
          <w:highlight w:val="none"/>
        </w:rPr>
      </w:pPr>
      <w:r>
        <w:rPr>
          <w:rFonts w:hint="eastAsia" w:hAnsi="宋体"/>
          <w:color w:val="auto"/>
          <w:highlight w:val="none"/>
        </w:rPr>
        <w:t>（4）属于所质疑的采购人或采购人委托的采购代理机构组织的采购活动；</w:t>
      </w:r>
    </w:p>
    <w:p>
      <w:pPr>
        <w:pStyle w:val="31"/>
        <w:snapToGrid w:val="0"/>
        <w:spacing w:line="360" w:lineRule="auto"/>
        <w:ind w:firstLine="420" w:firstLineChars="200"/>
        <w:rPr>
          <w:rFonts w:hint="eastAsia" w:hAnsi="宋体"/>
          <w:color w:val="auto"/>
          <w:highlight w:val="none"/>
        </w:rPr>
      </w:pPr>
      <w:r>
        <w:rPr>
          <w:rFonts w:hint="eastAsia" w:hAnsi="宋体"/>
          <w:color w:val="auto"/>
          <w:highlight w:val="none"/>
        </w:rPr>
        <w:t xml:space="preserve">（5）同一质疑事项未经采购人或采购人委托的采购代理机构质疑处理； </w:t>
      </w:r>
    </w:p>
    <w:p>
      <w:pPr>
        <w:pStyle w:val="31"/>
        <w:snapToGrid w:val="0"/>
        <w:spacing w:line="360" w:lineRule="auto"/>
        <w:ind w:firstLine="420" w:firstLineChars="200"/>
        <w:rPr>
          <w:rFonts w:hint="eastAsia" w:hAnsi="宋体"/>
          <w:color w:val="auto"/>
          <w:highlight w:val="none"/>
        </w:rPr>
      </w:pPr>
      <w:r>
        <w:rPr>
          <w:rFonts w:hint="eastAsia" w:hAnsi="宋体"/>
          <w:color w:val="auto"/>
          <w:highlight w:val="none"/>
        </w:rPr>
        <w:t>（6）供应商对同一采购程序环节的质疑应当在质疑有效期内一次性提出；</w:t>
      </w:r>
    </w:p>
    <w:p>
      <w:pPr>
        <w:pStyle w:val="31"/>
        <w:snapToGrid w:val="0"/>
        <w:spacing w:line="360" w:lineRule="auto"/>
        <w:ind w:firstLine="420" w:firstLineChars="200"/>
        <w:rPr>
          <w:rFonts w:hint="eastAsia" w:hAnsi="宋体"/>
          <w:color w:val="auto"/>
          <w:highlight w:val="none"/>
        </w:rPr>
      </w:pPr>
      <w:r>
        <w:rPr>
          <w:rFonts w:hint="eastAsia" w:hAnsi="宋体"/>
          <w:color w:val="auto"/>
          <w:highlight w:val="none"/>
        </w:rPr>
        <w:t>（7）供应商提交质疑应当提交必要的证明材料，证明材料应以合法手段取得；</w:t>
      </w:r>
    </w:p>
    <w:p>
      <w:pPr>
        <w:pStyle w:val="31"/>
        <w:spacing w:line="360" w:lineRule="exact"/>
        <w:ind w:firstLine="420" w:firstLineChars="200"/>
        <w:rPr>
          <w:b/>
          <w:color w:val="auto"/>
          <w:highlight w:val="none"/>
        </w:rPr>
      </w:pPr>
      <w:r>
        <w:rPr>
          <w:rFonts w:hint="eastAsia" w:hAnsi="宋体"/>
          <w:color w:val="auto"/>
          <w:highlight w:val="none"/>
        </w:rPr>
        <w:t>（8）财政部门规定的其他条件。</w:t>
      </w:r>
    </w:p>
    <w:p>
      <w:pPr>
        <w:pStyle w:val="31"/>
        <w:snapToGrid w:val="0"/>
        <w:spacing w:line="360" w:lineRule="exact"/>
        <w:ind w:firstLine="413" w:firstLineChars="196"/>
        <w:outlineLvl w:val="0"/>
        <w:rPr>
          <w:b/>
          <w:color w:val="auto"/>
          <w:highlight w:val="none"/>
        </w:rPr>
      </w:pPr>
      <w:r>
        <w:rPr>
          <w:rFonts w:hint="eastAsia"/>
          <w:b/>
          <w:color w:val="auto"/>
          <w:highlight w:val="none"/>
        </w:rPr>
        <w:t>二、招标文件</w:t>
      </w:r>
    </w:p>
    <w:p>
      <w:pPr>
        <w:snapToGrid w:val="0"/>
        <w:spacing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（一）招标文件的构成。</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1.公开招标公告；</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2.招标项目采购需求</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3.投标人须知；</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4.</w:t>
      </w:r>
      <w:r>
        <w:rPr>
          <w:rFonts w:hint="eastAsia" w:ascii="宋体"/>
          <w:color w:val="auto"/>
          <w:szCs w:val="21"/>
          <w:highlight w:val="none"/>
          <w:lang w:val="en"/>
        </w:rPr>
        <w:t>评标方法</w:t>
      </w:r>
      <w:r>
        <w:rPr>
          <w:rFonts w:ascii="宋体"/>
          <w:color w:val="auto"/>
          <w:szCs w:val="21"/>
          <w:highlight w:val="none"/>
          <w:lang w:val="en"/>
        </w:rPr>
        <w:t>及评分标准</w:t>
      </w:r>
      <w:r>
        <w:rPr>
          <w:rFonts w:hint="eastAsia" w:ascii="宋体"/>
          <w:color w:val="auto"/>
          <w:szCs w:val="21"/>
          <w:highlight w:val="none"/>
        </w:rPr>
        <w:t>；</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5.政府采购合同主要条款；</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6.投标文件格式。</w:t>
      </w:r>
    </w:p>
    <w:p>
      <w:pPr>
        <w:snapToGrid w:val="0"/>
        <w:spacing w:before="156" w:beforeLines="50"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（二）投标人的风险</w:t>
      </w:r>
    </w:p>
    <w:p>
      <w:pPr>
        <w:tabs>
          <w:tab w:val="left" w:pos="180"/>
          <w:tab w:val="left" w:pos="1620"/>
        </w:tabs>
        <w:spacing w:line="400" w:lineRule="exact"/>
        <w:ind w:firstLine="420" w:firstLineChars="200"/>
        <w:rPr>
          <w:rFonts w:ascii="宋体" w:cs="Courier New"/>
          <w:color w:val="auto"/>
          <w:szCs w:val="21"/>
          <w:highlight w:val="none"/>
        </w:rPr>
      </w:pPr>
      <w:r>
        <w:rPr>
          <w:rFonts w:hint="eastAsia" w:ascii="宋体" w:hAnsi="宋体" w:cs="Courier New"/>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rPr>
        <w:cr/>
      </w:r>
      <w:r>
        <w:rPr>
          <w:rFonts w:hint="eastAsia" w:ascii="宋体" w:hAnsi="宋体" w:cs="Courier New"/>
          <w:color w:val="auto"/>
          <w:szCs w:val="21"/>
          <w:highlight w:val="none"/>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rPr>
        <w:t xml:space="preserve"> </w:t>
      </w:r>
    </w:p>
    <w:p>
      <w:pPr>
        <w:pStyle w:val="15"/>
        <w:widowControl w:val="0"/>
        <w:tabs>
          <w:tab w:val="clear" w:pos="454"/>
        </w:tabs>
        <w:snapToGrid w:val="0"/>
        <w:spacing w:before="156" w:beforeLines="50" w:afterLines="0" w:line="400" w:lineRule="exact"/>
        <w:ind w:left="0" w:firstLine="411" w:firstLineChars="196"/>
        <w:rPr>
          <w:rFonts w:ascii="宋体" w:cs="Courier New"/>
          <w:color w:val="auto"/>
          <w:kern w:val="2"/>
          <w:sz w:val="21"/>
          <w:szCs w:val="21"/>
          <w:highlight w:val="none"/>
        </w:rPr>
      </w:pPr>
      <w:r>
        <w:rPr>
          <w:rFonts w:hint="eastAsia" w:ascii="宋体" w:cs="Courier New"/>
          <w:color w:val="auto"/>
          <w:kern w:val="2"/>
          <w:sz w:val="21"/>
          <w:szCs w:val="21"/>
          <w:highlight w:val="none"/>
        </w:rPr>
        <w:t xml:space="preserve"> 3.采购货物的主要技术参数和性能配置由评标委员会在评标前评定，但不能改变实质性内容。</w:t>
      </w:r>
    </w:p>
    <w:p>
      <w:pPr>
        <w:pStyle w:val="15"/>
        <w:widowControl w:val="0"/>
        <w:tabs>
          <w:tab w:val="clear" w:pos="454"/>
        </w:tabs>
        <w:snapToGrid w:val="0"/>
        <w:spacing w:before="156" w:beforeLines="50" w:afterLines="0" w:line="360" w:lineRule="exact"/>
        <w:ind w:left="0" w:firstLine="413" w:firstLineChars="196"/>
        <w:outlineLvl w:val="0"/>
        <w:rPr>
          <w:rFonts w:ascii="宋体"/>
          <w:b/>
          <w:color w:val="auto"/>
          <w:sz w:val="21"/>
          <w:szCs w:val="21"/>
          <w:highlight w:val="none"/>
        </w:rPr>
      </w:pPr>
      <w:r>
        <w:rPr>
          <w:rFonts w:hint="eastAsia" w:ascii="宋体"/>
          <w:b/>
          <w:color w:val="auto"/>
          <w:sz w:val="21"/>
          <w:szCs w:val="21"/>
          <w:highlight w:val="none"/>
        </w:rPr>
        <w:t xml:space="preserve">（三）招标文件的澄清与修改 </w:t>
      </w:r>
    </w:p>
    <w:p>
      <w:pPr>
        <w:pStyle w:val="31"/>
        <w:snapToGrid w:val="0"/>
        <w:spacing w:line="360" w:lineRule="exact"/>
        <w:ind w:firstLine="420" w:firstLineChars="200"/>
        <w:rPr>
          <w:rFonts w:hint="eastAsia" w:hAnsi="宋体"/>
          <w:color w:val="auto"/>
          <w:highlight w:val="none"/>
        </w:rPr>
      </w:pPr>
      <w:r>
        <w:rPr>
          <w:rFonts w:hint="eastAsia" w:hAnsi="宋体"/>
          <w:color w:val="auto"/>
          <w:highlight w:val="none"/>
        </w:rPr>
        <w:t>1.</w:t>
      </w:r>
      <w:r>
        <w:rPr>
          <w:rFonts w:hint="eastAsia" w:hAnsi="宋体"/>
          <w:bCs/>
          <w:color w:val="auto"/>
          <w:highlight w:val="none"/>
        </w:rPr>
        <w:t xml:space="preserve"> 投标人应认真阅读本招标文件，发现其中有误或有不合理要求的，投标人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前以书面形式要求招标采购单位</w:t>
      </w:r>
      <w:r>
        <w:rPr>
          <w:rFonts w:hint="eastAsia" w:hAnsi="宋体"/>
          <w:color w:val="auto"/>
          <w:highlight w:val="none"/>
        </w:rPr>
        <w:t>答疑、澄清</w:t>
      </w:r>
      <w:r>
        <w:rPr>
          <w:rFonts w:hint="eastAsia" w:hAnsi="宋体"/>
          <w:bCs/>
          <w:color w:val="auto"/>
          <w:highlight w:val="none"/>
        </w:rPr>
        <w:t>。本中心对已发出的招标文件进行必要澄清或者修改</w:t>
      </w:r>
      <w:r>
        <w:rPr>
          <w:rFonts w:hint="eastAsia" w:hAnsi="宋体"/>
          <w:b/>
          <w:bCs/>
          <w:color w:val="auto"/>
          <w:highlight w:val="none"/>
        </w:rPr>
        <w:t>可能影响投标文件编制的</w:t>
      </w:r>
      <w:r>
        <w:rPr>
          <w:rFonts w:hint="eastAsia" w:hAnsi="宋体"/>
          <w:bCs/>
          <w:color w:val="auto"/>
          <w:highlight w:val="none"/>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rPr>
        <w:t>。</w:t>
      </w:r>
    </w:p>
    <w:p>
      <w:pPr>
        <w:pStyle w:val="31"/>
        <w:snapToGrid w:val="0"/>
        <w:spacing w:line="360" w:lineRule="exact"/>
        <w:ind w:firstLine="420" w:firstLineChars="200"/>
        <w:rPr>
          <w:rFonts w:hint="eastAsia" w:hAnsi="宋体"/>
          <w:color w:val="auto"/>
          <w:highlight w:val="none"/>
        </w:rPr>
      </w:pPr>
      <w:r>
        <w:rPr>
          <w:rFonts w:hint="eastAsia" w:hAnsi="宋体"/>
          <w:color w:val="auto"/>
          <w:highlight w:val="none"/>
        </w:rPr>
        <w:t>2.本中心必须以书面形式答复投标人要求澄清的问题，并将不包含问题来源的答复书面通知所有报名登记的投标人；除书面答复以外的其他澄清方式及澄清内容均无效。</w:t>
      </w:r>
    </w:p>
    <w:p>
      <w:pPr>
        <w:pStyle w:val="31"/>
        <w:snapToGrid w:val="0"/>
        <w:spacing w:line="360" w:lineRule="exact"/>
        <w:ind w:firstLine="420" w:firstLineChars="200"/>
        <w:rPr>
          <w:rFonts w:hint="eastAsia" w:hAnsi="宋体"/>
          <w:color w:val="auto"/>
          <w:highlight w:val="none"/>
        </w:rPr>
      </w:pPr>
      <w:r>
        <w:rPr>
          <w:rFonts w:hint="eastAsia" w:hAnsi="宋体"/>
          <w:color w:val="auto"/>
          <w:highlight w:val="none"/>
        </w:rPr>
        <w:t>3.招标文件的答疑、澄清、修改、补充的内容为招标文件的组成部分。当招标文件与招标文件的答疑、澄清、修改、补充通知就同一内容的表述不一致时，以最后发出的书面文件为准。</w:t>
      </w:r>
    </w:p>
    <w:p>
      <w:pPr>
        <w:pStyle w:val="31"/>
        <w:snapToGrid w:val="0"/>
        <w:spacing w:line="360" w:lineRule="exact"/>
        <w:ind w:firstLine="420" w:firstLineChars="200"/>
        <w:rPr>
          <w:rFonts w:hint="eastAsia" w:hAnsi="宋体"/>
          <w:color w:val="auto"/>
          <w:highlight w:val="none"/>
        </w:rPr>
      </w:pPr>
      <w:r>
        <w:rPr>
          <w:rFonts w:hint="eastAsia" w:hAnsi="宋体"/>
          <w:color w:val="auto"/>
          <w:highlight w:val="none"/>
        </w:rPr>
        <w:t>4.招标文件的答疑、澄清、修改、补充都应该通过本中心以法定形式发布，采购人非通过本机构，不得擅自答疑、澄清、修改、补充招标文件。</w:t>
      </w:r>
    </w:p>
    <w:p>
      <w:pPr>
        <w:pStyle w:val="31"/>
        <w:snapToGrid w:val="0"/>
        <w:spacing w:line="360" w:lineRule="exact"/>
        <w:ind w:firstLine="420" w:firstLineChars="200"/>
        <w:rPr>
          <w:color w:val="auto"/>
          <w:highlight w:val="none"/>
        </w:rPr>
      </w:pPr>
      <w:r>
        <w:rPr>
          <w:rFonts w:hint="eastAsia" w:hAnsi="宋体"/>
          <w:color w:val="auto"/>
          <w:highlight w:val="none"/>
        </w:rPr>
        <w:t>5.本中心可以视采购具体情况，延长招标文件或者资格预审文件提供期限，并在财政部门指定的政府采购信息发布媒体及本中心网站上发布公告。</w:t>
      </w:r>
    </w:p>
    <w:p>
      <w:pPr>
        <w:pStyle w:val="31"/>
        <w:snapToGrid w:val="0"/>
        <w:spacing w:line="360" w:lineRule="exact"/>
        <w:ind w:firstLine="413" w:firstLineChars="196"/>
        <w:outlineLvl w:val="1"/>
        <w:rPr>
          <w:b/>
          <w:color w:val="auto"/>
          <w:highlight w:val="none"/>
        </w:rPr>
      </w:pPr>
      <w:r>
        <w:rPr>
          <w:rFonts w:hint="eastAsia"/>
          <w:b/>
          <w:color w:val="auto"/>
          <w:highlight w:val="none"/>
        </w:rPr>
        <w:t>三、投标文件的编制</w:t>
      </w:r>
    </w:p>
    <w:p>
      <w:pPr>
        <w:snapToGrid w:val="0"/>
        <w:spacing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（一）投标文件的组成</w:t>
      </w:r>
    </w:p>
    <w:p>
      <w:pPr>
        <w:snapToGrid w:val="0"/>
        <w:spacing w:line="360" w:lineRule="exact"/>
        <w:ind w:firstLine="420" w:firstLineChars="200"/>
        <w:jc w:val="left"/>
        <w:rPr>
          <w:rFonts w:hint="eastAsia" w:ascii="宋体" w:hAnsi="宋体"/>
          <w:color w:val="auto"/>
          <w:szCs w:val="21"/>
          <w:highlight w:val="none"/>
        </w:rPr>
      </w:pPr>
      <w:r>
        <w:rPr>
          <w:rFonts w:hint="eastAsia" w:ascii="宋体"/>
          <w:color w:val="auto"/>
          <w:szCs w:val="21"/>
          <w:highlight w:val="none"/>
        </w:rPr>
        <w:t>投标文件由资格文件、资信及商务文件、技术文件、投标报价文件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有效的营业执照等证明文件复印件；</w:t>
      </w:r>
    </w:p>
    <w:p>
      <w:pPr>
        <w:pStyle w:val="31"/>
        <w:adjustRightInd w:val="0"/>
        <w:snapToGrid w:val="0"/>
        <w:spacing w:line="400" w:lineRule="exact"/>
        <w:ind w:firstLine="424" w:firstLineChars="202"/>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snapToGrid w:val="0"/>
        <w:spacing w:line="360" w:lineRule="exact"/>
        <w:ind w:firstLine="424" w:firstLineChars="202"/>
        <w:jc w:val="left"/>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（1）投标保证金的相关证明扫描件或其他电子文件（</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（2）投标声明书 (格式见第六章)（必须提供）</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（3）法定代表人授权委托书和委托代理人身份证扫描件或其他电子文件（格式见第六章)（必须提供）</w:t>
      </w:r>
      <w:r>
        <w:rPr>
          <w:rFonts w:hint="eastAsia" w:ascii="宋体" w:hAnsi="宋体"/>
          <w:color w:val="auto"/>
          <w:szCs w:val="21"/>
          <w:highlight w:val="none"/>
        </w:rPr>
        <w:t>；（格式见第六章)；</w:t>
      </w:r>
      <w:r>
        <w:rPr>
          <w:rFonts w:hint="eastAsia" w:ascii="宋体" w:hAnsi="宋体"/>
          <w:b/>
          <w:color w:val="auto"/>
          <w:szCs w:val="21"/>
          <w:highlight w:val="none"/>
        </w:rPr>
        <w:t>当法定代表人参加投标时，必须提供法定代表人身份证扫描件或其他电子文件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21" w:firstLineChars="200"/>
        <w:jc w:val="left"/>
        <w:rPr>
          <w:rFonts w:hint="eastAsia" w:hAnsi="宋体"/>
          <w:b/>
          <w:color w:val="auto"/>
          <w:szCs w:val="21"/>
          <w:highlight w:val="none"/>
        </w:rPr>
      </w:pPr>
      <w:r>
        <w:rPr>
          <w:rFonts w:hint="eastAsia" w:hAnsi="宋体"/>
          <w:b/>
          <w:color w:val="auto"/>
          <w:szCs w:val="21"/>
          <w:highlight w:val="none"/>
        </w:rPr>
        <w:t>（6）财务状况报告（</w:t>
      </w:r>
      <w:r>
        <w:rPr>
          <w:rFonts w:hint="eastAsia" w:hAnsi="宋体"/>
          <w:b/>
          <w:color w:val="auto"/>
          <w:szCs w:val="21"/>
          <w:highlight w:val="none"/>
          <w:u w:val="single"/>
        </w:rPr>
        <w:t>格式自拟，必须提供</w:t>
      </w:r>
      <w:r>
        <w:rPr>
          <w:rFonts w:hint="eastAsia" w:hAnsi="宋体"/>
          <w:b/>
          <w:color w:val="auto"/>
          <w:szCs w:val="21"/>
          <w:highlight w:val="none"/>
        </w:rPr>
        <w:t>）；</w:t>
      </w:r>
    </w:p>
    <w:p>
      <w:pPr>
        <w:snapToGrid w:val="0"/>
        <w:spacing w:line="360" w:lineRule="exact"/>
        <w:ind w:firstLine="413" w:firstLineChars="196"/>
        <w:jc w:val="left"/>
        <w:rPr>
          <w:rFonts w:hint="eastAsia" w:hAnsi="宋体"/>
          <w:color w:val="auto"/>
          <w:szCs w:val="21"/>
          <w:highlight w:val="none"/>
        </w:rPr>
      </w:pPr>
      <w:r>
        <w:rPr>
          <w:rFonts w:hint="eastAsia" w:hAnsi="宋体" w:cs="宋体"/>
          <w:b/>
          <w:color w:val="auto"/>
          <w:kern w:val="0"/>
          <w:szCs w:val="21"/>
          <w:highlight w:val="none"/>
        </w:rPr>
        <w:t>（7）</w:t>
      </w:r>
      <w:r>
        <w:rPr>
          <w:rFonts w:hint="eastAsia" w:hAnsi="宋体"/>
          <w:b/>
          <w:color w:val="auto"/>
          <w:szCs w:val="21"/>
          <w:highlight w:val="none"/>
        </w:rPr>
        <w:t>具备履行合同所必需的设备和专业技术能力的证明材料（</w:t>
      </w:r>
      <w:r>
        <w:rPr>
          <w:rFonts w:hint="eastAsia" w:hAnsi="宋体"/>
          <w:b/>
          <w:color w:val="auto"/>
          <w:szCs w:val="21"/>
          <w:highlight w:val="none"/>
          <w:u w:val="single"/>
        </w:rPr>
        <w:t>内容、格式自拟，必须提供</w:t>
      </w:r>
      <w:r>
        <w:rPr>
          <w:rFonts w:hint="eastAsia" w:hAnsi="宋体"/>
          <w:b/>
          <w:color w:val="auto"/>
          <w:szCs w:val="21"/>
          <w:highlight w:val="none"/>
        </w:rPr>
        <w:t>）</w:t>
      </w:r>
      <w:r>
        <w:rPr>
          <w:rFonts w:hint="eastAsia" w:hAnsi="宋体" w:cs="宋体"/>
          <w:b/>
          <w:color w:val="auto"/>
          <w:kern w:val="0"/>
          <w:szCs w:val="21"/>
          <w:highlight w:val="none"/>
        </w:rPr>
        <w:t>；</w:t>
      </w:r>
    </w:p>
    <w:p>
      <w:pPr>
        <w:snapToGrid w:val="0"/>
        <w:spacing w:line="360" w:lineRule="exact"/>
        <w:ind w:firstLine="413" w:firstLineChars="196"/>
        <w:jc w:val="left"/>
        <w:rPr>
          <w:rFonts w:hint="eastAsia" w:hAnsi="宋体"/>
          <w:b/>
          <w:color w:val="auto"/>
          <w:szCs w:val="21"/>
          <w:highlight w:val="none"/>
        </w:rPr>
      </w:pPr>
      <w:r>
        <w:rPr>
          <w:rFonts w:hint="eastAsia" w:hAnsi="宋体"/>
          <w:b/>
          <w:color w:val="auto"/>
          <w:szCs w:val="21"/>
          <w:highlight w:val="none"/>
        </w:rPr>
        <w:t>（8）商务响应表</w:t>
      </w:r>
      <w:r>
        <w:rPr>
          <w:rFonts w:hint="eastAsia" w:hAnsi="宋体"/>
          <w:color w:val="auto"/>
          <w:szCs w:val="21"/>
          <w:highlight w:val="none"/>
        </w:rPr>
        <w:t>（格式见第六章）</w:t>
      </w:r>
      <w:r>
        <w:rPr>
          <w:rFonts w:hint="eastAsia" w:hAnsi="宋体"/>
          <w:b/>
          <w:color w:val="auto"/>
          <w:szCs w:val="21"/>
          <w:highlight w:val="none"/>
        </w:rPr>
        <w:t>（</w:t>
      </w:r>
      <w:r>
        <w:rPr>
          <w:rFonts w:hint="eastAsia" w:hAnsi="宋体"/>
          <w:b/>
          <w:color w:val="auto"/>
          <w:szCs w:val="21"/>
          <w:highlight w:val="none"/>
          <w:u w:val="single"/>
        </w:rPr>
        <w:t>必须提供</w:t>
      </w:r>
      <w:r>
        <w:rPr>
          <w:rFonts w:hint="eastAsia" w:hAnsi="宋体"/>
          <w:b/>
          <w:color w:val="auto"/>
          <w:szCs w:val="21"/>
          <w:highlight w:val="none"/>
        </w:rPr>
        <w:t>）；</w:t>
      </w:r>
    </w:p>
    <w:p>
      <w:pPr>
        <w:snapToGrid w:val="0"/>
        <w:spacing w:line="360" w:lineRule="exact"/>
        <w:jc w:val="left"/>
        <w:rPr>
          <w:rFonts w:hint="eastAsia" w:hAnsi="宋体"/>
          <w:b/>
          <w:color w:val="auto"/>
          <w:szCs w:val="21"/>
          <w:highlight w:val="none"/>
        </w:rPr>
      </w:pPr>
      <w:r>
        <w:rPr>
          <w:rFonts w:hint="eastAsia" w:hAnsi="宋体"/>
          <w:color w:val="auto"/>
          <w:highlight w:val="none"/>
        </w:rPr>
        <w:t xml:space="preserve">  ▲</w:t>
      </w:r>
      <w:r>
        <w:rPr>
          <w:rFonts w:hint="eastAsia" w:hAnsi="宋体"/>
          <w:color w:val="auto"/>
          <w:szCs w:val="21"/>
          <w:highlight w:val="none"/>
        </w:rPr>
        <w:t>（9）</w:t>
      </w:r>
      <w:r>
        <w:rPr>
          <w:rFonts w:hint="eastAsia" w:hAnsi="宋体"/>
          <w:b/>
          <w:color w:val="auto"/>
          <w:szCs w:val="21"/>
          <w:highlight w:val="none"/>
        </w:rPr>
        <w:t>招标项目采购需求中要求必须提供的材料等；</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szCs w:val="21"/>
          <w:highlight w:val="none"/>
        </w:rPr>
        <w:t>（10）具备法律、行政法规规定的其他条件的证明材料</w:t>
      </w:r>
      <w:r>
        <w:rPr>
          <w:rFonts w:hint="eastAsia" w:hAnsi="宋体"/>
          <w:b/>
          <w:color w:val="auto"/>
          <w:szCs w:val="21"/>
          <w:highlight w:val="none"/>
        </w:rPr>
        <w:t>(如有规定,则必须提供)。</w:t>
      </w:r>
    </w:p>
    <w:p>
      <w:pPr>
        <w:snapToGrid w:val="0"/>
        <w:spacing w:line="360" w:lineRule="exact"/>
        <w:ind w:firstLine="413" w:firstLineChars="196"/>
        <w:jc w:val="left"/>
        <w:rPr>
          <w:rFonts w:hint="eastAsia" w:hAnsi="宋体"/>
          <w:b/>
          <w:color w:val="auto"/>
          <w:szCs w:val="21"/>
          <w:highlight w:val="none"/>
        </w:rPr>
      </w:pPr>
      <w:r>
        <w:rPr>
          <w:rFonts w:hint="eastAsia" w:hAnsi="宋体"/>
          <w:b/>
          <w:bCs/>
          <w:color w:val="auto"/>
          <w:szCs w:val="21"/>
          <w:highlight w:val="none"/>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rPr>
      </w:pPr>
      <w:r>
        <w:rPr>
          <w:rFonts w:hint="eastAsia" w:hAnsi="宋体"/>
          <w:color w:val="auto"/>
          <w:szCs w:val="21"/>
          <w:highlight w:val="none"/>
        </w:rPr>
        <w:t>（11）类似案例成功的业绩（投标人同类项目实施情况一览表、合同扫描件）；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rPr>
      </w:pPr>
      <w:r>
        <w:rPr>
          <w:rFonts w:hint="eastAsia" w:hAnsi="宋体"/>
          <w:b/>
          <w:color w:val="auto"/>
          <w:szCs w:val="21"/>
          <w:highlight w:val="none"/>
        </w:rPr>
        <w:t>（</w:t>
      </w:r>
      <w:r>
        <w:rPr>
          <w:rFonts w:hint="eastAsia" w:hAnsi="宋体"/>
          <w:color w:val="auto"/>
          <w:szCs w:val="21"/>
          <w:highlight w:val="none"/>
        </w:rPr>
        <w:t>12</w:t>
      </w:r>
      <w:r>
        <w:rPr>
          <w:rFonts w:hint="eastAsia" w:hAnsi="宋体"/>
          <w:b/>
          <w:color w:val="auto"/>
          <w:szCs w:val="21"/>
          <w:highlight w:val="none"/>
        </w:rPr>
        <w:t>）</w:t>
      </w:r>
      <w:r>
        <w:rPr>
          <w:rFonts w:hint="eastAsia" w:hAnsi="宋体"/>
          <w:color w:val="auto"/>
          <w:szCs w:val="21"/>
          <w:highlight w:val="none"/>
        </w:rPr>
        <w:t>其他特殊资质证书（如本地化服务能力等）；</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szCs w:val="21"/>
          <w:highlight w:val="none"/>
        </w:rPr>
        <w:t>（13）节能环保产品或政府强制采购节能产品清单证书</w:t>
      </w:r>
      <w:r>
        <w:rPr>
          <w:rFonts w:hint="eastAsia" w:hAnsi="宋体"/>
          <w:b/>
          <w:color w:val="auto"/>
          <w:szCs w:val="21"/>
          <w:highlight w:val="none"/>
        </w:rPr>
        <w:t>；</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（14）投标人质量管理和质量保证体系等方面的认证证书；</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（15）投标人认为可以证明其能力或业绩的其他材料；</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（16）投标人关于产品生产时间、升级或者更新淘汰计划、配件供应以及本单位债务纠纷、违法违规记录等方面的情况（内容见投标声明书）；</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rPr>
        <w:t>（17）</w:t>
      </w:r>
      <w:r>
        <w:rPr>
          <w:rFonts w:hint="eastAsia" w:ascii="宋体" w:hAnsi="宋体"/>
          <w:color w:val="auto"/>
          <w:szCs w:val="21"/>
          <w:highlight w:val="none"/>
        </w:rPr>
        <w:t>中小企业声明函（格式见第六章，如有请提供）；</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ascii="宋体" w:hAnsi="宋体"/>
          <w:color w:val="auto"/>
          <w:szCs w:val="21"/>
          <w:highlight w:val="none"/>
        </w:rPr>
        <w:t>（18）</w:t>
      </w:r>
      <w:r>
        <w:rPr>
          <w:rFonts w:hint="eastAsia" w:hAnsi="宋体"/>
          <w:color w:val="auto"/>
          <w:szCs w:val="21"/>
          <w:highlight w:val="none"/>
        </w:rPr>
        <w:t>关于符合本国产品标准的声明函（格式见第六章，如有请提供）；</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（19）</w:t>
      </w:r>
      <w:r>
        <w:rPr>
          <w:rFonts w:hint="eastAsia" w:hAnsi="宋体"/>
          <w:color w:val="auto"/>
          <w:szCs w:val="21"/>
          <w:highlight w:val="none"/>
        </w:rPr>
        <w:t>投标人情况介绍</w:t>
      </w:r>
      <w:r>
        <w:rPr>
          <w:rFonts w:hint="eastAsia" w:hAnsi="宋体"/>
          <w:color w:val="auto"/>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w:t>
      </w:r>
      <w:r>
        <w:rPr>
          <w:rFonts w:hint="eastAsia" w:ascii="宋体" w:hAnsi="宋体"/>
          <w:color w:val="auto"/>
          <w:szCs w:val="21"/>
          <w:highlight w:val="none"/>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w:t>
      </w:r>
      <w:r>
        <w:rPr>
          <w:rFonts w:hint="eastAsia" w:ascii="宋体" w:hAnsi="宋体"/>
          <w:b/>
          <w:color w:val="auto"/>
          <w:szCs w:val="21"/>
          <w:highlight w:val="none"/>
        </w:rPr>
        <w:t>必须提供</w:t>
      </w:r>
      <w:r>
        <w:rPr>
          <w:rFonts w:hint="eastAsia" w:ascii="宋体" w:hAnsi="宋体"/>
          <w:color w:val="auto"/>
          <w:szCs w:val="21"/>
          <w:highlight w:val="none"/>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rPr>
      </w:pPr>
      <w:r>
        <w:rPr>
          <w:rFonts w:hint="eastAsia" w:ascii="宋体" w:hAnsi="宋体"/>
          <w:color w:val="auto"/>
          <w:szCs w:val="21"/>
          <w:highlight w:val="none"/>
        </w:rPr>
        <w:t>（4）开标一览表（</w:t>
      </w:r>
      <w:r>
        <w:rPr>
          <w:rFonts w:hint="eastAsia" w:ascii="宋体" w:hAnsi="宋体"/>
          <w:b/>
          <w:color w:val="auto"/>
          <w:szCs w:val="21"/>
          <w:highlight w:val="none"/>
        </w:rPr>
        <w:t>必须提供</w:t>
      </w:r>
      <w:r>
        <w:rPr>
          <w:rFonts w:hint="eastAsia" w:ascii="宋体" w:hAnsi="宋体"/>
          <w:color w:val="auto"/>
          <w:szCs w:val="21"/>
          <w:highlight w:val="none"/>
        </w:rPr>
        <w:t>,格式见第六章）。</w:t>
      </w:r>
    </w:p>
    <w:p>
      <w:pPr>
        <w:pStyle w:val="23"/>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注：法定代表人授权委托书、投标声明书、投标函、开标一览表必须按</w:t>
      </w:r>
      <w:r>
        <w:rPr>
          <w:rFonts w:hint="eastAsia" w:ascii="宋体" w:hAnsi="宋体"/>
          <w:b/>
          <w:color w:val="auto"/>
          <w:szCs w:val="21"/>
          <w:highlight w:val="none"/>
        </w:rPr>
        <w:t>招标文件格式要求</w:t>
      </w:r>
      <w:r>
        <w:rPr>
          <w:rFonts w:ascii="宋体" w:hAnsi="宋体"/>
          <w:b/>
          <w:color w:val="auto"/>
          <w:szCs w:val="21"/>
          <w:highlight w:val="none"/>
          <w:lang w:val="en"/>
        </w:rPr>
        <w:t>签字或签章</w:t>
      </w:r>
      <w:r>
        <w:rPr>
          <w:rFonts w:hint="eastAsia" w:ascii="宋体" w:hAnsi="宋体"/>
          <w:b/>
          <w:bCs/>
          <w:color w:val="auto"/>
          <w:szCs w:val="21"/>
          <w:highlight w:val="none"/>
        </w:rPr>
        <w:t>并加盖单位公章。</w:t>
      </w:r>
    </w:p>
    <w:p>
      <w:pPr>
        <w:snapToGrid w:val="0"/>
        <w:spacing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（二）投标文件的语言及计量</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（三）投标报价</w:t>
      </w:r>
    </w:p>
    <w:p>
      <w:pPr>
        <w:pStyle w:val="31"/>
        <w:snapToGrid w:val="0"/>
        <w:spacing w:line="360" w:lineRule="exact"/>
        <w:ind w:firstLine="420" w:firstLineChars="200"/>
        <w:jc w:val="left"/>
        <w:rPr>
          <w:rFonts w:hint="eastAsia" w:hAnsi="宋体"/>
          <w:color w:val="auto"/>
          <w:highlight w:val="none"/>
        </w:rPr>
      </w:pPr>
      <w:r>
        <w:rPr>
          <w:rFonts w:hint="eastAsia" w:hAnsi="宋体"/>
          <w:color w:val="auto"/>
          <w:highlight w:val="none"/>
        </w:rPr>
        <w:t>1.投标报价应按招标文件中相关附表格式填写。</w:t>
      </w:r>
      <w:r>
        <w:rPr>
          <w:rFonts w:hint="eastAsia" w:hAnsi="宋体"/>
          <w:b/>
          <w:bCs/>
          <w:color w:val="auto"/>
          <w:highlight w:val="none"/>
        </w:rPr>
        <w:t>投标人可就《项目采购需求》中所有分标的货物和服务内容按分标分别作完整唯一报价，也可对某个分标或几个分标的货物和服务内容按分标分别作完整唯一报价。</w:t>
      </w:r>
    </w:p>
    <w:p>
      <w:pPr>
        <w:pStyle w:val="31"/>
        <w:snapToGrid w:val="0"/>
        <w:spacing w:line="360" w:lineRule="exact"/>
        <w:ind w:firstLine="420" w:firstLineChars="200"/>
        <w:jc w:val="left"/>
        <w:rPr>
          <w:rFonts w:hint="eastAsia" w:hAnsi="宋体"/>
          <w:color w:val="auto"/>
          <w:highlight w:val="none"/>
        </w:rPr>
      </w:pPr>
      <w:r>
        <w:rPr>
          <w:rFonts w:hint="eastAsia" w:hAnsi="宋体"/>
          <w:color w:val="auto"/>
          <w:highlight w:val="none"/>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pPr>
        <w:pStyle w:val="15"/>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rPr>
      </w:pPr>
      <w:r>
        <w:rPr>
          <w:rFonts w:hint="eastAsia" w:ascii="宋体" w:hAnsi="宋体"/>
          <w:b/>
          <w:color w:val="auto"/>
          <w:sz w:val="21"/>
          <w:szCs w:val="21"/>
          <w:highlight w:val="none"/>
        </w:rPr>
        <w:t>（四）投标文件的有效期</w:t>
      </w:r>
    </w:p>
    <w:p>
      <w:pPr>
        <w:pStyle w:val="15"/>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1.自投标截止日起</w:t>
      </w:r>
      <w:r>
        <w:rPr>
          <w:rFonts w:hint="eastAsia" w:ascii="宋体" w:hAnsi="宋体"/>
          <w:b/>
          <w:color w:val="auto"/>
          <w:sz w:val="21"/>
          <w:szCs w:val="21"/>
          <w:highlight w:val="none"/>
          <w:u w:val="single"/>
        </w:rPr>
        <w:t>六十日</w:t>
      </w:r>
      <w:r>
        <w:rPr>
          <w:rFonts w:hint="eastAsia" w:ascii="宋体" w:hAnsi="宋体"/>
          <w:color w:val="auto"/>
          <w:sz w:val="21"/>
          <w:szCs w:val="21"/>
          <w:highlight w:val="none"/>
        </w:rPr>
        <w:t>投标文件应保持有效。有效期不足的投标文件将被拒绝。</w:t>
      </w:r>
    </w:p>
    <w:p>
      <w:pPr>
        <w:pStyle w:val="15"/>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rPr>
      </w:pPr>
      <w:r>
        <w:rPr>
          <w:rFonts w:hint="eastAsia" w:ascii="宋体" w:hAnsi="宋体"/>
          <w:color w:val="auto"/>
          <w:szCs w:val="21"/>
          <w:highlight w:val="none"/>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rPr>
        <w:t xml:space="preserve"> </w:t>
      </w:r>
    </w:p>
    <w:p>
      <w:pPr>
        <w:snapToGrid w:val="0"/>
        <w:spacing w:line="360" w:lineRule="exact"/>
        <w:ind w:firstLine="420" w:firstLineChars="200"/>
        <w:jc w:val="left"/>
        <w:outlineLvl w:val="0"/>
        <w:rPr>
          <w:rFonts w:hint="eastAsia" w:ascii="宋体" w:hAnsi="宋体"/>
          <w:b/>
          <w:color w:val="auto"/>
          <w:szCs w:val="21"/>
          <w:highlight w:val="none"/>
        </w:rPr>
      </w:pPr>
      <w:r>
        <w:rPr>
          <w:rFonts w:hint="eastAsia" w:ascii="宋体" w:hAnsi="宋体"/>
          <w:color w:val="auto"/>
          <w:szCs w:val="21"/>
          <w:highlight w:val="none"/>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（五）投标保证金</w:t>
      </w:r>
    </w:p>
    <w:p>
      <w:pPr>
        <w:pStyle w:val="31"/>
        <w:spacing w:line="420" w:lineRule="exact"/>
        <w:ind w:left="840" w:leftChars="200" w:hanging="420" w:hangingChars="200"/>
        <w:rPr>
          <w:rFonts w:hint="eastAsia" w:hAnsi="宋体"/>
          <w:color w:val="auto"/>
          <w:highlight w:val="none"/>
        </w:rPr>
      </w:pPr>
      <w:r>
        <w:rPr>
          <w:rFonts w:hint="eastAsia" w:hAnsi="宋体"/>
          <w:color w:val="auto"/>
          <w:highlight w:val="none"/>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2.保证金交纳形式：</w:t>
      </w:r>
      <w:r>
        <w:rPr>
          <w:rFonts w:hint="eastAsia" w:ascii="宋体" w:hAnsi="宋体"/>
          <w:color w:val="auto"/>
          <w:highlight w:val="none"/>
        </w:rPr>
        <w:t>支票、汇票、本票、金融机构、担保机构</w:t>
      </w:r>
      <w:r>
        <w:rPr>
          <w:rFonts w:ascii="宋体" w:hAnsi="宋体"/>
          <w:color w:val="auto"/>
          <w:highlight w:val="none"/>
        </w:rPr>
        <w:t>出具的保函等非现金形式</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 投标人应按本须知</w:t>
      </w:r>
      <w:r>
        <w:rPr>
          <w:rFonts w:hint="eastAsia" w:ascii="宋体" w:hAnsi="宋体"/>
          <w:color w:val="auto"/>
          <w:szCs w:val="21"/>
          <w:highlight w:val="none"/>
        </w:rPr>
        <w:t>及</w:t>
      </w:r>
      <w:r>
        <w:rPr>
          <w:rFonts w:ascii="宋体" w:hAnsi="宋体"/>
          <w:color w:val="auto"/>
          <w:szCs w:val="21"/>
          <w:highlight w:val="none"/>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rPr>
        <w:t>清算</w:t>
      </w:r>
      <w:r>
        <w:rPr>
          <w:rFonts w:ascii="宋体" w:hAnsi="宋体"/>
          <w:color w:val="auto"/>
          <w:szCs w:val="21"/>
          <w:highlight w:val="none"/>
        </w:rPr>
        <w:t>时间）。</w:t>
      </w:r>
    </w:p>
    <w:p>
      <w:pPr>
        <w:snapToGrid w:val="0"/>
        <w:spacing w:line="360" w:lineRule="exact"/>
        <w:jc w:val="left"/>
        <w:rPr>
          <w:rFonts w:hint="eastAsia" w:ascii="宋体" w:hAnsi="宋体"/>
          <w:color w:val="auto"/>
          <w:szCs w:val="21"/>
          <w:highlight w:val="none"/>
        </w:rPr>
      </w:pPr>
      <w:r>
        <w:rPr>
          <w:rFonts w:hint="eastAsia"/>
          <w:b/>
          <w:color w:val="auto"/>
          <w:highlight w:val="none"/>
          <w:u w:val="single"/>
        </w:rPr>
        <w:t>本中心财务（</w:t>
      </w:r>
      <w:r>
        <w:rPr>
          <w:b/>
          <w:color w:val="auto"/>
          <w:highlight w:val="none"/>
          <w:u w:val="single"/>
          <w:lang w:val="en"/>
        </w:rPr>
        <w:t>地址：</w:t>
      </w:r>
    </w:p>
    <w:p>
      <w:pPr>
        <w:pStyle w:val="31"/>
        <w:spacing w:line="420" w:lineRule="exact"/>
        <w:ind w:left="1" w:firstLine="630" w:firstLineChars="349"/>
        <w:rPr>
          <w:b/>
          <w:color w:val="auto"/>
          <w:sz w:val="18"/>
          <w:szCs w:val="18"/>
          <w:highlight w:val="none"/>
        </w:rPr>
      </w:pPr>
      <w:r>
        <w:rPr>
          <w:rFonts w:hint="eastAsia" w:hAnsi="宋体"/>
          <w:b/>
          <w:color w:val="auto"/>
          <w:sz w:val="18"/>
          <w:szCs w:val="18"/>
          <w:highlight w:val="none"/>
        </w:rPr>
        <w:t>注：①</w:t>
      </w:r>
      <w:r>
        <w:rPr>
          <w:rFonts w:hint="eastAsia"/>
          <w:b/>
          <w:color w:val="auto"/>
          <w:sz w:val="18"/>
          <w:szCs w:val="18"/>
          <w:highlight w:val="none"/>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rPr>
      </w:pPr>
      <w:r>
        <w:rPr>
          <w:rFonts w:hint="eastAsia" w:hAnsi="宋体"/>
          <w:b/>
          <w:color w:val="auto"/>
          <w:sz w:val="18"/>
          <w:szCs w:val="18"/>
          <w:highlight w:val="none"/>
        </w:rPr>
        <w:t>②</w:t>
      </w:r>
      <w:r>
        <w:rPr>
          <w:rFonts w:hint="eastAsia" w:ascii="宋体" w:hAnsi="宋体"/>
          <w:b/>
          <w:color w:val="auto"/>
          <w:sz w:val="18"/>
          <w:szCs w:val="18"/>
          <w:highlight w:val="none"/>
        </w:rPr>
        <w:t>未中标人的投标保证金在中标通知书发出后4个工作日内退还，</w:t>
      </w:r>
      <w:r>
        <w:rPr>
          <w:rFonts w:hint="eastAsia" w:hAnsi="宋体"/>
          <w:b/>
          <w:color w:val="auto"/>
          <w:sz w:val="18"/>
          <w:szCs w:val="18"/>
          <w:highlight w:val="none"/>
        </w:rPr>
        <w:t>不计利息。</w:t>
      </w:r>
    </w:p>
    <w:p>
      <w:pPr>
        <w:snapToGrid w:val="0"/>
        <w:spacing w:line="360" w:lineRule="exact"/>
        <w:ind w:firstLine="990" w:firstLineChars="548"/>
        <w:jc w:val="left"/>
        <w:rPr>
          <w:rFonts w:hint="eastAsia" w:ascii="宋体" w:hAnsi="宋体"/>
          <w:b/>
          <w:color w:val="auto"/>
          <w:sz w:val="18"/>
          <w:szCs w:val="18"/>
          <w:highlight w:val="none"/>
        </w:rPr>
      </w:pPr>
      <w:r>
        <w:rPr>
          <w:rFonts w:hint="eastAsia" w:hAnsi="宋体"/>
          <w:b/>
          <w:color w:val="auto"/>
          <w:sz w:val="18"/>
          <w:szCs w:val="18"/>
          <w:highlight w:val="none"/>
        </w:rPr>
        <w:t>③</w:t>
      </w:r>
      <w:r>
        <w:rPr>
          <w:rFonts w:hint="eastAsia" w:ascii="宋体" w:hAnsi="宋体"/>
          <w:b/>
          <w:color w:val="auto"/>
          <w:spacing w:val="-4"/>
          <w:sz w:val="18"/>
          <w:szCs w:val="18"/>
          <w:highlight w:val="none"/>
        </w:rPr>
        <w:t>中标人的</w:t>
      </w:r>
      <w:r>
        <w:rPr>
          <w:rFonts w:ascii="宋体" w:hAnsi="宋体"/>
          <w:b/>
          <w:color w:val="auto"/>
          <w:spacing w:val="-4"/>
          <w:sz w:val="18"/>
          <w:szCs w:val="18"/>
          <w:highlight w:val="none"/>
        </w:rPr>
        <w:t>投标保证金自政府采购合同签订之日起</w:t>
      </w:r>
      <w:r>
        <w:rPr>
          <w:rFonts w:hint="eastAsia" w:ascii="宋体" w:hAnsi="宋体"/>
          <w:b/>
          <w:color w:val="auto"/>
          <w:spacing w:val="-4"/>
          <w:sz w:val="18"/>
          <w:szCs w:val="18"/>
          <w:highlight w:val="none"/>
        </w:rPr>
        <w:t>4个工作日</w:t>
      </w:r>
      <w:r>
        <w:rPr>
          <w:rFonts w:ascii="宋体" w:hAnsi="宋体"/>
          <w:b/>
          <w:color w:val="auto"/>
          <w:spacing w:val="-4"/>
          <w:sz w:val="18"/>
          <w:szCs w:val="18"/>
          <w:highlight w:val="none"/>
        </w:rPr>
        <w:t>内</w:t>
      </w:r>
      <w:r>
        <w:rPr>
          <w:rFonts w:hint="eastAsia" w:ascii="宋体" w:hAnsi="宋体"/>
          <w:b/>
          <w:color w:val="auto"/>
          <w:spacing w:val="-4"/>
          <w:sz w:val="18"/>
          <w:szCs w:val="18"/>
          <w:highlight w:val="none"/>
        </w:rPr>
        <w:t>（合同签订后送达本中心)后</w:t>
      </w:r>
      <w:r>
        <w:rPr>
          <w:rFonts w:ascii="宋体" w:hAnsi="宋体"/>
          <w:b/>
          <w:color w:val="auto"/>
          <w:spacing w:val="-4"/>
          <w:sz w:val="18"/>
          <w:szCs w:val="18"/>
          <w:highlight w:val="none"/>
        </w:rPr>
        <w:t>退还</w:t>
      </w:r>
      <w:r>
        <w:rPr>
          <w:rFonts w:hint="eastAsia" w:ascii="宋体" w:hAnsi="宋体"/>
          <w:b/>
          <w:color w:val="auto"/>
          <w:spacing w:val="-4"/>
          <w:sz w:val="18"/>
          <w:szCs w:val="18"/>
          <w:highlight w:val="none"/>
        </w:rPr>
        <w:t>，不计利息。</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 </w:t>
      </w:r>
      <w:r>
        <w:rPr>
          <w:rFonts w:ascii="宋体" w:hAnsi="宋体" w:cs="宋体"/>
          <w:color w:val="auto"/>
          <w:kern w:val="0"/>
          <w:szCs w:val="21"/>
          <w:highlight w:val="none"/>
        </w:rPr>
        <w:t>中标人应在中标通知书发出</w:t>
      </w:r>
      <w:r>
        <w:rPr>
          <w:rFonts w:hint="eastAsia" w:ascii="宋体" w:hAnsi="宋体" w:cs="宋体"/>
          <w:color w:val="auto"/>
          <w:kern w:val="0"/>
          <w:szCs w:val="21"/>
          <w:highlight w:val="none"/>
        </w:rPr>
        <w:t>之日起</w:t>
      </w:r>
      <w:r>
        <w:rPr>
          <w:rFonts w:hint="eastAsia" w:ascii="宋体" w:hAnsi="宋体"/>
          <w:color w:val="auto"/>
          <w:szCs w:val="21"/>
          <w:highlight w:val="none"/>
          <w:u w:val="single"/>
        </w:rPr>
        <w:t>25</w:t>
      </w:r>
      <w:r>
        <w:rPr>
          <w:rFonts w:hint="eastAsia" w:ascii="宋体" w:hAnsi="宋体"/>
          <w:color w:val="auto"/>
          <w:szCs w:val="21"/>
          <w:highlight w:val="none"/>
        </w:rPr>
        <w:t>日内与采购人签订合同。</w:t>
      </w:r>
      <w:r>
        <w:rPr>
          <w:rFonts w:hint="eastAsia" w:hAnsi="宋体"/>
          <w:bCs/>
          <w:color w:val="auto"/>
          <w:highlight w:val="none"/>
        </w:rPr>
        <w:t>采购需求另有要求的，按照其要求执行。</w:t>
      </w:r>
    </w:p>
    <w:p>
      <w:pPr>
        <w:pStyle w:val="31"/>
        <w:spacing w:line="400" w:lineRule="exact"/>
        <w:ind w:firstLine="420" w:firstLineChars="200"/>
        <w:rPr>
          <w:rFonts w:hint="eastAsia" w:hAnsi="宋体"/>
          <w:color w:val="auto"/>
          <w:highlight w:val="none"/>
        </w:rPr>
      </w:pPr>
      <w:r>
        <w:rPr>
          <w:rFonts w:hint="eastAsia"/>
          <w:color w:val="auto"/>
          <w:highlight w:val="none"/>
        </w:rPr>
        <w:t>5.投标保证金不计息。</w:t>
      </w:r>
    </w:p>
    <w:p>
      <w:pPr>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（3）中标人无正当理由不与采购人签订合同的；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bCs/>
          <w:color w:val="auto"/>
          <w:spacing w:val="-6"/>
          <w:szCs w:val="21"/>
          <w:highlight w:val="none"/>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rPr>
      </w:pPr>
      <w:r>
        <w:rPr>
          <w:rFonts w:hint="eastAsia" w:ascii="宋体" w:hAnsi="宋体"/>
          <w:color w:val="auto"/>
          <w:szCs w:val="21"/>
          <w:highlight w:val="none"/>
        </w:rPr>
        <w:t>（5）拒绝履行合同义务的；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（6）其他严重扰乱招投标程序的。</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（六）投标文件的签署和份数</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3.投标文件须由投标人在规定位置盖章并由法定代表人或法定代表人的授权委托人签字或签章，投标人应写全称。</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4.投标文件不得涂改，若有修改错漏处，须加盖单位公章或者法定代表人或授权委托人签字或签章。投标文件扫描不清晰或乱码或表达不清所引起的后果由投标人负责。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rPr>
      </w:pPr>
      <w:r>
        <w:rPr>
          <w:rFonts w:hint="eastAsia" w:ascii="宋体" w:hAnsi="宋体"/>
          <w:b/>
          <w:color w:val="auto"/>
          <w:szCs w:val="21"/>
          <w:highlight w:val="none"/>
        </w:rPr>
        <w:t>（七）</w:t>
      </w:r>
      <w:r>
        <w:rPr>
          <w:rFonts w:hint="eastAsia"/>
          <w:b/>
          <w:color w:val="auto"/>
          <w:highlight w:val="none"/>
        </w:rPr>
        <w:t>投标文件的上传、提交、修改、撤回和解密</w:t>
      </w:r>
    </w:p>
    <w:p>
      <w:pPr>
        <w:adjustRightInd w:val="0"/>
        <w:snapToGrid w:val="0"/>
        <w:spacing w:line="400" w:lineRule="exact"/>
        <w:ind w:firstLine="420"/>
        <w:jc w:val="left"/>
        <w:rPr>
          <w:b/>
          <w:color w:val="auto"/>
          <w:highlight w:val="none"/>
        </w:rPr>
      </w:pPr>
      <w:r>
        <w:rPr>
          <w:rFonts w:hint="eastAsia" w:hAnsi="宋体"/>
          <w:color w:val="auto"/>
          <w:highlight w:val="none"/>
        </w:rPr>
        <w:t>▲</w:t>
      </w:r>
      <w:r>
        <w:rPr>
          <w:rFonts w:hint="eastAsia" w:ascii="宋体" w:hAnsi="宋体"/>
          <w:color w:val="auto"/>
          <w:szCs w:val="21"/>
          <w:highlight w:val="none"/>
        </w:rPr>
        <w:t xml:space="preserve">1. </w:t>
      </w:r>
      <w:r>
        <w:rPr>
          <w:rFonts w:hint="eastAsia"/>
          <w:b/>
          <w:color w:val="auto"/>
          <w:highlight w:val="none"/>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仿宋_GB2312"/>
          <w:color w:val="auto"/>
          <w:kern w:val="0"/>
          <w:szCs w:val="21"/>
          <w:highlight w:val="none"/>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rPr>
      </w:pPr>
      <w:r>
        <w:rPr>
          <w:rFonts w:hint="eastAsia" w:ascii="宋体" w:hAnsi="宋体"/>
          <w:color w:val="auto"/>
          <w:spacing w:val="-4"/>
          <w:szCs w:val="21"/>
          <w:highlight w:val="none"/>
        </w:rPr>
        <w:t>3.</w:t>
      </w:r>
      <w:r>
        <w:rPr>
          <w:rFonts w:hint="eastAsia" w:ascii="宋体"/>
          <w:snapToGrid w:val="0"/>
          <w:color w:val="auto"/>
          <w:szCs w:val="21"/>
          <w:highlight w:val="none"/>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rPr>
      </w:pPr>
      <w:r>
        <w:rPr>
          <w:rFonts w:hint="eastAsia" w:ascii="宋体" w:hAnsi="宋体"/>
          <w:color w:val="auto"/>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rPr>
      </w:pPr>
      <w:r>
        <w:rPr>
          <w:rFonts w:hint="eastAsia" w:ascii="宋体" w:hAnsi="宋体"/>
          <w:b/>
          <w:color w:val="auto"/>
          <w:szCs w:val="21"/>
          <w:highlight w:val="none"/>
        </w:rPr>
        <w:t>（八）投标无效的情形</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1.在符合性审查和资格性审查时，如发现下列情形之一的，投标文件将被视为无效：</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（1）超越了按照法律法规规定必须获得行政许可或者行政审批的经营范围的；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（2）资格证明文件不全的，或者不符合招标文件标明的资格要求的；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（3）投标文件无法定代表人（负责人）或其授权委托代理人</w:t>
      </w:r>
      <w:r>
        <w:rPr>
          <w:rFonts w:ascii="宋体" w:hAnsi="宋体" w:eastAsia="宋体"/>
          <w:color w:val="auto"/>
          <w:spacing w:val="-4"/>
          <w:sz w:val="21"/>
          <w:szCs w:val="21"/>
          <w:highlight w:val="none"/>
          <w:lang w:val="en"/>
        </w:rPr>
        <w:t>签字或签章</w:t>
      </w:r>
      <w:r>
        <w:rPr>
          <w:rFonts w:hint="eastAsia" w:ascii="宋体" w:hAnsi="宋体" w:eastAsia="宋体"/>
          <w:color w:val="auto"/>
          <w:spacing w:val="-4"/>
          <w:sz w:val="21"/>
          <w:szCs w:val="21"/>
          <w:highlight w:val="none"/>
        </w:rPr>
        <w:t>，或未提供法定代表人（负责人）授权委托书、投标声明书或者填写项目不齐全的；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（4）投标代表人未能出具身份证明或与法定代表人（负责人）授权委托人身份不符的；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（5）项目不齐全或者内容虚假的；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（6）投标文件的实质性内容未使用中文表述、意思表述不明确、前后矛盾或者使用计量单位不符合投标文件要求的（经评标委员会认定并允许其当场更正的笔误除外）；</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（7）投标有效期、交付使用时间、质保期等商务条款不能满足招标文件要求的；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（8）未实质性响应招标文件要求或者投标文件有招标方不能接受的附加条件的；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（9）</w:t>
      </w:r>
      <w:r>
        <w:rPr>
          <w:rFonts w:ascii="宋体" w:hAnsi="宋体" w:eastAsia="宋体"/>
          <w:color w:val="auto"/>
          <w:spacing w:val="-4"/>
          <w:sz w:val="21"/>
          <w:szCs w:val="21"/>
          <w:highlight w:val="none"/>
        </w:rPr>
        <w:t>未按照招标文件的规定提交投标保证金的</w:t>
      </w:r>
      <w:r>
        <w:rPr>
          <w:rFonts w:hint="eastAsia" w:ascii="宋体" w:hAnsi="宋体" w:eastAsia="宋体"/>
          <w:color w:val="auto"/>
          <w:spacing w:val="-4"/>
          <w:sz w:val="21"/>
          <w:szCs w:val="21"/>
          <w:highlight w:val="none"/>
        </w:rPr>
        <w:t>（说明：评标时，评标委员会将以本中心财务室编制的《采购文件购买名单及保证金收缴情况表》作为评审依据）。</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2.在技术评审时，如发现下列情形之一的，投标文件将被视为无效：</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（1）未提供或未如实提供投标货物的技术参数，或者投标文件标明的响应或偏离与事实不符或虚假投标的；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（2）明显不符合招标文件要求的规格型号、质量标准，或者与招标文件中的技术指标、主要功能项目发生实质性偏离的；</w:t>
      </w:r>
    </w:p>
    <w:p>
      <w:pPr>
        <w:pStyle w:val="24"/>
        <w:snapToGrid w:val="0"/>
        <w:spacing w:line="360" w:lineRule="exact"/>
        <w:ind w:firstLine="397" w:firstLineChars="196"/>
        <w:outlineLvl w:val="0"/>
        <w:rPr>
          <w:rFonts w:hint="eastAsia" w:ascii="宋体" w:hAnsi="宋体" w:eastAsia="宋体"/>
          <w:b/>
          <w:bCs/>
          <w:color w:val="auto"/>
          <w:spacing w:val="-4"/>
          <w:sz w:val="21"/>
          <w:szCs w:val="21"/>
          <w:highlight w:val="none"/>
        </w:rPr>
      </w:pPr>
      <w:r>
        <w:rPr>
          <w:rFonts w:hint="eastAsia" w:ascii="宋体" w:hAnsi="宋体" w:eastAsia="宋体"/>
          <w:b/>
          <w:bCs/>
          <w:color w:val="auto"/>
          <w:spacing w:val="-4"/>
          <w:sz w:val="21"/>
          <w:szCs w:val="21"/>
          <w:highlight w:val="none"/>
        </w:rPr>
        <w:t>（3）标星号“</w:t>
      </w:r>
      <w:r>
        <w:rPr>
          <w:rFonts w:hint="eastAsia" w:ascii="宋体" w:hAnsi="宋体" w:cs="宋体"/>
          <w:b/>
          <w:bCs/>
          <w:color w:val="auto"/>
          <w:kern w:val="0"/>
          <w:sz w:val="21"/>
          <w:szCs w:val="21"/>
          <w:highlight w:val="none"/>
        </w:rPr>
        <w:t>▲</w:t>
      </w:r>
      <w:r>
        <w:rPr>
          <w:rFonts w:hint="eastAsia" w:ascii="宋体" w:hAnsi="宋体" w:eastAsia="宋体"/>
          <w:b/>
          <w:bCs/>
          <w:color w:val="auto"/>
          <w:spacing w:val="-4"/>
          <w:sz w:val="21"/>
          <w:szCs w:val="21"/>
          <w:highlight w:val="none"/>
        </w:rPr>
        <w:t>”的技术、性能指标发生负偏离达</w:t>
      </w:r>
      <w:r>
        <w:rPr>
          <w:rFonts w:hint="eastAsia" w:ascii="宋体" w:hAnsi="宋体" w:eastAsia="宋体"/>
          <w:b/>
          <w:bCs/>
          <w:color w:val="auto"/>
          <w:spacing w:val="-4"/>
          <w:sz w:val="21"/>
          <w:szCs w:val="21"/>
          <w:highlight w:val="none"/>
          <w:u w:val="single"/>
        </w:rPr>
        <w:t xml:space="preserve">  1  </w:t>
      </w:r>
      <w:r>
        <w:rPr>
          <w:rFonts w:hint="eastAsia" w:ascii="宋体" w:hAnsi="宋体" w:eastAsia="宋体"/>
          <w:b/>
          <w:bCs/>
          <w:color w:val="auto"/>
          <w:spacing w:val="-4"/>
          <w:sz w:val="21"/>
          <w:szCs w:val="21"/>
          <w:highlight w:val="none"/>
        </w:rPr>
        <w:t>项（含）以上的；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（4）投标技术方案不明确，存在一个或一个以上备选（替换）投标方案的；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（5）与其他参加本次投标供应商的投标文件（技术文件）的文字表述内容差错相同二处以上的。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3.在报价评审时，如发现下列情形之一的，投标文件将被视为无效：</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（1）未采用人民币报价或者未按照招标文件标明的币种报价的；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（2）报价超出最高限价，或者超出采购预算金额，采购人不能支付的；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cs="仿宋_GB2312"/>
          <w:color w:val="auto"/>
          <w:kern w:val="0"/>
          <w:szCs w:val="21"/>
          <w:highlight w:val="none"/>
          <w:lang w:val="zh-CN"/>
        </w:rPr>
      </w:pPr>
      <w:bookmarkStart w:id="6" w:name="_Toc40864952"/>
      <w:bookmarkStart w:id="7" w:name="_Toc40864676"/>
      <w:bookmarkStart w:id="8" w:name="_Toc40865068"/>
      <w:r>
        <w:rPr>
          <w:rFonts w:hint="eastAsia" w:ascii="宋体" w:hAnsi="宋体" w:cs="仿宋_GB2312"/>
          <w:color w:val="auto"/>
          <w:kern w:val="0"/>
          <w:szCs w:val="21"/>
          <w:highlight w:val="none"/>
          <w:lang w:val="zh-CN"/>
        </w:rPr>
        <w:t>（4）评标委员会在评审中，经启动异常低价审查程序后供应商未能</w:t>
      </w:r>
      <w:r>
        <w:rPr>
          <w:rFonts w:hint="eastAsia"/>
          <w:bCs/>
          <w:color w:val="auto"/>
          <w:highlight w:val="none"/>
        </w:rPr>
        <w:t>证明其报价合理性的</w:t>
      </w:r>
      <w:r>
        <w:rPr>
          <w:rFonts w:hint="eastAsia" w:ascii="宋体" w:hAnsi="宋体" w:cs="仿宋_GB2312"/>
          <w:color w:val="auto"/>
          <w:kern w:val="0"/>
          <w:szCs w:val="21"/>
          <w:highlight w:val="none"/>
          <w:lang w:val="zh-CN"/>
        </w:rPr>
        <w:t>。</w:t>
      </w:r>
      <w:bookmarkEnd w:id="6"/>
      <w:bookmarkEnd w:id="7"/>
      <w:bookmarkEnd w:id="8"/>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4.有下列情形之一的视为投标人相互串通投标，投标文件将被视为无效:</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（1）不同投标人的投标文件由同一单位或者个人编制；或不同投标人报名的IP地址一致的；</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（2）不同投标人委托同一单位或者个人办理投标事宜；</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（3）不同投标人的投标文件载明的项目管理成员或者联系人员为同一人；</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（4）不同投标人的投标文件异常一致或投标报价呈规律性差异；</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（5）不同投标人的投标文件相互混装；</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（6）不同投标人的投标保证金从同一个单位或者个人账户转出。</w:t>
      </w:r>
    </w:p>
    <w:p>
      <w:pPr>
        <w:pStyle w:val="24"/>
        <w:adjustRightInd w:val="0"/>
        <w:snapToGrid w:val="0"/>
        <w:spacing w:line="400" w:lineRule="exact"/>
        <w:ind w:firstLine="395" w:firstLineChars="196"/>
        <w:rPr>
          <w:rFonts w:hint="eastAsia" w:ascii="宋体" w:hAnsi="宋体" w:eastAsia="宋体"/>
          <w:bCs/>
          <w:color w:val="auto"/>
          <w:sz w:val="21"/>
          <w:szCs w:val="21"/>
          <w:highlight w:val="none"/>
        </w:rPr>
      </w:pPr>
      <w:r>
        <w:rPr>
          <w:rFonts w:ascii="宋体" w:hAnsi="宋体" w:eastAsia="宋体"/>
          <w:color w:val="auto"/>
          <w:spacing w:val="-4"/>
          <w:sz w:val="21"/>
          <w:szCs w:val="21"/>
          <w:highlight w:val="none"/>
          <w:lang w:val="en"/>
        </w:rPr>
        <w:t>5</w:t>
      </w:r>
      <w:r>
        <w:rPr>
          <w:rFonts w:hint="eastAsia" w:ascii="宋体" w:hAnsi="宋体" w:eastAsia="宋体"/>
          <w:color w:val="auto"/>
          <w:spacing w:val="-4"/>
          <w:sz w:val="21"/>
          <w:szCs w:val="21"/>
          <w:highlight w:val="none"/>
        </w:rPr>
        <w:t>.</w:t>
      </w:r>
      <w:r>
        <w:rPr>
          <w:rFonts w:hint="eastAsia" w:ascii="宋体" w:hAnsi="宋体"/>
          <w:bCs/>
          <w:color w:val="auto"/>
          <w:sz w:val="21"/>
          <w:szCs w:val="21"/>
          <w:highlight w:val="none"/>
        </w:rPr>
        <w:t xml:space="preserve"> </w:t>
      </w:r>
      <w:r>
        <w:rPr>
          <w:rFonts w:hint="eastAsia" w:ascii="宋体" w:hAnsi="宋体" w:eastAsia="宋体"/>
          <w:bCs/>
          <w:color w:val="auto"/>
          <w:sz w:val="21"/>
          <w:szCs w:val="21"/>
          <w:highlight w:val="none"/>
        </w:rPr>
        <w:t>其他投标无效的情形：</w:t>
      </w:r>
    </w:p>
    <w:p>
      <w:pPr>
        <w:pStyle w:val="24"/>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ascii="宋体" w:hAnsi="宋体" w:eastAsia="宋体"/>
          <w:b/>
          <w:bCs/>
          <w:color w:val="auto"/>
          <w:sz w:val="21"/>
          <w:szCs w:val="21"/>
          <w:highlight w:val="none"/>
        </w:rPr>
        <w:t>投标文件未按招标文件要求签署</w:t>
      </w:r>
      <w:r>
        <w:rPr>
          <w:rFonts w:hint="eastAsia" w:ascii="宋体" w:hAnsi="宋体" w:eastAsia="宋体"/>
          <w:b/>
          <w:bCs/>
          <w:color w:val="auto"/>
          <w:sz w:val="21"/>
          <w:szCs w:val="21"/>
          <w:highlight w:val="none"/>
        </w:rPr>
        <w:t>或</w:t>
      </w:r>
      <w:r>
        <w:rPr>
          <w:rFonts w:ascii="宋体" w:hAnsi="宋体" w:eastAsia="宋体"/>
          <w:b/>
          <w:bCs/>
          <w:color w:val="auto"/>
          <w:sz w:val="21"/>
          <w:szCs w:val="21"/>
          <w:highlight w:val="none"/>
        </w:rPr>
        <w:t>CA电子签章的；</w:t>
      </w:r>
    </w:p>
    <w:p>
      <w:pPr>
        <w:pStyle w:val="24"/>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（2）</w:t>
      </w:r>
      <w:r>
        <w:rPr>
          <w:rFonts w:ascii="宋体" w:hAnsi="宋体" w:eastAsia="宋体"/>
          <w:b/>
          <w:bCs/>
          <w:color w:val="auto"/>
          <w:sz w:val="21"/>
          <w:szCs w:val="21"/>
          <w:highlight w:val="none"/>
        </w:rPr>
        <w:t>供应商提交两份或两份以上内容不同的投标文件；</w:t>
      </w:r>
    </w:p>
    <w:p>
      <w:pPr>
        <w:pStyle w:val="31"/>
        <w:adjustRightInd w:val="0"/>
        <w:snapToGrid w:val="0"/>
        <w:spacing w:line="400" w:lineRule="exact"/>
        <w:ind w:firstLine="421" w:firstLineChars="200"/>
        <w:rPr>
          <w:rFonts w:hint="eastAsia" w:hAnsi="宋体"/>
          <w:b/>
          <w:bCs/>
          <w:color w:val="auto"/>
          <w:highlight w:val="none"/>
        </w:rPr>
      </w:pPr>
      <w:r>
        <w:rPr>
          <w:rFonts w:hint="eastAsia" w:hAnsi="宋体"/>
          <w:b/>
          <w:bCs/>
          <w:color w:val="auto"/>
          <w:highlight w:val="none"/>
        </w:rPr>
        <w:t>（3）</w:t>
      </w:r>
      <w:r>
        <w:rPr>
          <w:rFonts w:hAnsi="宋体"/>
          <w:b/>
          <w:bCs/>
          <w:color w:val="auto"/>
          <w:highlight w:val="none"/>
        </w:rPr>
        <w:t>投标供应商在线制作投标文件时</w:t>
      </w:r>
      <w:r>
        <w:rPr>
          <w:rFonts w:hint="eastAsia" w:hAnsi="宋体"/>
          <w:b/>
          <w:bCs/>
          <w:color w:val="auto"/>
          <w:highlight w:val="none"/>
        </w:rPr>
        <w:t>填写的报价金额</w:t>
      </w:r>
      <w:r>
        <w:rPr>
          <w:rFonts w:hAnsi="宋体"/>
          <w:b/>
          <w:bCs/>
          <w:color w:val="auto"/>
          <w:highlight w:val="none"/>
        </w:rPr>
        <w:t>与解密后“电子加密投标文件”中《开标一览表》填写的金额不一致并拒绝按招标文件要求接受调整的；</w:t>
      </w:r>
    </w:p>
    <w:p>
      <w:pPr>
        <w:pStyle w:val="24"/>
        <w:snapToGrid w:val="0"/>
        <w:spacing w:line="360" w:lineRule="exact"/>
        <w:ind w:firstLine="413" w:firstLineChars="196"/>
        <w:outlineLvl w:val="0"/>
        <w:rPr>
          <w:rFonts w:hint="eastAsia" w:ascii="宋体" w:hAnsi="宋体" w:eastAsia="宋体"/>
          <w:color w:val="auto"/>
          <w:spacing w:val="-4"/>
          <w:sz w:val="21"/>
          <w:szCs w:val="21"/>
          <w:highlight w:val="none"/>
        </w:rPr>
      </w:pPr>
      <w:r>
        <w:rPr>
          <w:rFonts w:hint="eastAsia" w:ascii="宋体" w:hAnsi="宋体" w:eastAsia="宋体" w:cs="Courier New"/>
          <w:b/>
          <w:bCs/>
          <w:color w:val="auto"/>
          <w:sz w:val="21"/>
          <w:szCs w:val="21"/>
          <w:highlight w:val="none"/>
        </w:rPr>
        <w:t>（4）</w:t>
      </w:r>
      <w:r>
        <w:rPr>
          <w:rFonts w:ascii="宋体" w:hAnsi="宋体" w:eastAsia="宋体" w:cs="Courier New"/>
          <w:b/>
          <w:bCs/>
          <w:color w:val="auto"/>
          <w:sz w:val="21"/>
          <w:szCs w:val="21"/>
          <w:highlight w:val="none"/>
        </w:rPr>
        <w:t>法律、法规和招标文件规定的其他无效情形（或出现重大偏差）。</w:t>
      </w:r>
    </w:p>
    <w:p>
      <w:pPr>
        <w:pStyle w:val="24"/>
        <w:snapToGrid w:val="0"/>
        <w:spacing w:line="360" w:lineRule="exact"/>
        <w:ind w:firstLine="395" w:firstLineChars="196"/>
        <w:outlineLvl w:val="0"/>
        <w:rPr>
          <w:rFonts w:hint="eastAsia" w:ascii="宋体" w:hAnsi="宋体" w:eastAsia="宋体"/>
          <w:color w:val="auto"/>
          <w:spacing w:val="-4"/>
          <w:sz w:val="21"/>
          <w:szCs w:val="21"/>
          <w:highlight w:val="none"/>
        </w:rPr>
      </w:pPr>
      <w:r>
        <w:rPr>
          <w:rFonts w:ascii="宋体" w:hAnsi="宋体" w:eastAsia="宋体"/>
          <w:color w:val="auto"/>
          <w:spacing w:val="-4"/>
          <w:sz w:val="21"/>
          <w:szCs w:val="21"/>
          <w:highlight w:val="none"/>
          <w:lang w:val="en"/>
        </w:rPr>
        <w:t>6</w:t>
      </w:r>
      <w:r>
        <w:rPr>
          <w:rFonts w:hint="eastAsia" w:ascii="宋体" w:hAnsi="宋体" w:eastAsia="宋体"/>
          <w:color w:val="auto"/>
          <w:spacing w:val="-4"/>
          <w:sz w:val="21"/>
          <w:szCs w:val="21"/>
          <w:highlight w:val="none"/>
        </w:rPr>
        <w:t>.被拒绝的投标文件为无效。</w:t>
      </w:r>
    </w:p>
    <w:p>
      <w:pPr>
        <w:pStyle w:val="24"/>
        <w:snapToGrid w:val="0"/>
        <w:spacing w:line="360" w:lineRule="exact"/>
        <w:ind w:firstLine="413" w:firstLineChars="196"/>
        <w:outlineLvl w:val="0"/>
        <w:rPr>
          <w:rFonts w:hint="eastAsia" w:ascii="宋体" w:hAnsi="宋体" w:eastAsia="宋体"/>
          <w:b/>
          <w:color w:val="auto"/>
          <w:sz w:val="21"/>
          <w:szCs w:val="21"/>
          <w:highlight w:val="none"/>
        </w:rPr>
      </w:pPr>
    </w:p>
    <w:p>
      <w:pPr>
        <w:pStyle w:val="24"/>
        <w:snapToGrid w:val="0"/>
        <w:spacing w:line="360" w:lineRule="exact"/>
        <w:ind w:firstLine="413" w:firstLineChars="196"/>
        <w:outlineLvl w:val="0"/>
        <w:rPr>
          <w:rFonts w:hint="eastAsia" w:ascii="宋体" w:hAnsi="宋体" w:eastAsia="宋体"/>
          <w:b/>
          <w:snapToGrid w:val="0"/>
          <w:color w:val="auto"/>
          <w:sz w:val="21"/>
          <w:szCs w:val="21"/>
          <w:highlight w:val="none"/>
        </w:rPr>
      </w:pPr>
      <w:r>
        <w:rPr>
          <w:rFonts w:hint="eastAsia" w:ascii="宋体" w:hAnsi="宋体" w:eastAsia="宋体"/>
          <w:b/>
          <w:color w:val="auto"/>
          <w:sz w:val="21"/>
          <w:szCs w:val="21"/>
          <w:highlight w:val="none"/>
        </w:rPr>
        <w:t>四、开标</w:t>
      </w:r>
    </w:p>
    <w:p>
      <w:pPr>
        <w:pStyle w:val="31"/>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（一）开标准备</w:t>
      </w:r>
    </w:p>
    <w:p>
      <w:pPr>
        <w:pStyle w:val="31"/>
        <w:snapToGrid w:val="0"/>
        <w:spacing w:line="360" w:lineRule="exact"/>
        <w:ind w:firstLine="420" w:firstLineChars="200"/>
        <w:rPr>
          <w:rFonts w:hint="eastAsia" w:hAnsi="宋体"/>
          <w:bCs/>
          <w:color w:val="auto"/>
          <w:highlight w:val="none"/>
        </w:rPr>
      </w:pPr>
      <w:r>
        <w:rPr>
          <w:rFonts w:hint="eastAsia" w:hAnsi="宋体"/>
          <w:bCs/>
          <w:color w:val="auto"/>
          <w:highlight w:val="none"/>
        </w:rPr>
        <w:t>本中心将</w:t>
      </w:r>
      <w:r>
        <w:rPr>
          <w:rFonts w:hint="eastAsia"/>
          <w:color w:val="auto"/>
          <w:sz w:val="22"/>
          <w:highlight w:val="none"/>
        </w:rPr>
        <w:t>按招标文件规定的时间、地点通过“广西政府采购云平台”组织开标、开启投标文件，所有供应商均应当准时在线参加。投</w:t>
      </w:r>
      <w:r>
        <w:rPr>
          <w:color w:val="auto"/>
          <w:sz w:val="22"/>
          <w:highlight w:val="none"/>
        </w:rPr>
        <w:t>标供应商因未在线参加开标而导致投标文件无法按时解密等一切后果由供应商自</w:t>
      </w:r>
      <w:r>
        <w:rPr>
          <w:rFonts w:hint="eastAsia"/>
          <w:color w:val="auto"/>
          <w:sz w:val="22"/>
          <w:highlight w:val="none"/>
        </w:rPr>
        <w:t>行</w:t>
      </w:r>
      <w:r>
        <w:rPr>
          <w:color w:val="auto"/>
          <w:sz w:val="22"/>
          <w:highlight w:val="none"/>
        </w:rPr>
        <w:t>承担。</w:t>
      </w:r>
    </w:p>
    <w:p>
      <w:pPr>
        <w:pStyle w:val="31"/>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（二） 开标程序：</w:t>
      </w:r>
    </w:p>
    <w:p>
      <w:pPr>
        <w:pStyle w:val="31"/>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1.电子开标会由本中心主持</w:t>
      </w:r>
    </w:p>
    <w:p>
      <w:pPr>
        <w:pStyle w:val="31"/>
        <w:adjustRightInd w:val="0"/>
        <w:snapToGrid w:val="0"/>
        <w:spacing w:line="400" w:lineRule="exact"/>
        <w:ind w:firstLine="420" w:firstLineChars="200"/>
        <w:rPr>
          <w:color w:val="auto"/>
          <w:highlight w:val="none"/>
        </w:rPr>
      </w:pPr>
      <w:r>
        <w:rPr>
          <w:rFonts w:hint="eastAsia" w:hAnsi="宋体"/>
          <w:color w:val="auto"/>
          <w:highlight w:val="none"/>
        </w:rPr>
        <w:t>2.本中心工作人员</w:t>
      </w:r>
      <w:r>
        <w:rPr>
          <w:rFonts w:hint="eastAsia"/>
          <w:color w:val="auto"/>
          <w:highlight w:val="none"/>
        </w:rPr>
        <w:t>向各投标供应商发出电子加密投标文件【开始解密】通知，由供应商按招标文件规定的时间内自行进行投标文件解密。</w:t>
      </w:r>
      <w:r>
        <w:rPr>
          <w:rFonts w:hint="eastAsia"/>
          <w:snapToGrid w:val="0"/>
          <w:color w:val="auto"/>
          <w:highlight w:val="none"/>
        </w:rPr>
        <w:t>投标供应商未在规定时间内完成解密的，系统默认自动放弃。</w:t>
      </w:r>
    </w:p>
    <w:p>
      <w:pPr>
        <w:pStyle w:val="31"/>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投标文件解密结束，开启</w:t>
      </w:r>
      <w:r>
        <w:rPr>
          <w:rFonts w:hint="eastAsia" w:hAnsi="宋体"/>
          <w:color w:val="auto"/>
          <w:highlight w:val="none"/>
        </w:rPr>
        <w:t>报价文件。投标供应商在线制作投标文件时填写的报价金额</w:t>
      </w:r>
      <w:r>
        <w:rPr>
          <w:rFonts w:hAnsi="宋体"/>
          <w:color w:val="auto"/>
          <w:highlight w:val="none"/>
        </w:rPr>
        <w:t>与解密后“电子加密投标文件”中《开标一览表》填写的金额不一致的，以解密后“电子加密投标文件”中《开标一览表》填写的金额为准，投标供应商拒绝接受此调整的，按无效投标处理。</w:t>
      </w:r>
    </w:p>
    <w:p>
      <w:pPr>
        <w:pStyle w:val="31"/>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4.进入</w:t>
      </w:r>
      <w:r>
        <w:rPr>
          <w:rFonts w:hAnsi="宋体"/>
          <w:color w:val="auto"/>
          <w:highlight w:val="none"/>
        </w:rPr>
        <w:t>资格文件</w:t>
      </w:r>
      <w:r>
        <w:rPr>
          <w:rFonts w:hint="eastAsia" w:hAnsi="宋体"/>
          <w:color w:val="auto"/>
          <w:highlight w:val="none"/>
        </w:rPr>
        <w:t>审查环节</w:t>
      </w:r>
      <w:r>
        <w:rPr>
          <w:rFonts w:hAnsi="宋体"/>
          <w:color w:val="auto"/>
          <w:highlight w:val="none"/>
        </w:rPr>
        <w:t>，</w:t>
      </w:r>
      <w:r>
        <w:rPr>
          <w:rFonts w:hint="eastAsia" w:hAnsi="宋体"/>
          <w:color w:val="auto"/>
          <w:highlight w:val="none"/>
        </w:rPr>
        <w:t>本中心或者招标采购单位</w:t>
      </w:r>
      <w:r>
        <w:rPr>
          <w:rFonts w:hAnsi="宋体"/>
          <w:color w:val="auto"/>
          <w:highlight w:val="none"/>
        </w:rPr>
        <w:t>依法对投标供应商的资格进行审查。</w:t>
      </w:r>
    </w:p>
    <w:p>
      <w:pPr>
        <w:pStyle w:val="31"/>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5.</w:t>
      </w:r>
      <w:r>
        <w:rPr>
          <w:rFonts w:hAnsi="宋体"/>
          <w:color w:val="auto"/>
          <w:highlight w:val="none"/>
        </w:rPr>
        <w:t>开启资格审查通过的投标供应商的商务技术文件进入符合性审查及商务技术评审</w:t>
      </w:r>
      <w:r>
        <w:rPr>
          <w:rFonts w:hint="eastAsia" w:hAnsi="宋体"/>
          <w:color w:val="auto"/>
          <w:highlight w:val="none"/>
        </w:rPr>
        <w:t>。</w:t>
      </w:r>
    </w:p>
    <w:p>
      <w:pPr>
        <w:pStyle w:val="31"/>
        <w:adjustRightInd w:val="0"/>
        <w:snapToGrid w:val="0"/>
        <w:spacing w:line="400" w:lineRule="exact"/>
        <w:ind w:firstLine="420"/>
        <w:rPr>
          <w:rFonts w:hint="eastAsia" w:hAnsi="宋体"/>
          <w:color w:val="auto"/>
          <w:highlight w:val="none"/>
        </w:rPr>
      </w:pPr>
      <w:r>
        <w:rPr>
          <w:rFonts w:hint="eastAsia" w:hAnsi="宋体"/>
          <w:color w:val="auto"/>
          <w:highlight w:val="none"/>
        </w:rPr>
        <w:t>注：①当整个招标项目的投标人不足3家的不开标，本中心将按政府采购管理的有关规定处理。</w:t>
      </w:r>
    </w:p>
    <w:p>
      <w:pPr>
        <w:pStyle w:val="31"/>
        <w:adjustRightInd w:val="0"/>
        <w:snapToGrid w:val="0"/>
        <w:spacing w:line="400" w:lineRule="exact"/>
        <w:ind w:firstLine="840" w:firstLineChars="400"/>
        <w:rPr>
          <w:rFonts w:hint="eastAsia" w:hAnsi="宋体"/>
          <w:color w:val="auto"/>
          <w:highlight w:val="none"/>
        </w:rPr>
      </w:pPr>
      <w:r>
        <w:rPr>
          <w:rFonts w:hint="eastAsia" w:hAnsi="宋体"/>
          <w:color w:val="auto"/>
          <w:highlight w:val="none"/>
        </w:rPr>
        <w:t>②开标后,某分标投标人不足3家的，本中心将按政府采购管理的有关规定处理。</w:t>
      </w:r>
    </w:p>
    <w:p>
      <w:pPr>
        <w:pStyle w:val="31"/>
        <w:snapToGrid w:val="0"/>
        <w:spacing w:line="360" w:lineRule="exact"/>
        <w:ind w:left="689" w:leftChars="228" w:hanging="210" w:hangingChars="100"/>
        <w:rPr>
          <w:rFonts w:hint="eastAsia" w:hAnsi="宋体"/>
          <w:color w:val="auto"/>
          <w:highlight w:val="none"/>
        </w:rPr>
      </w:pPr>
      <w:r>
        <w:rPr>
          <w:rFonts w:hAnsi="宋体"/>
          <w:b/>
          <w:bCs/>
          <w:color w:val="auto"/>
          <w:highlight w:val="none"/>
        </w:rPr>
        <w:t>特别说明：如遇“</w:t>
      </w:r>
      <w:r>
        <w:rPr>
          <w:rFonts w:hAnsi="宋体"/>
          <w:b/>
          <w:bCs/>
          <w:color w:val="auto"/>
          <w:highlight w:val="none"/>
          <w:lang w:val="en"/>
        </w:rPr>
        <w:t>广西政府采购云平台</w:t>
      </w:r>
      <w:r>
        <w:rPr>
          <w:rFonts w:hAnsi="宋体"/>
          <w:b/>
          <w:bCs/>
          <w:color w:val="auto"/>
          <w:highlight w:val="none"/>
        </w:rPr>
        <w:t>”电子化开标或评审程序调整的，按调整后程序执行。</w:t>
      </w:r>
    </w:p>
    <w:p>
      <w:pPr>
        <w:pStyle w:val="31"/>
        <w:snapToGrid w:val="0"/>
        <w:spacing w:line="360" w:lineRule="exact"/>
        <w:ind w:left="771" w:leftChars="267" w:hanging="210" w:hangingChars="100"/>
        <w:outlineLvl w:val="1"/>
        <w:rPr>
          <w:rFonts w:hint="eastAsia" w:hAnsi="宋体"/>
          <w:b/>
          <w:color w:val="auto"/>
          <w:highlight w:val="none"/>
        </w:rPr>
      </w:pPr>
      <w:r>
        <w:rPr>
          <w:rFonts w:hint="eastAsia" w:hAnsi="宋体"/>
          <w:b/>
          <w:color w:val="auto"/>
          <w:highlight w:val="none"/>
        </w:rPr>
        <w:t>五、</w:t>
      </w:r>
      <w:r>
        <w:rPr>
          <w:rFonts w:hint="eastAsia" w:hAnsi="宋体"/>
          <w:b/>
          <w:bCs/>
          <w:color w:val="auto"/>
          <w:highlight w:val="none"/>
        </w:rPr>
        <w:t>资格审查</w:t>
      </w:r>
    </w:p>
    <w:p>
      <w:pPr>
        <w:pStyle w:val="31"/>
        <w:snapToGrid w:val="0"/>
        <w:spacing w:line="360" w:lineRule="exact"/>
        <w:ind w:left="771" w:leftChars="267" w:hanging="210" w:hangingChars="100"/>
        <w:outlineLvl w:val="1"/>
        <w:rPr>
          <w:rFonts w:hint="eastAsia" w:hAnsi="宋体"/>
          <w:b/>
          <w:color w:val="auto"/>
          <w:highlight w:val="none"/>
        </w:rPr>
      </w:pPr>
      <w:r>
        <w:rPr>
          <w:rFonts w:hint="eastAsia"/>
          <w:color w:val="auto"/>
          <w:highlight w:val="none"/>
        </w:rPr>
        <w:t>采购人</w:t>
      </w:r>
      <w:r>
        <w:rPr>
          <w:rFonts w:hint="eastAsia"/>
          <w:color w:val="auto"/>
          <w:spacing w:val="-4"/>
          <w:highlight w:val="none"/>
        </w:rPr>
        <w:t>或本中心工作人员</w:t>
      </w:r>
      <w:r>
        <w:rPr>
          <w:rFonts w:hint="eastAsia"/>
          <w:color w:val="auto"/>
          <w:highlight w:val="none"/>
        </w:rPr>
        <w:t>依法对投标人的资格进行审查。合格投标人不足3家的，不得评标。</w:t>
      </w:r>
    </w:p>
    <w:p>
      <w:pPr>
        <w:pStyle w:val="31"/>
        <w:snapToGrid w:val="0"/>
        <w:spacing w:line="360" w:lineRule="exact"/>
        <w:ind w:left="771" w:leftChars="267" w:hanging="210" w:hangingChars="100"/>
        <w:outlineLvl w:val="1"/>
        <w:rPr>
          <w:rFonts w:hint="eastAsia" w:hAnsi="宋体"/>
          <w:b/>
          <w:color w:val="auto"/>
          <w:highlight w:val="none"/>
        </w:rPr>
      </w:pPr>
      <w:r>
        <w:rPr>
          <w:rFonts w:hint="eastAsia" w:hAnsi="宋体"/>
          <w:b/>
          <w:color w:val="auto"/>
          <w:highlight w:val="none"/>
        </w:rPr>
        <w:t>六、评标</w:t>
      </w:r>
    </w:p>
    <w:p>
      <w:pPr>
        <w:pStyle w:val="31"/>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（一）组建评标委员会</w:t>
      </w:r>
    </w:p>
    <w:p>
      <w:pPr>
        <w:pStyle w:val="31"/>
        <w:snapToGrid w:val="0"/>
        <w:spacing w:line="360" w:lineRule="exact"/>
        <w:ind w:firstLine="420" w:firstLineChars="200"/>
        <w:rPr>
          <w:color w:val="auto"/>
          <w:spacing w:val="-4"/>
          <w:highlight w:val="none"/>
        </w:rPr>
      </w:pPr>
      <w:r>
        <w:rPr>
          <w:rFonts w:hint="eastAsia" w:hAnsi="宋体"/>
          <w:bCs/>
          <w:color w:val="auto"/>
          <w:highlight w:val="none"/>
        </w:rPr>
        <w:t>本招标采购项目的</w:t>
      </w:r>
      <w:r>
        <w:rPr>
          <w:color w:val="auto"/>
          <w:spacing w:val="-4"/>
          <w:highlight w:val="none"/>
        </w:rPr>
        <w:t>评标委员会由采购人代表和评审专家组成，成员人数应当为5人以上单数，其中评审专家不得少于成员总数的三分之二。</w:t>
      </w:r>
    </w:p>
    <w:p>
      <w:pPr>
        <w:pStyle w:val="31"/>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（二）评标的方式</w:t>
      </w:r>
    </w:p>
    <w:p>
      <w:pPr>
        <w:pStyle w:val="31"/>
        <w:snapToGrid w:val="0"/>
        <w:spacing w:line="360" w:lineRule="exact"/>
        <w:ind w:left="689" w:leftChars="228" w:hanging="210" w:hangingChars="100"/>
        <w:rPr>
          <w:rFonts w:hint="eastAsia" w:hAnsi="宋体"/>
          <w:color w:val="auto"/>
          <w:highlight w:val="none"/>
        </w:rPr>
      </w:pPr>
      <w:r>
        <w:rPr>
          <w:rFonts w:hint="eastAsia" w:hAnsi="宋体"/>
          <w:color w:val="auto"/>
          <w:highlight w:val="none"/>
        </w:rPr>
        <w:t>本项目采用不公开方式评标，评标的依据为招标文件和投标文件。</w:t>
      </w:r>
    </w:p>
    <w:p>
      <w:pPr>
        <w:pStyle w:val="31"/>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（三）</w:t>
      </w:r>
      <w:r>
        <w:rPr>
          <w:rFonts w:hint="eastAsia" w:hAnsi="宋体"/>
          <w:b/>
          <w:bCs/>
          <w:color w:val="auto"/>
          <w:highlight w:val="none"/>
        </w:rPr>
        <w:t>评标程序</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询标与澄清：在评标过程中，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（4）报价评审</w:t>
      </w:r>
    </w:p>
    <w:p>
      <w:pPr>
        <w:snapToGrid w:val="0"/>
        <w:spacing w:line="360" w:lineRule="exact"/>
        <w:ind w:left="420" w:leftChars="200" w:firstLine="210" w:firstLineChars="100"/>
        <w:rPr>
          <w:rFonts w:hint="eastAsia" w:ascii="宋体" w:hAnsi="宋体"/>
          <w:color w:val="auto"/>
          <w:szCs w:val="21"/>
          <w:highlight w:val="none"/>
        </w:rPr>
      </w:pPr>
      <w:r>
        <w:rPr>
          <w:rFonts w:ascii="宋体" w:hAnsi="宋体"/>
          <w:color w:val="auto"/>
          <w:szCs w:val="21"/>
          <w:highlight w:val="none"/>
          <w:lang w:val="en"/>
        </w:rPr>
        <w:t>a)</w:t>
      </w:r>
      <w:r>
        <w:rPr>
          <w:rFonts w:hint="eastAsia" w:ascii="宋体" w:hAnsi="宋体"/>
          <w:color w:val="auto"/>
          <w:szCs w:val="21"/>
          <w:highlight w:val="none"/>
        </w:rPr>
        <w:t xml:space="preserve"> 报价符合性审查：评标委员会审查投标报价是否符合招标文件关于报价的格式、币种、范围（如报价是否完全响应并覆盖招标文件“采购需求”及“货物</w:t>
      </w:r>
      <w:r>
        <w:rPr>
          <w:rFonts w:ascii="宋体" w:hAnsi="宋体"/>
          <w:color w:val="auto"/>
          <w:szCs w:val="21"/>
          <w:highlight w:val="none"/>
          <w:lang w:val="en"/>
        </w:rPr>
        <w:t>/</w:t>
      </w:r>
      <w:r>
        <w:rPr>
          <w:rFonts w:hint="eastAsia" w:ascii="宋体" w:hAnsi="宋体"/>
          <w:color w:val="auto"/>
          <w:szCs w:val="21"/>
          <w:highlight w:val="none"/>
        </w:rPr>
        <w:t>服务</w:t>
      </w:r>
      <w:r>
        <w:rPr>
          <w:rFonts w:ascii="宋体" w:hAnsi="宋体"/>
          <w:color w:val="auto"/>
          <w:szCs w:val="21"/>
          <w:highlight w:val="none"/>
          <w:lang w:val="en"/>
        </w:rPr>
        <w:t>”</w:t>
      </w:r>
      <w:r>
        <w:rPr>
          <w:rFonts w:hint="eastAsia" w:ascii="宋体" w:hAnsi="宋体"/>
          <w:color w:val="auto"/>
          <w:szCs w:val="21"/>
          <w:highlight w:val="none"/>
        </w:rPr>
        <w:t>清单中所列全部内容、是否超采购预算或最高限价）等基础要求。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r>
        <w:rPr>
          <w:rFonts w:ascii="宋体" w:hAnsi="宋体"/>
          <w:color w:val="auto"/>
          <w:szCs w:val="21"/>
          <w:highlight w:val="none"/>
          <w:lang w:val="en"/>
        </w:rPr>
        <w:t>b)</w:t>
      </w:r>
      <w:r>
        <w:rPr>
          <w:rFonts w:hint="eastAsia" w:ascii="宋体" w:hAnsi="宋体"/>
          <w:color w:val="auto"/>
          <w:szCs w:val="21"/>
          <w:highlight w:val="none"/>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１）报价低于全部通过符合性审查投标人投标报价平均值50%的；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２）报价低于通过符合性审查的次低报价投标人投标报价50%的；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３）报价低于采购项目最高限价45%的；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４）评标委员会基于专业判断，认为投标人报价过低，有可能影响产品质量或者不能诚信履约的其他情形。</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通过电子询标方式，要求相关投标人在规定时间内提供有关书面说明及必要的证明材料。投标人不能提供书面说明、证明材料，或者提供的提供书面说明、证明材料不能证明其报价合理性的，评标委员会应将其作为无效投标处理。</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r>
        <w:rPr>
          <w:rFonts w:ascii="宋体" w:hAnsi="宋体"/>
          <w:color w:val="auto"/>
          <w:szCs w:val="21"/>
          <w:highlight w:val="none"/>
          <w:lang w:val="en"/>
        </w:rPr>
        <w:t>c)</w:t>
      </w:r>
      <w:r>
        <w:rPr>
          <w:rFonts w:hint="eastAsia" w:ascii="宋体" w:hAnsi="宋体"/>
          <w:color w:val="auto"/>
          <w:szCs w:val="21"/>
          <w:highlight w:val="none"/>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（5）评分汇总与推荐：评标委员会在评审系统内完成评审后，系统将自动计算、汇总得分并生成排序结果。评标委员会据此集体审议推荐中标候选人，并对《评标报告》予以确认。</w:t>
      </w:r>
    </w:p>
    <w:p>
      <w:pPr>
        <w:pStyle w:val="31"/>
        <w:snapToGrid w:val="0"/>
        <w:spacing w:line="360" w:lineRule="exact"/>
        <w:ind w:left="689" w:leftChars="228" w:hanging="210" w:hangingChars="100"/>
        <w:outlineLvl w:val="0"/>
        <w:rPr>
          <w:rFonts w:hint="eastAsia" w:hAnsi="宋体"/>
          <w:b/>
          <w:color w:val="auto"/>
          <w:highlight w:val="none"/>
        </w:rPr>
      </w:pPr>
      <w:r>
        <w:rPr>
          <w:rFonts w:hint="eastAsia" w:hAnsi="宋体"/>
          <w:color w:val="auto"/>
          <w:highlight w:val="none"/>
        </w:rPr>
        <w:t>（四）</w:t>
      </w:r>
      <w:r>
        <w:rPr>
          <w:rFonts w:hint="eastAsia" w:hAnsi="宋体"/>
          <w:b/>
          <w:color w:val="auto"/>
          <w:highlight w:val="none"/>
        </w:rPr>
        <w:t>错误修正</w:t>
      </w:r>
    </w:p>
    <w:p>
      <w:pPr>
        <w:pStyle w:val="31"/>
        <w:snapToGrid w:val="0"/>
        <w:spacing w:line="360" w:lineRule="exact"/>
        <w:ind w:left="689" w:leftChars="228" w:hanging="210" w:hangingChars="100"/>
        <w:rPr>
          <w:rFonts w:hint="eastAsia" w:hAnsi="宋体"/>
          <w:color w:val="auto"/>
          <w:highlight w:val="none"/>
        </w:rPr>
      </w:pPr>
      <w:r>
        <w:rPr>
          <w:rFonts w:hint="eastAsia" w:hAnsi="宋体"/>
          <w:color w:val="auto"/>
          <w:highlight w:val="none"/>
        </w:rPr>
        <w:t>投标文件如果出现计算或表达上的错误，修正错误的原则如下：</w:t>
      </w:r>
    </w:p>
    <w:p>
      <w:pPr>
        <w:pStyle w:val="31"/>
        <w:snapToGrid w:val="0"/>
        <w:spacing w:line="360" w:lineRule="exact"/>
        <w:ind w:firstLine="420" w:firstLineChars="200"/>
        <w:rPr>
          <w:color w:val="auto"/>
          <w:highlight w:val="none"/>
        </w:rPr>
      </w:pPr>
      <w:r>
        <w:rPr>
          <w:rFonts w:hint="eastAsia"/>
          <w:color w:val="auto"/>
          <w:highlight w:val="none"/>
        </w:rPr>
        <w:t>1.投标文件中开标一览表（报价表）内容与投标文件中相应内容不一致的，以开标一览表（报价表）为准；</w:t>
      </w:r>
    </w:p>
    <w:p>
      <w:pPr>
        <w:pStyle w:val="31"/>
        <w:snapToGrid w:val="0"/>
        <w:spacing w:line="360" w:lineRule="exact"/>
        <w:ind w:firstLine="420" w:firstLineChars="200"/>
        <w:rPr>
          <w:color w:val="auto"/>
          <w:highlight w:val="none"/>
        </w:rPr>
      </w:pPr>
      <w:r>
        <w:rPr>
          <w:rFonts w:hint="eastAsia"/>
          <w:color w:val="auto"/>
          <w:highlight w:val="none"/>
        </w:rPr>
        <w:t>2.大写金额和小写金额不一致的，以大写金额为准；</w:t>
      </w:r>
    </w:p>
    <w:p>
      <w:pPr>
        <w:pStyle w:val="31"/>
        <w:snapToGrid w:val="0"/>
        <w:spacing w:line="360" w:lineRule="exact"/>
        <w:ind w:firstLine="420" w:firstLineChars="200"/>
        <w:rPr>
          <w:color w:val="auto"/>
          <w:highlight w:val="none"/>
        </w:rPr>
      </w:pPr>
      <w:r>
        <w:rPr>
          <w:rFonts w:hint="eastAsia"/>
          <w:color w:val="auto"/>
          <w:highlight w:val="none"/>
        </w:rPr>
        <w:t>3.单价金额小数点或者百分比有明显错位的，以开标一览表的总价为准，并修改单价；</w:t>
      </w:r>
    </w:p>
    <w:p>
      <w:pPr>
        <w:pStyle w:val="31"/>
        <w:snapToGrid w:val="0"/>
        <w:spacing w:line="360" w:lineRule="exact"/>
        <w:ind w:firstLine="420" w:firstLineChars="200"/>
        <w:rPr>
          <w:color w:val="auto"/>
          <w:highlight w:val="none"/>
        </w:rPr>
      </w:pPr>
      <w:r>
        <w:rPr>
          <w:rFonts w:hint="eastAsia"/>
          <w:color w:val="auto"/>
          <w:highlight w:val="none"/>
        </w:rPr>
        <w:t>4.总价金额与按单价汇总金额不一致的，以单价金额计算结果为准。</w:t>
      </w:r>
    </w:p>
    <w:p>
      <w:pPr>
        <w:pStyle w:val="31"/>
        <w:snapToGrid w:val="0"/>
        <w:spacing w:line="360" w:lineRule="exact"/>
        <w:ind w:firstLine="420" w:firstLineChars="200"/>
        <w:rPr>
          <w:color w:val="auto"/>
          <w:highlight w:val="none"/>
        </w:rPr>
      </w:pPr>
      <w:r>
        <w:rPr>
          <w:rFonts w:hint="eastAsia"/>
          <w:color w:val="auto"/>
          <w:highlight w:val="none"/>
        </w:rPr>
        <w:t>5.对不同文字文本投标文件的解释发生异议的，以中文文本为准。</w:t>
      </w:r>
    </w:p>
    <w:p>
      <w:pPr>
        <w:pStyle w:val="31"/>
        <w:snapToGrid w:val="0"/>
        <w:spacing w:line="360" w:lineRule="exact"/>
        <w:ind w:firstLine="420" w:firstLineChars="200"/>
        <w:rPr>
          <w:rFonts w:hint="eastAsia" w:hAnsi="宋体"/>
          <w:color w:val="auto"/>
          <w:highlight w:val="none"/>
        </w:rPr>
      </w:pPr>
      <w:r>
        <w:rPr>
          <w:rFonts w:hint="eastAsia"/>
          <w:color w:val="auto"/>
          <w:highlight w:val="none"/>
        </w:rPr>
        <w:t>同时出现两种以上不一致的，按照前款规定的顺序修正。</w:t>
      </w:r>
    </w:p>
    <w:p>
      <w:pPr>
        <w:pStyle w:val="31"/>
        <w:snapToGrid w:val="0"/>
        <w:spacing w:line="360" w:lineRule="exact"/>
        <w:ind w:firstLine="421" w:firstLineChars="200"/>
        <w:rPr>
          <w:rFonts w:hint="eastAsia" w:hAnsi="宋体"/>
          <w:b/>
          <w:bCs/>
          <w:color w:val="auto"/>
          <w:highlight w:val="none"/>
        </w:rPr>
      </w:pPr>
      <w:r>
        <w:rPr>
          <w:rFonts w:hint="eastAsia" w:hAnsi="宋体"/>
          <w:b/>
          <w:bCs/>
          <w:color w:val="auto"/>
          <w:highlight w:val="none"/>
        </w:rPr>
        <w:t>按上述修正错误的原则及方法调整或修正投标文件的投标报价，投标人同意并</w:t>
      </w:r>
      <w:r>
        <w:rPr>
          <w:rFonts w:hAnsi="宋体"/>
          <w:b/>
          <w:bCs/>
          <w:color w:val="auto"/>
          <w:highlight w:val="none"/>
          <w:lang w:val="en"/>
        </w:rPr>
        <w:t>签字或签章</w:t>
      </w:r>
      <w:r>
        <w:rPr>
          <w:rFonts w:hint="eastAsia" w:hAnsi="宋体"/>
          <w:b/>
          <w:bCs/>
          <w:color w:val="auto"/>
          <w:highlight w:val="none"/>
        </w:rPr>
        <w:t>确认后，调整后的投标报价对投标人具有约束作用。如果投标人不接受修正后的报价，则其投标将作为无效投标处理。</w:t>
      </w:r>
    </w:p>
    <w:p>
      <w:pPr>
        <w:pStyle w:val="31"/>
        <w:tabs>
          <w:tab w:val="left" w:pos="630"/>
        </w:tabs>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（五）</w:t>
      </w:r>
      <w:r>
        <w:rPr>
          <w:rFonts w:hint="eastAsia" w:hAnsi="宋体"/>
          <w:b/>
          <w:color w:val="auto"/>
          <w:highlight w:val="none"/>
        </w:rPr>
        <w:t>评标原则和评标方法</w:t>
      </w:r>
    </w:p>
    <w:p>
      <w:pPr>
        <w:pStyle w:val="31"/>
        <w:snapToGrid w:val="0"/>
        <w:spacing w:line="440" w:lineRule="exact"/>
        <w:ind w:firstLine="420" w:firstLineChars="200"/>
        <w:rPr>
          <w:rFonts w:hint="eastAsia"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1"/>
        <w:snapToGrid w:val="0"/>
        <w:spacing w:line="440" w:lineRule="exact"/>
        <w:ind w:firstLine="420" w:firstLineChars="200"/>
        <w:rPr>
          <w:rFonts w:hint="eastAsia" w:hAnsi="宋体"/>
          <w:color w:val="auto"/>
          <w:highlight w:val="none"/>
        </w:rPr>
      </w:pPr>
      <w:r>
        <w:rPr>
          <w:rFonts w:hint="eastAsia" w:hAnsi="宋体"/>
          <w:color w:val="auto"/>
          <w:highlight w:val="none"/>
        </w:rPr>
        <w:t>2.评标方法。本项目评标方法是</w:t>
      </w:r>
      <w:r>
        <w:rPr>
          <w:rFonts w:hint="eastAsia" w:hAnsi="宋体"/>
          <w:b/>
          <w:color w:val="auto"/>
          <w:highlight w:val="none"/>
          <w:u w:val="single"/>
        </w:rPr>
        <w:t>综合评分法</w:t>
      </w:r>
      <w:r>
        <w:rPr>
          <w:rFonts w:hint="eastAsia" w:hAnsi="宋体"/>
          <w:color w:val="auto"/>
          <w:highlight w:val="none"/>
        </w:rPr>
        <w:t>，具体评标内容及评分标准等详见第四章：</w:t>
      </w:r>
      <w:r>
        <w:rPr>
          <w:rFonts w:hint="eastAsia" w:hAnsi="宋体"/>
          <w:color w:val="auto"/>
          <w:highlight w:val="none"/>
          <w:lang w:val="en"/>
        </w:rPr>
        <w:t>评标方法</w:t>
      </w:r>
      <w:r>
        <w:rPr>
          <w:rFonts w:hAnsi="宋体"/>
          <w:color w:val="auto"/>
          <w:highlight w:val="none"/>
          <w:lang w:val="en"/>
        </w:rPr>
        <w:t>及评分标准</w:t>
      </w:r>
      <w:r>
        <w:rPr>
          <w:rFonts w:hint="eastAsia" w:hAnsi="宋体"/>
          <w:color w:val="auto"/>
          <w:highlight w:val="none"/>
        </w:rPr>
        <w:t>。</w:t>
      </w:r>
    </w:p>
    <w:p>
      <w:pPr>
        <w:pStyle w:val="31"/>
        <w:snapToGrid w:val="0"/>
        <w:spacing w:line="440" w:lineRule="exact"/>
        <w:ind w:firstLine="413" w:firstLineChars="196"/>
        <w:outlineLvl w:val="0"/>
        <w:rPr>
          <w:rFonts w:hint="eastAsia" w:hAnsi="宋体"/>
          <w:b/>
          <w:color w:val="auto"/>
          <w:highlight w:val="none"/>
        </w:rPr>
      </w:pPr>
      <w:r>
        <w:rPr>
          <w:rFonts w:hint="eastAsia" w:hAnsi="宋体"/>
          <w:b/>
          <w:color w:val="auto"/>
          <w:highlight w:val="none"/>
        </w:rPr>
        <w:t>（六）</w:t>
      </w:r>
      <w:r>
        <w:rPr>
          <w:rFonts w:hint="eastAsia" w:hAnsi="宋体"/>
          <w:b/>
          <w:color w:val="auto"/>
          <w:highlight w:val="none"/>
        </w:rPr>
        <w:t>评标过程的监控</w:t>
      </w:r>
    </w:p>
    <w:p>
      <w:pPr>
        <w:pStyle w:val="31"/>
        <w:snapToGrid w:val="0"/>
        <w:spacing w:line="440" w:lineRule="exact"/>
        <w:ind w:firstLine="420" w:firstLineChars="200"/>
        <w:rPr>
          <w:rFonts w:hint="eastAsia"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本项目评标过程实行全程录音、录像监控，投标人在评标过程中所进行的试图影响评标结果的不公正活动，可能导致其投标被拒绝。</w:t>
      </w:r>
    </w:p>
    <w:p>
      <w:pPr>
        <w:pStyle w:val="31"/>
        <w:snapToGrid w:val="0"/>
        <w:spacing w:line="440" w:lineRule="exact"/>
        <w:ind w:firstLine="413" w:firstLineChars="196"/>
        <w:outlineLvl w:val="1"/>
        <w:rPr>
          <w:rFonts w:hint="eastAsia" w:hAnsi="宋体"/>
          <w:b/>
          <w:color w:val="auto"/>
          <w:highlight w:val="none"/>
        </w:rPr>
      </w:pPr>
      <w:r>
        <w:rPr>
          <w:rFonts w:hint="eastAsia" w:hAnsi="宋体"/>
          <w:b/>
          <w:color w:val="auto"/>
          <w:highlight w:val="none"/>
        </w:rPr>
        <w:t>七、评标结果</w:t>
      </w:r>
    </w:p>
    <w:p>
      <w:pPr>
        <w:pStyle w:val="31"/>
        <w:spacing w:line="440" w:lineRule="exact"/>
        <w:ind w:firstLine="420"/>
        <w:rPr>
          <w:rFonts w:hint="eastAsia" w:hAnsi="宋体"/>
          <w:color w:val="auto"/>
          <w:highlight w:val="none"/>
        </w:rPr>
      </w:pPr>
      <w:r>
        <w:rPr>
          <w:rFonts w:hint="eastAsia" w:hAnsi="宋体"/>
          <w:b/>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本中心将在评标结束后2个工作日内将评标报告送采购人，采购人在5个工作日内按照评标报告中推荐的中标候选供应商顺序确定中标供应商。</w:t>
      </w:r>
    </w:p>
    <w:p>
      <w:pPr>
        <w:pStyle w:val="31"/>
        <w:spacing w:line="440" w:lineRule="exact"/>
        <w:ind w:firstLine="420"/>
        <w:rPr>
          <w:rFonts w:hint="eastAsia" w:hAnsi="宋体"/>
          <w:color w:val="auto"/>
          <w:highlight w:val="none"/>
        </w:rPr>
      </w:pPr>
      <w:r>
        <w:rPr>
          <w:rFonts w:hint="eastAsia" w:hAnsi="宋体"/>
          <w:color w:val="auto"/>
          <w:highlight w:val="none"/>
        </w:rPr>
        <w:t>（二）中标供应商确定后，本中心在中国政府采购网、广西财政网、</w:t>
      </w:r>
      <w:r>
        <w:rPr>
          <w:rFonts w:hint="eastAsia"/>
          <w:color w:val="auto"/>
          <w:highlight w:val="none"/>
        </w:rPr>
        <w:t>广西壮族自治区政府采购中心网站</w:t>
      </w:r>
      <w:r>
        <w:rPr>
          <w:rFonts w:hint="eastAsia" w:hAnsi="宋体"/>
          <w:color w:val="auto"/>
          <w:highlight w:val="none"/>
        </w:rPr>
        <w:t>发布中标结果公告。</w:t>
      </w:r>
    </w:p>
    <w:p>
      <w:pPr>
        <w:pStyle w:val="31"/>
        <w:spacing w:line="440" w:lineRule="exact"/>
        <w:ind w:firstLine="420"/>
        <w:rPr>
          <w:rFonts w:hint="eastAsia" w:hAnsi="宋体"/>
          <w:color w:val="auto"/>
          <w:highlight w:val="none"/>
        </w:rPr>
      </w:pPr>
      <w:r>
        <w:rPr>
          <w:rFonts w:hint="eastAsia" w:hAnsi="宋体"/>
          <w:color w:val="auto"/>
          <w:highlight w:val="none"/>
        </w:rPr>
        <w:t>（三）</w:t>
      </w:r>
      <w:r>
        <w:rPr>
          <w:rFonts w:hint="eastAsia"/>
          <w:color w:val="auto"/>
          <w:highlight w:val="none"/>
        </w:rPr>
        <w:t>在发布中标结果公告的同时，本中心向中标供应商发出中标通知书。</w:t>
      </w:r>
    </w:p>
    <w:p>
      <w:pPr>
        <w:pStyle w:val="31"/>
        <w:spacing w:line="440" w:lineRule="exact"/>
        <w:ind w:firstLine="420" w:firstLineChars="200"/>
        <w:rPr>
          <w:rFonts w:hint="eastAsia" w:hAnsi="宋体"/>
          <w:bCs/>
          <w:color w:val="auto"/>
          <w:highlight w:val="none"/>
        </w:rPr>
      </w:pPr>
      <w:r>
        <w:rPr>
          <w:rFonts w:hint="eastAsia" w:hAnsi="宋体"/>
          <w:color w:val="auto"/>
          <w:highlight w:val="none"/>
        </w:rPr>
        <w:t>（四）</w:t>
      </w:r>
      <w:r>
        <w:rPr>
          <w:rFonts w:hint="eastAsia" w:hAnsi="宋体"/>
          <w:bCs/>
          <w:color w:val="auto"/>
          <w:highlight w:val="none"/>
        </w:rPr>
        <w:t>投标人认为招标文件、招标过程和中标结果使自己的权益受到损害的，可以在知道或者应知其权益受到损害之日起七个工作日内，以书面形式向本中心提出质疑，并及时索要书面回执。</w:t>
      </w:r>
    </w:p>
    <w:p>
      <w:pPr>
        <w:pStyle w:val="31"/>
        <w:spacing w:line="440" w:lineRule="exact"/>
        <w:ind w:firstLine="420"/>
        <w:rPr>
          <w:rFonts w:hint="eastAsia" w:hAnsi="宋体"/>
          <w:color w:val="auto"/>
          <w:highlight w:val="none"/>
        </w:rPr>
      </w:pPr>
      <w:r>
        <w:rPr>
          <w:rFonts w:hint="eastAsia" w:hAnsi="宋体"/>
          <w:color w:val="auto"/>
          <w:highlight w:val="none"/>
        </w:rPr>
        <w:t>（五）</w:t>
      </w:r>
      <w:r>
        <w:rPr>
          <w:rFonts w:hint="eastAsia" w:hAnsi="宋体"/>
          <w:bCs/>
          <w:color w:val="auto"/>
          <w:highlight w:val="none"/>
        </w:rPr>
        <w:t>本中心应当按照有关规定就采购人委托授权范围内的事项在收到投标人的书面质疑后七个工作日内做出答复，但答复的内容不得涉及商业秘密。</w:t>
      </w:r>
    </w:p>
    <w:p>
      <w:pPr>
        <w:pStyle w:val="31"/>
        <w:snapToGrid w:val="0"/>
        <w:spacing w:line="440" w:lineRule="exact"/>
        <w:ind w:firstLine="413" w:firstLineChars="196"/>
        <w:outlineLvl w:val="1"/>
        <w:rPr>
          <w:rFonts w:hint="eastAsia" w:hAnsi="宋体"/>
          <w:b/>
          <w:color w:val="auto"/>
          <w:highlight w:val="none"/>
        </w:rPr>
      </w:pPr>
      <w:r>
        <w:rPr>
          <w:rFonts w:hint="eastAsia" w:hAnsi="宋体"/>
          <w:b/>
          <w:color w:val="auto"/>
          <w:highlight w:val="none"/>
        </w:rPr>
        <w:t>八、签订合同</w:t>
      </w:r>
    </w:p>
    <w:p>
      <w:pPr>
        <w:pStyle w:val="31"/>
        <w:snapToGrid w:val="0"/>
        <w:spacing w:line="440" w:lineRule="exact"/>
        <w:ind w:firstLine="413" w:firstLineChars="196"/>
        <w:outlineLvl w:val="1"/>
        <w:rPr>
          <w:rFonts w:hint="eastAsia" w:hAnsi="宋体"/>
          <w:b/>
          <w:color w:val="auto"/>
          <w:highlight w:val="none"/>
        </w:rPr>
      </w:pPr>
      <w:r>
        <w:rPr>
          <w:rFonts w:hint="eastAsia" w:hAnsi="宋体"/>
          <w:b/>
          <w:color w:val="auto"/>
          <w:highlight w:val="none"/>
        </w:rPr>
        <w:t>（一）合同授予标准</w:t>
      </w:r>
    </w:p>
    <w:p>
      <w:pPr>
        <w:pStyle w:val="31"/>
        <w:spacing w:line="440" w:lineRule="exact"/>
        <w:ind w:firstLine="420"/>
        <w:rPr>
          <w:rFonts w:hint="eastAsia" w:hAnsi="宋体"/>
          <w:color w:val="auto"/>
          <w:highlight w:val="none"/>
        </w:rPr>
      </w:pPr>
      <w:r>
        <w:rPr>
          <w:rFonts w:hint="eastAsia" w:hAnsi="宋体"/>
          <w:color w:val="auto"/>
          <w:highlight w:val="none"/>
        </w:rPr>
        <w:t>合同将授予被确定投标文件满足招标文件全部实质性要求，具备履行合同能力，评审得分最高，综合评分排名第一的供应商。</w:t>
      </w:r>
    </w:p>
    <w:p>
      <w:pPr>
        <w:pStyle w:val="31"/>
        <w:snapToGrid w:val="0"/>
        <w:spacing w:line="440" w:lineRule="exact"/>
        <w:ind w:firstLine="413" w:firstLineChars="196"/>
        <w:outlineLvl w:val="1"/>
        <w:rPr>
          <w:rFonts w:hint="eastAsia" w:hAnsi="宋体"/>
          <w:color w:val="auto"/>
          <w:highlight w:val="none"/>
        </w:rPr>
      </w:pPr>
      <w:r>
        <w:rPr>
          <w:rFonts w:hint="eastAsia" w:hAnsi="宋体"/>
          <w:b/>
          <w:color w:val="auto"/>
          <w:highlight w:val="none"/>
        </w:rPr>
        <w:t>（二）签订合同</w:t>
      </w:r>
    </w:p>
    <w:p>
      <w:pPr>
        <w:pStyle w:val="31"/>
        <w:spacing w:line="440" w:lineRule="exact"/>
        <w:ind w:firstLine="420"/>
        <w:rPr>
          <w:rFonts w:hint="eastAsia" w:hAnsi="宋体"/>
          <w:color w:val="auto"/>
          <w:highlight w:val="none"/>
        </w:rPr>
      </w:pPr>
      <w:r>
        <w:rPr>
          <w:rFonts w:hint="eastAsia" w:hAnsi="宋体"/>
          <w:color w:val="auto"/>
          <w:highlight w:val="none"/>
        </w:rPr>
        <w:t>（1）</w:t>
      </w:r>
      <w:r>
        <w:rPr>
          <w:rFonts w:hint="eastAsia"/>
          <w:color w:val="auto"/>
          <w:highlight w:val="none"/>
        </w:rPr>
        <w:t>投标人接到中标通知书后，应按中标通知书规定的时间、地点与采购人签订合同。中标人无正当理由不得放弃中标。</w:t>
      </w:r>
    </w:p>
    <w:p>
      <w:pPr>
        <w:pStyle w:val="31"/>
        <w:spacing w:line="440" w:lineRule="exact"/>
        <w:ind w:firstLine="420"/>
        <w:rPr>
          <w:rFonts w:hint="eastAsia" w:hAnsi="宋体"/>
          <w:color w:val="auto"/>
          <w:highlight w:val="none"/>
        </w:rPr>
      </w:pPr>
      <w:r>
        <w:rPr>
          <w:rFonts w:hint="eastAsia" w:hAnsi="宋体"/>
          <w:color w:val="auto"/>
          <w:highlight w:val="none"/>
        </w:rPr>
        <w:t>（2）如中标供应商不按中标通知书的规定签订合同，则按中标供应商违约处理，本中心将没收中标供应商投标的全部投标保证金。</w:t>
      </w:r>
    </w:p>
    <w:p>
      <w:pPr>
        <w:pStyle w:val="31"/>
        <w:spacing w:line="440" w:lineRule="exact"/>
        <w:ind w:firstLine="420" w:firstLineChars="200"/>
        <w:rPr>
          <w:b/>
          <w:color w:val="auto"/>
          <w:highlight w:val="none"/>
        </w:rPr>
      </w:pPr>
      <w:r>
        <w:rPr>
          <w:rFonts w:hint="eastAsia" w:hAnsi="宋体"/>
          <w:color w:val="auto"/>
          <w:highlight w:val="none"/>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rPr>
        <w:t>中标供应商放弃中标项目，拒绝与采购人签订合同的，其投标保证金</w:t>
      </w:r>
      <w:r>
        <w:rPr>
          <w:rFonts w:hint="eastAsia"/>
          <w:color w:val="auto"/>
          <w:highlight w:val="none"/>
        </w:rPr>
        <w:t>将不予退还，</w:t>
      </w:r>
      <w:r>
        <w:rPr>
          <w:color w:val="auto"/>
          <w:highlight w:val="none"/>
        </w:rPr>
        <w:t>并上缴国库，</w:t>
      </w:r>
      <w:r>
        <w:rPr>
          <w:rFonts w:hint="eastAsia"/>
          <w:color w:val="auto"/>
          <w:highlight w:val="none"/>
        </w:rPr>
        <w:t>给</w:t>
      </w:r>
      <w:r>
        <w:rPr>
          <w:color w:val="auto"/>
          <w:highlight w:val="none"/>
        </w:rPr>
        <w:t>采购人造成损失的，还应当赔偿损失，并作为不良行为记录在案</w:t>
      </w:r>
      <w:r>
        <w:rPr>
          <w:rFonts w:hint="eastAsia" w:hAnsi="宋体"/>
          <w:color w:val="auto"/>
          <w:highlight w:val="none"/>
        </w:rPr>
        <w:t>。</w:t>
      </w:r>
    </w:p>
    <w:p>
      <w:pPr>
        <w:pStyle w:val="31"/>
        <w:spacing w:line="440" w:lineRule="exact"/>
        <w:ind w:firstLine="413" w:firstLineChars="196"/>
        <w:rPr>
          <w:b/>
          <w:color w:val="auto"/>
          <w:highlight w:val="none"/>
        </w:rPr>
      </w:pPr>
      <w:r>
        <w:rPr>
          <w:rFonts w:hint="eastAsia" w:hAnsi="宋体"/>
          <w:b/>
          <w:color w:val="auto"/>
          <w:highlight w:val="none"/>
        </w:rPr>
        <w:t>九、其他事项</w:t>
      </w:r>
    </w:p>
    <w:p>
      <w:pPr>
        <w:pStyle w:val="31"/>
        <w:spacing w:line="440" w:lineRule="exact"/>
        <w:ind w:firstLine="206" w:firstLineChars="98"/>
        <w:rPr>
          <w:b/>
          <w:color w:val="auto"/>
          <w:highlight w:val="none"/>
        </w:rPr>
      </w:pPr>
      <w:r>
        <w:rPr>
          <w:rFonts w:hint="eastAsia"/>
          <w:b/>
          <w:color w:val="auto"/>
          <w:highlight w:val="none"/>
        </w:rPr>
        <w:t>（1）解释权：</w:t>
      </w:r>
      <w:r>
        <w:rPr>
          <w:rFonts w:hint="eastAsia"/>
          <w:color w:val="auto"/>
          <w:spacing w:val="-4"/>
          <w:highlight w:val="none"/>
        </w:rPr>
        <w:t>本招标文件解释权属本中心。</w:t>
      </w:r>
    </w:p>
    <w:p>
      <w:pPr>
        <w:pStyle w:val="31"/>
        <w:spacing w:line="440" w:lineRule="exact"/>
        <w:ind w:firstLine="206" w:firstLineChars="98"/>
        <w:rPr>
          <w:color w:val="auto"/>
          <w:highlight w:val="none"/>
        </w:rPr>
      </w:pPr>
      <w:r>
        <w:rPr>
          <w:rFonts w:hint="eastAsia"/>
          <w:b/>
          <w:color w:val="auto"/>
          <w:highlight w:val="none"/>
        </w:rPr>
        <w:t>（2）有关事宜</w:t>
      </w:r>
    </w:p>
    <w:p>
      <w:pPr>
        <w:pStyle w:val="31"/>
        <w:spacing w:line="440" w:lineRule="exact"/>
        <w:ind w:firstLine="728" w:firstLineChars="347"/>
        <w:rPr>
          <w:color w:val="auto"/>
          <w:highlight w:val="none"/>
        </w:rPr>
      </w:pPr>
      <w:bookmarkStart w:id="9" w:name="_Toc254970548"/>
      <w:bookmarkStart w:id="10" w:name="_Toc254970689"/>
      <w:r>
        <w:rPr>
          <w:rFonts w:hint="eastAsia"/>
          <w:color w:val="auto"/>
          <w:highlight w:val="none"/>
        </w:rPr>
        <w:t>所有与本招标文件有关的函件请按下列通讯地址联系：</w:t>
      </w:r>
    </w:p>
    <w:p>
      <w:pPr>
        <w:pStyle w:val="31"/>
        <w:tabs>
          <w:tab w:val="left" w:pos="1990"/>
        </w:tabs>
        <w:spacing w:line="440" w:lineRule="exact"/>
        <w:ind w:firstLine="709"/>
        <w:rPr>
          <w:color w:val="auto"/>
          <w:highlight w:val="none"/>
          <w:u w:val="single"/>
        </w:rPr>
      </w:pPr>
      <w:r>
        <w:rPr>
          <w:rFonts w:hint="eastAsia"/>
          <w:color w:val="auto"/>
          <w:highlight w:val="none"/>
        </w:rPr>
        <w:t>邮政编码：530022</w:t>
      </w:r>
    </w:p>
    <w:p>
      <w:pPr>
        <w:pStyle w:val="31"/>
        <w:tabs>
          <w:tab w:val="left" w:pos="1990"/>
        </w:tabs>
        <w:spacing w:line="440" w:lineRule="exact"/>
        <w:ind w:firstLine="709"/>
        <w:rPr>
          <w:color w:val="auto"/>
          <w:spacing w:val="-4"/>
          <w:highlight w:val="none"/>
          <w:lang w:val="en"/>
        </w:rPr>
      </w:pPr>
      <w:r>
        <w:rPr>
          <w:rFonts w:hint="eastAsia"/>
          <w:color w:val="auto"/>
          <w:highlight w:val="none"/>
        </w:rPr>
        <w:t xml:space="preserve">通讯地址：广西南宁市星湖路22号 </w:t>
      </w:r>
    </w:p>
    <w:p>
      <w:pPr>
        <w:pStyle w:val="31"/>
        <w:spacing w:line="440" w:lineRule="exact"/>
        <w:ind w:firstLine="710" w:firstLineChars="337"/>
        <w:rPr>
          <w:b/>
          <w:bCs/>
          <w:color w:val="auto"/>
          <w:highlight w:val="none"/>
        </w:rPr>
      </w:pPr>
      <w:r>
        <w:rPr>
          <w:rFonts w:hint="eastAsia"/>
          <w:b/>
          <w:bCs/>
          <w:color w:val="auto"/>
          <w:highlight w:val="none"/>
        </w:rPr>
        <w:t xml:space="preserve">电    话：0771-8600343 </w:t>
      </w:r>
    </w:p>
    <w:p>
      <w:pPr>
        <w:pStyle w:val="31"/>
        <w:spacing w:line="360" w:lineRule="exact"/>
        <w:ind w:firstLine="824"/>
        <w:rPr>
          <w:color w:val="auto"/>
          <w:highlight w:val="none"/>
        </w:rPr>
      </w:pPr>
    </w:p>
    <w:p>
      <w:pPr>
        <w:pStyle w:val="31"/>
        <w:snapToGrid w:val="0"/>
        <w:spacing w:before="120" w:after="120"/>
        <w:jc w:val="center"/>
        <w:outlineLvl w:val="0"/>
        <w:rPr>
          <w:rFonts w:ascii="黑体" w:eastAsia="黑体"/>
          <w:b/>
          <w:color w:val="auto"/>
          <w:sz w:val="44"/>
          <w:szCs w:val="44"/>
          <w:highlight w:val="none"/>
        </w:rPr>
      </w:pPr>
      <w:r>
        <w:rPr>
          <w:rFonts w:hint="eastAsia" w:ascii="黑体" w:eastAsia="黑体"/>
          <w:b/>
          <w:color w:val="auto"/>
          <w:sz w:val="44"/>
          <w:szCs w:val="44"/>
          <w:highlight w:val="none"/>
        </w:rPr>
        <w:br w:type="page"/>
      </w:r>
    </w:p>
    <w:p>
      <w:pPr>
        <w:pStyle w:val="31"/>
        <w:snapToGrid w:val="0"/>
        <w:spacing w:before="120" w:after="120"/>
        <w:jc w:val="center"/>
        <w:outlineLvl w:val="0"/>
        <w:rPr>
          <w:rFonts w:ascii="黑体" w:eastAsia="黑体"/>
          <w:b/>
          <w:color w:val="auto"/>
          <w:sz w:val="32"/>
          <w:szCs w:val="32"/>
          <w:highlight w:val="none"/>
        </w:rPr>
      </w:pPr>
    </w:p>
    <w:p>
      <w:pPr>
        <w:pStyle w:val="31"/>
        <w:snapToGrid w:val="0"/>
        <w:spacing w:before="120" w:after="120"/>
        <w:jc w:val="center"/>
        <w:outlineLvl w:val="0"/>
        <w:rPr>
          <w:rFonts w:ascii="黑体" w:eastAsia="黑体"/>
          <w:b/>
          <w:color w:val="auto"/>
          <w:sz w:val="44"/>
          <w:szCs w:val="44"/>
          <w:highlight w:val="none"/>
        </w:rPr>
      </w:pPr>
    </w:p>
    <w:p>
      <w:pPr>
        <w:pStyle w:val="31"/>
        <w:snapToGrid w:val="0"/>
        <w:spacing w:before="120" w:after="120"/>
        <w:jc w:val="center"/>
        <w:outlineLvl w:val="0"/>
        <w:rPr>
          <w:rFonts w:ascii="黑体" w:eastAsia="黑体"/>
          <w:b/>
          <w:color w:val="auto"/>
          <w:sz w:val="44"/>
          <w:szCs w:val="44"/>
          <w:highlight w:val="none"/>
        </w:rPr>
      </w:pPr>
    </w:p>
    <w:p>
      <w:pPr>
        <w:pStyle w:val="31"/>
        <w:snapToGrid w:val="0"/>
        <w:spacing w:before="120" w:after="120"/>
        <w:jc w:val="center"/>
        <w:outlineLvl w:val="0"/>
        <w:rPr>
          <w:rFonts w:ascii="黑体" w:eastAsia="黑体"/>
          <w:b/>
          <w:color w:val="auto"/>
          <w:sz w:val="44"/>
          <w:szCs w:val="44"/>
          <w:highlight w:val="none"/>
        </w:rPr>
      </w:pPr>
    </w:p>
    <w:p>
      <w:pPr>
        <w:pStyle w:val="31"/>
        <w:snapToGrid w:val="0"/>
        <w:spacing w:before="120" w:after="120"/>
        <w:jc w:val="center"/>
        <w:outlineLvl w:val="0"/>
        <w:rPr>
          <w:rFonts w:ascii="黑体" w:eastAsia="黑体"/>
          <w:b/>
          <w:color w:val="auto"/>
          <w:sz w:val="44"/>
          <w:szCs w:val="44"/>
          <w:highlight w:val="none"/>
        </w:rPr>
      </w:pPr>
    </w:p>
    <w:p>
      <w:pPr>
        <w:pStyle w:val="31"/>
        <w:snapToGrid w:val="0"/>
        <w:spacing w:before="120" w:after="120"/>
        <w:jc w:val="center"/>
        <w:outlineLvl w:val="0"/>
        <w:rPr>
          <w:rFonts w:ascii="黑体" w:eastAsia="黑体"/>
          <w:b/>
          <w:color w:val="auto"/>
          <w:sz w:val="44"/>
          <w:szCs w:val="44"/>
          <w:highlight w:val="none"/>
        </w:rPr>
      </w:pPr>
    </w:p>
    <w:p>
      <w:pPr>
        <w:pStyle w:val="31"/>
        <w:snapToGrid w:val="0"/>
        <w:spacing w:before="120" w:after="120"/>
        <w:jc w:val="center"/>
        <w:outlineLvl w:val="0"/>
        <w:rPr>
          <w:rFonts w:ascii="黑体" w:eastAsia="黑体"/>
          <w:b/>
          <w:color w:val="auto"/>
          <w:sz w:val="44"/>
          <w:szCs w:val="44"/>
          <w:highlight w:val="none"/>
        </w:rPr>
      </w:pPr>
    </w:p>
    <w:p>
      <w:pPr>
        <w:pStyle w:val="6"/>
        <w:rPr>
          <w:color w:val="auto"/>
          <w:highlight w:val="none"/>
        </w:rPr>
      </w:pPr>
    </w:p>
    <w:bookmarkEnd w:id="9"/>
    <w:bookmarkEnd w:id="10"/>
    <w:p>
      <w:pPr>
        <w:pStyle w:val="31"/>
        <w:snapToGrid w:val="0"/>
        <w:spacing w:before="120" w:after="120"/>
        <w:jc w:val="center"/>
        <w:outlineLvl w:val="0"/>
        <w:rPr>
          <w:rFonts w:ascii="黑体" w:eastAsia="黑体"/>
          <w:b/>
          <w:color w:val="auto"/>
          <w:sz w:val="44"/>
          <w:szCs w:val="44"/>
          <w:highlight w:val="none"/>
        </w:rPr>
      </w:pPr>
      <w:r>
        <w:rPr>
          <w:rFonts w:hint="eastAsia" w:ascii="仿宋_GB2312" w:eastAsia="仿宋_GB2312"/>
          <w:b/>
          <w:color w:val="auto"/>
          <w:sz w:val="44"/>
          <w:szCs w:val="44"/>
          <w:highlight w:val="none"/>
        </w:rPr>
        <w:t>第四章  评标方法及评分标准</w:t>
      </w:r>
    </w:p>
    <w:p>
      <w:pPr>
        <w:spacing w:line="340" w:lineRule="exact"/>
        <w:ind w:firstLine="420" w:firstLineChars="200"/>
        <w:jc w:val="center"/>
        <w:rPr>
          <w:bCs/>
          <w:color w:val="auto"/>
          <w:highlight w:val="none"/>
        </w:rPr>
      </w:pPr>
      <w:r>
        <w:rPr>
          <w:bCs/>
          <w:color w:val="auto"/>
          <w:highlight w:val="none"/>
        </w:rPr>
        <w:br w:type="page"/>
      </w:r>
    </w:p>
    <w:p>
      <w:pPr>
        <w:spacing w:line="340" w:lineRule="exact"/>
        <w:ind w:firstLine="642" w:firstLineChars="200"/>
        <w:rPr>
          <w:rFonts w:hint="eastAsia" w:ascii="仿宋_GB2312" w:hAnsi="宋体" w:eastAsia="仿宋_GB2312"/>
          <w:b/>
          <w:color w:val="auto"/>
          <w:sz w:val="32"/>
          <w:szCs w:val="32"/>
          <w:highlight w:val="none"/>
          <w:lang w:val="en"/>
        </w:rPr>
      </w:pPr>
      <w:r>
        <w:rPr>
          <w:rFonts w:hint="eastAsia" w:ascii="仿宋_GB2312" w:hAnsi="宋体" w:eastAsia="仿宋_GB2312"/>
          <w:b/>
          <w:color w:val="auto"/>
          <w:sz w:val="32"/>
          <w:szCs w:val="32"/>
          <w:highlight w:val="none"/>
        </w:rPr>
        <w:t xml:space="preserve">              </w:t>
      </w:r>
      <w:r>
        <w:rPr>
          <w:rFonts w:hint="eastAsia" w:ascii="仿宋_GB2312" w:hAnsi="宋体" w:eastAsia="仿宋_GB2312"/>
          <w:b/>
          <w:color w:val="auto"/>
          <w:sz w:val="32"/>
          <w:szCs w:val="32"/>
          <w:highlight w:val="none"/>
          <w:lang w:val="en"/>
        </w:rPr>
        <w:t>评标方法</w:t>
      </w:r>
      <w:r>
        <w:rPr>
          <w:rFonts w:ascii="仿宋_GB2312" w:hAnsi="宋体" w:eastAsia="仿宋_GB2312"/>
          <w:b/>
          <w:color w:val="auto"/>
          <w:sz w:val="32"/>
          <w:szCs w:val="32"/>
          <w:highlight w:val="none"/>
          <w:lang w:val="en"/>
        </w:rPr>
        <w:t>及评分标准</w:t>
      </w:r>
    </w:p>
    <w:p>
      <w:pPr>
        <w:pStyle w:val="22"/>
        <w:pageBreakBefore w:val="0"/>
        <w:kinsoku/>
        <w:wordWrap/>
        <w:overflowPunct/>
        <w:topLinePunct w:val="0"/>
        <w:autoSpaceDE/>
        <w:autoSpaceDN/>
        <w:bidi w:val="0"/>
        <w:spacing w:line="320" w:lineRule="exact"/>
        <w:textAlignment w:val="auto"/>
        <w:rPr>
          <w:rFonts w:eastAsia="仿宋_GB2312"/>
          <w:color w:val="auto"/>
          <w:highlight w:val="none"/>
        </w:rPr>
      </w:pPr>
      <w:r>
        <w:rPr>
          <w:rFonts w:hint="eastAsia" w:ascii="仿宋_GB2312" w:hAnsi="宋体" w:eastAsia="仿宋_GB2312"/>
          <w:b/>
          <w:color w:val="auto"/>
          <w:sz w:val="32"/>
          <w:szCs w:val="32"/>
          <w:highlight w:val="none"/>
        </w:rPr>
        <w:t xml:space="preserve">                   </w:t>
      </w:r>
      <w:r>
        <w:rPr>
          <w:rFonts w:ascii="仿宋_GB2312" w:hAnsi="宋体" w:eastAsia="仿宋_GB2312"/>
          <w:b/>
          <w:color w:val="auto"/>
          <w:sz w:val="32"/>
          <w:szCs w:val="32"/>
          <w:highlight w:val="none"/>
          <w:lang w:val="en"/>
        </w:rPr>
        <w:t xml:space="preserve">  </w:t>
      </w:r>
      <w:r>
        <w:rPr>
          <w:rFonts w:hint="eastAsia" w:ascii="宋体" w:hAnsi="宋体" w:cs="Courier New"/>
          <w:b/>
          <w:color w:val="auto"/>
          <w:sz w:val="21"/>
          <w:szCs w:val="21"/>
          <w:highlight w:val="none"/>
          <w:u w:val="single"/>
        </w:rPr>
        <w:t>（适用分标1、2）</w:t>
      </w:r>
      <w:r>
        <w:rPr>
          <w:rFonts w:hint="eastAsia" w:ascii="仿宋_GB2312" w:hAnsi="宋体" w:eastAsia="仿宋_GB2312"/>
          <w:b/>
          <w:color w:val="auto"/>
          <w:sz w:val="32"/>
          <w:szCs w:val="32"/>
          <w:highlight w:val="none"/>
        </w:rPr>
        <w:t xml:space="preserve">               </w:t>
      </w:r>
    </w:p>
    <w:p>
      <w:pPr>
        <w:pStyle w:val="31"/>
        <w:pageBreakBefore w:val="0"/>
        <w:kinsoku/>
        <w:wordWrap/>
        <w:overflowPunct/>
        <w:topLinePunct w:val="0"/>
        <w:autoSpaceDE/>
        <w:autoSpaceDN/>
        <w:bidi w:val="0"/>
        <w:spacing w:line="320" w:lineRule="exact"/>
        <w:ind w:firstLine="516" w:firstLineChars="245"/>
        <w:textAlignment w:val="auto"/>
        <w:rPr>
          <w:rFonts w:hint="eastAsia" w:hAnsi="宋体"/>
          <w:b/>
          <w:color w:val="auto"/>
          <w:highlight w:val="none"/>
        </w:rPr>
      </w:pPr>
      <w:r>
        <w:rPr>
          <w:rFonts w:hint="eastAsia" w:hAnsi="宋体"/>
          <w:b/>
          <w:color w:val="auto"/>
          <w:highlight w:val="none"/>
        </w:rPr>
        <w:t>一、评标原则</w:t>
      </w:r>
    </w:p>
    <w:p>
      <w:pPr>
        <w:pStyle w:val="31"/>
        <w:pageBreakBefore w:val="0"/>
        <w:kinsoku/>
        <w:wordWrap/>
        <w:overflowPunct/>
        <w:topLinePunct w:val="0"/>
        <w:autoSpaceDE/>
        <w:autoSpaceDN/>
        <w:bidi w:val="0"/>
        <w:spacing w:line="320" w:lineRule="exact"/>
        <w:ind w:firstLine="483" w:firstLineChars="230"/>
        <w:textAlignment w:val="auto"/>
        <w:rPr>
          <w:rFonts w:hint="eastAsia" w:hAnsi="宋体"/>
          <w:bCs/>
          <w:color w:val="auto"/>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31"/>
        <w:pageBreakBefore w:val="0"/>
        <w:kinsoku/>
        <w:wordWrap/>
        <w:overflowPunct/>
        <w:topLinePunct w:val="0"/>
        <w:autoSpaceDE/>
        <w:autoSpaceDN/>
        <w:bidi w:val="0"/>
        <w:spacing w:line="320" w:lineRule="exact"/>
        <w:ind w:firstLine="499" w:firstLineChars="238"/>
        <w:textAlignment w:val="auto"/>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31"/>
        <w:pageBreakBefore w:val="0"/>
        <w:kinsoku/>
        <w:wordWrap/>
        <w:overflowPunct/>
        <w:topLinePunct w:val="0"/>
        <w:autoSpaceDE/>
        <w:autoSpaceDN/>
        <w:bidi w:val="0"/>
        <w:spacing w:line="320" w:lineRule="exact"/>
        <w:ind w:firstLine="510" w:firstLineChars="243"/>
        <w:textAlignment w:val="auto"/>
        <w:rPr>
          <w:rFonts w:hint="eastAsia" w:hAnsi="宋体"/>
          <w:bCs/>
          <w:color w:val="auto"/>
          <w:highlight w:val="none"/>
        </w:rPr>
      </w:pPr>
      <w:r>
        <w:rPr>
          <w:rFonts w:hint="eastAsia" w:hAnsi="宋体"/>
          <w:bCs/>
          <w:color w:val="auto"/>
          <w:highlight w:val="none"/>
        </w:rPr>
        <w:t>(三)评标方式：以封闭方式进行。</w:t>
      </w:r>
    </w:p>
    <w:p>
      <w:pPr>
        <w:pStyle w:val="6"/>
        <w:pageBreakBefore w:val="0"/>
        <w:kinsoku/>
        <w:wordWrap/>
        <w:overflowPunct/>
        <w:topLinePunct w:val="0"/>
        <w:autoSpaceDE/>
        <w:autoSpaceDN/>
        <w:bidi w:val="0"/>
        <w:spacing w:line="320" w:lineRule="exact"/>
        <w:jc w:val="left"/>
        <w:textAlignment w:val="auto"/>
        <w:rPr>
          <w:rFonts w:hint="eastAsia" w:ascii="宋体" w:hAnsi="宋体" w:eastAsia="宋体" w:cs="宋体"/>
          <w:color w:val="auto"/>
          <w:sz w:val="21"/>
          <w:szCs w:val="21"/>
          <w:highlight w:val="none"/>
        </w:rPr>
      </w:pPr>
      <w:r>
        <w:rPr>
          <w:rFonts w:hint="eastAsia"/>
          <w:color w:val="auto"/>
          <w:sz w:val="21"/>
          <w:szCs w:val="21"/>
          <w:highlight w:val="none"/>
        </w:rPr>
        <w:t xml:space="preserve">   </w:t>
      </w:r>
      <w:r>
        <w:rPr>
          <w:rFonts w:hint="eastAsia" w:ascii="宋体" w:hAnsi="宋体" w:eastAsia="宋体" w:cs="宋体"/>
          <w:color w:val="auto"/>
          <w:sz w:val="21"/>
          <w:szCs w:val="21"/>
          <w:highlight w:val="none"/>
        </w:rPr>
        <w:t>（四）无效投标处理原则：在评标过程中，包括在异常低价认定程序中被认定为无效的投标，其投标文件不再进入后续评审阶段，也不参与得分计算与汇总排名。</w:t>
      </w:r>
    </w:p>
    <w:p>
      <w:pPr>
        <w:pStyle w:val="31"/>
        <w:pageBreakBefore w:val="0"/>
        <w:kinsoku/>
        <w:wordWrap/>
        <w:overflowPunct/>
        <w:topLinePunct w:val="0"/>
        <w:autoSpaceDE/>
        <w:autoSpaceDN/>
        <w:bidi w:val="0"/>
        <w:spacing w:line="320" w:lineRule="exact"/>
        <w:ind w:firstLine="510" w:firstLineChars="243"/>
        <w:textAlignment w:val="auto"/>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31"/>
        <w:pageBreakBefore w:val="0"/>
        <w:kinsoku/>
        <w:wordWrap/>
        <w:overflowPunct/>
        <w:topLinePunct w:val="0"/>
        <w:autoSpaceDE/>
        <w:autoSpaceDN/>
        <w:bidi w:val="0"/>
        <w:spacing w:line="320" w:lineRule="exact"/>
        <w:ind w:firstLine="420" w:firstLineChars="200"/>
        <w:textAlignment w:val="auto"/>
        <w:outlineLvl w:val="0"/>
        <w:rPr>
          <w:rFonts w:hint="eastAsia" w:hAnsi="宋体"/>
          <w:color w:val="auto"/>
          <w:highlight w:val="none"/>
        </w:rPr>
      </w:pPr>
      <w:r>
        <w:rPr>
          <w:rFonts w:hint="eastAsia" w:hAnsi="宋体"/>
          <w:color w:val="auto"/>
          <w:highlight w:val="none"/>
        </w:rPr>
        <w:t>（一）对进入详评的，采用百分制综合评分法。</w:t>
      </w:r>
    </w:p>
    <w:p>
      <w:pPr>
        <w:pStyle w:val="31"/>
        <w:pageBreakBefore w:val="0"/>
        <w:kinsoku/>
        <w:wordWrap/>
        <w:overflowPunct/>
        <w:topLinePunct w:val="0"/>
        <w:autoSpaceDE/>
        <w:autoSpaceDN/>
        <w:bidi w:val="0"/>
        <w:spacing w:line="320" w:lineRule="exact"/>
        <w:ind w:firstLine="420" w:firstLineChars="200"/>
        <w:textAlignment w:val="auto"/>
        <w:outlineLvl w:val="0"/>
        <w:rPr>
          <w:rFonts w:hint="eastAsia" w:hAnsi="宋体"/>
          <w:color w:val="auto"/>
          <w:highlight w:val="none"/>
        </w:rPr>
      </w:pPr>
      <w:r>
        <w:rPr>
          <w:rFonts w:hint="eastAsia" w:hAnsi="宋体"/>
          <w:color w:val="auto"/>
          <w:highlight w:val="none"/>
        </w:rPr>
        <w:t>（二）计分办法（按四舍五入取至百分位）：</w:t>
      </w:r>
    </w:p>
    <w:p>
      <w:pPr>
        <w:pStyle w:val="31"/>
        <w:pageBreakBefore w:val="0"/>
        <w:kinsoku/>
        <w:wordWrap/>
        <w:overflowPunct/>
        <w:topLinePunct w:val="0"/>
        <w:autoSpaceDE/>
        <w:autoSpaceDN/>
        <w:bidi w:val="0"/>
        <w:spacing w:line="320" w:lineRule="exact"/>
        <w:ind w:firstLine="501" w:firstLineChars="238"/>
        <w:textAlignment w:val="auto"/>
        <w:rPr>
          <w:b/>
          <w:color w:val="auto"/>
          <w:highlight w:val="none"/>
        </w:rPr>
      </w:pPr>
      <w:r>
        <w:rPr>
          <w:rFonts w:hint="eastAsia"/>
          <w:b/>
          <w:color w:val="auto"/>
          <w:highlight w:val="none"/>
        </w:rPr>
        <w:t>1、价格分</w:t>
      </w:r>
      <w:r>
        <w:rPr>
          <w:rFonts w:hint="eastAsia" w:hAnsi="宋体"/>
          <w:b/>
          <w:bCs/>
          <w:color w:val="auto"/>
          <w:spacing w:val="-8"/>
          <w:highlight w:val="none"/>
        </w:rPr>
        <w:t>………………………………………………………………………………………</w:t>
      </w:r>
      <w:r>
        <w:rPr>
          <w:rFonts w:hint="eastAsia"/>
          <w:b/>
          <w:color w:val="auto"/>
          <w:highlight w:val="none"/>
        </w:rPr>
        <w:t>50分</w:t>
      </w:r>
    </w:p>
    <w:p>
      <w:pPr>
        <w:pStyle w:val="227"/>
        <w:pageBreakBefore w:val="0"/>
        <w:kinsoku/>
        <w:wordWrap/>
        <w:overflowPunct/>
        <w:topLinePunct w:val="0"/>
        <w:autoSpaceDE/>
        <w:autoSpaceDN/>
        <w:bidi w:val="0"/>
        <w:adjustRightInd w:val="0"/>
        <w:snapToGrid w:val="0"/>
        <w:spacing w:line="320" w:lineRule="exact"/>
        <w:ind w:firstLine="378" w:firstLineChars="180"/>
        <w:textAlignment w:val="auto"/>
        <w:rPr>
          <w:rFonts w:hint="eastAsia"/>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符合《政府采购促进中小企业发展管理办法》（财库〔2020〕46号）规定条件且按该办法中规定的格式提供了《中小企业声明函》的小型和微型企业参与投标，对其投标报价给予10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扣除后的价格为评标价，即评标价=投标价×（1-10%）；</w:t>
      </w:r>
      <w:r>
        <w:rPr>
          <w:rFonts w:hint="eastAsia"/>
          <w:color w:val="auto"/>
          <w:highlight w:val="none"/>
        </w:rPr>
        <w:t>符合《国务院办公厅关于在政府采购中实施本国产品标准及相关政策的通知》（国办发〔2025〕34号）规定</w:t>
      </w:r>
      <w:r>
        <w:rPr>
          <w:rFonts w:hint="eastAsia" w:ascii="Times New Roman" w:hAnsi="Times New Roman"/>
          <w:bCs/>
          <w:color w:val="auto"/>
          <w:highlight w:val="none"/>
        </w:rPr>
        <w:t>条件且按该通知中规定的格式提供了《关于符合本国产品标准的声明函》的供应商参与投标，对其投标报价给予20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扣除后的价格为评标价，即评标价=投标价×（1-20%）</w:t>
      </w:r>
      <w:r>
        <w:rPr>
          <w:rFonts w:hint="eastAsia"/>
          <w:color w:val="auto"/>
          <w:highlight w:val="none"/>
        </w:rPr>
        <w:t>；除上述情况外，评标价=投标价。</w:t>
      </w:r>
    </w:p>
    <w:p>
      <w:pPr>
        <w:pStyle w:val="31"/>
        <w:pageBreakBefore w:val="0"/>
        <w:kinsoku/>
        <w:wordWrap/>
        <w:overflowPunct/>
        <w:topLinePunct w:val="0"/>
        <w:autoSpaceDE/>
        <w:autoSpaceDN/>
        <w:bidi w:val="0"/>
        <w:spacing w:line="320" w:lineRule="exact"/>
        <w:ind w:firstLine="420" w:firstLineChars="200"/>
        <w:textAlignment w:val="auto"/>
        <w:outlineLvl w:val="0"/>
        <w:rPr>
          <w:color w:val="auto"/>
          <w:highlight w:val="none"/>
        </w:rPr>
      </w:pPr>
      <w:r>
        <w:rPr>
          <w:rFonts w:hint="eastAsia" w:hAnsi="宋体" w:cs="宋体"/>
          <w:color w:val="auto"/>
          <w:kern w:val="0"/>
          <w:highlight w:val="none"/>
        </w:rPr>
        <w:t>投标产品生产企业</w:t>
      </w:r>
      <w:r>
        <w:rPr>
          <w:rFonts w:hint="eastAsia"/>
          <w:color w:val="auto"/>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31"/>
        <w:pageBreakBefore w:val="0"/>
        <w:kinsoku/>
        <w:wordWrap/>
        <w:overflowPunct/>
        <w:topLinePunct w:val="0"/>
        <w:autoSpaceDE/>
        <w:autoSpaceDN/>
        <w:bidi w:val="0"/>
        <w:spacing w:line="320" w:lineRule="exact"/>
        <w:ind w:firstLine="420" w:firstLineChars="200"/>
        <w:textAlignment w:val="auto"/>
        <w:outlineLvl w:val="0"/>
        <w:rPr>
          <w:color w:val="auto"/>
          <w:highlight w:val="none"/>
        </w:rPr>
      </w:pPr>
      <w:r>
        <w:rPr>
          <w:rFonts w:hint="eastAsia"/>
          <w:color w:val="auto"/>
          <w:highlight w:val="none"/>
        </w:rPr>
        <w:t>投标</w:t>
      </w:r>
      <w:r>
        <w:rPr>
          <w:rFonts w:hint="eastAsia"/>
          <w:b/>
          <w:color w:val="auto"/>
          <w:highlight w:val="none"/>
        </w:rPr>
        <w:t>产品</w:t>
      </w:r>
      <w:r>
        <w:rPr>
          <w:rFonts w:hint="eastAsia"/>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31"/>
        <w:pageBreakBefore w:val="0"/>
        <w:kinsoku/>
        <w:wordWrap/>
        <w:overflowPunct/>
        <w:topLinePunct w:val="0"/>
        <w:autoSpaceDE/>
        <w:autoSpaceDN/>
        <w:bidi w:val="0"/>
        <w:spacing w:line="320" w:lineRule="exact"/>
        <w:ind w:firstLine="210" w:firstLineChars="100"/>
        <w:textAlignment w:val="auto"/>
        <w:outlineLvl w:val="0"/>
        <w:rPr>
          <w:rFonts w:hint="eastAsia" w:hAnsi="宋体"/>
          <w:color w:val="auto"/>
          <w:highlight w:val="none"/>
        </w:rPr>
      </w:pPr>
      <w:r>
        <w:rPr>
          <w:rFonts w:hint="eastAsia" w:hAnsi="宋体"/>
          <w:color w:val="auto"/>
          <w:highlight w:val="none"/>
        </w:rPr>
        <w:t xml:space="preserve"> （2）以</w:t>
      </w:r>
      <w:r>
        <w:rPr>
          <w:rFonts w:hint="eastAsia"/>
          <w:color w:val="auto"/>
          <w:highlight w:val="none"/>
        </w:rPr>
        <w:t>满足招标文件要求且评标价最低的投标人的评标价为评标基准价，其价格分为</w:t>
      </w:r>
      <w:r>
        <w:rPr>
          <w:rFonts w:hint="eastAsia" w:hAnsi="宋体" w:cs="宋体"/>
          <w:b/>
          <w:color w:val="auto"/>
          <w:highlight w:val="none"/>
        </w:rPr>
        <w:t>50</w:t>
      </w:r>
      <w:r>
        <w:rPr>
          <w:rFonts w:hint="eastAsia" w:hAnsi="宋体" w:cs="宋体"/>
          <w:color w:val="auto"/>
          <w:highlight w:val="none"/>
        </w:rPr>
        <w:t>分</w:t>
      </w:r>
      <w:r>
        <w:rPr>
          <w:rFonts w:hint="eastAsia" w:ascii="Times New Roman" w:hAnsi="Times New Roman"/>
          <w:color w:val="auto"/>
          <w:highlight w:val="none"/>
        </w:rPr>
        <w:t>。</w:t>
      </w:r>
    </w:p>
    <w:p>
      <w:pPr>
        <w:pStyle w:val="31"/>
        <w:pageBreakBefore w:val="0"/>
        <w:kinsoku/>
        <w:wordWrap/>
        <w:overflowPunct/>
        <w:topLinePunct w:val="0"/>
        <w:autoSpaceDE/>
        <w:autoSpaceDN/>
        <w:bidi w:val="0"/>
        <w:spacing w:line="320" w:lineRule="exact"/>
        <w:textAlignment w:val="auto"/>
        <w:outlineLvl w:val="0"/>
        <w:rPr>
          <w:b/>
          <w:color w:val="auto"/>
          <w:highlight w:val="none"/>
        </w:rPr>
      </w:pPr>
      <w:r>
        <w:rPr>
          <w:rFonts w:hint="eastAsia"/>
          <w:b/>
          <w:bCs/>
          <w:color w:val="auto"/>
          <w:highlight w:val="none"/>
        </w:rPr>
        <w:t xml:space="preserve">   （3）某投标人价格分</w:t>
      </w:r>
      <w:r>
        <w:rPr>
          <w:rFonts w:hint="eastAsia"/>
          <w:b/>
          <w:color w:val="auto"/>
          <w:highlight w:val="none"/>
        </w:rPr>
        <w:t xml:space="preserve"> =评标基准价（金额）/</w:t>
      </w:r>
      <w:r>
        <w:rPr>
          <w:rFonts w:hint="eastAsia"/>
          <w:b/>
          <w:color w:val="auto"/>
          <w:highlight w:val="none"/>
        </w:rPr>
        <w:t>某投标人评标价（金额）×50分</w:t>
      </w:r>
    </w:p>
    <w:p>
      <w:pPr>
        <w:pStyle w:val="31"/>
        <w:pageBreakBefore w:val="0"/>
        <w:kinsoku/>
        <w:wordWrap/>
        <w:overflowPunct/>
        <w:topLinePunct w:val="0"/>
        <w:autoSpaceDE/>
        <w:autoSpaceDN/>
        <w:bidi w:val="0"/>
        <w:spacing w:line="320" w:lineRule="exact"/>
        <w:textAlignment w:val="auto"/>
        <w:rPr>
          <w:b/>
          <w:color w:val="auto"/>
          <w:highlight w:val="none"/>
        </w:rPr>
      </w:pPr>
      <w:r>
        <w:rPr>
          <w:rFonts w:hint="eastAsia" w:hAnsi="宋体"/>
          <w:b/>
          <w:color w:val="auto"/>
          <w:highlight w:val="none"/>
        </w:rPr>
        <w:t xml:space="preserve">    2、</w:t>
      </w:r>
      <w:r>
        <w:rPr>
          <w:rFonts w:hAnsi="宋体"/>
          <w:b/>
          <w:color w:val="auto"/>
          <w:highlight w:val="none"/>
          <w:lang w:val="en"/>
        </w:rPr>
        <w:t>技术分</w:t>
      </w:r>
      <w:r>
        <w:rPr>
          <w:rFonts w:hint="eastAsia" w:hAnsi="宋体"/>
          <w:b/>
          <w:color w:val="auto"/>
          <w:highlight w:val="none"/>
        </w:rPr>
        <w:t xml:space="preserve"> </w:t>
      </w:r>
      <w:r>
        <w:rPr>
          <w:rFonts w:hint="eastAsia" w:hAnsi="宋体"/>
          <w:b/>
          <w:bCs/>
          <w:color w:val="auto"/>
          <w:spacing w:val="-8"/>
          <w:highlight w:val="none"/>
        </w:rPr>
        <w:t>………………………………………………………………………………………48</w:t>
      </w:r>
      <w:r>
        <w:rPr>
          <w:rFonts w:hint="eastAsia"/>
          <w:b/>
          <w:color w:val="auto"/>
          <w:highlight w:val="none"/>
        </w:rPr>
        <w:t>分</w:t>
      </w:r>
    </w:p>
    <w:p>
      <w:pPr>
        <w:pageBreakBefore w:val="0"/>
        <w:widowControl/>
        <w:kinsoku/>
        <w:wordWrap/>
        <w:overflowPunct/>
        <w:topLinePunct w:val="0"/>
        <w:autoSpaceDE/>
        <w:autoSpaceDN/>
        <w:bidi w:val="0"/>
        <w:spacing w:line="320" w:lineRule="exact"/>
        <w:ind w:firstLine="420"/>
        <w:jc w:val="left"/>
        <w:textAlignment w:val="auto"/>
        <w:rPr>
          <w:rFonts w:hint="eastAsia" w:ascii="宋体" w:hAnsi="宋体" w:cs="宋体"/>
          <w:b/>
          <w:color w:val="auto"/>
          <w:szCs w:val="21"/>
          <w:highlight w:val="none"/>
        </w:rPr>
      </w:pPr>
      <w:r>
        <w:rPr>
          <w:rFonts w:hint="eastAsia"/>
          <w:b/>
          <w:bCs/>
          <w:color w:val="auto"/>
          <w:szCs w:val="21"/>
          <w:highlight w:val="none"/>
        </w:rPr>
        <w:t>（1）</w:t>
      </w:r>
      <w:r>
        <w:rPr>
          <w:rFonts w:hint="eastAsia" w:ascii="宋体" w:hAnsi="宋体" w:cs="宋体"/>
          <w:b/>
          <w:color w:val="auto"/>
          <w:szCs w:val="21"/>
          <w:highlight w:val="none"/>
        </w:rPr>
        <w:t>货物性能分（15分）</w:t>
      </w:r>
    </w:p>
    <w:p>
      <w:pPr>
        <w:pStyle w:val="31"/>
        <w:pageBreakBefore w:val="0"/>
        <w:kinsoku/>
        <w:wordWrap/>
        <w:overflowPunct/>
        <w:topLinePunct w:val="0"/>
        <w:autoSpaceDE/>
        <w:autoSpaceDN/>
        <w:bidi w:val="0"/>
        <w:spacing w:line="320" w:lineRule="exact"/>
        <w:ind w:firstLine="420" w:firstLineChars="200"/>
        <w:textAlignment w:val="auto"/>
        <w:rPr>
          <w:rFonts w:hint="eastAsia" w:hAnsi="宋体" w:cs="宋体"/>
          <w:color w:val="auto"/>
          <w:kern w:val="0"/>
          <w:highlight w:val="none"/>
        </w:rPr>
      </w:pPr>
      <w:bookmarkStart w:id="11" w:name="OLE_LINK1"/>
      <w:r>
        <w:rPr>
          <w:rFonts w:hint="eastAsia" w:hAnsi="宋体" w:cs="宋体"/>
          <w:color w:val="auto"/>
          <w:kern w:val="0"/>
          <w:highlight w:val="none"/>
        </w:rPr>
        <w:t>投标产品的设备技术参数及性能配置每有一项标“</w:t>
      </w:r>
      <w:r>
        <w:rPr>
          <w:rFonts w:hint="eastAsia"/>
          <w:color w:val="auto"/>
          <w:highlight w:val="none"/>
        </w:rPr>
        <w:t>★</w:t>
      </w:r>
      <w:r>
        <w:rPr>
          <w:rFonts w:hint="eastAsia" w:hAnsi="宋体" w:cs="宋体"/>
          <w:color w:val="auto"/>
          <w:kern w:val="0"/>
          <w:highlight w:val="none"/>
        </w:rPr>
        <w:t>”的技术参数</w:t>
      </w:r>
      <w:r>
        <w:rPr>
          <w:rFonts w:hint="eastAsia" w:hAnsi="宋体" w:cs="宋体"/>
          <w:color w:val="auto"/>
          <w:kern w:val="0"/>
          <w:highlight w:val="none"/>
          <w:lang w:eastAsia="zh-CN"/>
        </w:rPr>
        <w:t>满足招标文件要求的</w:t>
      </w:r>
      <w:r>
        <w:rPr>
          <w:rFonts w:hint="eastAsia" w:hAnsi="宋体" w:cs="宋体"/>
          <w:color w:val="auto"/>
          <w:kern w:val="0"/>
          <w:highlight w:val="none"/>
        </w:rPr>
        <w:t>，得1分，满分15分。</w:t>
      </w:r>
    </w:p>
    <w:bookmarkEnd w:id="11"/>
    <w:p>
      <w:pPr>
        <w:pStyle w:val="22"/>
        <w:pageBreakBefore w:val="0"/>
        <w:kinsoku/>
        <w:wordWrap/>
        <w:overflowPunct/>
        <w:topLinePunct w:val="0"/>
        <w:autoSpaceDE/>
        <w:autoSpaceDN/>
        <w:bidi w:val="0"/>
        <w:spacing w:line="320" w:lineRule="exact"/>
        <w:ind w:firstLine="420" w:firstLineChars="200"/>
        <w:textAlignment w:val="auto"/>
        <w:rPr>
          <w:rFonts w:ascii="宋体" w:hAnsi="Courier New" w:cs="Courier New"/>
          <w:color w:val="auto"/>
          <w:szCs w:val="21"/>
          <w:highlight w:val="none"/>
        </w:rPr>
      </w:pPr>
      <w:r>
        <w:rPr>
          <w:rFonts w:hint="eastAsia" w:ascii="宋体" w:hAnsi="Courier New" w:cs="Courier New"/>
          <w:color w:val="auto"/>
          <w:sz w:val="21"/>
          <w:szCs w:val="21"/>
          <w:highlight w:val="none"/>
        </w:rPr>
        <w:t xml:space="preserve"> 【注：①投标人技术参数及功能有正偏离的，须在技术偏离表中列明，且在投标文件中提供采购需求中</w:t>
      </w:r>
      <w:r>
        <w:rPr>
          <w:rFonts w:hint="eastAsia" w:ascii="宋体" w:hAnsi="Courier New" w:cs="Courier New"/>
          <w:color w:val="auto"/>
          <w:sz w:val="21"/>
          <w:szCs w:val="21"/>
          <w:highlight w:val="none"/>
          <w:lang w:eastAsia="zh-CN"/>
        </w:rPr>
        <w:t>要求的佐证</w:t>
      </w:r>
      <w:r>
        <w:rPr>
          <w:rFonts w:hint="eastAsia" w:ascii="宋体" w:hAnsi="Courier New" w:cs="Courier New"/>
          <w:color w:val="auto"/>
          <w:sz w:val="21"/>
          <w:szCs w:val="21"/>
          <w:highlight w:val="none"/>
        </w:rPr>
        <w:t>证明材料</w:t>
      </w:r>
      <w:r>
        <w:rPr>
          <w:rFonts w:hint="eastAsia" w:ascii="宋体" w:hAnsi="Courier New" w:cs="Courier New"/>
          <w:color w:val="auto"/>
          <w:sz w:val="21"/>
          <w:szCs w:val="21"/>
          <w:highlight w:val="none"/>
          <w:lang w:eastAsia="zh-CN"/>
        </w:rPr>
        <w:t>（如：提供参数功能截图或</w:t>
      </w:r>
      <w:r>
        <w:rPr>
          <w:rFonts w:hint="eastAsia" w:ascii="宋体" w:hAnsi="Courier New" w:cs="Courier New"/>
          <w:b/>
          <w:bCs/>
          <w:color w:val="auto"/>
          <w:sz w:val="21"/>
          <w:szCs w:val="21"/>
          <w:highlight w:val="none"/>
        </w:rPr>
        <w:t>提供具有检测资质的第三方检测机构出具的检测报告复印件</w:t>
      </w:r>
      <w:r>
        <w:rPr>
          <w:rFonts w:hint="eastAsia" w:ascii="宋体" w:hAnsi="Courier New" w:cs="Courier New"/>
          <w:b/>
          <w:bCs/>
          <w:color w:val="auto"/>
          <w:sz w:val="21"/>
          <w:szCs w:val="21"/>
          <w:highlight w:val="none"/>
          <w:lang w:eastAsia="zh-CN"/>
        </w:rPr>
        <w:t>等</w:t>
      </w:r>
      <w:r>
        <w:rPr>
          <w:rFonts w:hint="eastAsia" w:ascii="宋体" w:hAnsi="Courier New" w:cs="Courier New"/>
          <w:color w:val="auto"/>
          <w:sz w:val="21"/>
          <w:szCs w:val="21"/>
          <w:highlight w:val="none"/>
          <w:lang w:eastAsia="zh-CN"/>
        </w:rPr>
        <w:t>）</w:t>
      </w:r>
      <w:r>
        <w:rPr>
          <w:rFonts w:hint="eastAsia" w:ascii="宋体" w:hAnsi="宋体" w:cs="宋体"/>
          <w:color w:val="auto"/>
          <w:kern w:val="0"/>
          <w:sz w:val="21"/>
          <w:szCs w:val="21"/>
          <w:highlight w:val="none"/>
        </w:rPr>
        <w:t>并加盖投标人公章</w:t>
      </w:r>
      <w:r>
        <w:rPr>
          <w:rFonts w:hint="eastAsia" w:ascii="宋体" w:hAnsi="Courier New" w:cs="Courier New"/>
          <w:color w:val="auto"/>
          <w:sz w:val="21"/>
          <w:szCs w:val="21"/>
          <w:highlight w:val="none"/>
        </w:rPr>
        <w:t>，否则评标委员会不予评定为正偏离。②如技术偏离表中的投标响应与佐证材料不一致的，以佐证材料为准。】</w:t>
      </w:r>
    </w:p>
    <w:p>
      <w:pPr>
        <w:pageBreakBefore w:val="0"/>
        <w:numPr>
          <w:ilvl w:val="255"/>
          <w:numId w:val="0"/>
        </w:numPr>
        <w:kinsoku/>
        <w:wordWrap/>
        <w:overflowPunct/>
        <w:topLinePunct w:val="0"/>
        <w:autoSpaceDE/>
        <w:autoSpaceDN/>
        <w:bidi w:val="0"/>
        <w:spacing w:line="320" w:lineRule="exact"/>
        <w:ind w:firstLine="421" w:firstLineChars="200"/>
        <w:textAlignment w:val="auto"/>
        <w:rPr>
          <w:rFonts w:hint="eastAsia" w:ascii="宋体" w:hAnsi="宋体" w:cs="Arial"/>
          <w:b/>
          <w:color w:val="auto"/>
          <w:szCs w:val="21"/>
          <w:highlight w:val="none"/>
        </w:rPr>
      </w:pPr>
      <w:r>
        <w:rPr>
          <w:rFonts w:hint="eastAsia" w:ascii="宋体" w:hAnsi="宋体" w:cs="Arial"/>
          <w:b/>
          <w:color w:val="auto"/>
          <w:szCs w:val="21"/>
          <w:highlight w:val="none"/>
        </w:rPr>
        <w:t>（2）</w:t>
      </w:r>
      <w:r>
        <w:rPr>
          <w:rFonts w:ascii="宋体" w:hAnsi="宋体" w:cs="Arial"/>
          <w:b/>
          <w:color w:val="auto"/>
          <w:szCs w:val="21"/>
          <w:highlight w:val="none"/>
        </w:rPr>
        <w:t>项目实施方案分</w:t>
      </w:r>
      <w:r>
        <w:rPr>
          <w:rFonts w:hint="eastAsia" w:ascii="宋体" w:hAnsi="宋体" w:cs="Arial"/>
          <w:b/>
          <w:color w:val="auto"/>
          <w:szCs w:val="21"/>
          <w:highlight w:val="none"/>
        </w:rPr>
        <w:t>（1</w:t>
      </w:r>
      <w:r>
        <w:rPr>
          <w:rFonts w:ascii="宋体" w:hAnsi="宋体" w:cs="Arial"/>
          <w:b/>
          <w:color w:val="auto"/>
          <w:szCs w:val="21"/>
          <w:highlight w:val="none"/>
        </w:rPr>
        <w:t>2</w:t>
      </w:r>
      <w:r>
        <w:rPr>
          <w:rFonts w:hint="eastAsia" w:ascii="宋体" w:hAnsi="宋体" w:cs="Arial"/>
          <w:b/>
          <w:color w:val="auto"/>
          <w:szCs w:val="21"/>
          <w:highlight w:val="none"/>
        </w:rPr>
        <w:t>分）</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hint="eastAsia"/>
          <w:color w:val="auto"/>
          <w:szCs w:val="21"/>
          <w:highlight w:val="none"/>
        </w:rPr>
        <w:t xml:space="preserve"> </w:t>
      </w:r>
      <w:r>
        <w:rPr>
          <w:rFonts w:ascii="宋体" w:hAnsi="宋体" w:cs="Arial"/>
          <w:color w:val="auto"/>
          <w:szCs w:val="21"/>
          <w:highlight w:val="none"/>
        </w:rPr>
        <w:t>一档（</w:t>
      </w:r>
      <w:r>
        <w:rPr>
          <w:rFonts w:hint="eastAsia" w:ascii="宋体" w:hAnsi="宋体" w:cs="Arial"/>
          <w:color w:val="auto"/>
          <w:szCs w:val="21"/>
          <w:highlight w:val="none"/>
        </w:rPr>
        <w:t>3</w:t>
      </w:r>
      <w:r>
        <w:rPr>
          <w:rFonts w:ascii="宋体" w:hAnsi="宋体" w:cs="Arial"/>
          <w:color w:val="auto"/>
          <w:szCs w:val="21"/>
          <w:highlight w:val="none"/>
        </w:rPr>
        <w:t>分）：项目实施方案进度安排、相关保障措施能力、对各项关键工作安排、对本项目的风险预见、风险应对措施、项目管理方案、组织机构安排及分工与职责安排等描述单一</w:t>
      </w:r>
      <w:r>
        <w:rPr>
          <w:rFonts w:hint="eastAsia" w:ascii="宋体" w:hAnsi="宋体" w:cs="Arial"/>
          <w:color w:val="auto"/>
          <w:szCs w:val="21"/>
          <w:highlight w:val="none"/>
        </w:rPr>
        <w:t>。</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ascii="宋体" w:hAnsi="宋体" w:cs="Arial"/>
          <w:color w:val="auto"/>
          <w:szCs w:val="21"/>
          <w:highlight w:val="none"/>
        </w:rPr>
        <w:t>二档（</w:t>
      </w:r>
      <w:r>
        <w:rPr>
          <w:rFonts w:hint="eastAsia" w:ascii="宋体" w:hAnsi="宋体" w:cs="Arial"/>
          <w:color w:val="auto"/>
          <w:szCs w:val="21"/>
          <w:highlight w:val="none"/>
        </w:rPr>
        <w:t>6</w:t>
      </w:r>
      <w:r>
        <w:rPr>
          <w:rFonts w:ascii="宋体" w:hAnsi="宋体" w:cs="Arial"/>
          <w:color w:val="auto"/>
          <w:szCs w:val="21"/>
          <w:highlight w:val="none"/>
        </w:rPr>
        <w:t>分）：项目实施方案进度安排，有相关保障措施；对各项关键工作安排较合理；对本项目有风险预见、风险应对措施；项目管理方案、组织机构比较合理，人员有保障，分工与职责比较明确</w:t>
      </w:r>
      <w:r>
        <w:rPr>
          <w:rFonts w:hint="eastAsia" w:ascii="宋体" w:hAnsi="宋体" w:cs="Arial"/>
          <w:color w:val="auto"/>
          <w:szCs w:val="21"/>
          <w:highlight w:val="none"/>
        </w:rPr>
        <w:t>。</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ascii="宋体" w:hAnsi="宋体" w:cs="Arial"/>
          <w:color w:val="auto"/>
          <w:szCs w:val="21"/>
          <w:highlight w:val="none"/>
        </w:rPr>
        <w:t>三档（</w:t>
      </w:r>
      <w:r>
        <w:rPr>
          <w:rFonts w:hint="eastAsia" w:ascii="宋体" w:hAnsi="宋体" w:cs="Arial"/>
          <w:color w:val="auto"/>
          <w:szCs w:val="21"/>
          <w:highlight w:val="none"/>
        </w:rPr>
        <w:t>9</w:t>
      </w:r>
      <w:r>
        <w:rPr>
          <w:rFonts w:ascii="宋体" w:hAnsi="宋体" w:cs="Arial"/>
          <w:color w:val="auto"/>
          <w:szCs w:val="21"/>
          <w:highlight w:val="none"/>
        </w:rPr>
        <w:t>分）：准确把握本项目的技术重点、难点；项目实施方案进度安排合理，且有相关保障措施；对各项关键工作安排较合理；对本项目的风险预见、风险应对措施较好；有完整的项目管理方案、验收计划方案；组织机构合理，人员有保障，分工与职责比较明确，整体方案可行</w:t>
      </w:r>
      <w:r>
        <w:rPr>
          <w:rFonts w:hint="eastAsia" w:ascii="宋体" w:hAnsi="宋体" w:cs="Arial"/>
          <w:color w:val="auto"/>
          <w:szCs w:val="21"/>
          <w:highlight w:val="none"/>
        </w:rPr>
        <w:t>。</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四档（</w:t>
      </w:r>
      <w:r>
        <w:rPr>
          <w:rFonts w:hint="eastAsia" w:ascii="宋体" w:hAnsi="宋体" w:cs="Arial"/>
          <w:color w:val="auto"/>
          <w:sz w:val="21"/>
          <w:szCs w:val="21"/>
          <w:highlight w:val="none"/>
        </w:rPr>
        <w:t>12</w:t>
      </w:r>
      <w:r>
        <w:rPr>
          <w:rFonts w:ascii="宋体" w:hAnsi="宋体" w:cs="Arial"/>
          <w:color w:val="auto"/>
          <w:sz w:val="21"/>
          <w:szCs w:val="21"/>
          <w:highlight w:val="none"/>
        </w:rPr>
        <w:t>分）：准确把握本项目的技术重点、难点；项目实施方案进度安排合理，且相关保障措施到位；能详细说明各个阶段工作安排，对各项关键工作安排合理；对本项目的风险预见、风险应对措施完备，有完善的项目管理方案完整、验收计划方案；组织机构设置合理，有项目实施的技术力量和人力资源安排，人员有保障，分工与职责明确；针对项目具体实施地有明确的实施安排计划，并符合采购人项目需求。</w:t>
      </w:r>
    </w:p>
    <w:p>
      <w:pPr>
        <w:pageBreakBefore w:val="0"/>
        <w:numPr>
          <w:ilvl w:val="255"/>
          <w:numId w:val="0"/>
        </w:numPr>
        <w:kinsoku/>
        <w:wordWrap/>
        <w:overflowPunct/>
        <w:topLinePunct w:val="0"/>
        <w:autoSpaceDE/>
        <w:autoSpaceDN/>
        <w:bidi w:val="0"/>
        <w:spacing w:line="320" w:lineRule="exact"/>
        <w:ind w:firstLine="421" w:firstLineChars="200"/>
        <w:textAlignment w:val="auto"/>
        <w:rPr>
          <w:rFonts w:hint="eastAsia" w:ascii="宋体" w:hAnsi="宋体" w:cs="Arial"/>
          <w:b/>
          <w:color w:val="auto"/>
          <w:szCs w:val="21"/>
          <w:highlight w:val="none"/>
        </w:rPr>
      </w:pPr>
      <w:r>
        <w:rPr>
          <w:rFonts w:hint="eastAsia" w:ascii="宋体" w:hAnsi="宋体" w:cs="Arial"/>
          <w:b/>
          <w:color w:val="auto"/>
          <w:szCs w:val="21"/>
          <w:highlight w:val="none"/>
        </w:rPr>
        <w:t>（3）安装调试方案（9分）</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一档（</w:t>
      </w:r>
      <w:r>
        <w:rPr>
          <w:rFonts w:hint="eastAsia" w:ascii="宋体" w:hAnsi="宋体" w:cs="Arial"/>
          <w:color w:val="auto"/>
          <w:sz w:val="21"/>
          <w:szCs w:val="21"/>
          <w:highlight w:val="none"/>
        </w:rPr>
        <w:t>3</w:t>
      </w:r>
      <w:r>
        <w:rPr>
          <w:rFonts w:ascii="宋体" w:hAnsi="宋体" w:cs="Arial"/>
          <w:color w:val="auto"/>
          <w:sz w:val="21"/>
          <w:szCs w:val="21"/>
          <w:highlight w:val="none"/>
        </w:rPr>
        <w:t>分）：方案基本可行，较简单，方案内容涉及到配送、安装内容。</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二档（</w:t>
      </w:r>
      <w:r>
        <w:rPr>
          <w:rFonts w:hint="eastAsia" w:ascii="宋体" w:hAnsi="宋体" w:cs="Arial"/>
          <w:color w:val="auto"/>
          <w:sz w:val="21"/>
          <w:szCs w:val="21"/>
          <w:highlight w:val="none"/>
        </w:rPr>
        <w:t>6</w:t>
      </w:r>
      <w:r>
        <w:rPr>
          <w:rFonts w:ascii="宋体" w:hAnsi="宋体" w:cs="Arial"/>
          <w:color w:val="auto"/>
          <w:sz w:val="21"/>
          <w:szCs w:val="21"/>
          <w:highlight w:val="none"/>
        </w:rPr>
        <w:t>分）：方案完全满足采购要求，表达清晰完整，方案内容覆盖了安装、配送、调试等内容。</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三档（</w:t>
      </w:r>
      <w:r>
        <w:rPr>
          <w:rFonts w:hint="eastAsia" w:ascii="宋体" w:hAnsi="宋体" w:cs="Arial"/>
          <w:color w:val="auto"/>
          <w:sz w:val="21"/>
          <w:szCs w:val="21"/>
          <w:highlight w:val="none"/>
        </w:rPr>
        <w:t>9</w:t>
      </w:r>
      <w:r>
        <w:rPr>
          <w:rFonts w:ascii="宋体" w:hAnsi="宋体" w:cs="Arial"/>
          <w:color w:val="auto"/>
          <w:sz w:val="21"/>
          <w:szCs w:val="21"/>
          <w:highlight w:val="none"/>
        </w:rPr>
        <w:t>分）：方案完全满足采购要求，表达清晰完整、合理、有效，有针对性，涵盖备货方案、安装方案、配送方案、调试方案，拟投入的安装调试投入人员分工与职责明确，符合采购人实际使用需求。</w:t>
      </w:r>
    </w:p>
    <w:p>
      <w:pPr>
        <w:pStyle w:val="22"/>
        <w:pageBreakBefore w:val="0"/>
        <w:kinsoku/>
        <w:wordWrap/>
        <w:overflowPunct/>
        <w:topLinePunct w:val="0"/>
        <w:autoSpaceDE/>
        <w:autoSpaceDN/>
        <w:bidi w:val="0"/>
        <w:spacing w:line="320" w:lineRule="exact"/>
        <w:ind w:firstLine="421" w:firstLineChars="200"/>
        <w:textAlignment w:val="auto"/>
        <w:rPr>
          <w:rFonts w:hint="eastAsia" w:ascii="宋体" w:hAnsi="宋体" w:cs="Arial"/>
          <w:b/>
          <w:bCs/>
          <w:color w:val="auto"/>
          <w:sz w:val="21"/>
          <w:szCs w:val="21"/>
          <w:highlight w:val="none"/>
        </w:rPr>
      </w:pPr>
      <w:r>
        <w:rPr>
          <w:rFonts w:ascii="宋体" w:hAnsi="宋体" w:cs="Arial"/>
          <w:b/>
          <w:bCs/>
          <w:color w:val="auto"/>
          <w:sz w:val="21"/>
          <w:szCs w:val="21"/>
          <w:highlight w:val="none"/>
        </w:rPr>
        <w:t>（4）售后服务分（12分）</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一档（3分）：投标人所提供的售后服务方案内容</w:t>
      </w:r>
      <w:r>
        <w:rPr>
          <w:rFonts w:hint="eastAsia" w:ascii="宋体" w:hAnsi="宋体" w:cs="Arial"/>
          <w:color w:val="auto"/>
          <w:sz w:val="21"/>
          <w:szCs w:val="21"/>
          <w:highlight w:val="none"/>
        </w:rPr>
        <w:t>简略</w:t>
      </w:r>
      <w:r>
        <w:rPr>
          <w:rFonts w:ascii="宋体" w:hAnsi="宋体" w:cs="Arial"/>
          <w:color w:val="auto"/>
          <w:sz w:val="21"/>
          <w:szCs w:val="21"/>
          <w:highlight w:val="none"/>
        </w:rPr>
        <w:t>，仅基本满足招标文件要求，未提出详细的售后服务计划，投标人承诺能在接到采购人通知后24小时内到达现场。</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二档（6分）：投标人提供具体详细的售后服务方案，售后服务方案有较详细的售后服务承诺、售后服务流程，质量保障满足招标文件的，且投标人承诺能在接到采购人通知后12小时内到达现场。</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三档（9分）：售后服务方案详细，有详细的培训计划、售后服务承诺、售后服务流程、应急预案，质量保障优于招标文件等，且投标人承诺能在接到采购人通知后6小时内到达现场。</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Courier New"/>
          <w:b/>
          <w:bCs/>
          <w:color w:val="auto"/>
          <w:spacing w:val="-8"/>
          <w:sz w:val="21"/>
          <w:szCs w:val="21"/>
          <w:highlight w:val="none"/>
        </w:rPr>
      </w:pPr>
      <w:r>
        <w:rPr>
          <w:rFonts w:ascii="宋体" w:hAnsi="宋体" w:cs="Arial"/>
          <w:color w:val="auto"/>
          <w:sz w:val="21"/>
          <w:szCs w:val="21"/>
          <w:highlight w:val="none"/>
        </w:rPr>
        <w:t>四档（12分）：售后服务方案详细，有详细的培训计划、售后服务承诺、售后服务流程、应急预案、售后人员组织方案，质量保障优于招标文件等，提供免费保修期外维修方案，且投标人承诺能在接到采购人通知后3小时内到达现场。</w:t>
      </w:r>
    </w:p>
    <w:p>
      <w:pPr>
        <w:pStyle w:val="22"/>
        <w:pageBreakBefore w:val="0"/>
        <w:kinsoku/>
        <w:wordWrap/>
        <w:overflowPunct/>
        <w:topLinePunct w:val="0"/>
        <w:autoSpaceDE/>
        <w:autoSpaceDN/>
        <w:bidi w:val="0"/>
        <w:spacing w:line="320" w:lineRule="exact"/>
        <w:jc w:val="left"/>
        <w:textAlignment w:val="auto"/>
        <w:rPr>
          <w:rFonts w:hint="eastAsia" w:hAnsi="宋体"/>
          <w:b/>
          <w:bCs/>
          <w:color w:val="auto"/>
          <w:spacing w:val="-8"/>
          <w:sz w:val="21"/>
          <w:szCs w:val="21"/>
          <w:highlight w:val="none"/>
        </w:rPr>
      </w:pPr>
      <w:r>
        <w:rPr>
          <w:rFonts w:hint="eastAsia" w:ascii="宋体" w:hAnsi="宋体" w:cs="Courier New"/>
          <w:b/>
          <w:bCs/>
          <w:color w:val="auto"/>
          <w:spacing w:val="-8"/>
          <w:sz w:val="21"/>
          <w:szCs w:val="21"/>
          <w:highlight w:val="none"/>
        </w:rPr>
        <w:t xml:space="preserve">     </w:t>
      </w:r>
      <w:r>
        <w:rPr>
          <w:rFonts w:ascii="宋体" w:hAnsi="宋体" w:cs="Courier New"/>
          <w:b/>
          <w:bCs/>
          <w:color w:val="auto"/>
          <w:spacing w:val="-8"/>
          <w:sz w:val="21"/>
          <w:szCs w:val="21"/>
          <w:highlight w:val="none"/>
        </w:rPr>
        <w:t>3、</w:t>
      </w:r>
      <w:r>
        <w:rPr>
          <w:rFonts w:hint="eastAsia" w:ascii="宋体" w:hAnsi="宋体" w:cs="Courier New"/>
          <w:b/>
          <w:bCs/>
          <w:color w:val="auto"/>
          <w:spacing w:val="-8"/>
          <w:sz w:val="21"/>
          <w:szCs w:val="21"/>
          <w:highlight w:val="none"/>
        </w:rPr>
        <w:t>商务（</w:t>
      </w:r>
      <w:r>
        <w:rPr>
          <w:rFonts w:ascii="宋体" w:hAnsi="宋体" w:cs="Courier New"/>
          <w:b/>
          <w:bCs/>
          <w:color w:val="auto"/>
          <w:spacing w:val="-8"/>
          <w:sz w:val="21"/>
          <w:szCs w:val="21"/>
          <w:highlight w:val="none"/>
        </w:rPr>
        <w:t>政策功能</w:t>
      </w:r>
      <w:r>
        <w:rPr>
          <w:rFonts w:hint="eastAsia" w:ascii="宋体" w:hAnsi="宋体" w:cs="Courier New"/>
          <w:b/>
          <w:bCs/>
          <w:color w:val="auto"/>
          <w:spacing w:val="-8"/>
          <w:sz w:val="21"/>
          <w:szCs w:val="21"/>
          <w:highlight w:val="none"/>
        </w:rPr>
        <w:t>）</w:t>
      </w:r>
      <w:r>
        <w:rPr>
          <w:rFonts w:ascii="宋体" w:hAnsi="宋体" w:cs="Courier New"/>
          <w:b/>
          <w:bCs/>
          <w:color w:val="auto"/>
          <w:spacing w:val="-8"/>
          <w:sz w:val="21"/>
          <w:szCs w:val="21"/>
          <w:highlight w:val="none"/>
        </w:rPr>
        <w:t>分</w:t>
      </w:r>
      <w:r>
        <w:rPr>
          <w:rFonts w:hint="eastAsia" w:ascii="宋体" w:hAnsi="宋体" w:cs="Courier New"/>
          <w:b/>
          <w:bCs/>
          <w:color w:val="auto"/>
          <w:spacing w:val="-8"/>
          <w:sz w:val="21"/>
          <w:szCs w:val="21"/>
          <w:highlight w:val="none"/>
        </w:rPr>
        <w:t>………………………………………………………………2分</w:t>
      </w:r>
    </w:p>
    <w:p>
      <w:pPr>
        <w:pStyle w:val="227"/>
        <w:pageBreakBefore w:val="0"/>
        <w:kinsoku/>
        <w:wordWrap/>
        <w:overflowPunct/>
        <w:topLinePunct w:val="0"/>
        <w:autoSpaceDE/>
        <w:autoSpaceDN/>
        <w:bidi w:val="0"/>
        <w:adjustRightInd w:val="0"/>
        <w:snapToGrid w:val="0"/>
        <w:spacing w:line="320" w:lineRule="exact"/>
        <w:ind w:firstLine="420"/>
        <w:textAlignment w:val="auto"/>
        <w:rPr>
          <w:rFonts w:hint="eastAsia"/>
          <w:color w:val="auto"/>
          <w:highlight w:val="none"/>
        </w:rPr>
      </w:pPr>
      <w:r>
        <w:rPr>
          <w:rFonts w:hint="eastAsia"/>
          <w:color w:val="auto"/>
          <w:highlight w:val="none"/>
        </w:rPr>
        <w:t>（1）投标产品纳入（财库[2019]19号）中节能产品政府采购清单的（适用于非强制采购节能产品，依据《市场监管总局关于发布参与实施政府采购节能产品、环境标志产品认证机构名录的公告》，提供所投相应型号产品有效的认证证书扫描件或其他电子文件），得1分，满分1分。</w:t>
      </w:r>
    </w:p>
    <w:p>
      <w:pPr>
        <w:pageBreakBefore w:val="0"/>
        <w:kinsoku/>
        <w:wordWrap/>
        <w:overflowPunct/>
        <w:topLinePunct w:val="0"/>
        <w:autoSpaceDE/>
        <w:autoSpaceDN/>
        <w:bidi w:val="0"/>
        <w:spacing w:line="320" w:lineRule="exact"/>
        <w:ind w:firstLine="420" w:firstLineChars="200"/>
        <w:textAlignment w:val="auto"/>
        <w:outlineLvl w:val="0"/>
        <w:rPr>
          <w:rFonts w:hint="eastAsia" w:ascii="宋体" w:hAnsi="宋体" w:cs="宋体"/>
          <w:color w:val="auto"/>
          <w:szCs w:val="21"/>
          <w:highlight w:val="none"/>
        </w:rPr>
      </w:pPr>
      <w:r>
        <w:rPr>
          <w:rFonts w:hint="eastAsia" w:ascii="宋体" w:hAnsi="宋体" w:cs="宋体"/>
          <w:bCs/>
          <w:color w:val="auto"/>
          <w:kern w:val="0"/>
          <w:szCs w:val="21"/>
          <w:highlight w:val="none"/>
          <w:lang w:bidi="ar"/>
        </w:rPr>
        <w:t>（2）</w:t>
      </w:r>
      <w:r>
        <w:rPr>
          <w:rFonts w:hint="eastAsia" w:ascii="宋体" w:hAnsi="宋体" w:cs="宋体"/>
          <w:color w:val="auto"/>
          <w:szCs w:val="21"/>
          <w:highlight w:val="none"/>
        </w:rPr>
        <w:t>投标产品纳入（财库[2019]18号）中环境标志产品政府采购清单的（依据《市场监管总局关于发</w:t>
      </w:r>
      <w:r>
        <w:rPr>
          <w:rFonts w:hint="eastAsia"/>
          <w:color w:val="auto"/>
          <w:szCs w:val="21"/>
          <w:highlight w:val="none"/>
        </w:rPr>
        <w:t>布参与实施政府采购节能产品、环境标志产品认证机构名录的公告》，提供所投相应型号产品有效的认</w:t>
      </w:r>
      <w:r>
        <w:rPr>
          <w:rFonts w:hint="eastAsia" w:ascii="宋体" w:hAnsi="宋体" w:cs="宋体"/>
          <w:color w:val="auto"/>
          <w:szCs w:val="21"/>
          <w:highlight w:val="none"/>
        </w:rPr>
        <w:t>证证书扫描件或其他电子文件）</w:t>
      </w:r>
      <w:r>
        <w:rPr>
          <w:rFonts w:hint="eastAsia"/>
          <w:color w:val="auto"/>
          <w:szCs w:val="21"/>
          <w:highlight w:val="none"/>
        </w:rPr>
        <w:t>，得1分，</w:t>
      </w:r>
      <w:r>
        <w:rPr>
          <w:rFonts w:hint="eastAsia" w:ascii="宋体" w:hAnsi="宋体" w:cs="宋体"/>
          <w:color w:val="auto"/>
          <w:szCs w:val="21"/>
          <w:highlight w:val="none"/>
        </w:rPr>
        <w:t>满分1分。</w:t>
      </w:r>
    </w:p>
    <w:p>
      <w:pPr>
        <w:pageBreakBefore w:val="0"/>
        <w:kinsoku/>
        <w:wordWrap/>
        <w:overflowPunct/>
        <w:topLinePunct w:val="0"/>
        <w:autoSpaceDE/>
        <w:autoSpaceDN/>
        <w:bidi w:val="0"/>
        <w:spacing w:line="320" w:lineRule="exact"/>
        <w:ind w:firstLine="420" w:firstLineChars="200"/>
        <w:textAlignment w:val="auto"/>
        <w:outlineLvl w:val="0"/>
        <w:rPr>
          <w:rFonts w:hint="eastAsia" w:ascii="宋体" w:hAnsi="宋体" w:cs="宋体"/>
          <w:color w:val="auto"/>
          <w:szCs w:val="21"/>
          <w:highlight w:val="none"/>
        </w:rPr>
      </w:pPr>
    </w:p>
    <w:p>
      <w:pPr>
        <w:pageBreakBefore w:val="0"/>
        <w:kinsoku/>
        <w:wordWrap/>
        <w:overflowPunct/>
        <w:topLinePunct w:val="0"/>
        <w:autoSpaceDE/>
        <w:autoSpaceDN/>
        <w:bidi w:val="0"/>
        <w:spacing w:line="320" w:lineRule="exact"/>
        <w:ind w:firstLine="405"/>
        <w:textAlignment w:val="auto"/>
        <w:rPr>
          <w:rFonts w:hAnsi="Courier New" w:cs="Courier New"/>
          <w:b/>
          <w:bCs/>
          <w:color w:val="auto"/>
          <w:szCs w:val="21"/>
          <w:highlight w:val="none"/>
        </w:rPr>
      </w:pPr>
      <w:r>
        <w:rPr>
          <w:rFonts w:hint="eastAsia" w:hAnsi="宋体" w:cs="宋体"/>
          <w:b/>
          <w:bCs/>
          <w:color w:val="auto"/>
          <w:spacing w:val="-2"/>
          <w:szCs w:val="21"/>
          <w:highlight w:val="none"/>
        </w:rPr>
        <w:t>（</w:t>
      </w:r>
      <w:r>
        <w:rPr>
          <w:rFonts w:hint="eastAsia" w:cs="Courier New"/>
          <w:b/>
          <w:bCs/>
          <w:color w:val="auto"/>
          <w:spacing w:val="-2"/>
          <w:szCs w:val="21"/>
          <w:highlight w:val="none"/>
        </w:rPr>
        <w:t>三</w:t>
      </w:r>
      <w:r>
        <w:rPr>
          <w:rFonts w:hint="eastAsia" w:hAnsi="宋体" w:cs="宋体"/>
          <w:b/>
          <w:bCs/>
          <w:color w:val="auto"/>
          <w:spacing w:val="-2"/>
          <w:szCs w:val="21"/>
          <w:highlight w:val="none"/>
        </w:rPr>
        <w:t>）总得分</w:t>
      </w:r>
      <w:r>
        <w:rPr>
          <w:rFonts w:hint="eastAsia" w:eastAsia="Calibri" w:cs="Courier New"/>
          <w:b/>
          <w:bCs/>
          <w:color w:val="auto"/>
          <w:spacing w:val="-2"/>
          <w:szCs w:val="21"/>
          <w:highlight w:val="none"/>
        </w:rPr>
        <w:t>=</w:t>
      </w:r>
      <w:r>
        <w:rPr>
          <w:rFonts w:hint="eastAsia" w:cs="Courier New"/>
          <w:color w:val="auto"/>
          <w:szCs w:val="21"/>
          <w:highlight w:val="none"/>
        </w:rPr>
        <w:t xml:space="preserve"> </w:t>
      </w:r>
      <w:r>
        <w:rPr>
          <w:rFonts w:hint="eastAsia" w:cs="Courier New"/>
          <w:b/>
          <w:bCs/>
          <w:color w:val="auto"/>
          <w:szCs w:val="21"/>
          <w:highlight w:val="none"/>
        </w:rPr>
        <w:t xml:space="preserve">1 + 2 + 3。 </w:t>
      </w:r>
    </w:p>
    <w:p>
      <w:pPr>
        <w:pageBreakBefore w:val="0"/>
        <w:kinsoku/>
        <w:wordWrap/>
        <w:overflowPunct/>
        <w:topLinePunct w:val="0"/>
        <w:autoSpaceDE/>
        <w:autoSpaceDN/>
        <w:bidi w:val="0"/>
        <w:spacing w:line="320" w:lineRule="exact"/>
        <w:ind w:firstLine="421" w:firstLineChars="200"/>
        <w:textAlignment w:val="auto"/>
        <w:rPr>
          <w:b/>
          <w:bCs/>
          <w:color w:val="auto"/>
          <w:szCs w:val="21"/>
          <w:highlight w:val="none"/>
        </w:rPr>
      </w:pPr>
      <w:r>
        <w:rPr>
          <w:rFonts w:hint="eastAsia"/>
          <w:b/>
          <w:bCs/>
          <w:color w:val="auto"/>
          <w:szCs w:val="21"/>
          <w:highlight w:val="none"/>
        </w:rPr>
        <w:t>三、中标候选人推荐原则</w:t>
      </w:r>
    </w:p>
    <w:p>
      <w:pPr>
        <w:pageBreakBefore w:val="0"/>
        <w:kinsoku/>
        <w:wordWrap/>
        <w:overflowPunct/>
        <w:topLinePunct w:val="0"/>
        <w:autoSpaceDE/>
        <w:autoSpaceDN/>
        <w:bidi w:val="0"/>
        <w:spacing w:line="320" w:lineRule="exact"/>
        <w:ind w:firstLine="420" w:firstLineChars="200"/>
        <w:jc w:val="left"/>
        <w:textAlignment w:val="auto"/>
        <w:rPr>
          <w:bCs/>
          <w:color w:val="auto"/>
          <w:szCs w:val="21"/>
          <w:highlight w:val="none"/>
        </w:rPr>
      </w:pPr>
      <w:r>
        <w:rPr>
          <w:rFonts w:hint="eastAsia"/>
          <w:bCs/>
          <w:color w:val="auto"/>
          <w:szCs w:val="21"/>
          <w:highlight w:val="none"/>
        </w:rPr>
        <w:t>（一）评标委员会将根据得分由高到低排列次序（得分相同时，以评标价由低到高顺序排列；得分相同且评标价相同的，按技术指标优劣顺序排列）并推荐中标候选供应商。采购人应当确定评审委员会推荐排名第一的中标候选人为中标人。</w:t>
      </w:r>
    </w:p>
    <w:p>
      <w:pPr>
        <w:pageBreakBefore w:val="0"/>
        <w:kinsoku/>
        <w:wordWrap/>
        <w:overflowPunct/>
        <w:topLinePunct w:val="0"/>
        <w:autoSpaceDE/>
        <w:autoSpaceDN/>
        <w:bidi w:val="0"/>
        <w:spacing w:line="320" w:lineRule="exact"/>
        <w:ind w:firstLine="420" w:firstLineChars="200"/>
        <w:jc w:val="left"/>
        <w:textAlignment w:val="auto"/>
        <w:rPr>
          <w:bCs/>
          <w:color w:val="auto"/>
          <w:szCs w:val="21"/>
          <w:highlight w:val="none"/>
        </w:rPr>
      </w:pPr>
      <w:r>
        <w:rPr>
          <w:rFonts w:hint="eastAsia"/>
          <w:bCs/>
          <w:color w:val="auto"/>
          <w:szCs w:val="21"/>
          <w:highlight w:val="none"/>
        </w:rPr>
        <w:t>（二）排名第一的中标候选人放弃中标、</w:t>
      </w:r>
      <w:r>
        <w:rPr>
          <w:rFonts w:hint="eastAsia"/>
          <w:bCs/>
          <w:color w:val="auto"/>
          <w:szCs w:val="21"/>
          <w:highlight w:val="none"/>
        </w:rPr>
        <w:t>拒绝签订政府采购合同的</w:t>
      </w:r>
      <w:r>
        <w:rPr>
          <w:rFonts w:hint="eastAsia"/>
          <w:bCs/>
          <w:color w:val="auto"/>
          <w:szCs w:val="21"/>
          <w:highlight w:val="none"/>
        </w:rPr>
        <w:t>，采购人可以确定排名第二的中标候选人为中标人。排名第二的中标候选人因前款规定的同样原因不能签订合同的，采购人可以确定排名第三的中标候选人为中标人，其余以此类推。</w:t>
      </w:r>
    </w:p>
    <w:p>
      <w:pPr>
        <w:spacing w:line="240" w:lineRule="auto"/>
        <w:ind w:firstLine="0" w:firstLineChars="0"/>
        <w:jc w:val="left"/>
        <w:rPr>
          <w:bCs/>
          <w:color w:val="auto"/>
          <w:szCs w:val="21"/>
          <w:highlight w:val="none"/>
        </w:rPr>
      </w:pPr>
      <w:r>
        <w:rPr>
          <w:rFonts w:hint="eastAsia"/>
          <w:bCs/>
          <w:color w:val="auto"/>
          <w:szCs w:val="21"/>
          <w:highlight w:val="none"/>
        </w:rPr>
        <w:br w:type="page"/>
      </w:r>
    </w:p>
    <w:p>
      <w:pPr>
        <w:spacing w:line="340" w:lineRule="exact"/>
        <w:jc w:val="center"/>
        <w:rPr>
          <w:rFonts w:hint="eastAsia" w:ascii="仿宋_GB2312" w:hAnsi="宋体" w:eastAsia="仿宋_GB2312"/>
          <w:b/>
          <w:color w:val="auto"/>
          <w:sz w:val="32"/>
          <w:szCs w:val="32"/>
          <w:highlight w:val="none"/>
          <w:lang w:val="en"/>
        </w:rPr>
      </w:pPr>
      <w:r>
        <w:rPr>
          <w:rFonts w:hint="eastAsia" w:ascii="仿宋_GB2312" w:hAnsi="宋体" w:eastAsia="仿宋_GB2312"/>
          <w:b/>
          <w:color w:val="auto"/>
          <w:sz w:val="32"/>
          <w:szCs w:val="32"/>
          <w:highlight w:val="none"/>
          <w:lang w:val="en"/>
        </w:rPr>
        <w:t>评标方法</w:t>
      </w:r>
      <w:r>
        <w:rPr>
          <w:rFonts w:ascii="仿宋_GB2312" w:hAnsi="宋体" w:eastAsia="仿宋_GB2312"/>
          <w:b/>
          <w:color w:val="auto"/>
          <w:sz w:val="32"/>
          <w:szCs w:val="32"/>
          <w:highlight w:val="none"/>
          <w:lang w:val="en"/>
        </w:rPr>
        <w:t>及评分标准</w:t>
      </w:r>
    </w:p>
    <w:p>
      <w:pPr>
        <w:pStyle w:val="22"/>
        <w:pageBreakBefore w:val="0"/>
        <w:kinsoku/>
        <w:wordWrap/>
        <w:overflowPunct/>
        <w:topLinePunct w:val="0"/>
        <w:autoSpaceDE/>
        <w:autoSpaceDN/>
        <w:bidi w:val="0"/>
        <w:spacing w:line="320" w:lineRule="exact"/>
        <w:jc w:val="center"/>
        <w:textAlignment w:val="auto"/>
        <w:rPr>
          <w:rFonts w:eastAsia="仿宋_GB2312"/>
          <w:color w:val="auto"/>
          <w:highlight w:val="none"/>
        </w:rPr>
      </w:pPr>
      <w:r>
        <w:rPr>
          <w:rFonts w:hint="eastAsia" w:ascii="宋体" w:hAnsi="宋体" w:cs="Courier New"/>
          <w:b/>
          <w:color w:val="auto"/>
          <w:sz w:val="21"/>
          <w:szCs w:val="21"/>
          <w:highlight w:val="none"/>
          <w:u w:val="single"/>
        </w:rPr>
        <w:t>（适用分标3）</w:t>
      </w:r>
    </w:p>
    <w:p>
      <w:pPr>
        <w:pStyle w:val="31"/>
        <w:pageBreakBefore w:val="0"/>
        <w:kinsoku/>
        <w:wordWrap/>
        <w:overflowPunct/>
        <w:topLinePunct w:val="0"/>
        <w:autoSpaceDE/>
        <w:autoSpaceDN/>
        <w:bidi w:val="0"/>
        <w:spacing w:line="320" w:lineRule="exact"/>
        <w:ind w:firstLine="516" w:firstLineChars="245"/>
        <w:textAlignment w:val="auto"/>
        <w:rPr>
          <w:rFonts w:hint="eastAsia" w:hAnsi="宋体"/>
          <w:b/>
          <w:color w:val="auto"/>
          <w:highlight w:val="none"/>
        </w:rPr>
      </w:pPr>
      <w:r>
        <w:rPr>
          <w:rFonts w:hint="eastAsia" w:hAnsi="宋体"/>
          <w:b/>
          <w:color w:val="auto"/>
          <w:highlight w:val="none"/>
        </w:rPr>
        <w:t>一、评标原则</w:t>
      </w:r>
    </w:p>
    <w:p>
      <w:pPr>
        <w:pStyle w:val="31"/>
        <w:pageBreakBefore w:val="0"/>
        <w:kinsoku/>
        <w:wordWrap/>
        <w:overflowPunct/>
        <w:topLinePunct w:val="0"/>
        <w:autoSpaceDE/>
        <w:autoSpaceDN/>
        <w:bidi w:val="0"/>
        <w:spacing w:line="320" w:lineRule="exact"/>
        <w:ind w:firstLine="483" w:firstLineChars="230"/>
        <w:textAlignment w:val="auto"/>
        <w:rPr>
          <w:rFonts w:hint="eastAsia" w:hAnsi="宋体"/>
          <w:bCs/>
          <w:color w:val="auto"/>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31"/>
        <w:pageBreakBefore w:val="0"/>
        <w:kinsoku/>
        <w:wordWrap/>
        <w:overflowPunct/>
        <w:topLinePunct w:val="0"/>
        <w:autoSpaceDE/>
        <w:autoSpaceDN/>
        <w:bidi w:val="0"/>
        <w:spacing w:line="320" w:lineRule="exact"/>
        <w:ind w:firstLine="499" w:firstLineChars="238"/>
        <w:textAlignment w:val="auto"/>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31"/>
        <w:pageBreakBefore w:val="0"/>
        <w:kinsoku/>
        <w:wordWrap/>
        <w:overflowPunct/>
        <w:topLinePunct w:val="0"/>
        <w:autoSpaceDE/>
        <w:autoSpaceDN/>
        <w:bidi w:val="0"/>
        <w:spacing w:line="320" w:lineRule="exact"/>
        <w:ind w:firstLine="510" w:firstLineChars="243"/>
        <w:textAlignment w:val="auto"/>
        <w:rPr>
          <w:rFonts w:hint="eastAsia" w:hAnsi="宋体"/>
          <w:bCs/>
          <w:color w:val="auto"/>
          <w:highlight w:val="none"/>
        </w:rPr>
      </w:pPr>
      <w:r>
        <w:rPr>
          <w:rFonts w:hint="eastAsia" w:hAnsi="宋体"/>
          <w:bCs/>
          <w:color w:val="auto"/>
          <w:highlight w:val="none"/>
        </w:rPr>
        <w:t>(三)评标方式：以封闭方式进行。</w:t>
      </w:r>
    </w:p>
    <w:p>
      <w:pPr>
        <w:pStyle w:val="6"/>
        <w:pageBreakBefore w:val="0"/>
        <w:kinsoku/>
        <w:wordWrap/>
        <w:overflowPunct/>
        <w:topLinePunct w:val="0"/>
        <w:autoSpaceDE/>
        <w:autoSpaceDN/>
        <w:bidi w:val="0"/>
        <w:spacing w:line="320" w:lineRule="exact"/>
        <w:jc w:val="left"/>
        <w:textAlignment w:val="auto"/>
        <w:rPr>
          <w:rFonts w:hint="eastAsia" w:ascii="宋体" w:hAnsi="宋体" w:eastAsia="宋体" w:cs="宋体"/>
          <w:color w:val="auto"/>
          <w:sz w:val="21"/>
          <w:szCs w:val="21"/>
          <w:highlight w:val="none"/>
        </w:rPr>
      </w:pPr>
      <w:r>
        <w:rPr>
          <w:rFonts w:hint="eastAsia"/>
          <w:color w:val="auto"/>
          <w:sz w:val="21"/>
          <w:szCs w:val="21"/>
          <w:highlight w:val="none"/>
        </w:rPr>
        <w:t xml:space="preserve">   </w:t>
      </w:r>
      <w:r>
        <w:rPr>
          <w:rFonts w:hint="eastAsia" w:ascii="宋体" w:hAnsi="宋体" w:eastAsia="宋体" w:cs="宋体"/>
          <w:color w:val="auto"/>
          <w:sz w:val="21"/>
          <w:szCs w:val="21"/>
          <w:highlight w:val="none"/>
        </w:rPr>
        <w:t>（四）无效投标处理原则：在评标过程中，包括在异常低价认定程序中被认定为无效的投标，其投标文件不再进入后续评审阶段，也不参与得分计算与汇总排名。</w:t>
      </w:r>
    </w:p>
    <w:p>
      <w:pPr>
        <w:pStyle w:val="31"/>
        <w:pageBreakBefore w:val="0"/>
        <w:kinsoku/>
        <w:wordWrap/>
        <w:overflowPunct/>
        <w:topLinePunct w:val="0"/>
        <w:autoSpaceDE/>
        <w:autoSpaceDN/>
        <w:bidi w:val="0"/>
        <w:spacing w:line="320" w:lineRule="exact"/>
        <w:ind w:firstLine="510" w:firstLineChars="243"/>
        <w:textAlignment w:val="auto"/>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31"/>
        <w:pageBreakBefore w:val="0"/>
        <w:kinsoku/>
        <w:wordWrap/>
        <w:overflowPunct/>
        <w:topLinePunct w:val="0"/>
        <w:autoSpaceDE/>
        <w:autoSpaceDN/>
        <w:bidi w:val="0"/>
        <w:spacing w:line="320" w:lineRule="exact"/>
        <w:ind w:firstLine="420" w:firstLineChars="200"/>
        <w:textAlignment w:val="auto"/>
        <w:outlineLvl w:val="0"/>
        <w:rPr>
          <w:rFonts w:hint="eastAsia" w:hAnsi="宋体"/>
          <w:color w:val="auto"/>
          <w:highlight w:val="none"/>
        </w:rPr>
      </w:pPr>
      <w:r>
        <w:rPr>
          <w:rFonts w:hint="eastAsia" w:hAnsi="宋体"/>
          <w:color w:val="auto"/>
          <w:highlight w:val="none"/>
        </w:rPr>
        <w:t>（一）对进入详评的，采用百分制综合评分法。</w:t>
      </w:r>
    </w:p>
    <w:p>
      <w:pPr>
        <w:pStyle w:val="31"/>
        <w:pageBreakBefore w:val="0"/>
        <w:kinsoku/>
        <w:wordWrap/>
        <w:overflowPunct/>
        <w:topLinePunct w:val="0"/>
        <w:autoSpaceDE/>
        <w:autoSpaceDN/>
        <w:bidi w:val="0"/>
        <w:spacing w:line="320" w:lineRule="exact"/>
        <w:ind w:firstLine="420" w:firstLineChars="200"/>
        <w:textAlignment w:val="auto"/>
        <w:outlineLvl w:val="0"/>
        <w:rPr>
          <w:rFonts w:hint="eastAsia" w:hAnsi="宋体"/>
          <w:color w:val="auto"/>
          <w:highlight w:val="none"/>
        </w:rPr>
      </w:pPr>
      <w:r>
        <w:rPr>
          <w:rFonts w:hint="eastAsia" w:hAnsi="宋体"/>
          <w:color w:val="auto"/>
          <w:highlight w:val="none"/>
        </w:rPr>
        <w:t>（二）计分办法（按四舍五入取至百分位）：</w:t>
      </w:r>
    </w:p>
    <w:p>
      <w:pPr>
        <w:pStyle w:val="31"/>
        <w:pageBreakBefore w:val="0"/>
        <w:kinsoku/>
        <w:wordWrap/>
        <w:overflowPunct/>
        <w:topLinePunct w:val="0"/>
        <w:autoSpaceDE/>
        <w:autoSpaceDN/>
        <w:bidi w:val="0"/>
        <w:spacing w:line="320" w:lineRule="exact"/>
        <w:ind w:firstLine="501" w:firstLineChars="238"/>
        <w:textAlignment w:val="auto"/>
        <w:rPr>
          <w:b/>
          <w:color w:val="auto"/>
          <w:highlight w:val="none"/>
        </w:rPr>
      </w:pPr>
      <w:r>
        <w:rPr>
          <w:rFonts w:hint="eastAsia"/>
          <w:b/>
          <w:color w:val="auto"/>
          <w:highlight w:val="none"/>
        </w:rPr>
        <w:t>1、价格分</w:t>
      </w:r>
      <w:r>
        <w:rPr>
          <w:rFonts w:hint="eastAsia" w:hAnsi="宋体"/>
          <w:b/>
          <w:bCs/>
          <w:color w:val="auto"/>
          <w:spacing w:val="-8"/>
          <w:highlight w:val="none"/>
        </w:rPr>
        <w:t>………………………………………………………………………………………</w:t>
      </w:r>
      <w:r>
        <w:rPr>
          <w:rFonts w:hint="eastAsia"/>
          <w:b/>
          <w:color w:val="auto"/>
          <w:highlight w:val="none"/>
        </w:rPr>
        <w:t>50分</w:t>
      </w:r>
    </w:p>
    <w:p>
      <w:pPr>
        <w:pStyle w:val="227"/>
        <w:pageBreakBefore w:val="0"/>
        <w:kinsoku/>
        <w:wordWrap/>
        <w:overflowPunct/>
        <w:topLinePunct w:val="0"/>
        <w:autoSpaceDE/>
        <w:autoSpaceDN/>
        <w:bidi w:val="0"/>
        <w:adjustRightInd w:val="0"/>
        <w:snapToGrid w:val="0"/>
        <w:spacing w:line="320" w:lineRule="exact"/>
        <w:ind w:firstLine="378" w:firstLineChars="180"/>
        <w:textAlignment w:val="auto"/>
        <w:rPr>
          <w:rFonts w:hint="eastAsia"/>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符合《政府采购促进中小企业发展管理办法》（财库〔2020〕46号）规定条件且按该办法中规定的格式提供了《中小企业声明函》的小型和微型企业参与投标，对其投标报价给予10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扣除后的价格为评标价，即评标价=投标价×（1-10%）；</w:t>
      </w:r>
      <w:r>
        <w:rPr>
          <w:rFonts w:hint="eastAsia"/>
          <w:color w:val="auto"/>
          <w:highlight w:val="none"/>
        </w:rPr>
        <w:t>符合《国务院办公厅关于在政府采购中实施本国产品标准及相关政策的通知》（国办发〔2025〕34号）规定</w:t>
      </w:r>
      <w:r>
        <w:rPr>
          <w:rFonts w:hint="eastAsia" w:ascii="Times New Roman" w:hAnsi="Times New Roman"/>
          <w:bCs/>
          <w:color w:val="auto"/>
          <w:highlight w:val="none"/>
        </w:rPr>
        <w:t>条件且按该通知中规定的格式提供了《关于符合本国产品标准的声明函》的供应商参与投标，对其投标报价给予20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扣除后的价格为评标价，即评标价=投标价×（1-20%）</w:t>
      </w:r>
      <w:r>
        <w:rPr>
          <w:rFonts w:hint="eastAsia"/>
          <w:color w:val="auto"/>
          <w:highlight w:val="none"/>
        </w:rPr>
        <w:t>；除上述情况外，评标价=投标价。</w:t>
      </w:r>
    </w:p>
    <w:p>
      <w:pPr>
        <w:pStyle w:val="31"/>
        <w:pageBreakBefore w:val="0"/>
        <w:kinsoku/>
        <w:wordWrap/>
        <w:overflowPunct/>
        <w:topLinePunct w:val="0"/>
        <w:autoSpaceDE/>
        <w:autoSpaceDN/>
        <w:bidi w:val="0"/>
        <w:spacing w:line="320" w:lineRule="exact"/>
        <w:ind w:firstLine="420" w:firstLineChars="200"/>
        <w:textAlignment w:val="auto"/>
        <w:outlineLvl w:val="0"/>
        <w:rPr>
          <w:color w:val="auto"/>
          <w:highlight w:val="none"/>
        </w:rPr>
      </w:pPr>
      <w:r>
        <w:rPr>
          <w:rFonts w:hint="eastAsia" w:hAnsi="宋体" w:cs="宋体"/>
          <w:color w:val="auto"/>
          <w:kern w:val="0"/>
          <w:highlight w:val="none"/>
        </w:rPr>
        <w:t>投标产品生产企业</w:t>
      </w:r>
      <w:r>
        <w:rPr>
          <w:rFonts w:hint="eastAsia"/>
          <w:color w:val="auto"/>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31"/>
        <w:pageBreakBefore w:val="0"/>
        <w:kinsoku/>
        <w:wordWrap/>
        <w:overflowPunct/>
        <w:topLinePunct w:val="0"/>
        <w:autoSpaceDE/>
        <w:autoSpaceDN/>
        <w:bidi w:val="0"/>
        <w:spacing w:line="320" w:lineRule="exact"/>
        <w:ind w:firstLine="420" w:firstLineChars="200"/>
        <w:textAlignment w:val="auto"/>
        <w:outlineLvl w:val="0"/>
        <w:rPr>
          <w:color w:val="auto"/>
          <w:highlight w:val="none"/>
        </w:rPr>
      </w:pPr>
      <w:r>
        <w:rPr>
          <w:rFonts w:hint="eastAsia"/>
          <w:color w:val="auto"/>
          <w:highlight w:val="none"/>
        </w:rPr>
        <w:t>投标</w:t>
      </w:r>
      <w:r>
        <w:rPr>
          <w:rFonts w:hint="eastAsia"/>
          <w:b/>
          <w:color w:val="auto"/>
          <w:highlight w:val="none"/>
        </w:rPr>
        <w:t>产品</w:t>
      </w:r>
      <w:r>
        <w:rPr>
          <w:rFonts w:hint="eastAsia"/>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31"/>
        <w:pageBreakBefore w:val="0"/>
        <w:kinsoku/>
        <w:wordWrap/>
        <w:overflowPunct/>
        <w:topLinePunct w:val="0"/>
        <w:autoSpaceDE/>
        <w:autoSpaceDN/>
        <w:bidi w:val="0"/>
        <w:spacing w:line="320" w:lineRule="exact"/>
        <w:ind w:firstLine="210" w:firstLineChars="100"/>
        <w:textAlignment w:val="auto"/>
        <w:outlineLvl w:val="0"/>
        <w:rPr>
          <w:rFonts w:hint="eastAsia" w:hAnsi="宋体"/>
          <w:color w:val="auto"/>
          <w:highlight w:val="none"/>
        </w:rPr>
      </w:pPr>
      <w:r>
        <w:rPr>
          <w:rFonts w:hint="eastAsia" w:hAnsi="宋体"/>
          <w:color w:val="auto"/>
          <w:highlight w:val="none"/>
        </w:rPr>
        <w:t xml:space="preserve"> （2）以</w:t>
      </w:r>
      <w:r>
        <w:rPr>
          <w:rFonts w:hint="eastAsia"/>
          <w:color w:val="auto"/>
          <w:highlight w:val="none"/>
        </w:rPr>
        <w:t>满足招标文件要求且评标价最低的投标人的评标价为评标基准价，其价格分为</w:t>
      </w:r>
      <w:r>
        <w:rPr>
          <w:rFonts w:hint="eastAsia" w:hAnsi="宋体" w:cs="宋体"/>
          <w:b/>
          <w:color w:val="auto"/>
          <w:highlight w:val="none"/>
        </w:rPr>
        <w:t>50</w:t>
      </w:r>
      <w:r>
        <w:rPr>
          <w:rFonts w:hint="eastAsia" w:hAnsi="宋体" w:cs="宋体"/>
          <w:color w:val="auto"/>
          <w:highlight w:val="none"/>
        </w:rPr>
        <w:t>分</w:t>
      </w:r>
      <w:r>
        <w:rPr>
          <w:rFonts w:hint="eastAsia" w:ascii="Times New Roman" w:hAnsi="Times New Roman"/>
          <w:color w:val="auto"/>
          <w:highlight w:val="none"/>
        </w:rPr>
        <w:t>。</w:t>
      </w:r>
    </w:p>
    <w:p>
      <w:pPr>
        <w:pStyle w:val="31"/>
        <w:pageBreakBefore w:val="0"/>
        <w:kinsoku/>
        <w:wordWrap/>
        <w:overflowPunct/>
        <w:topLinePunct w:val="0"/>
        <w:autoSpaceDE/>
        <w:autoSpaceDN/>
        <w:bidi w:val="0"/>
        <w:spacing w:line="320" w:lineRule="exact"/>
        <w:textAlignment w:val="auto"/>
        <w:outlineLvl w:val="0"/>
        <w:rPr>
          <w:b/>
          <w:color w:val="auto"/>
          <w:highlight w:val="none"/>
        </w:rPr>
      </w:pPr>
      <w:r>
        <w:rPr>
          <w:rFonts w:hint="eastAsia"/>
          <w:b/>
          <w:bCs/>
          <w:color w:val="auto"/>
          <w:highlight w:val="none"/>
        </w:rPr>
        <w:t xml:space="preserve">   （3）某投标人价格分</w:t>
      </w:r>
      <w:r>
        <w:rPr>
          <w:rFonts w:hint="eastAsia"/>
          <w:b/>
          <w:color w:val="auto"/>
          <w:highlight w:val="none"/>
        </w:rPr>
        <w:t xml:space="preserve"> =评标基准价（金额）/</w:t>
      </w:r>
      <w:r>
        <w:rPr>
          <w:rFonts w:hint="eastAsia"/>
          <w:b/>
          <w:color w:val="auto"/>
          <w:highlight w:val="none"/>
        </w:rPr>
        <w:t>某投标人评标价（金额）×50分</w:t>
      </w:r>
    </w:p>
    <w:p>
      <w:pPr>
        <w:pStyle w:val="31"/>
        <w:pageBreakBefore w:val="0"/>
        <w:kinsoku/>
        <w:wordWrap/>
        <w:overflowPunct/>
        <w:topLinePunct w:val="0"/>
        <w:autoSpaceDE/>
        <w:autoSpaceDN/>
        <w:bidi w:val="0"/>
        <w:spacing w:line="320" w:lineRule="exact"/>
        <w:textAlignment w:val="auto"/>
        <w:rPr>
          <w:b/>
          <w:color w:val="auto"/>
          <w:highlight w:val="none"/>
        </w:rPr>
      </w:pPr>
      <w:r>
        <w:rPr>
          <w:rFonts w:hint="eastAsia" w:hAnsi="宋体"/>
          <w:b/>
          <w:color w:val="auto"/>
          <w:highlight w:val="none"/>
        </w:rPr>
        <w:t xml:space="preserve">    2、</w:t>
      </w:r>
      <w:r>
        <w:rPr>
          <w:rFonts w:hAnsi="宋体"/>
          <w:b/>
          <w:color w:val="auto"/>
          <w:highlight w:val="none"/>
          <w:lang w:val="en"/>
        </w:rPr>
        <w:t>技术分</w:t>
      </w:r>
      <w:r>
        <w:rPr>
          <w:rFonts w:hint="eastAsia" w:hAnsi="宋体"/>
          <w:b/>
          <w:color w:val="auto"/>
          <w:highlight w:val="none"/>
        </w:rPr>
        <w:t xml:space="preserve"> </w:t>
      </w:r>
      <w:r>
        <w:rPr>
          <w:rFonts w:hint="eastAsia" w:hAnsi="宋体"/>
          <w:b/>
          <w:bCs/>
          <w:color w:val="auto"/>
          <w:spacing w:val="-8"/>
          <w:highlight w:val="none"/>
        </w:rPr>
        <w:t>………………………………………………………………………………………42</w:t>
      </w:r>
      <w:r>
        <w:rPr>
          <w:rFonts w:hint="eastAsia"/>
          <w:b/>
          <w:color w:val="auto"/>
          <w:highlight w:val="none"/>
        </w:rPr>
        <w:t>分</w:t>
      </w:r>
    </w:p>
    <w:p>
      <w:pPr>
        <w:pageBreakBefore w:val="0"/>
        <w:widowControl/>
        <w:kinsoku/>
        <w:wordWrap/>
        <w:overflowPunct/>
        <w:topLinePunct w:val="0"/>
        <w:autoSpaceDE/>
        <w:autoSpaceDN/>
        <w:bidi w:val="0"/>
        <w:spacing w:line="320" w:lineRule="exact"/>
        <w:ind w:firstLine="420"/>
        <w:jc w:val="left"/>
        <w:textAlignment w:val="auto"/>
        <w:rPr>
          <w:rFonts w:hint="eastAsia" w:ascii="宋体" w:hAnsi="宋体" w:cs="宋体"/>
          <w:b/>
          <w:color w:val="auto"/>
          <w:szCs w:val="21"/>
          <w:highlight w:val="none"/>
        </w:rPr>
      </w:pPr>
      <w:r>
        <w:rPr>
          <w:rFonts w:hint="eastAsia"/>
          <w:b/>
          <w:bCs/>
          <w:color w:val="auto"/>
          <w:szCs w:val="21"/>
          <w:highlight w:val="none"/>
        </w:rPr>
        <w:t>（1）</w:t>
      </w:r>
      <w:r>
        <w:rPr>
          <w:rFonts w:hint="eastAsia" w:ascii="宋体" w:hAnsi="宋体" w:cs="宋体"/>
          <w:b/>
          <w:color w:val="auto"/>
          <w:szCs w:val="21"/>
          <w:highlight w:val="none"/>
        </w:rPr>
        <w:t>货物性能分（6分）</w:t>
      </w:r>
    </w:p>
    <w:p>
      <w:pPr>
        <w:pStyle w:val="31"/>
        <w:pageBreakBefore w:val="0"/>
        <w:kinsoku/>
        <w:wordWrap/>
        <w:overflowPunct/>
        <w:topLinePunct w:val="0"/>
        <w:autoSpaceDE/>
        <w:autoSpaceDN/>
        <w:bidi w:val="0"/>
        <w:spacing w:line="320" w:lineRule="exact"/>
        <w:ind w:firstLine="420" w:firstLineChars="200"/>
        <w:textAlignment w:val="auto"/>
        <w:rPr>
          <w:rFonts w:hint="eastAsia" w:hAnsi="宋体" w:cs="宋体"/>
          <w:color w:val="auto"/>
          <w:kern w:val="0"/>
          <w:highlight w:val="none"/>
        </w:rPr>
      </w:pPr>
      <w:r>
        <w:rPr>
          <w:rFonts w:hint="eastAsia" w:hAnsi="宋体" w:cs="宋体"/>
          <w:color w:val="auto"/>
          <w:kern w:val="0"/>
          <w:highlight w:val="none"/>
        </w:rPr>
        <w:t>投标人投标产品的设备技术参数及性能配置每有一项标“</w:t>
      </w:r>
      <w:r>
        <w:rPr>
          <w:rFonts w:hint="eastAsia"/>
          <w:color w:val="auto"/>
          <w:highlight w:val="none"/>
        </w:rPr>
        <w:t>★</w:t>
      </w:r>
      <w:r>
        <w:rPr>
          <w:rFonts w:hint="eastAsia" w:hAnsi="宋体" w:cs="宋体"/>
          <w:color w:val="auto"/>
          <w:kern w:val="0"/>
          <w:highlight w:val="none"/>
        </w:rPr>
        <w:t>”的技术参数正偏离的，得1分，满分6分。</w:t>
      </w:r>
    </w:p>
    <w:p>
      <w:pPr>
        <w:pStyle w:val="22"/>
        <w:pageBreakBefore w:val="0"/>
        <w:kinsoku/>
        <w:wordWrap/>
        <w:overflowPunct/>
        <w:topLinePunct w:val="0"/>
        <w:autoSpaceDE/>
        <w:autoSpaceDN/>
        <w:bidi w:val="0"/>
        <w:spacing w:line="320" w:lineRule="exact"/>
        <w:ind w:firstLine="420" w:firstLineChars="200"/>
        <w:textAlignment w:val="auto"/>
        <w:rPr>
          <w:rFonts w:ascii="宋体" w:hAnsi="Courier New" w:cs="Courier New"/>
          <w:color w:val="auto"/>
          <w:szCs w:val="21"/>
          <w:highlight w:val="none"/>
        </w:rPr>
      </w:pPr>
      <w:r>
        <w:rPr>
          <w:rFonts w:hint="eastAsia" w:ascii="宋体" w:hAnsi="Courier New" w:cs="Courier New"/>
          <w:color w:val="auto"/>
          <w:sz w:val="21"/>
          <w:szCs w:val="21"/>
          <w:highlight w:val="none"/>
        </w:rPr>
        <w:t xml:space="preserve"> 【注：①投标人技术参数及功能有正偏离的，须在技术偏离表中列明，且在投标文件中提供采购需求中</w:t>
      </w:r>
      <w:r>
        <w:rPr>
          <w:rFonts w:hint="eastAsia" w:ascii="宋体" w:hAnsi="Courier New" w:cs="Courier New"/>
          <w:color w:val="auto"/>
          <w:sz w:val="21"/>
          <w:szCs w:val="21"/>
          <w:highlight w:val="none"/>
          <w:lang w:eastAsia="zh-CN"/>
        </w:rPr>
        <w:t>要求</w:t>
      </w:r>
      <w:r>
        <w:rPr>
          <w:rFonts w:hint="eastAsia" w:ascii="宋体" w:hAnsi="Courier New" w:cs="Courier New"/>
          <w:color w:val="auto"/>
          <w:sz w:val="21"/>
          <w:szCs w:val="21"/>
          <w:highlight w:val="none"/>
        </w:rPr>
        <w:t>佐证的证明材料（提供具有检测资质的第三方检测机构出具的检测报告复印件）</w:t>
      </w:r>
      <w:r>
        <w:rPr>
          <w:rFonts w:hint="eastAsia" w:ascii="宋体" w:hAnsi="宋体" w:cs="宋体"/>
          <w:color w:val="auto"/>
          <w:kern w:val="0"/>
          <w:sz w:val="21"/>
          <w:szCs w:val="21"/>
          <w:highlight w:val="none"/>
        </w:rPr>
        <w:t>并加盖投标人公章</w:t>
      </w:r>
      <w:r>
        <w:rPr>
          <w:rFonts w:hint="eastAsia" w:ascii="宋体" w:hAnsi="Courier New" w:cs="Courier New"/>
          <w:color w:val="auto"/>
          <w:sz w:val="21"/>
          <w:szCs w:val="21"/>
          <w:highlight w:val="none"/>
        </w:rPr>
        <w:t>，否则评标委员会不予评定为正偏离。②如技术偏离表中的投标响应与佐证材料不一致的，以佐证材料为准。】</w:t>
      </w:r>
    </w:p>
    <w:p>
      <w:pPr>
        <w:pageBreakBefore w:val="0"/>
        <w:numPr>
          <w:ilvl w:val="255"/>
          <w:numId w:val="0"/>
        </w:numPr>
        <w:kinsoku/>
        <w:wordWrap/>
        <w:overflowPunct/>
        <w:topLinePunct w:val="0"/>
        <w:autoSpaceDE/>
        <w:autoSpaceDN/>
        <w:bidi w:val="0"/>
        <w:spacing w:line="320" w:lineRule="exact"/>
        <w:ind w:firstLine="421" w:firstLineChars="200"/>
        <w:textAlignment w:val="auto"/>
        <w:rPr>
          <w:rFonts w:hint="eastAsia" w:ascii="宋体" w:hAnsi="宋体" w:cs="Arial"/>
          <w:b/>
          <w:color w:val="auto"/>
          <w:szCs w:val="21"/>
          <w:highlight w:val="none"/>
        </w:rPr>
      </w:pPr>
      <w:r>
        <w:rPr>
          <w:rFonts w:hint="eastAsia" w:ascii="宋体" w:hAnsi="宋体" w:cs="Arial"/>
          <w:b/>
          <w:color w:val="auto"/>
          <w:szCs w:val="21"/>
          <w:highlight w:val="none"/>
        </w:rPr>
        <w:t>（2）</w:t>
      </w:r>
      <w:r>
        <w:rPr>
          <w:rFonts w:ascii="宋体" w:hAnsi="宋体" w:cs="Arial"/>
          <w:b/>
          <w:color w:val="auto"/>
          <w:szCs w:val="21"/>
          <w:highlight w:val="none"/>
        </w:rPr>
        <w:t>项目实施方案分</w:t>
      </w:r>
      <w:r>
        <w:rPr>
          <w:rFonts w:hint="eastAsia" w:ascii="宋体" w:hAnsi="宋体" w:cs="Arial"/>
          <w:b/>
          <w:color w:val="auto"/>
          <w:szCs w:val="21"/>
          <w:highlight w:val="none"/>
        </w:rPr>
        <w:t>（1</w:t>
      </w:r>
      <w:r>
        <w:rPr>
          <w:rFonts w:ascii="宋体" w:hAnsi="宋体" w:cs="Arial"/>
          <w:b/>
          <w:color w:val="auto"/>
          <w:szCs w:val="21"/>
          <w:highlight w:val="none"/>
        </w:rPr>
        <w:t>2</w:t>
      </w:r>
      <w:r>
        <w:rPr>
          <w:rFonts w:hint="eastAsia" w:ascii="宋体" w:hAnsi="宋体" w:cs="Arial"/>
          <w:b/>
          <w:color w:val="auto"/>
          <w:szCs w:val="21"/>
          <w:highlight w:val="none"/>
        </w:rPr>
        <w:t>分）</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hint="eastAsia"/>
          <w:color w:val="auto"/>
          <w:szCs w:val="21"/>
          <w:highlight w:val="none"/>
        </w:rPr>
        <w:t xml:space="preserve"> </w:t>
      </w:r>
      <w:r>
        <w:rPr>
          <w:rFonts w:ascii="宋体" w:hAnsi="宋体" w:cs="Arial"/>
          <w:color w:val="auto"/>
          <w:szCs w:val="21"/>
          <w:highlight w:val="none"/>
        </w:rPr>
        <w:t>一档（</w:t>
      </w:r>
      <w:r>
        <w:rPr>
          <w:rFonts w:hint="eastAsia" w:ascii="宋体" w:hAnsi="宋体" w:cs="Arial"/>
          <w:color w:val="auto"/>
          <w:szCs w:val="21"/>
          <w:highlight w:val="none"/>
        </w:rPr>
        <w:t>3</w:t>
      </w:r>
      <w:r>
        <w:rPr>
          <w:rFonts w:ascii="宋体" w:hAnsi="宋体" w:cs="Arial"/>
          <w:color w:val="auto"/>
          <w:szCs w:val="21"/>
          <w:highlight w:val="none"/>
        </w:rPr>
        <w:t>分）：项目实施方案进度安排、相关保障措施能力、对各项关键工作安排、对本项目的风险预见、风险应对措施、项目管理方案、组织机构安排及分工与职责安排等描述单一</w:t>
      </w:r>
      <w:r>
        <w:rPr>
          <w:rFonts w:hint="eastAsia" w:ascii="宋体" w:hAnsi="宋体" w:cs="Arial"/>
          <w:color w:val="auto"/>
          <w:szCs w:val="21"/>
          <w:highlight w:val="none"/>
        </w:rPr>
        <w:t>。</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ascii="宋体" w:hAnsi="宋体" w:cs="Arial"/>
          <w:color w:val="auto"/>
          <w:szCs w:val="21"/>
          <w:highlight w:val="none"/>
        </w:rPr>
        <w:t>二档（</w:t>
      </w:r>
      <w:r>
        <w:rPr>
          <w:rFonts w:hint="eastAsia" w:ascii="宋体" w:hAnsi="宋体" w:cs="Arial"/>
          <w:color w:val="auto"/>
          <w:szCs w:val="21"/>
          <w:highlight w:val="none"/>
        </w:rPr>
        <w:t>6</w:t>
      </w:r>
      <w:r>
        <w:rPr>
          <w:rFonts w:ascii="宋体" w:hAnsi="宋体" w:cs="Arial"/>
          <w:color w:val="auto"/>
          <w:szCs w:val="21"/>
          <w:highlight w:val="none"/>
        </w:rPr>
        <w:t>分）：项目实施方案进度安排，有相关保障措施；对各项关键工作安排较合理；对本项目有风险预见、风险应对措施；项目管理方案、组织机构比较合理，人员有保障，分工与职责比较明确</w:t>
      </w:r>
      <w:r>
        <w:rPr>
          <w:rFonts w:hint="eastAsia" w:ascii="宋体" w:hAnsi="宋体" w:cs="Arial"/>
          <w:color w:val="auto"/>
          <w:szCs w:val="21"/>
          <w:highlight w:val="none"/>
        </w:rPr>
        <w:t>。</w:t>
      </w:r>
    </w:p>
    <w:p>
      <w:pPr>
        <w:pageBreakBefore w:val="0"/>
        <w:tabs>
          <w:tab w:val="left" w:pos="1367"/>
        </w:tabs>
        <w:kinsoku/>
        <w:wordWrap/>
        <w:overflowPunct/>
        <w:topLinePunct w:val="0"/>
        <w:autoSpaceDE/>
        <w:autoSpaceDN/>
        <w:bidi w:val="0"/>
        <w:spacing w:line="320" w:lineRule="exact"/>
        <w:ind w:firstLine="420" w:firstLineChars="200"/>
        <w:jc w:val="left"/>
        <w:textAlignment w:val="auto"/>
        <w:rPr>
          <w:rFonts w:hint="eastAsia" w:ascii="宋体" w:hAnsi="宋体" w:cs="Arial"/>
          <w:color w:val="auto"/>
          <w:szCs w:val="21"/>
          <w:highlight w:val="none"/>
        </w:rPr>
      </w:pPr>
      <w:r>
        <w:rPr>
          <w:rFonts w:ascii="宋体" w:hAnsi="宋体" w:cs="Arial"/>
          <w:color w:val="auto"/>
          <w:szCs w:val="21"/>
          <w:highlight w:val="none"/>
        </w:rPr>
        <w:t>三档（</w:t>
      </w:r>
      <w:r>
        <w:rPr>
          <w:rFonts w:hint="eastAsia" w:ascii="宋体" w:hAnsi="宋体" w:cs="Arial"/>
          <w:color w:val="auto"/>
          <w:szCs w:val="21"/>
          <w:highlight w:val="none"/>
        </w:rPr>
        <w:t>9</w:t>
      </w:r>
      <w:r>
        <w:rPr>
          <w:rFonts w:ascii="宋体" w:hAnsi="宋体" w:cs="Arial"/>
          <w:color w:val="auto"/>
          <w:szCs w:val="21"/>
          <w:highlight w:val="none"/>
        </w:rPr>
        <w:t>分）：准确把握本项目的技术重点、难点；项目实施方案进度安排合理，且有相关保障措施；对各项关键工作安排较合理；对本项目的风险预见、风险应对措施较好；有完整的项目管理方案、验收计划方案；组织机构合理，人员有保障，分工与职责比较明确，整体方案可行</w:t>
      </w:r>
      <w:r>
        <w:rPr>
          <w:rFonts w:hint="eastAsia" w:ascii="宋体" w:hAnsi="宋体" w:cs="Arial"/>
          <w:color w:val="auto"/>
          <w:szCs w:val="21"/>
          <w:highlight w:val="none"/>
        </w:rPr>
        <w:t>。</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四档（</w:t>
      </w:r>
      <w:r>
        <w:rPr>
          <w:rFonts w:hint="eastAsia" w:ascii="宋体" w:hAnsi="宋体" w:cs="Arial"/>
          <w:color w:val="auto"/>
          <w:sz w:val="21"/>
          <w:szCs w:val="21"/>
          <w:highlight w:val="none"/>
        </w:rPr>
        <w:t>12</w:t>
      </w:r>
      <w:r>
        <w:rPr>
          <w:rFonts w:ascii="宋体" w:hAnsi="宋体" w:cs="Arial"/>
          <w:color w:val="auto"/>
          <w:sz w:val="21"/>
          <w:szCs w:val="21"/>
          <w:highlight w:val="none"/>
        </w:rPr>
        <w:t>分）：准确把握本项目的技术重点、难点；项目实施方案进度安排合理，且相关保障措施到位；能详细说明各个阶段工作安排，对各项关键工作安排合理；对本项目的风险预见、风险应对措施完备，有完善的项目管理方案完整、验收计划方案；组织机构设置合理，有项目实施的技术力量和人力资源安排，人员有保障，分工与职责明确；针对项目具体实施地有明确的实施安排计划，并符合采购人项目需求。</w:t>
      </w:r>
    </w:p>
    <w:p>
      <w:pPr>
        <w:pageBreakBefore w:val="0"/>
        <w:numPr>
          <w:ilvl w:val="255"/>
          <w:numId w:val="0"/>
        </w:numPr>
        <w:kinsoku/>
        <w:wordWrap/>
        <w:overflowPunct/>
        <w:topLinePunct w:val="0"/>
        <w:autoSpaceDE/>
        <w:autoSpaceDN/>
        <w:bidi w:val="0"/>
        <w:spacing w:line="320" w:lineRule="exact"/>
        <w:ind w:firstLine="421" w:firstLineChars="200"/>
        <w:textAlignment w:val="auto"/>
        <w:rPr>
          <w:rFonts w:hint="eastAsia" w:ascii="宋体" w:hAnsi="宋体" w:cs="Arial"/>
          <w:b/>
          <w:color w:val="auto"/>
          <w:szCs w:val="21"/>
          <w:highlight w:val="none"/>
        </w:rPr>
      </w:pPr>
      <w:r>
        <w:rPr>
          <w:rFonts w:hint="eastAsia" w:ascii="宋体" w:hAnsi="宋体" w:cs="Arial"/>
          <w:b/>
          <w:color w:val="auto"/>
          <w:szCs w:val="21"/>
          <w:highlight w:val="none"/>
        </w:rPr>
        <w:t>（3）安装调试方案（12分）</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一档（</w:t>
      </w:r>
      <w:r>
        <w:rPr>
          <w:rFonts w:hint="eastAsia" w:ascii="宋体" w:hAnsi="宋体" w:cs="Arial"/>
          <w:color w:val="auto"/>
          <w:sz w:val="21"/>
          <w:szCs w:val="21"/>
          <w:highlight w:val="none"/>
        </w:rPr>
        <w:t>6</w:t>
      </w:r>
      <w:r>
        <w:rPr>
          <w:rFonts w:ascii="宋体" w:hAnsi="宋体" w:cs="Arial"/>
          <w:color w:val="auto"/>
          <w:sz w:val="21"/>
          <w:szCs w:val="21"/>
          <w:highlight w:val="none"/>
        </w:rPr>
        <w:t>分）：方案基本可行，较</w:t>
      </w:r>
      <w:r>
        <w:rPr>
          <w:rFonts w:hint="eastAsia" w:ascii="宋体" w:hAnsi="宋体" w:cs="Arial"/>
          <w:color w:val="auto"/>
          <w:sz w:val="21"/>
          <w:szCs w:val="21"/>
          <w:highlight w:val="none"/>
        </w:rPr>
        <w:t>简略</w:t>
      </w:r>
      <w:r>
        <w:rPr>
          <w:rFonts w:ascii="宋体" w:hAnsi="宋体" w:cs="Arial"/>
          <w:color w:val="auto"/>
          <w:sz w:val="21"/>
          <w:szCs w:val="21"/>
          <w:highlight w:val="none"/>
        </w:rPr>
        <w:t>，方案内容涉及到配送、安装内容。</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二档（</w:t>
      </w:r>
      <w:r>
        <w:rPr>
          <w:rFonts w:hint="eastAsia" w:ascii="宋体" w:hAnsi="宋体" w:cs="Arial"/>
          <w:color w:val="auto"/>
          <w:sz w:val="21"/>
          <w:szCs w:val="21"/>
          <w:highlight w:val="none"/>
        </w:rPr>
        <w:t>9</w:t>
      </w:r>
      <w:r>
        <w:rPr>
          <w:rFonts w:ascii="宋体" w:hAnsi="宋体" w:cs="Arial"/>
          <w:color w:val="auto"/>
          <w:sz w:val="21"/>
          <w:szCs w:val="21"/>
          <w:highlight w:val="none"/>
        </w:rPr>
        <w:t>分）：方案完全满足采购要求，表达清晰完整，方案内容覆盖了安装、配送、调试等内容。</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三档（</w:t>
      </w:r>
      <w:r>
        <w:rPr>
          <w:rFonts w:hint="eastAsia" w:ascii="宋体" w:hAnsi="宋体" w:cs="Arial"/>
          <w:color w:val="auto"/>
          <w:sz w:val="21"/>
          <w:szCs w:val="21"/>
          <w:highlight w:val="none"/>
        </w:rPr>
        <w:t>12</w:t>
      </w:r>
      <w:r>
        <w:rPr>
          <w:rFonts w:ascii="宋体" w:hAnsi="宋体" w:cs="Arial"/>
          <w:color w:val="auto"/>
          <w:sz w:val="21"/>
          <w:szCs w:val="21"/>
          <w:highlight w:val="none"/>
        </w:rPr>
        <w:t>分）：方案完全满足采购要求，表达清晰完整、合理、有效，有针对性，涵盖备货方案、安装方案、配送方案、调试方案，拟投入的安装调试投入人员分工与职责明确，符合采购人实际使用需求。</w:t>
      </w:r>
    </w:p>
    <w:p>
      <w:pPr>
        <w:pStyle w:val="22"/>
        <w:pageBreakBefore w:val="0"/>
        <w:kinsoku/>
        <w:wordWrap/>
        <w:overflowPunct/>
        <w:topLinePunct w:val="0"/>
        <w:autoSpaceDE/>
        <w:autoSpaceDN/>
        <w:bidi w:val="0"/>
        <w:spacing w:line="320" w:lineRule="exact"/>
        <w:ind w:firstLine="421" w:firstLineChars="200"/>
        <w:textAlignment w:val="auto"/>
        <w:rPr>
          <w:rFonts w:hint="eastAsia" w:ascii="宋体" w:hAnsi="宋体" w:cs="Arial"/>
          <w:b/>
          <w:bCs/>
          <w:color w:val="auto"/>
          <w:sz w:val="21"/>
          <w:szCs w:val="21"/>
          <w:highlight w:val="none"/>
        </w:rPr>
      </w:pPr>
      <w:r>
        <w:rPr>
          <w:rFonts w:ascii="宋体" w:hAnsi="宋体" w:cs="Arial"/>
          <w:b/>
          <w:bCs/>
          <w:color w:val="auto"/>
          <w:sz w:val="21"/>
          <w:szCs w:val="21"/>
          <w:highlight w:val="none"/>
        </w:rPr>
        <w:t>（4）售后服务分（</w:t>
      </w:r>
      <w:r>
        <w:rPr>
          <w:rFonts w:hint="eastAsia" w:ascii="宋体" w:hAnsi="宋体" w:cs="Arial"/>
          <w:b/>
          <w:bCs/>
          <w:color w:val="auto"/>
          <w:sz w:val="21"/>
          <w:szCs w:val="21"/>
          <w:highlight w:val="none"/>
        </w:rPr>
        <w:t>12</w:t>
      </w:r>
      <w:r>
        <w:rPr>
          <w:rFonts w:ascii="宋体" w:hAnsi="宋体" w:cs="Arial"/>
          <w:b/>
          <w:bCs/>
          <w:color w:val="auto"/>
          <w:sz w:val="21"/>
          <w:szCs w:val="21"/>
          <w:highlight w:val="none"/>
        </w:rPr>
        <w:t>分）</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一档（</w:t>
      </w:r>
      <w:r>
        <w:rPr>
          <w:rFonts w:hint="eastAsia" w:ascii="宋体" w:hAnsi="宋体" w:cs="Arial"/>
          <w:color w:val="auto"/>
          <w:sz w:val="21"/>
          <w:szCs w:val="21"/>
          <w:highlight w:val="none"/>
        </w:rPr>
        <w:t>3</w:t>
      </w:r>
      <w:r>
        <w:rPr>
          <w:rFonts w:ascii="宋体" w:hAnsi="宋体" w:cs="Arial"/>
          <w:color w:val="auto"/>
          <w:sz w:val="21"/>
          <w:szCs w:val="21"/>
          <w:highlight w:val="none"/>
        </w:rPr>
        <w:t>分）：投标人所提供的售后服务方案内容简单，仅基本满足招标文件要求，未提出详细的售后服务计划，投标人承诺能在接到采购人通知后24小时内到达现场。</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二档（</w:t>
      </w:r>
      <w:r>
        <w:rPr>
          <w:rFonts w:hint="eastAsia" w:ascii="宋体" w:hAnsi="宋体" w:cs="Arial"/>
          <w:color w:val="auto"/>
          <w:sz w:val="21"/>
          <w:szCs w:val="21"/>
          <w:highlight w:val="none"/>
        </w:rPr>
        <w:t>6</w:t>
      </w:r>
      <w:r>
        <w:rPr>
          <w:rFonts w:ascii="宋体" w:hAnsi="宋体" w:cs="Arial"/>
          <w:color w:val="auto"/>
          <w:sz w:val="21"/>
          <w:szCs w:val="21"/>
          <w:highlight w:val="none"/>
        </w:rPr>
        <w:t>分）：投标人提供具体详细的售后服务方案，售后服务方案有较详细的售后服务承诺、售后服务流程，质量保障满足招标文件的，且投标人承诺能在接到采购人通知后12小时内到达现场。</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Arial"/>
          <w:color w:val="auto"/>
          <w:sz w:val="21"/>
          <w:szCs w:val="21"/>
          <w:highlight w:val="none"/>
        </w:rPr>
      </w:pPr>
      <w:r>
        <w:rPr>
          <w:rFonts w:ascii="宋体" w:hAnsi="宋体" w:cs="Arial"/>
          <w:color w:val="auto"/>
          <w:sz w:val="21"/>
          <w:szCs w:val="21"/>
          <w:highlight w:val="none"/>
        </w:rPr>
        <w:t>三档（</w:t>
      </w:r>
      <w:r>
        <w:rPr>
          <w:rFonts w:hint="eastAsia" w:ascii="宋体" w:hAnsi="宋体" w:cs="Arial"/>
          <w:color w:val="auto"/>
          <w:sz w:val="21"/>
          <w:szCs w:val="21"/>
          <w:highlight w:val="none"/>
        </w:rPr>
        <w:t>9</w:t>
      </w:r>
      <w:r>
        <w:rPr>
          <w:rFonts w:ascii="宋体" w:hAnsi="宋体" w:cs="Arial"/>
          <w:color w:val="auto"/>
          <w:sz w:val="21"/>
          <w:szCs w:val="21"/>
          <w:highlight w:val="none"/>
        </w:rPr>
        <w:t>分）：售后服务方案详细，有详细的培训计划、售后服务承诺、售后服务流程、应急预案，质量保障优于招标文件等，且投标人承诺能在接到采购人通知后6小时内到达现场。</w:t>
      </w:r>
    </w:p>
    <w:p>
      <w:pPr>
        <w:pStyle w:val="22"/>
        <w:pageBreakBefore w:val="0"/>
        <w:kinsoku/>
        <w:wordWrap/>
        <w:overflowPunct/>
        <w:topLinePunct w:val="0"/>
        <w:autoSpaceDE/>
        <w:autoSpaceDN/>
        <w:bidi w:val="0"/>
        <w:spacing w:line="320" w:lineRule="exact"/>
        <w:ind w:firstLine="420" w:firstLineChars="200"/>
        <w:textAlignment w:val="auto"/>
        <w:rPr>
          <w:rFonts w:hint="eastAsia" w:ascii="宋体" w:hAnsi="宋体" w:cs="Courier New"/>
          <w:b/>
          <w:bCs/>
          <w:color w:val="auto"/>
          <w:spacing w:val="-8"/>
          <w:sz w:val="21"/>
          <w:szCs w:val="21"/>
          <w:highlight w:val="none"/>
        </w:rPr>
      </w:pPr>
      <w:r>
        <w:rPr>
          <w:rFonts w:ascii="宋体" w:hAnsi="宋体" w:cs="Arial"/>
          <w:color w:val="auto"/>
          <w:sz w:val="21"/>
          <w:szCs w:val="21"/>
          <w:highlight w:val="none"/>
        </w:rPr>
        <w:t>四档（</w:t>
      </w:r>
      <w:r>
        <w:rPr>
          <w:rFonts w:hint="eastAsia" w:ascii="宋体" w:hAnsi="宋体" w:cs="Arial"/>
          <w:color w:val="auto"/>
          <w:sz w:val="21"/>
          <w:szCs w:val="21"/>
          <w:highlight w:val="none"/>
        </w:rPr>
        <w:t>12</w:t>
      </w:r>
      <w:r>
        <w:rPr>
          <w:rFonts w:ascii="宋体" w:hAnsi="宋体" w:cs="Arial"/>
          <w:color w:val="auto"/>
          <w:sz w:val="21"/>
          <w:szCs w:val="21"/>
          <w:highlight w:val="none"/>
        </w:rPr>
        <w:t>分）：售后服务方案详细，有详细的培训计划、售后服务承诺、售后服务流程、应急预案、售后人员组织方案，质量保障优于招标文件等，提供免费保修期外维修方案，且投标人承诺能在接到采购人通知后3小时内到达现场。</w:t>
      </w:r>
    </w:p>
    <w:p>
      <w:pPr>
        <w:pStyle w:val="22"/>
        <w:pageBreakBefore w:val="0"/>
        <w:kinsoku/>
        <w:wordWrap/>
        <w:overflowPunct/>
        <w:topLinePunct w:val="0"/>
        <w:autoSpaceDE/>
        <w:autoSpaceDN/>
        <w:bidi w:val="0"/>
        <w:spacing w:line="320" w:lineRule="exact"/>
        <w:jc w:val="left"/>
        <w:textAlignment w:val="auto"/>
        <w:rPr>
          <w:rFonts w:hint="eastAsia" w:hAnsi="宋体"/>
          <w:b/>
          <w:bCs/>
          <w:color w:val="auto"/>
          <w:spacing w:val="-8"/>
          <w:sz w:val="21"/>
          <w:szCs w:val="21"/>
          <w:highlight w:val="none"/>
        </w:rPr>
      </w:pPr>
      <w:r>
        <w:rPr>
          <w:rFonts w:hint="eastAsia" w:ascii="宋体" w:hAnsi="宋体" w:cs="Courier New"/>
          <w:b/>
          <w:bCs/>
          <w:color w:val="auto"/>
          <w:spacing w:val="-8"/>
          <w:sz w:val="21"/>
          <w:szCs w:val="21"/>
          <w:highlight w:val="none"/>
        </w:rPr>
        <w:t xml:space="preserve">     </w:t>
      </w:r>
      <w:r>
        <w:rPr>
          <w:rFonts w:ascii="宋体" w:hAnsi="宋体" w:cs="Courier New"/>
          <w:b/>
          <w:bCs/>
          <w:color w:val="auto"/>
          <w:spacing w:val="-8"/>
          <w:sz w:val="21"/>
          <w:szCs w:val="21"/>
          <w:highlight w:val="none"/>
        </w:rPr>
        <w:t>3、</w:t>
      </w:r>
      <w:r>
        <w:rPr>
          <w:rFonts w:hint="eastAsia" w:ascii="宋体" w:hAnsi="宋体" w:cs="Courier New"/>
          <w:b/>
          <w:bCs/>
          <w:color w:val="auto"/>
          <w:spacing w:val="-8"/>
          <w:sz w:val="21"/>
          <w:szCs w:val="21"/>
          <w:highlight w:val="none"/>
        </w:rPr>
        <w:t>商务（</w:t>
      </w:r>
      <w:r>
        <w:rPr>
          <w:rFonts w:ascii="宋体" w:hAnsi="宋体" w:cs="Courier New"/>
          <w:b/>
          <w:bCs/>
          <w:color w:val="auto"/>
          <w:spacing w:val="-8"/>
          <w:sz w:val="21"/>
          <w:szCs w:val="21"/>
          <w:highlight w:val="none"/>
        </w:rPr>
        <w:t>政策功能</w:t>
      </w:r>
      <w:r>
        <w:rPr>
          <w:rFonts w:hint="eastAsia" w:ascii="宋体" w:hAnsi="宋体" w:cs="Courier New"/>
          <w:b/>
          <w:bCs/>
          <w:color w:val="auto"/>
          <w:spacing w:val="-8"/>
          <w:sz w:val="21"/>
          <w:szCs w:val="21"/>
          <w:highlight w:val="none"/>
        </w:rPr>
        <w:t>）</w:t>
      </w:r>
      <w:r>
        <w:rPr>
          <w:rFonts w:ascii="宋体" w:hAnsi="宋体" w:cs="Courier New"/>
          <w:b/>
          <w:bCs/>
          <w:color w:val="auto"/>
          <w:spacing w:val="-8"/>
          <w:sz w:val="21"/>
          <w:szCs w:val="21"/>
          <w:highlight w:val="none"/>
        </w:rPr>
        <w:t>分</w:t>
      </w:r>
      <w:r>
        <w:rPr>
          <w:rFonts w:hint="eastAsia" w:ascii="宋体" w:hAnsi="宋体" w:cs="Courier New"/>
          <w:b/>
          <w:bCs/>
          <w:color w:val="auto"/>
          <w:spacing w:val="-8"/>
          <w:sz w:val="21"/>
          <w:szCs w:val="21"/>
          <w:highlight w:val="none"/>
        </w:rPr>
        <w:t>………………………………………………………………8分</w:t>
      </w:r>
    </w:p>
    <w:p>
      <w:pPr>
        <w:pageBreakBefore w:val="0"/>
        <w:kinsoku/>
        <w:wordWrap/>
        <w:overflowPunct/>
        <w:topLinePunct w:val="0"/>
        <w:autoSpaceDE/>
        <w:autoSpaceDN/>
        <w:bidi w:val="0"/>
        <w:spacing w:line="320" w:lineRule="exact"/>
        <w:ind w:firstLine="420" w:firstLineChars="200"/>
        <w:textAlignment w:val="auto"/>
        <w:rPr>
          <w:b/>
          <w:bCs/>
          <w:color w:val="auto"/>
          <w:highlight w:val="none"/>
        </w:rPr>
      </w:pPr>
      <w:r>
        <w:rPr>
          <w:rFonts w:hint="eastAsia"/>
          <w:color w:val="auto"/>
          <w:highlight w:val="none"/>
        </w:rPr>
        <w:t>（1）</w:t>
      </w:r>
      <w:r>
        <w:rPr>
          <w:rFonts w:hint="eastAsia" w:ascii="宋体" w:hAnsi="宋体" w:cs="宋体"/>
          <w:b/>
          <w:bCs/>
          <w:color w:val="auto"/>
          <w:szCs w:val="21"/>
          <w:highlight w:val="none"/>
        </w:rPr>
        <w:t>业绩分（满分3分）</w:t>
      </w:r>
    </w:p>
    <w:p>
      <w:pPr>
        <w:pageBreakBefore w:val="0"/>
        <w:kinsoku/>
        <w:wordWrap/>
        <w:overflowPunct/>
        <w:topLinePunct w:val="0"/>
        <w:autoSpaceDE/>
        <w:autoSpaceDN/>
        <w:bidi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投标人提供自2023年1月1日以来完成</w:t>
      </w:r>
      <w:r>
        <w:rPr>
          <w:rFonts w:hint="eastAsia" w:ascii="宋体" w:hAnsi="宋体" w:cs="宋体"/>
          <w:b/>
          <w:bCs/>
          <w:color w:val="auto"/>
          <w:szCs w:val="21"/>
          <w:highlight w:val="none"/>
        </w:rPr>
        <w:t>同类业绩</w:t>
      </w:r>
      <w:r>
        <w:rPr>
          <w:rFonts w:hint="eastAsia" w:ascii="宋体" w:hAnsi="宋体" w:cs="宋体"/>
          <w:color w:val="auto"/>
          <w:szCs w:val="21"/>
          <w:highlight w:val="none"/>
        </w:rPr>
        <w:t>（主要货物须包含</w:t>
      </w:r>
      <w:r>
        <w:rPr>
          <w:rFonts w:hint="eastAsia" w:ascii="宋体" w:hAnsi="宋体" w:cs="宋体"/>
          <w:color w:val="auto"/>
          <w:szCs w:val="21"/>
          <w:highlight w:val="none"/>
          <w:lang w:eastAsia="zh-CN"/>
        </w:rPr>
        <w:t>但不限：中央台（边台）类</w:t>
      </w:r>
      <w:r>
        <w:rPr>
          <w:rFonts w:hint="eastAsia" w:ascii="宋体" w:hAnsi="宋体" w:cs="宋体"/>
          <w:color w:val="auto"/>
          <w:szCs w:val="21"/>
          <w:highlight w:val="none"/>
          <w:lang w:val="en-US" w:eastAsia="zh-CN"/>
        </w:rPr>
        <w:t>或课桌椅类</w:t>
      </w:r>
      <w:r>
        <w:rPr>
          <w:rFonts w:hint="eastAsia" w:ascii="宋体" w:hAnsi="宋体" w:cs="宋体"/>
          <w:color w:val="auto"/>
          <w:szCs w:val="21"/>
          <w:highlight w:val="none"/>
        </w:rPr>
        <w:t>），每提供一份1分，满分3分。（须提供</w:t>
      </w:r>
      <w:r>
        <w:rPr>
          <w:rFonts w:hint="eastAsia" w:ascii="宋体" w:hAnsi="宋体" w:cs="宋体"/>
          <w:b/>
          <w:bCs/>
          <w:color w:val="auto"/>
          <w:szCs w:val="21"/>
          <w:highlight w:val="none"/>
        </w:rPr>
        <w:t>中标/成交通知书或合同</w:t>
      </w:r>
      <w:r>
        <w:rPr>
          <w:rFonts w:hint="eastAsia" w:ascii="宋体" w:hAnsi="宋体" w:cs="宋体"/>
          <w:color w:val="auto"/>
          <w:szCs w:val="21"/>
          <w:highlight w:val="none"/>
        </w:rPr>
        <w:t>的扫描件或其他电子文件，原件备查）</w:t>
      </w:r>
    </w:p>
    <w:p>
      <w:pPr>
        <w:pageBreakBefore w:val="0"/>
        <w:kinsoku/>
        <w:wordWrap/>
        <w:overflowPunct/>
        <w:topLinePunct w:val="0"/>
        <w:autoSpaceDE/>
        <w:autoSpaceDN/>
        <w:bidi w:val="0"/>
        <w:spacing w:line="32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kern w:val="0"/>
          <w:szCs w:val="21"/>
          <w:highlight w:val="none"/>
          <w:lang w:bidi="ar"/>
        </w:rPr>
        <w:t>（2）</w:t>
      </w:r>
      <w:r>
        <w:rPr>
          <w:rFonts w:hint="eastAsia" w:ascii="宋体" w:hAnsi="宋体" w:cs="宋体"/>
          <w:b/>
          <w:bCs/>
          <w:color w:val="auto"/>
          <w:szCs w:val="21"/>
          <w:highlight w:val="none"/>
        </w:rPr>
        <w:t>信誉分（满分3分）</w:t>
      </w:r>
    </w:p>
    <w:p>
      <w:pPr>
        <w:pageBreakBefore w:val="0"/>
        <w:kinsoku/>
        <w:wordWrap/>
        <w:overflowPunct/>
        <w:topLinePunct w:val="0"/>
        <w:autoSpaceDE/>
        <w:autoSpaceDN/>
        <w:bidi w:val="0"/>
        <w:spacing w:line="320" w:lineRule="exact"/>
        <w:ind w:firstLine="420" w:firstLineChars="200"/>
        <w:textAlignment w:val="auto"/>
        <w:rPr>
          <w:rFonts w:hint="eastAsia" w:hAnsi="宋体"/>
          <w:color w:val="auto"/>
          <w:kern w:val="0"/>
          <w:szCs w:val="21"/>
          <w:highlight w:val="none"/>
        </w:rPr>
      </w:pPr>
      <w:r>
        <w:rPr>
          <w:rFonts w:hint="eastAsia" w:hAnsi="宋体"/>
          <w:color w:val="auto"/>
          <w:kern w:val="0"/>
          <w:szCs w:val="21"/>
          <w:highlight w:val="none"/>
        </w:rPr>
        <w:t>投标人通过ISO9001质量管理体系认证、ISO14001环境管理体系认证、职业健康管理体系认证，每项得1分，满分3分。</w:t>
      </w:r>
    </w:p>
    <w:p>
      <w:pPr>
        <w:pageBreakBefore w:val="0"/>
        <w:kinsoku/>
        <w:wordWrap/>
        <w:overflowPunct/>
        <w:topLinePunct w:val="0"/>
        <w:autoSpaceDE/>
        <w:autoSpaceDN/>
        <w:bidi w:val="0"/>
        <w:spacing w:line="320" w:lineRule="exact"/>
        <w:ind w:firstLine="421"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（3）政策功能分（满分2分）</w:t>
      </w:r>
    </w:p>
    <w:p>
      <w:pPr>
        <w:pStyle w:val="227"/>
        <w:pageBreakBefore w:val="0"/>
        <w:kinsoku/>
        <w:wordWrap/>
        <w:overflowPunct/>
        <w:topLinePunct w:val="0"/>
        <w:autoSpaceDE/>
        <w:autoSpaceDN/>
        <w:bidi w:val="0"/>
        <w:adjustRightInd w:val="0"/>
        <w:snapToGrid w:val="0"/>
        <w:spacing w:line="320" w:lineRule="exact"/>
        <w:ind w:firstLine="420"/>
        <w:textAlignment w:val="auto"/>
        <w:rPr>
          <w:rFonts w:hint="eastAsia"/>
          <w:color w:val="auto"/>
          <w:highlight w:val="none"/>
        </w:rPr>
      </w:pPr>
      <w:r>
        <w:rPr>
          <w:rFonts w:hint="eastAsia" w:ascii="汉仪书宋二S" w:hAnsi="汉仪书宋二S" w:eastAsia="汉仪书宋二S" w:cs="汉仪书宋二S"/>
          <w:bCs/>
          <w:color w:val="auto"/>
          <w:highlight w:val="none"/>
        </w:rPr>
        <w:t>①</w:t>
      </w:r>
      <w:r>
        <w:rPr>
          <w:rFonts w:hint="eastAsia"/>
          <w:color w:val="auto"/>
          <w:highlight w:val="none"/>
        </w:rPr>
        <w:t>投标产品纳入（财库[2019]19号）中节能产品政府采购清单的（适用于非强制采购节能产品，依据《市场监管总局关于发布参与实施政府采购节能产品、环境标志产品认证机构名录的公告》，提供所投相应型号产品有效的认证证书扫描件或其他电子文件），得1分，满分1分。</w:t>
      </w:r>
    </w:p>
    <w:p>
      <w:pPr>
        <w:pageBreakBefore w:val="0"/>
        <w:kinsoku/>
        <w:wordWrap/>
        <w:overflowPunct/>
        <w:topLinePunct w:val="0"/>
        <w:autoSpaceDE/>
        <w:autoSpaceDN/>
        <w:bidi w:val="0"/>
        <w:spacing w:line="320" w:lineRule="exact"/>
        <w:ind w:firstLine="420" w:firstLineChars="200"/>
        <w:textAlignment w:val="auto"/>
        <w:outlineLvl w:val="0"/>
        <w:rPr>
          <w:rFonts w:hint="eastAsia" w:ascii="宋体" w:hAnsi="宋体" w:cs="宋体"/>
          <w:color w:val="auto"/>
          <w:szCs w:val="21"/>
          <w:highlight w:val="none"/>
        </w:rPr>
      </w:pPr>
      <w:r>
        <w:rPr>
          <w:rFonts w:hint="eastAsia" w:ascii="汉仪书宋二S" w:hAnsi="汉仪书宋二S" w:eastAsia="汉仪书宋二S" w:cs="汉仪书宋二S"/>
          <w:bCs/>
          <w:color w:val="auto"/>
          <w:kern w:val="0"/>
          <w:szCs w:val="21"/>
          <w:highlight w:val="none"/>
        </w:rPr>
        <w:t>②</w:t>
      </w:r>
      <w:r>
        <w:rPr>
          <w:rFonts w:hint="eastAsia" w:ascii="宋体" w:hAnsi="宋体" w:cs="宋体"/>
          <w:color w:val="auto"/>
          <w:szCs w:val="21"/>
          <w:highlight w:val="none"/>
        </w:rPr>
        <w:t>投标产品纳入（财库[2019]18号）中环境标志产品政府采购清单的（依据《市场监管总局关于发</w:t>
      </w:r>
      <w:r>
        <w:rPr>
          <w:rFonts w:hint="eastAsia"/>
          <w:color w:val="auto"/>
          <w:szCs w:val="21"/>
          <w:highlight w:val="none"/>
        </w:rPr>
        <w:t>布参与实施政府采购节能产品、环境标志产品认证机构名录的公告》，提供所投相应型号产品有效的认</w:t>
      </w:r>
      <w:r>
        <w:rPr>
          <w:rFonts w:hint="eastAsia" w:ascii="宋体" w:hAnsi="宋体" w:cs="宋体"/>
          <w:color w:val="auto"/>
          <w:szCs w:val="21"/>
          <w:highlight w:val="none"/>
        </w:rPr>
        <w:t>证证书扫描件或其他电子文件）</w:t>
      </w:r>
      <w:r>
        <w:rPr>
          <w:rFonts w:hint="eastAsia"/>
          <w:color w:val="auto"/>
          <w:szCs w:val="21"/>
          <w:highlight w:val="none"/>
        </w:rPr>
        <w:t>，得1分，</w:t>
      </w:r>
      <w:r>
        <w:rPr>
          <w:rFonts w:hint="eastAsia" w:ascii="宋体" w:hAnsi="宋体" w:cs="宋体"/>
          <w:color w:val="auto"/>
          <w:szCs w:val="21"/>
          <w:highlight w:val="none"/>
        </w:rPr>
        <w:t>满分1分。</w:t>
      </w:r>
    </w:p>
    <w:p>
      <w:pPr>
        <w:pageBreakBefore w:val="0"/>
        <w:kinsoku/>
        <w:wordWrap/>
        <w:overflowPunct/>
        <w:topLinePunct w:val="0"/>
        <w:autoSpaceDE/>
        <w:autoSpaceDN/>
        <w:bidi w:val="0"/>
        <w:spacing w:line="320" w:lineRule="exact"/>
        <w:ind w:firstLine="405"/>
        <w:textAlignment w:val="auto"/>
        <w:rPr>
          <w:rFonts w:hAnsi="Courier New" w:cs="Courier New"/>
          <w:b/>
          <w:bCs/>
          <w:color w:val="auto"/>
          <w:szCs w:val="21"/>
          <w:highlight w:val="none"/>
        </w:rPr>
      </w:pPr>
      <w:r>
        <w:rPr>
          <w:rFonts w:hint="eastAsia" w:hAnsi="宋体" w:cs="宋体"/>
          <w:b/>
          <w:bCs/>
          <w:color w:val="auto"/>
          <w:spacing w:val="-2"/>
          <w:szCs w:val="21"/>
          <w:highlight w:val="none"/>
        </w:rPr>
        <w:t>（</w:t>
      </w:r>
      <w:r>
        <w:rPr>
          <w:rFonts w:hint="eastAsia" w:cs="Courier New"/>
          <w:b/>
          <w:bCs/>
          <w:color w:val="auto"/>
          <w:spacing w:val="-2"/>
          <w:szCs w:val="21"/>
          <w:highlight w:val="none"/>
        </w:rPr>
        <w:t>三</w:t>
      </w:r>
      <w:r>
        <w:rPr>
          <w:rFonts w:hint="eastAsia" w:hAnsi="宋体" w:cs="宋体"/>
          <w:b/>
          <w:bCs/>
          <w:color w:val="auto"/>
          <w:spacing w:val="-2"/>
          <w:szCs w:val="21"/>
          <w:highlight w:val="none"/>
        </w:rPr>
        <w:t>）总得分</w:t>
      </w:r>
      <w:r>
        <w:rPr>
          <w:rFonts w:hint="eastAsia" w:eastAsia="Calibri" w:cs="Courier New"/>
          <w:b/>
          <w:bCs/>
          <w:color w:val="auto"/>
          <w:spacing w:val="-2"/>
          <w:szCs w:val="21"/>
          <w:highlight w:val="none"/>
        </w:rPr>
        <w:t>=</w:t>
      </w:r>
      <w:r>
        <w:rPr>
          <w:rFonts w:hint="eastAsia" w:cs="Courier New"/>
          <w:color w:val="auto"/>
          <w:szCs w:val="21"/>
          <w:highlight w:val="none"/>
        </w:rPr>
        <w:t xml:space="preserve"> </w:t>
      </w:r>
      <w:r>
        <w:rPr>
          <w:rFonts w:hint="eastAsia" w:cs="Courier New"/>
          <w:b/>
          <w:bCs/>
          <w:color w:val="auto"/>
          <w:szCs w:val="21"/>
          <w:highlight w:val="none"/>
        </w:rPr>
        <w:t xml:space="preserve">1 + 2 + 3。 </w:t>
      </w:r>
    </w:p>
    <w:p>
      <w:pPr>
        <w:pageBreakBefore w:val="0"/>
        <w:kinsoku/>
        <w:wordWrap/>
        <w:overflowPunct/>
        <w:topLinePunct w:val="0"/>
        <w:autoSpaceDE/>
        <w:autoSpaceDN/>
        <w:bidi w:val="0"/>
        <w:spacing w:line="320" w:lineRule="exact"/>
        <w:ind w:firstLine="421" w:firstLineChars="200"/>
        <w:textAlignment w:val="auto"/>
        <w:rPr>
          <w:b/>
          <w:bCs/>
          <w:color w:val="auto"/>
          <w:szCs w:val="21"/>
          <w:highlight w:val="none"/>
        </w:rPr>
      </w:pPr>
      <w:r>
        <w:rPr>
          <w:rFonts w:hint="eastAsia"/>
          <w:b/>
          <w:bCs/>
          <w:color w:val="auto"/>
          <w:szCs w:val="21"/>
          <w:highlight w:val="none"/>
        </w:rPr>
        <w:t>三、中标候选人推荐原则</w:t>
      </w:r>
    </w:p>
    <w:p>
      <w:pPr>
        <w:pageBreakBefore w:val="0"/>
        <w:kinsoku/>
        <w:wordWrap/>
        <w:overflowPunct/>
        <w:topLinePunct w:val="0"/>
        <w:autoSpaceDE/>
        <w:autoSpaceDN/>
        <w:bidi w:val="0"/>
        <w:spacing w:line="320" w:lineRule="exact"/>
        <w:ind w:firstLine="420" w:firstLineChars="200"/>
        <w:jc w:val="left"/>
        <w:textAlignment w:val="auto"/>
        <w:rPr>
          <w:bCs/>
          <w:color w:val="auto"/>
          <w:szCs w:val="21"/>
          <w:highlight w:val="none"/>
        </w:rPr>
      </w:pPr>
      <w:r>
        <w:rPr>
          <w:rFonts w:hint="eastAsia"/>
          <w:bCs/>
          <w:color w:val="auto"/>
          <w:szCs w:val="21"/>
          <w:highlight w:val="none"/>
        </w:rPr>
        <w:t>（一）评标委员会将根据得分由高到低排列次序（得分相同时，以评标价由低到高顺序排列；得分相同且评标价相同的，按技术指标优劣顺序排列）并推荐中标候选供应商。采购人应当确定评审委员会推荐排名第一的中标候选人为中标人。</w:t>
      </w:r>
    </w:p>
    <w:p>
      <w:pPr>
        <w:pageBreakBefore w:val="0"/>
        <w:kinsoku/>
        <w:wordWrap/>
        <w:overflowPunct/>
        <w:topLinePunct w:val="0"/>
        <w:autoSpaceDE/>
        <w:autoSpaceDN/>
        <w:bidi w:val="0"/>
        <w:spacing w:line="320" w:lineRule="exact"/>
        <w:textAlignment w:val="auto"/>
        <w:rPr>
          <w:color w:val="auto"/>
          <w:highlight w:val="none"/>
        </w:rPr>
      </w:pPr>
      <w:r>
        <w:rPr>
          <w:rFonts w:hint="eastAsia"/>
          <w:bCs/>
          <w:color w:val="auto"/>
          <w:szCs w:val="21"/>
          <w:highlight w:val="none"/>
        </w:rPr>
        <w:t>（二）排名第一的中标候选人放弃中标、</w:t>
      </w:r>
      <w:r>
        <w:rPr>
          <w:rFonts w:hint="eastAsia"/>
          <w:bCs/>
          <w:color w:val="auto"/>
          <w:szCs w:val="21"/>
          <w:highlight w:val="none"/>
        </w:rPr>
        <w:t>拒绝签订政府采购合同的</w:t>
      </w:r>
      <w:r>
        <w:rPr>
          <w:rFonts w:hint="eastAsia"/>
          <w:bCs/>
          <w:color w:val="auto"/>
          <w:szCs w:val="21"/>
          <w:highlight w:val="none"/>
        </w:rPr>
        <w:t>，采购人可以确定排名第二的中标候选人为中标人。排名第二的中标候选人因前款规定的同样原因不能签订合同的，采购人可以确定排名第三的中标候选人为中标人，其余以此类推。</w:t>
      </w:r>
    </w:p>
    <w:bookmarkEnd w:id="12"/>
    <w:sectPr>
      <w:headerReference r:id="rId5" w:type="default"/>
      <w:footerReference r:id="rId6" w:type="default"/>
      <w:pgSz w:w="11906" w:h="16838"/>
      <w:pgMar w:top="1247" w:right="1247" w:bottom="1247" w:left="124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汉仪叶叶相思体简">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9D120"/>
    <w:multiLevelType w:val="singleLevel"/>
    <w:tmpl w:val="80A9D120"/>
    <w:lvl w:ilvl="0" w:tentative="0">
      <w:start w:val="1"/>
      <w:numFmt w:val="chineseCounting"/>
      <w:suff w:val="nothing"/>
      <w:lvlText w:val="%1、"/>
      <w:lvlJc w:val="left"/>
      <w:rPr>
        <w:rFonts w:hint="eastAsia"/>
      </w:rPr>
    </w:lvl>
  </w:abstractNum>
  <w:abstractNum w:abstractNumId="1">
    <w:nsid w:val="BFAC3DBB"/>
    <w:multiLevelType w:val="singleLevel"/>
    <w:tmpl w:val="BFAC3DBB"/>
    <w:lvl w:ilvl="0" w:tentative="0">
      <w:start w:val="1"/>
      <w:numFmt w:val="decimal"/>
      <w:lvlText w:val="%1."/>
      <w:lvlJc w:val="left"/>
      <w:pPr>
        <w:tabs>
          <w:tab w:val="left" w:pos="312"/>
        </w:tabs>
      </w:pPr>
    </w:lvl>
  </w:abstractNum>
  <w:abstractNum w:abstractNumId="2">
    <w:nsid w:val="CC3135BC"/>
    <w:multiLevelType w:val="singleLevel"/>
    <w:tmpl w:val="CC3135BC"/>
    <w:lvl w:ilvl="0" w:tentative="0">
      <w:start w:val="1"/>
      <w:numFmt w:val="decimal"/>
      <w:lvlText w:val="%1."/>
      <w:lvlJc w:val="left"/>
      <w:pPr>
        <w:tabs>
          <w:tab w:val="left" w:pos="312"/>
        </w:tabs>
      </w:pPr>
    </w:lvl>
  </w:abstractNum>
  <w:abstractNum w:abstractNumId="3">
    <w:nsid w:val="CFD8419F"/>
    <w:multiLevelType w:val="singleLevel"/>
    <w:tmpl w:val="CFD8419F"/>
    <w:lvl w:ilvl="0" w:tentative="0">
      <w:start w:val="1"/>
      <w:numFmt w:val="decimal"/>
      <w:lvlText w:val="%1."/>
      <w:lvlJc w:val="left"/>
      <w:pPr>
        <w:tabs>
          <w:tab w:val="left" w:pos="312"/>
        </w:tabs>
      </w:pPr>
    </w:lvl>
  </w:abstractNum>
  <w:abstractNum w:abstractNumId="4">
    <w:nsid w:val="D7D899F1"/>
    <w:multiLevelType w:val="singleLevel"/>
    <w:tmpl w:val="D7D899F1"/>
    <w:lvl w:ilvl="0" w:tentative="0">
      <w:start w:val="1"/>
      <w:numFmt w:val="decimal"/>
      <w:lvlText w:val="%1."/>
      <w:lvlJc w:val="left"/>
      <w:pPr>
        <w:tabs>
          <w:tab w:val="left" w:pos="312"/>
        </w:tabs>
      </w:pPr>
    </w:lvl>
  </w:abstractNum>
  <w:abstractNum w:abstractNumId="5">
    <w:nsid w:val="DD6FBFA3"/>
    <w:multiLevelType w:val="singleLevel"/>
    <w:tmpl w:val="DD6FBFA3"/>
    <w:lvl w:ilvl="0" w:tentative="0">
      <w:start w:val="3"/>
      <w:numFmt w:val="decimal"/>
      <w:lvlText w:val="%1."/>
      <w:lvlJc w:val="left"/>
      <w:pPr>
        <w:tabs>
          <w:tab w:val="left" w:pos="312"/>
        </w:tabs>
      </w:pPr>
    </w:lvl>
  </w:abstractNum>
  <w:abstractNum w:abstractNumId="6">
    <w:nsid w:val="EFAFE81D"/>
    <w:multiLevelType w:val="singleLevel"/>
    <w:tmpl w:val="EFAFE81D"/>
    <w:lvl w:ilvl="0" w:tentative="0">
      <w:start w:val="1"/>
      <w:numFmt w:val="decimal"/>
      <w:lvlText w:val="%1."/>
      <w:lvlJc w:val="left"/>
      <w:pPr>
        <w:tabs>
          <w:tab w:val="left" w:pos="312"/>
        </w:tabs>
      </w:pPr>
    </w:lvl>
  </w:abstractNum>
  <w:abstractNum w:abstractNumId="7">
    <w:nsid w:val="FFFA31A3"/>
    <w:multiLevelType w:val="singleLevel"/>
    <w:tmpl w:val="FFFA31A3"/>
    <w:lvl w:ilvl="0" w:tentative="0">
      <w:start w:val="1"/>
      <w:numFmt w:val="decimal"/>
      <w:lvlText w:val="%1."/>
      <w:lvlJc w:val="left"/>
      <w:pPr>
        <w:tabs>
          <w:tab w:val="left" w:pos="312"/>
        </w:tabs>
      </w:pPr>
    </w:lvl>
  </w:abstractNum>
  <w:abstractNum w:abstractNumId="8">
    <w:nsid w:val="0000000C"/>
    <w:multiLevelType w:val="multilevel"/>
    <w:tmpl w:val="0000000C"/>
    <w:lvl w:ilvl="0" w:tentative="0">
      <w:start w:val="1"/>
      <w:numFmt w:val="decimal"/>
      <w:pStyle w:val="3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0000000D"/>
    <w:multiLevelType w:val="multilevel"/>
    <w:tmpl w:val="0000000D"/>
    <w:lvl w:ilvl="0" w:tentative="0">
      <w:start w:val="1"/>
      <w:numFmt w:val="none"/>
      <w:pStyle w:val="362"/>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7"/>
      <w:lvlText w:val="%1.%2.%3"/>
      <w:lvlJc w:val="left"/>
      <w:pPr>
        <w:tabs>
          <w:tab w:val="left" w:pos="1418"/>
        </w:tabs>
        <w:ind w:left="1418" w:hanging="567"/>
      </w:pPr>
      <w:rPr>
        <w:rFonts w:hint="eastAsia" w:cs="Times New Roman"/>
      </w:rPr>
    </w:lvl>
    <w:lvl w:ilvl="3" w:tentative="0">
      <w:start w:val="1"/>
      <w:numFmt w:val="decimal"/>
      <w:pStyle w:val="366"/>
      <w:lvlText w:val="%1.%2.%3.%4"/>
      <w:lvlJc w:val="left"/>
      <w:pPr>
        <w:tabs>
          <w:tab w:val="left" w:pos="1984"/>
        </w:tabs>
        <w:ind w:left="1984" w:hanging="708"/>
      </w:pPr>
      <w:rPr>
        <w:rFonts w:hint="eastAsia" w:cs="Times New Roman"/>
      </w:rPr>
    </w:lvl>
    <w:lvl w:ilvl="4" w:tentative="0">
      <w:start w:val="1"/>
      <w:numFmt w:val="decimal"/>
      <w:pStyle w:val="365"/>
      <w:lvlText w:val="%1.%2.%3.%4.%5"/>
      <w:lvlJc w:val="left"/>
      <w:pPr>
        <w:tabs>
          <w:tab w:val="left" w:pos="2551"/>
        </w:tabs>
        <w:ind w:left="2551" w:hanging="850"/>
      </w:pPr>
      <w:rPr>
        <w:rFonts w:hint="eastAsia" w:cs="Times New Roman"/>
      </w:rPr>
    </w:lvl>
    <w:lvl w:ilvl="5" w:tentative="0">
      <w:start w:val="1"/>
      <w:numFmt w:val="decimal"/>
      <w:pStyle w:val="377"/>
      <w:lvlText w:val="%1.%2.%3.%4.%5.%6"/>
      <w:lvlJc w:val="left"/>
      <w:pPr>
        <w:tabs>
          <w:tab w:val="left" w:pos="3260"/>
        </w:tabs>
        <w:ind w:left="3260" w:hanging="1134"/>
      </w:pPr>
      <w:rPr>
        <w:rFonts w:hint="eastAsia" w:cs="Times New Roman"/>
      </w:rPr>
    </w:lvl>
    <w:lvl w:ilvl="6" w:tentative="0">
      <w:start w:val="1"/>
      <w:numFmt w:val="decimal"/>
      <w:pStyle w:val="387"/>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0">
    <w:nsid w:val="0000000E"/>
    <w:multiLevelType w:val="multilevel"/>
    <w:tmpl w:val="0000000E"/>
    <w:lvl w:ilvl="0" w:tentative="0">
      <w:start w:val="1"/>
      <w:numFmt w:val="none"/>
      <w:pStyle w:val="388"/>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5"/>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1"/>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2"/>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7"/>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9"/>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6"/>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12">
    <w:nsid w:val="00000010"/>
    <w:multiLevelType w:val="multilevel"/>
    <w:tmpl w:val="00000010"/>
    <w:lvl w:ilvl="0" w:tentative="0">
      <w:start w:val="1"/>
      <w:numFmt w:val="none"/>
      <w:pStyle w:val="358"/>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3">
    <w:nsid w:val="00000011"/>
    <w:multiLevelType w:val="multilevel"/>
    <w:tmpl w:val="00000011"/>
    <w:lvl w:ilvl="0" w:tentative="0">
      <w:start w:val="1"/>
      <w:numFmt w:val="none"/>
      <w:pStyle w:val="36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00000012"/>
    <w:multiLevelType w:val="multilevel"/>
    <w:tmpl w:val="00000012"/>
    <w:lvl w:ilvl="0" w:tentative="0">
      <w:start w:val="1"/>
      <w:numFmt w:val="none"/>
      <w:pStyle w:val="37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00000013"/>
    <w:multiLevelType w:val="multilevel"/>
    <w:tmpl w:val="00000013"/>
    <w:lvl w:ilvl="0" w:tentative="0">
      <w:start w:val="1"/>
      <w:numFmt w:val="none"/>
      <w:pStyle w:val="344"/>
      <w:suff w:val="nothing"/>
      <w:lvlText w:val="%1"/>
      <w:lvlJc w:val="left"/>
      <w:rPr>
        <w:rFonts w:hint="default" w:ascii="Times New Roman" w:hAnsi="Times New Roman" w:cs="Times New Roman"/>
        <w:b/>
        <w:i w:val="0"/>
        <w:sz w:val="21"/>
      </w:rPr>
    </w:lvl>
    <w:lvl w:ilvl="1" w:tentative="0">
      <w:start w:val="1"/>
      <w:numFmt w:val="decimal"/>
      <w:pStyle w:val="327"/>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6">
    <w:nsid w:val="00000014"/>
    <w:multiLevelType w:val="multilevel"/>
    <w:tmpl w:val="00000014"/>
    <w:lvl w:ilvl="0" w:tentative="0">
      <w:start w:val="1"/>
      <w:numFmt w:val="none"/>
      <w:pStyle w:val="376"/>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01E1E9C5"/>
    <w:multiLevelType w:val="singleLevel"/>
    <w:tmpl w:val="01E1E9C5"/>
    <w:lvl w:ilvl="0" w:tentative="0">
      <w:start w:val="1"/>
      <w:numFmt w:val="decimal"/>
      <w:lvlText w:val="%1."/>
      <w:lvlJc w:val="left"/>
      <w:pPr>
        <w:tabs>
          <w:tab w:val="left" w:pos="312"/>
        </w:tabs>
      </w:pPr>
    </w:lvl>
  </w:abstractNum>
  <w:abstractNum w:abstractNumId="18">
    <w:nsid w:val="11A3534B"/>
    <w:multiLevelType w:val="multilevel"/>
    <w:tmpl w:val="11A3534B"/>
    <w:lvl w:ilvl="0" w:tentative="0">
      <w:start w:val="1"/>
      <w:numFmt w:val="japaneseCounting"/>
      <w:pStyle w:val="343"/>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2"/>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6"/>
      <w:lvlText w:val="%6."/>
      <w:lvlJc w:val="right"/>
      <w:pPr>
        <w:ind w:left="3156" w:hanging="420"/>
      </w:pPr>
      <w:rPr>
        <w:rFonts w:cs="Times New Roman"/>
      </w:rPr>
    </w:lvl>
    <w:lvl w:ilvl="6" w:tentative="0">
      <w:start w:val="1"/>
      <w:numFmt w:val="decimal"/>
      <w:pStyle w:val="359"/>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abstractNum w:abstractNumId="19">
    <w:nsid w:val="3E45C9D7"/>
    <w:multiLevelType w:val="singleLevel"/>
    <w:tmpl w:val="3E45C9D7"/>
    <w:lvl w:ilvl="0" w:tentative="0">
      <w:start w:val="1"/>
      <w:numFmt w:val="decimal"/>
      <w:suff w:val="space"/>
      <w:lvlText w:val="%1."/>
      <w:lvlJc w:val="left"/>
    </w:lvl>
  </w:abstractNum>
  <w:num w:numId="1">
    <w:abstractNumId w:val="15"/>
  </w:num>
  <w:num w:numId="2">
    <w:abstractNumId w:val="18"/>
  </w:num>
  <w:num w:numId="3">
    <w:abstractNumId w:val="11"/>
  </w:num>
  <w:num w:numId="4">
    <w:abstractNumId w:val="12"/>
  </w:num>
  <w:num w:numId="5">
    <w:abstractNumId w:val="13"/>
  </w:num>
  <w:num w:numId="6">
    <w:abstractNumId w:val="9"/>
  </w:num>
  <w:num w:numId="7">
    <w:abstractNumId w:val="8"/>
  </w:num>
  <w:num w:numId="8">
    <w:abstractNumId w:val="16"/>
  </w:num>
  <w:num w:numId="9">
    <w:abstractNumId w:val="14"/>
  </w:num>
  <w:num w:numId="10">
    <w:abstractNumId w:val="10"/>
  </w:num>
  <w:num w:numId="11">
    <w:abstractNumId w:val="1"/>
  </w:num>
  <w:num w:numId="12">
    <w:abstractNumId w:val="0"/>
  </w:num>
  <w:num w:numId="13">
    <w:abstractNumId w:val="17"/>
  </w:num>
  <w:num w:numId="14">
    <w:abstractNumId w:val="4"/>
  </w:num>
  <w:num w:numId="15">
    <w:abstractNumId w:val="2"/>
  </w:num>
  <w:num w:numId="16">
    <w:abstractNumId w:val="3"/>
  </w:num>
  <w:num w:numId="17">
    <w:abstractNumId w:val="5"/>
  </w:num>
  <w:num w:numId="18">
    <w:abstractNumId w:val="19"/>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1B82"/>
    <w:rsid w:val="000527AA"/>
    <w:rsid w:val="00053526"/>
    <w:rsid w:val="00053753"/>
    <w:rsid w:val="00054FBB"/>
    <w:rsid w:val="000562EF"/>
    <w:rsid w:val="00060C9D"/>
    <w:rsid w:val="000618AE"/>
    <w:rsid w:val="00061B0C"/>
    <w:rsid w:val="00062553"/>
    <w:rsid w:val="00062A76"/>
    <w:rsid w:val="0006301F"/>
    <w:rsid w:val="00063572"/>
    <w:rsid w:val="000637CA"/>
    <w:rsid w:val="00063C24"/>
    <w:rsid w:val="00064A98"/>
    <w:rsid w:val="00071134"/>
    <w:rsid w:val="000715C5"/>
    <w:rsid w:val="0007249F"/>
    <w:rsid w:val="000741DF"/>
    <w:rsid w:val="000747D4"/>
    <w:rsid w:val="00074E70"/>
    <w:rsid w:val="000763D2"/>
    <w:rsid w:val="00076604"/>
    <w:rsid w:val="00080BE2"/>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22D9"/>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6DDB"/>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D97"/>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A27"/>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98D"/>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4BA5"/>
    <w:rsid w:val="001F5810"/>
    <w:rsid w:val="001F58B4"/>
    <w:rsid w:val="001F6988"/>
    <w:rsid w:val="001F72D2"/>
    <w:rsid w:val="001F7775"/>
    <w:rsid w:val="001F7D02"/>
    <w:rsid w:val="002007F6"/>
    <w:rsid w:val="00200AE1"/>
    <w:rsid w:val="00201C4F"/>
    <w:rsid w:val="002029D6"/>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2F789C"/>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56E"/>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86F"/>
    <w:rsid w:val="00477B86"/>
    <w:rsid w:val="004800C6"/>
    <w:rsid w:val="0048031F"/>
    <w:rsid w:val="00480DFE"/>
    <w:rsid w:val="00481A9D"/>
    <w:rsid w:val="00481F43"/>
    <w:rsid w:val="00482240"/>
    <w:rsid w:val="0048257D"/>
    <w:rsid w:val="00482611"/>
    <w:rsid w:val="004831ED"/>
    <w:rsid w:val="00483214"/>
    <w:rsid w:val="00483505"/>
    <w:rsid w:val="0048427F"/>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4E0D"/>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1CBF"/>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D8"/>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2EEC"/>
    <w:rsid w:val="006034C4"/>
    <w:rsid w:val="00603578"/>
    <w:rsid w:val="00603631"/>
    <w:rsid w:val="00604293"/>
    <w:rsid w:val="00605147"/>
    <w:rsid w:val="0060694B"/>
    <w:rsid w:val="00606A3E"/>
    <w:rsid w:val="00610137"/>
    <w:rsid w:val="00612C5C"/>
    <w:rsid w:val="006138C6"/>
    <w:rsid w:val="00613F72"/>
    <w:rsid w:val="0061445E"/>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825"/>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57F5"/>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1210"/>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6EE7"/>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5475"/>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5725"/>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391C"/>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6709F"/>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4F41"/>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1DD"/>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D7F91"/>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1D0C"/>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76A82"/>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6DB6"/>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6E52"/>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37BB"/>
    <w:rsid w:val="00D0792B"/>
    <w:rsid w:val="00D10802"/>
    <w:rsid w:val="00D11D0C"/>
    <w:rsid w:val="00D12214"/>
    <w:rsid w:val="00D1288F"/>
    <w:rsid w:val="00D129B4"/>
    <w:rsid w:val="00D14FC5"/>
    <w:rsid w:val="00D15667"/>
    <w:rsid w:val="00D15897"/>
    <w:rsid w:val="00D159FE"/>
    <w:rsid w:val="00D15D88"/>
    <w:rsid w:val="00D173E9"/>
    <w:rsid w:val="00D17602"/>
    <w:rsid w:val="00D179B4"/>
    <w:rsid w:val="00D17B7B"/>
    <w:rsid w:val="00D20A9C"/>
    <w:rsid w:val="00D21257"/>
    <w:rsid w:val="00D214A7"/>
    <w:rsid w:val="00D21E84"/>
    <w:rsid w:val="00D21F58"/>
    <w:rsid w:val="00D22855"/>
    <w:rsid w:val="00D23662"/>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A7B34"/>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23C"/>
    <w:rsid w:val="00EF3F7F"/>
    <w:rsid w:val="00EF457B"/>
    <w:rsid w:val="00EF4CF8"/>
    <w:rsid w:val="00EF5336"/>
    <w:rsid w:val="00EF682D"/>
    <w:rsid w:val="00EF7EAB"/>
    <w:rsid w:val="00F02AAA"/>
    <w:rsid w:val="00F03CF1"/>
    <w:rsid w:val="00F060EB"/>
    <w:rsid w:val="00F06106"/>
    <w:rsid w:val="00F071CB"/>
    <w:rsid w:val="00F1078D"/>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23EC"/>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146C25"/>
    <w:rsid w:val="03291083"/>
    <w:rsid w:val="037E689E"/>
    <w:rsid w:val="03ED241C"/>
    <w:rsid w:val="040B3AF1"/>
    <w:rsid w:val="042F33F9"/>
    <w:rsid w:val="04AF4A55"/>
    <w:rsid w:val="04FA52B7"/>
    <w:rsid w:val="05782EB6"/>
    <w:rsid w:val="06EF5174"/>
    <w:rsid w:val="075D1031"/>
    <w:rsid w:val="07F16915"/>
    <w:rsid w:val="08185842"/>
    <w:rsid w:val="08550AB7"/>
    <w:rsid w:val="08BBF491"/>
    <w:rsid w:val="08D462A3"/>
    <w:rsid w:val="0AA67C8F"/>
    <w:rsid w:val="0AEF9229"/>
    <w:rsid w:val="0AF2E9DD"/>
    <w:rsid w:val="0B3B9676"/>
    <w:rsid w:val="0B92244D"/>
    <w:rsid w:val="0C041CFF"/>
    <w:rsid w:val="0D603BD0"/>
    <w:rsid w:val="0DFBDADE"/>
    <w:rsid w:val="0E272EC6"/>
    <w:rsid w:val="0EF4169C"/>
    <w:rsid w:val="0F365A48"/>
    <w:rsid w:val="0FE224EF"/>
    <w:rsid w:val="0FF35CB0"/>
    <w:rsid w:val="0FFC6424"/>
    <w:rsid w:val="10012058"/>
    <w:rsid w:val="10523E33"/>
    <w:rsid w:val="10EB654A"/>
    <w:rsid w:val="111B283C"/>
    <w:rsid w:val="115B3EEF"/>
    <w:rsid w:val="11683B24"/>
    <w:rsid w:val="11804676"/>
    <w:rsid w:val="12652C6D"/>
    <w:rsid w:val="13045DA8"/>
    <w:rsid w:val="1318202A"/>
    <w:rsid w:val="133C3906"/>
    <w:rsid w:val="137A2AC6"/>
    <w:rsid w:val="13810AA4"/>
    <w:rsid w:val="14BD0D6B"/>
    <w:rsid w:val="14DA77BA"/>
    <w:rsid w:val="157F1A49"/>
    <w:rsid w:val="15CDBDC8"/>
    <w:rsid w:val="160C22A3"/>
    <w:rsid w:val="1629143C"/>
    <w:rsid w:val="16670663"/>
    <w:rsid w:val="16742EED"/>
    <w:rsid w:val="16FD73B0"/>
    <w:rsid w:val="173014EC"/>
    <w:rsid w:val="17BDADFB"/>
    <w:rsid w:val="17BEC69B"/>
    <w:rsid w:val="17C96C63"/>
    <w:rsid w:val="17D47B03"/>
    <w:rsid w:val="17DF1EA9"/>
    <w:rsid w:val="17FD61D5"/>
    <w:rsid w:val="17FE183B"/>
    <w:rsid w:val="189B3D09"/>
    <w:rsid w:val="18AE1E77"/>
    <w:rsid w:val="19791A18"/>
    <w:rsid w:val="19976227"/>
    <w:rsid w:val="1B6FAA61"/>
    <w:rsid w:val="1BCFCF31"/>
    <w:rsid w:val="1BDA3BC5"/>
    <w:rsid w:val="1BE7F856"/>
    <w:rsid w:val="1BEE6E5A"/>
    <w:rsid w:val="1BFF6D08"/>
    <w:rsid w:val="1CDEDA0E"/>
    <w:rsid w:val="1CF94428"/>
    <w:rsid w:val="1CFBAF00"/>
    <w:rsid w:val="1D3B6AA2"/>
    <w:rsid w:val="1D6F6342"/>
    <w:rsid w:val="1D886D0B"/>
    <w:rsid w:val="1DBF436D"/>
    <w:rsid w:val="1DBF78BF"/>
    <w:rsid w:val="1DEFB4C7"/>
    <w:rsid w:val="1DEFBE59"/>
    <w:rsid w:val="1DFD7FE0"/>
    <w:rsid w:val="1DFFB513"/>
    <w:rsid w:val="1E3D321B"/>
    <w:rsid w:val="1E7D713A"/>
    <w:rsid w:val="1E9C6D16"/>
    <w:rsid w:val="1EF10CB1"/>
    <w:rsid w:val="1F15637C"/>
    <w:rsid w:val="1FBF2392"/>
    <w:rsid w:val="1FBF7375"/>
    <w:rsid w:val="1FEE6CB0"/>
    <w:rsid w:val="1FF9A8E2"/>
    <w:rsid w:val="1FFF2B4F"/>
    <w:rsid w:val="1FFFF465"/>
    <w:rsid w:val="214A7396"/>
    <w:rsid w:val="215258F2"/>
    <w:rsid w:val="218F4931"/>
    <w:rsid w:val="219E062F"/>
    <w:rsid w:val="21BFC071"/>
    <w:rsid w:val="233708A3"/>
    <w:rsid w:val="255B4FB1"/>
    <w:rsid w:val="2577011E"/>
    <w:rsid w:val="25AD2A5D"/>
    <w:rsid w:val="25CE052F"/>
    <w:rsid w:val="261D50CD"/>
    <w:rsid w:val="264E3873"/>
    <w:rsid w:val="267A5045"/>
    <w:rsid w:val="26A06709"/>
    <w:rsid w:val="26EE8D71"/>
    <w:rsid w:val="26F708A4"/>
    <w:rsid w:val="26FE6E7E"/>
    <w:rsid w:val="2732EE28"/>
    <w:rsid w:val="27370766"/>
    <w:rsid w:val="275F976D"/>
    <w:rsid w:val="2776915C"/>
    <w:rsid w:val="279351FA"/>
    <w:rsid w:val="27B96C35"/>
    <w:rsid w:val="27DB2ADC"/>
    <w:rsid w:val="27EFA6FC"/>
    <w:rsid w:val="27EFDAF0"/>
    <w:rsid w:val="280154B5"/>
    <w:rsid w:val="29ADCBC3"/>
    <w:rsid w:val="29DFDC0C"/>
    <w:rsid w:val="29E33847"/>
    <w:rsid w:val="29FF340B"/>
    <w:rsid w:val="2BA95CC2"/>
    <w:rsid w:val="2BFF6160"/>
    <w:rsid w:val="2CC7271F"/>
    <w:rsid w:val="2D7D3CE6"/>
    <w:rsid w:val="2D7F49AD"/>
    <w:rsid w:val="2D7FCC69"/>
    <w:rsid w:val="2DB7A765"/>
    <w:rsid w:val="2DF7D6CC"/>
    <w:rsid w:val="2E1F7190"/>
    <w:rsid w:val="2EA7AF2A"/>
    <w:rsid w:val="2EBBF7CD"/>
    <w:rsid w:val="2ECFDF22"/>
    <w:rsid w:val="2EEFE88B"/>
    <w:rsid w:val="2F1613B1"/>
    <w:rsid w:val="2F6BFAC9"/>
    <w:rsid w:val="2F7F9A99"/>
    <w:rsid w:val="2FDDA261"/>
    <w:rsid w:val="2FDF4CDD"/>
    <w:rsid w:val="2FF71CFE"/>
    <w:rsid w:val="2FFF07B0"/>
    <w:rsid w:val="2FFF54D1"/>
    <w:rsid w:val="30912494"/>
    <w:rsid w:val="30980BBB"/>
    <w:rsid w:val="30E3C6D8"/>
    <w:rsid w:val="30E65529"/>
    <w:rsid w:val="31B735F1"/>
    <w:rsid w:val="31EC4AED"/>
    <w:rsid w:val="33FBCDCC"/>
    <w:rsid w:val="34B779C7"/>
    <w:rsid w:val="34BC442B"/>
    <w:rsid w:val="34CF5CEC"/>
    <w:rsid w:val="34E055A5"/>
    <w:rsid w:val="34E5346C"/>
    <w:rsid w:val="35946F37"/>
    <w:rsid w:val="35AC461D"/>
    <w:rsid w:val="3677BA75"/>
    <w:rsid w:val="36816193"/>
    <w:rsid w:val="36995ED7"/>
    <w:rsid w:val="36B6F232"/>
    <w:rsid w:val="36DEF824"/>
    <w:rsid w:val="36FF3DC3"/>
    <w:rsid w:val="3797248F"/>
    <w:rsid w:val="37B6CFD0"/>
    <w:rsid w:val="37D1969F"/>
    <w:rsid w:val="37EDE1D6"/>
    <w:rsid w:val="37EF5621"/>
    <w:rsid w:val="37EF74DB"/>
    <w:rsid w:val="37F54E8B"/>
    <w:rsid w:val="37F76A7A"/>
    <w:rsid w:val="37FFEC72"/>
    <w:rsid w:val="384113C3"/>
    <w:rsid w:val="385B2C3E"/>
    <w:rsid w:val="38852A61"/>
    <w:rsid w:val="389FFD0E"/>
    <w:rsid w:val="392BF547"/>
    <w:rsid w:val="39776AA3"/>
    <w:rsid w:val="397B4E51"/>
    <w:rsid w:val="398C4612"/>
    <w:rsid w:val="39A39EF4"/>
    <w:rsid w:val="39E621E1"/>
    <w:rsid w:val="39FBD2E6"/>
    <w:rsid w:val="3A7F6245"/>
    <w:rsid w:val="3AEB0E5A"/>
    <w:rsid w:val="3B3E9B37"/>
    <w:rsid w:val="3B4FA1AF"/>
    <w:rsid w:val="3B4FA5C0"/>
    <w:rsid w:val="3B531602"/>
    <w:rsid w:val="3BA9F012"/>
    <w:rsid w:val="3BAB9182"/>
    <w:rsid w:val="3BB1205D"/>
    <w:rsid w:val="3BEB16C6"/>
    <w:rsid w:val="3BF66F8C"/>
    <w:rsid w:val="3BFEA601"/>
    <w:rsid w:val="3C3A530E"/>
    <w:rsid w:val="3C9B2C06"/>
    <w:rsid w:val="3CB7C9C3"/>
    <w:rsid w:val="3CCE1B4E"/>
    <w:rsid w:val="3CEF8113"/>
    <w:rsid w:val="3D327B4E"/>
    <w:rsid w:val="3D5877C4"/>
    <w:rsid w:val="3D5A2CB5"/>
    <w:rsid w:val="3D73248C"/>
    <w:rsid w:val="3D761FDF"/>
    <w:rsid w:val="3D7D5F47"/>
    <w:rsid w:val="3D7EE166"/>
    <w:rsid w:val="3D8F1B96"/>
    <w:rsid w:val="3D9758B0"/>
    <w:rsid w:val="3DB15A34"/>
    <w:rsid w:val="3DCBE874"/>
    <w:rsid w:val="3DD4574E"/>
    <w:rsid w:val="3DD72671"/>
    <w:rsid w:val="3DDB75C0"/>
    <w:rsid w:val="3DE77B80"/>
    <w:rsid w:val="3DEAC215"/>
    <w:rsid w:val="3DFD693B"/>
    <w:rsid w:val="3DFF2784"/>
    <w:rsid w:val="3DFFDC4F"/>
    <w:rsid w:val="3E5DE891"/>
    <w:rsid w:val="3E7EC5D1"/>
    <w:rsid w:val="3EA565AE"/>
    <w:rsid w:val="3EB74863"/>
    <w:rsid w:val="3ECA3916"/>
    <w:rsid w:val="3EE7AC52"/>
    <w:rsid w:val="3EEF1D49"/>
    <w:rsid w:val="3EF66B68"/>
    <w:rsid w:val="3EF79E87"/>
    <w:rsid w:val="3EFF5E35"/>
    <w:rsid w:val="3F073F5D"/>
    <w:rsid w:val="3F0E095C"/>
    <w:rsid w:val="3F3F3761"/>
    <w:rsid w:val="3F673003"/>
    <w:rsid w:val="3F7F1AE5"/>
    <w:rsid w:val="3FAFD343"/>
    <w:rsid w:val="3FB765CF"/>
    <w:rsid w:val="3FBBA733"/>
    <w:rsid w:val="3FBEFB5C"/>
    <w:rsid w:val="3FBF537A"/>
    <w:rsid w:val="3FCF4807"/>
    <w:rsid w:val="3FCF8ACA"/>
    <w:rsid w:val="3FDF3ED9"/>
    <w:rsid w:val="3FDF5CEF"/>
    <w:rsid w:val="3FDF676E"/>
    <w:rsid w:val="3FE6949F"/>
    <w:rsid w:val="3FEB6D5B"/>
    <w:rsid w:val="3FEF360D"/>
    <w:rsid w:val="3FEF3C2A"/>
    <w:rsid w:val="3FEF7861"/>
    <w:rsid w:val="3FEFED2D"/>
    <w:rsid w:val="3FF1D5C2"/>
    <w:rsid w:val="3FF35356"/>
    <w:rsid w:val="3FF3CB60"/>
    <w:rsid w:val="3FFA0245"/>
    <w:rsid w:val="3FFBBA1B"/>
    <w:rsid w:val="3FFE6B1E"/>
    <w:rsid w:val="3FFEB1BF"/>
    <w:rsid w:val="3FFEB1E7"/>
    <w:rsid w:val="3FFF25D4"/>
    <w:rsid w:val="3FFF7F4B"/>
    <w:rsid w:val="3FFF9FBB"/>
    <w:rsid w:val="3FFFA286"/>
    <w:rsid w:val="3FFFA31A"/>
    <w:rsid w:val="402E5086"/>
    <w:rsid w:val="41784BC2"/>
    <w:rsid w:val="41A63871"/>
    <w:rsid w:val="41CD6CC1"/>
    <w:rsid w:val="421A572A"/>
    <w:rsid w:val="421E2F4D"/>
    <w:rsid w:val="425B0D45"/>
    <w:rsid w:val="428D0BB2"/>
    <w:rsid w:val="43817E6A"/>
    <w:rsid w:val="43C024A5"/>
    <w:rsid w:val="43DE595A"/>
    <w:rsid w:val="43EF1321"/>
    <w:rsid w:val="44260386"/>
    <w:rsid w:val="44EED997"/>
    <w:rsid w:val="45605CF4"/>
    <w:rsid w:val="45FF0815"/>
    <w:rsid w:val="46725C94"/>
    <w:rsid w:val="468E1469"/>
    <w:rsid w:val="471F9705"/>
    <w:rsid w:val="47C47F74"/>
    <w:rsid w:val="47DF2568"/>
    <w:rsid w:val="47E7B1C1"/>
    <w:rsid w:val="47F562E9"/>
    <w:rsid w:val="47FD46E8"/>
    <w:rsid w:val="487C33A3"/>
    <w:rsid w:val="491F48CF"/>
    <w:rsid w:val="49693D13"/>
    <w:rsid w:val="49E47783"/>
    <w:rsid w:val="4A34B40D"/>
    <w:rsid w:val="4AEFB419"/>
    <w:rsid w:val="4B1AD193"/>
    <w:rsid w:val="4B1C219B"/>
    <w:rsid w:val="4B7744CC"/>
    <w:rsid w:val="4BB7B22D"/>
    <w:rsid w:val="4CBB3BB3"/>
    <w:rsid w:val="4CFBB5F1"/>
    <w:rsid w:val="4D5ED344"/>
    <w:rsid w:val="4D678F58"/>
    <w:rsid w:val="4D70739B"/>
    <w:rsid w:val="4DAD3831"/>
    <w:rsid w:val="4DADC526"/>
    <w:rsid w:val="4DC36B8D"/>
    <w:rsid w:val="4DEE7E83"/>
    <w:rsid w:val="4DEF6F6C"/>
    <w:rsid w:val="4DF3F31D"/>
    <w:rsid w:val="4E121292"/>
    <w:rsid w:val="4E7B459A"/>
    <w:rsid w:val="4ECD10F0"/>
    <w:rsid w:val="4EDE7158"/>
    <w:rsid w:val="4EFE1133"/>
    <w:rsid w:val="4EFEDD2C"/>
    <w:rsid w:val="4F4AF30E"/>
    <w:rsid w:val="4F5E1EC6"/>
    <w:rsid w:val="4FAE0BB5"/>
    <w:rsid w:val="4FAFB09B"/>
    <w:rsid w:val="4FF3C995"/>
    <w:rsid w:val="4FF721C0"/>
    <w:rsid w:val="4FFA63C2"/>
    <w:rsid w:val="4FFC1385"/>
    <w:rsid w:val="4FFE346F"/>
    <w:rsid w:val="4FFF02FB"/>
    <w:rsid w:val="4FFF26E9"/>
    <w:rsid w:val="4FFF9BD4"/>
    <w:rsid w:val="505A76D1"/>
    <w:rsid w:val="50F7734E"/>
    <w:rsid w:val="51ED42C6"/>
    <w:rsid w:val="51F7DAF4"/>
    <w:rsid w:val="521455E6"/>
    <w:rsid w:val="525F4103"/>
    <w:rsid w:val="526667B8"/>
    <w:rsid w:val="52963FB5"/>
    <w:rsid w:val="52F842CA"/>
    <w:rsid w:val="53D90AE1"/>
    <w:rsid w:val="54695B81"/>
    <w:rsid w:val="54FFD1F8"/>
    <w:rsid w:val="55151BCF"/>
    <w:rsid w:val="553E3E88"/>
    <w:rsid w:val="55571013"/>
    <w:rsid w:val="557F59FD"/>
    <w:rsid w:val="558B2ED4"/>
    <w:rsid w:val="55BFC283"/>
    <w:rsid w:val="55EA6B3E"/>
    <w:rsid w:val="55FF7BDB"/>
    <w:rsid w:val="55FFD265"/>
    <w:rsid w:val="566B4434"/>
    <w:rsid w:val="567989F4"/>
    <w:rsid w:val="56BF8D58"/>
    <w:rsid w:val="56C73045"/>
    <w:rsid w:val="56CB1972"/>
    <w:rsid w:val="56F0025C"/>
    <w:rsid w:val="56FFA02C"/>
    <w:rsid w:val="56FFCDE5"/>
    <w:rsid w:val="57286503"/>
    <w:rsid w:val="5736C8ED"/>
    <w:rsid w:val="57477088"/>
    <w:rsid w:val="576511D6"/>
    <w:rsid w:val="577BB77E"/>
    <w:rsid w:val="57BE94E1"/>
    <w:rsid w:val="57ED2C79"/>
    <w:rsid w:val="57FBDF69"/>
    <w:rsid w:val="58794D9B"/>
    <w:rsid w:val="596F3499"/>
    <w:rsid w:val="59BB5EBB"/>
    <w:rsid w:val="59C21551"/>
    <w:rsid w:val="59F7966E"/>
    <w:rsid w:val="5A4E5B07"/>
    <w:rsid w:val="5A7BFCFF"/>
    <w:rsid w:val="5A7E8397"/>
    <w:rsid w:val="5ABE3825"/>
    <w:rsid w:val="5ACB49FE"/>
    <w:rsid w:val="5AEDE7B3"/>
    <w:rsid w:val="5AEF3882"/>
    <w:rsid w:val="5AFCBEAC"/>
    <w:rsid w:val="5B93C95D"/>
    <w:rsid w:val="5BE79DD4"/>
    <w:rsid w:val="5BE7AC92"/>
    <w:rsid w:val="5BEA11B2"/>
    <w:rsid w:val="5BEEA8DA"/>
    <w:rsid w:val="5BF47CA1"/>
    <w:rsid w:val="5BFF1A7D"/>
    <w:rsid w:val="5BFF2EA6"/>
    <w:rsid w:val="5BFFF14A"/>
    <w:rsid w:val="5C436DFB"/>
    <w:rsid w:val="5C55325F"/>
    <w:rsid w:val="5CBB6E3E"/>
    <w:rsid w:val="5CDF44A6"/>
    <w:rsid w:val="5CE5754D"/>
    <w:rsid w:val="5D55822B"/>
    <w:rsid w:val="5D6857E9"/>
    <w:rsid w:val="5D7E3057"/>
    <w:rsid w:val="5D7EA7FE"/>
    <w:rsid w:val="5DA243BC"/>
    <w:rsid w:val="5DB4F2CF"/>
    <w:rsid w:val="5DBF61DA"/>
    <w:rsid w:val="5DCD610C"/>
    <w:rsid w:val="5DEF040C"/>
    <w:rsid w:val="5DEF2C33"/>
    <w:rsid w:val="5DF65422"/>
    <w:rsid w:val="5DF7113D"/>
    <w:rsid w:val="5DF78162"/>
    <w:rsid w:val="5DFE3C2B"/>
    <w:rsid w:val="5DFFB012"/>
    <w:rsid w:val="5E1D3FB1"/>
    <w:rsid w:val="5E2A73C0"/>
    <w:rsid w:val="5E793521"/>
    <w:rsid w:val="5E7F79EF"/>
    <w:rsid w:val="5E85173B"/>
    <w:rsid w:val="5E8866D7"/>
    <w:rsid w:val="5EB2016C"/>
    <w:rsid w:val="5EB7242C"/>
    <w:rsid w:val="5EDBF34C"/>
    <w:rsid w:val="5EDD4722"/>
    <w:rsid w:val="5EDE6DC2"/>
    <w:rsid w:val="5EE3C637"/>
    <w:rsid w:val="5EF5284B"/>
    <w:rsid w:val="5EF76C7E"/>
    <w:rsid w:val="5EFBE8D9"/>
    <w:rsid w:val="5EFCC07A"/>
    <w:rsid w:val="5EFEF3ED"/>
    <w:rsid w:val="5EFF7BE9"/>
    <w:rsid w:val="5F2FC13B"/>
    <w:rsid w:val="5F309A2C"/>
    <w:rsid w:val="5F370C2B"/>
    <w:rsid w:val="5F5EBF92"/>
    <w:rsid w:val="5F774212"/>
    <w:rsid w:val="5FBE7281"/>
    <w:rsid w:val="5FBF72E3"/>
    <w:rsid w:val="5FBFB419"/>
    <w:rsid w:val="5FDB0928"/>
    <w:rsid w:val="5FDD6FDE"/>
    <w:rsid w:val="5FEE4964"/>
    <w:rsid w:val="5FEEF60C"/>
    <w:rsid w:val="5FF54A80"/>
    <w:rsid w:val="5FF6FB1C"/>
    <w:rsid w:val="5FF7A055"/>
    <w:rsid w:val="5FF7A82D"/>
    <w:rsid w:val="5FF7A9D2"/>
    <w:rsid w:val="5FF9708D"/>
    <w:rsid w:val="5FFB6BAF"/>
    <w:rsid w:val="5FFC3F7D"/>
    <w:rsid w:val="5FFDA3EE"/>
    <w:rsid w:val="5FFE17C6"/>
    <w:rsid w:val="5FFE8776"/>
    <w:rsid w:val="60F5C22B"/>
    <w:rsid w:val="617FDA56"/>
    <w:rsid w:val="617FF6AF"/>
    <w:rsid w:val="625E3DC4"/>
    <w:rsid w:val="633F6CC7"/>
    <w:rsid w:val="636F12CD"/>
    <w:rsid w:val="63DB1526"/>
    <w:rsid w:val="641F491E"/>
    <w:rsid w:val="648C0471"/>
    <w:rsid w:val="64A9538E"/>
    <w:rsid w:val="64E11B2C"/>
    <w:rsid w:val="656102B9"/>
    <w:rsid w:val="657C820C"/>
    <w:rsid w:val="657FCEBA"/>
    <w:rsid w:val="659C79D3"/>
    <w:rsid w:val="65B31319"/>
    <w:rsid w:val="65DF9500"/>
    <w:rsid w:val="65E747BC"/>
    <w:rsid w:val="65F78D8C"/>
    <w:rsid w:val="65FFA1F8"/>
    <w:rsid w:val="65FFE939"/>
    <w:rsid w:val="661E3335"/>
    <w:rsid w:val="6656B455"/>
    <w:rsid w:val="66ED3206"/>
    <w:rsid w:val="672F3A41"/>
    <w:rsid w:val="675EF6D4"/>
    <w:rsid w:val="676F4304"/>
    <w:rsid w:val="67E61DB3"/>
    <w:rsid w:val="67EF3224"/>
    <w:rsid w:val="67FE857C"/>
    <w:rsid w:val="67FED58C"/>
    <w:rsid w:val="67FF003E"/>
    <w:rsid w:val="67FF4BB5"/>
    <w:rsid w:val="684501D4"/>
    <w:rsid w:val="686E411D"/>
    <w:rsid w:val="6929452F"/>
    <w:rsid w:val="694D23DB"/>
    <w:rsid w:val="69650304"/>
    <w:rsid w:val="69C62FFE"/>
    <w:rsid w:val="69F7D92B"/>
    <w:rsid w:val="6A275F63"/>
    <w:rsid w:val="6A7A31E5"/>
    <w:rsid w:val="6AAFED99"/>
    <w:rsid w:val="6AE9C1DA"/>
    <w:rsid w:val="6B436831"/>
    <w:rsid w:val="6B6E3DC4"/>
    <w:rsid w:val="6B7179B2"/>
    <w:rsid w:val="6B77E2D5"/>
    <w:rsid w:val="6BD51137"/>
    <w:rsid w:val="6BDA6921"/>
    <w:rsid w:val="6BDF6B07"/>
    <w:rsid w:val="6BF7B077"/>
    <w:rsid w:val="6BF7EAFA"/>
    <w:rsid w:val="6BFD1422"/>
    <w:rsid w:val="6BFF5620"/>
    <w:rsid w:val="6BFFD4BB"/>
    <w:rsid w:val="6C430D4D"/>
    <w:rsid w:val="6C642A0F"/>
    <w:rsid w:val="6CB076BA"/>
    <w:rsid w:val="6CF7BF9B"/>
    <w:rsid w:val="6CFD091F"/>
    <w:rsid w:val="6CFFC3B5"/>
    <w:rsid w:val="6CFFCCC8"/>
    <w:rsid w:val="6D1B9328"/>
    <w:rsid w:val="6D50169A"/>
    <w:rsid w:val="6D53BA78"/>
    <w:rsid w:val="6D73CC41"/>
    <w:rsid w:val="6D77449D"/>
    <w:rsid w:val="6DA50DBC"/>
    <w:rsid w:val="6DB5F7F1"/>
    <w:rsid w:val="6DBA2ADD"/>
    <w:rsid w:val="6DDC72CD"/>
    <w:rsid w:val="6DDD1263"/>
    <w:rsid w:val="6DEF40CD"/>
    <w:rsid w:val="6DF731B1"/>
    <w:rsid w:val="6DF8D4BD"/>
    <w:rsid w:val="6DF9AADB"/>
    <w:rsid w:val="6DFBA0C9"/>
    <w:rsid w:val="6DFDAD78"/>
    <w:rsid w:val="6EBFEB94"/>
    <w:rsid w:val="6EF127BF"/>
    <w:rsid w:val="6EFD3EB9"/>
    <w:rsid w:val="6EFE8F88"/>
    <w:rsid w:val="6EFEE525"/>
    <w:rsid w:val="6F3B17DD"/>
    <w:rsid w:val="6F3DBAFE"/>
    <w:rsid w:val="6F53462D"/>
    <w:rsid w:val="6F71D401"/>
    <w:rsid w:val="6F7796A3"/>
    <w:rsid w:val="6F7F319E"/>
    <w:rsid w:val="6F8F7E74"/>
    <w:rsid w:val="6F9FCDCC"/>
    <w:rsid w:val="6FB4E98C"/>
    <w:rsid w:val="6FBD54F7"/>
    <w:rsid w:val="6FBE16E4"/>
    <w:rsid w:val="6FBFEC2E"/>
    <w:rsid w:val="6FCF7FB5"/>
    <w:rsid w:val="6FD902DD"/>
    <w:rsid w:val="6FDE7331"/>
    <w:rsid w:val="6FE5BAF3"/>
    <w:rsid w:val="6FE7C91E"/>
    <w:rsid w:val="6FEE3948"/>
    <w:rsid w:val="6FF3053E"/>
    <w:rsid w:val="6FF716C9"/>
    <w:rsid w:val="6FF71E06"/>
    <w:rsid w:val="6FF7F514"/>
    <w:rsid w:val="6FFC15B4"/>
    <w:rsid w:val="6FFD4120"/>
    <w:rsid w:val="6FFE0FFC"/>
    <w:rsid w:val="6FFE3253"/>
    <w:rsid w:val="6FFF1619"/>
    <w:rsid w:val="704666B3"/>
    <w:rsid w:val="7076285A"/>
    <w:rsid w:val="709D6E51"/>
    <w:rsid w:val="70DE4677"/>
    <w:rsid w:val="70F4632C"/>
    <w:rsid w:val="7131666D"/>
    <w:rsid w:val="715F12E9"/>
    <w:rsid w:val="71AD6475"/>
    <w:rsid w:val="71C542E2"/>
    <w:rsid w:val="71FB6C78"/>
    <w:rsid w:val="71FE8064"/>
    <w:rsid w:val="71FF6A42"/>
    <w:rsid w:val="721FCB48"/>
    <w:rsid w:val="724E022D"/>
    <w:rsid w:val="727BDBB6"/>
    <w:rsid w:val="72874010"/>
    <w:rsid w:val="72CF0DAC"/>
    <w:rsid w:val="72F2C217"/>
    <w:rsid w:val="72FB5973"/>
    <w:rsid w:val="733EB3E8"/>
    <w:rsid w:val="735BF074"/>
    <w:rsid w:val="737284AE"/>
    <w:rsid w:val="739EBC35"/>
    <w:rsid w:val="73AFD98D"/>
    <w:rsid w:val="73BB6BF6"/>
    <w:rsid w:val="73BF8F93"/>
    <w:rsid w:val="73BFDBC7"/>
    <w:rsid w:val="73DF29A0"/>
    <w:rsid w:val="73DFAFEB"/>
    <w:rsid w:val="73E55634"/>
    <w:rsid w:val="73E99824"/>
    <w:rsid w:val="73EFF69A"/>
    <w:rsid w:val="73F32AB8"/>
    <w:rsid w:val="73FD6978"/>
    <w:rsid w:val="73FF1F09"/>
    <w:rsid w:val="73FFA5BE"/>
    <w:rsid w:val="741811A2"/>
    <w:rsid w:val="741B741F"/>
    <w:rsid w:val="744EA2DA"/>
    <w:rsid w:val="745B3E5A"/>
    <w:rsid w:val="74EDFC71"/>
    <w:rsid w:val="751A2D35"/>
    <w:rsid w:val="7562642D"/>
    <w:rsid w:val="759F3E5F"/>
    <w:rsid w:val="75B2D8F4"/>
    <w:rsid w:val="75CB71F4"/>
    <w:rsid w:val="75CB9CA2"/>
    <w:rsid w:val="75CF66C2"/>
    <w:rsid w:val="75DFCDD0"/>
    <w:rsid w:val="75E7EC3E"/>
    <w:rsid w:val="75ED4C81"/>
    <w:rsid w:val="75EE106A"/>
    <w:rsid w:val="75FB87B9"/>
    <w:rsid w:val="75FE714E"/>
    <w:rsid w:val="75FF5242"/>
    <w:rsid w:val="76725BA8"/>
    <w:rsid w:val="76B7A01E"/>
    <w:rsid w:val="76C41C51"/>
    <w:rsid w:val="76D73466"/>
    <w:rsid w:val="76ED63DC"/>
    <w:rsid w:val="76EDFEA8"/>
    <w:rsid w:val="76EFA86B"/>
    <w:rsid w:val="76FBE0A6"/>
    <w:rsid w:val="76FEB519"/>
    <w:rsid w:val="76FEFB69"/>
    <w:rsid w:val="77120D81"/>
    <w:rsid w:val="773B6E94"/>
    <w:rsid w:val="773F416B"/>
    <w:rsid w:val="773FC2B4"/>
    <w:rsid w:val="774F1A39"/>
    <w:rsid w:val="7767697B"/>
    <w:rsid w:val="7774FCA3"/>
    <w:rsid w:val="777D75DB"/>
    <w:rsid w:val="777E1C13"/>
    <w:rsid w:val="777E241C"/>
    <w:rsid w:val="777FAAE5"/>
    <w:rsid w:val="777FE2C2"/>
    <w:rsid w:val="77A70918"/>
    <w:rsid w:val="77AF8990"/>
    <w:rsid w:val="77BEFEDF"/>
    <w:rsid w:val="77BF0C56"/>
    <w:rsid w:val="77BF2C6C"/>
    <w:rsid w:val="77BF4469"/>
    <w:rsid w:val="77BF6CA4"/>
    <w:rsid w:val="77BFA246"/>
    <w:rsid w:val="77D3B109"/>
    <w:rsid w:val="77DA9E1C"/>
    <w:rsid w:val="77DCDCBD"/>
    <w:rsid w:val="77DF0902"/>
    <w:rsid w:val="77EBC94C"/>
    <w:rsid w:val="77EC7166"/>
    <w:rsid w:val="77EFAE4D"/>
    <w:rsid w:val="77F23CBB"/>
    <w:rsid w:val="77F3F99A"/>
    <w:rsid w:val="77F7B6A1"/>
    <w:rsid w:val="77FB3794"/>
    <w:rsid w:val="77FB69F2"/>
    <w:rsid w:val="77FC1973"/>
    <w:rsid w:val="77FDE437"/>
    <w:rsid w:val="77FE7220"/>
    <w:rsid w:val="77FF2E5D"/>
    <w:rsid w:val="77FF6BD3"/>
    <w:rsid w:val="77FF73FE"/>
    <w:rsid w:val="77FF8DE4"/>
    <w:rsid w:val="77FF96DC"/>
    <w:rsid w:val="77FF98D9"/>
    <w:rsid w:val="77FFD07D"/>
    <w:rsid w:val="780E2ADE"/>
    <w:rsid w:val="783FA804"/>
    <w:rsid w:val="78DB50B6"/>
    <w:rsid w:val="78E751EF"/>
    <w:rsid w:val="795A4F5B"/>
    <w:rsid w:val="797F5239"/>
    <w:rsid w:val="79B78C19"/>
    <w:rsid w:val="79DD1813"/>
    <w:rsid w:val="79FF7B0D"/>
    <w:rsid w:val="79FFEF0E"/>
    <w:rsid w:val="7A362C05"/>
    <w:rsid w:val="7A4A60C9"/>
    <w:rsid w:val="7A71A7FD"/>
    <w:rsid w:val="7A97FF58"/>
    <w:rsid w:val="7AD6223C"/>
    <w:rsid w:val="7ADA695B"/>
    <w:rsid w:val="7ADC9D1C"/>
    <w:rsid w:val="7AF30C9D"/>
    <w:rsid w:val="7AF70606"/>
    <w:rsid w:val="7AF7D67B"/>
    <w:rsid w:val="7AFBDED6"/>
    <w:rsid w:val="7AFE0FCA"/>
    <w:rsid w:val="7B4307D3"/>
    <w:rsid w:val="7B4EFB5C"/>
    <w:rsid w:val="7B4F838D"/>
    <w:rsid w:val="7B5D00BF"/>
    <w:rsid w:val="7B6BB10C"/>
    <w:rsid w:val="7B6F5563"/>
    <w:rsid w:val="7B77A0CF"/>
    <w:rsid w:val="7B77F2FD"/>
    <w:rsid w:val="7B77F8E5"/>
    <w:rsid w:val="7B7E6EAB"/>
    <w:rsid w:val="7B7ED2FE"/>
    <w:rsid w:val="7B9A2410"/>
    <w:rsid w:val="7B9FA5D8"/>
    <w:rsid w:val="7BC7C2B2"/>
    <w:rsid w:val="7BCDC113"/>
    <w:rsid w:val="7BD298ED"/>
    <w:rsid w:val="7BD32125"/>
    <w:rsid w:val="7BD5B7B5"/>
    <w:rsid w:val="7BDB155B"/>
    <w:rsid w:val="7BDDE200"/>
    <w:rsid w:val="7BE74C94"/>
    <w:rsid w:val="7BE8B7E0"/>
    <w:rsid w:val="7BEFBC60"/>
    <w:rsid w:val="7BF5878C"/>
    <w:rsid w:val="7BF5E51E"/>
    <w:rsid w:val="7BF74946"/>
    <w:rsid w:val="7BF85915"/>
    <w:rsid w:val="7BFEB61B"/>
    <w:rsid w:val="7BFF3055"/>
    <w:rsid w:val="7BFFE1E3"/>
    <w:rsid w:val="7C3DCC41"/>
    <w:rsid w:val="7C6E6434"/>
    <w:rsid w:val="7C6F2224"/>
    <w:rsid w:val="7CA144D9"/>
    <w:rsid w:val="7CE37221"/>
    <w:rsid w:val="7CE7B5D6"/>
    <w:rsid w:val="7CF37388"/>
    <w:rsid w:val="7CFA7567"/>
    <w:rsid w:val="7CFAD471"/>
    <w:rsid w:val="7CFB0EB0"/>
    <w:rsid w:val="7CFC9292"/>
    <w:rsid w:val="7CFCE577"/>
    <w:rsid w:val="7CFE1B60"/>
    <w:rsid w:val="7D2FD223"/>
    <w:rsid w:val="7D5D42EC"/>
    <w:rsid w:val="7D696218"/>
    <w:rsid w:val="7D6E0348"/>
    <w:rsid w:val="7D732DDD"/>
    <w:rsid w:val="7D7E1CC4"/>
    <w:rsid w:val="7D7F35B0"/>
    <w:rsid w:val="7D7F7B08"/>
    <w:rsid w:val="7D9730E6"/>
    <w:rsid w:val="7DA53E84"/>
    <w:rsid w:val="7DA55C93"/>
    <w:rsid w:val="7DAF073E"/>
    <w:rsid w:val="7DB7C70A"/>
    <w:rsid w:val="7DBA4278"/>
    <w:rsid w:val="7DBF991A"/>
    <w:rsid w:val="7DC6D82A"/>
    <w:rsid w:val="7DDB197B"/>
    <w:rsid w:val="7DDB3FF1"/>
    <w:rsid w:val="7DDDE4C2"/>
    <w:rsid w:val="7DDDEA04"/>
    <w:rsid w:val="7DDF2B9D"/>
    <w:rsid w:val="7DDF54C6"/>
    <w:rsid w:val="7DDFBB82"/>
    <w:rsid w:val="7DEEADF7"/>
    <w:rsid w:val="7DEF083D"/>
    <w:rsid w:val="7DEF1F47"/>
    <w:rsid w:val="7DEFC657"/>
    <w:rsid w:val="7DF6689E"/>
    <w:rsid w:val="7DF725B8"/>
    <w:rsid w:val="7DF7FC2B"/>
    <w:rsid w:val="7DFBE697"/>
    <w:rsid w:val="7DFD5F34"/>
    <w:rsid w:val="7DFDDCC0"/>
    <w:rsid w:val="7DFE0FFF"/>
    <w:rsid w:val="7DFE2F0F"/>
    <w:rsid w:val="7DFFEBAB"/>
    <w:rsid w:val="7E2B1B1F"/>
    <w:rsid w:val="7E4435A0"/>
    <w:rsid w:val="7E47CD03"/>
    <w:rsid w:val="7E5FC005"/>
    <w:rsid w:val="7E6B99FE"/>
    <w:rsid w:val="7E76C969"/>
    <w:rsid w:val="7E7AE341"/>
    <w:rsid w:val="7E7FE21D"/>
    <w:rsid w:val="7E8A5F13"/>
    <w:rsid w:val="7EAFF8B5"/>
    <w:rsid w:val="7EB2B236"/>
    <w:rsid w:val="7EBC11EA"/>
    <w:rsid w:val="7EBE5878"/>
    <w:rsid w:val="7ED9541D"/>
    <w:rsid w:val="7EDD1C07"/>
    <w:rsid w:val="7EDE5EFF"/>
    <w:rsid w:val="7EDF4CBC"/>
    <w:rsid w:val="7EDF7E6F"/>
    <w:rsid w:val="7EE32EEC"/>
    <w:rsid w:val="7EE71208"/>
    <w:rsid w:val="7EE9456A"/>
    <w:rsid w:val="7EEEA49A"/>
    <w:rsid w:val="7EEEBE07"/>
    <w:rsid w:val="7EF76B39"/>
    <w:rsid w:val="7EF99FF1"/>
    <w:rsid w:val="7EFA5A26"/>
    <w:rsid w:val="7EFC857F"/>
    <w:rsid w:val="7EFCB96B"/>
    <w:rsid w:val="7EFD6A88"/>
    <w:rsid w:val="7EFDCBFC"/>
    <w:rsid w:val="7EFF019F"/>
    <w:rsid w:val="7EFF50EB"/>
    <w:rsid w:val="7EFF5ED2"/>
    <w:rsid w:val="7EFFE722"/>
    <w:rsid w:val="7F1B1AAE"/>
    <w:rsid w:val="7F2E9E5D"/>
    <w:rsid w:val="7F37422C"/>
    <w:rsid w:val="7F37B6C6"/>
    <w:rsid w:val="7F3FDE65"/>
    <w:rsid w:val="7F4B46CC"/>
    <w:rsid w:val="7F4FE693"/>
    <w:rsid w:val="7F52B9EE"/>
    <w:rsid w:val="7F570B34"/>
    <w:rsid w:val="7F5E35AF"/>
    <w:rsid w:val="7F5E413C"/>
    <w:rsid w:val="7F6E4D68"/>
    <w:rsid w:val="7F716D5E"/>
    <w:rsid w:val="7F734098"/>
    <w:rsid w:val="7F795B47"/>
    <w:rsid w:val="7F7A2FC5"/>
    <w:rsid w:val="7F7CD510"/>
    <w:rsid w:val="7F7EFBC9"/>
    <w:rsid w:val="7F7F4C63"/>
    <w:rsid w:val="7F7F88FE"/>
    <w:rsid w:val="7F9450B2"/>
    <w:rsid w:val="7F9B6B55"/>
    <w:rsid w:val="7F9E9DD4"/>
    <w:rsid w:val="7FA38CEE"/>
    <w:rsid w:val="7FA7C4F9"/>
    <w:rsid w:val="7FA932EE"/>
    <w:rsid w:val="7FABC639"/>
    <w:rsid w:val="7FAD9DD0"/>
    <w:rsid w:val="7FAF17A5"/>
    <w:rsid w:val="7FAF8AFF"/>
    <w:rsid w:val="7FB1408F"/>
    <w:rsid w:val="7FB2CBDF"/>
    <w:rsid w:val="7FB30E7D"/>
    <w:rsid w:val="7FB79512"/>
    <w:rsid w:val="7FBB1302"/>
    <w:rsid w:val="7FBC335E"/>
    <w:rsid w:val="7FBC5AFD"/>
    <w:rsid w:val="7FBD1317"/>
    <w:rsid w:val="7FBE35CC"/>
    <w:rsid w:val="7FBE3A7A"/>
    <w:rsid w:val="7FBEDAF6"/>
    <w:rsid w:val="7FBF37F2"/>
    <w:rsid w:val="7FBF790E"/>
    <w:rsid w:val="7FBF7DC2"/>
    <w:rsid w:val="7FBF8B21"/>
    <w:rsid w:val="7FBFA282"/>
    <w:rsid w:val="7FBFEB69"/>
    <w:rsid w:val="7FC0448B"/>
    <w:rsid w:val="7FC9169B"/>
    <w:rsid w:val="7FCBE30D"/>
    <w:rsid w:val="7FD713CC"/>
    <w:rsid w:val="7FD9127F"/>
    <w:rsid w:val="7FDAC39C"/>
    <w:rsid w:val="7FDB09D8"/>
    <w:rsid w:val="7FDB75BB"/>
    <w:rsid w:val="7FDB945F"/>
    <w:rsid w:val="7FDCADA8"/>
    <w:rsid w:val="7FDE127E"/>
    <w:rsid w:val="7FDE2061"/>
    <w:rsid w:val="7FDE354E"/>
    <w:rsid w:val="7FDF40D7"/>
    <w:rsid w:val="7FDF9342"/>
    <w:rsid w:val="7FE6A35B"/>
    <w:rsid w:val="7FE77CC4"/>
    <w:rsid w:val="7FEB85CC"/>
    <w:rsid w:val="7FEF1481"/>
    <w:rsid w:val="7FEF1DEB"/>
    <w:rsid w:val="7FEFBBEE"/>
    <w:rsid w:val="7FEFF6AD"/>
    <w:rsid w:val="7FF453DC"/>
    <w:rsid w:val="7FF53FC6"/>
    <w:rsid w:val="7FF701E9"/>
    <w:rsid w:val="7FF72FF4"/>
    <w:rsid w:val="7FF74A6C"/>
    <w:rsid w:val="7FF88170"/>
    <w:rsid w:val="7FF943EA"/>
    <w:rsid w:val="7FFB0636"/>
    <w:rsid w:val="7FFB51BE"/>
    <w:rsid w:val="7FFB6A91"/>
    <w:rsid w:val="7FFBA9B5"/>
    <w:rsid w:val="7FFCB6FC"/>
    <w:rsid w:val="7FFD320A"/>
    <w:rsid w:val="7FFD6CF4"/>
    <w:rsid w:val="7FFF0A39"/>
    <w:rsid w:val="7FFF1127"/>
    <w:rsid w:val="7FFF18DF"/>
    <w:rsid w:val="7FFFA237"/>
    <w:rsid w:val="7FFFA720"/>
    <w:rsid w:val="7FFFA8F0"/>
    <w:rsid w:val="7FFFB070"/>
    <w:rsid w:val="7FFFB9C6"/>
    <w:rsid w:val="81F18177"/>
    <w:rsid w:val="84F3EEA4"/>
    <w:rsid w:val="857DCA8C"/>
    <w:rsid w:val="85CA5F29"/>
    <w:rsid w:val="873D52FC"/>
    <w:rsid w:val="89FBB884"/>
    <w:rsid w:val="8B9F340F"/>
    <w:rsid w:val="8BF14F5A"/>
    <w:rsid w:val="8F7B6424"/>
    <w:rsid w:val="8FBF9EA4"/>
    <w:rsid w:val="8FFD0918"/>
    <w:rsid w:val="93BB7998"/>
    <w:rsid w:val="93FE2EBD"/>
    <w:rsid w:val="957D9633"/>
    <w:rsid w:val="96DB80FD"/>
    <w:rsid w:val="96DD27EB"/>
    <w:rsid w:val="97BFCCCA"/>
    <w:rsid w:val="97D863FB"/>
    <w:rsid w:val="99D77A41"/>
    <w:rsid w:val="9AFAD547"/>
    <w:rsid w:val="9B6D7D98"/>
    <w:rsid w:val="9B9FF190"/>
    <w:rsid w:val="9BDD59D2"/>
    <w:rsid w:val="9BE7DD3E"/>
    <w:rsid w:val="9BF87FE8"/>
    <w:rsid w:val="9BFE5D1B"/>
    <w:rsid w:val="9C2D62C5"/>
    <w:rsid w:val="9CDF4B66"/>
    <w:rsid w:val="9CEA375F"/>
    <w:rsid w:val="9CF9F38E"/>
    <w:rsid w:val="9D6659AC"/>
    <w:rsid w:val="9D77CC9D"/>
    <w:rsid w:val="9E3F2FA2"/>
    <w:rsid w:val="9EE22732"/>
    <w:rsid w:val="9EEB06CE"/>
    <w:rsid w:val="9EF354D1"/>
    <w:rsid w:val="9F1BCEB1"/>
    <w:rsid w:val="9F5F0D2C"/>
    <w:rsid w:val="9FBB84DA"/>
    <w:rsid w:val="9FBF2280"/>
    <w:rsid w:val="9FBF7360"/>
    <w:rsid w:val="9FD3D22D"/>
    <w:rsid w:val="9FD50814"/>
    <w:rsid w:val="9FDF2FDD"/>
    <w:rsid w:val="9FFEBA99"/>
    <w:rsid w:val="9FFF3D56"/>
    <w:rsid w:val="9FFF4D92"/>
    <w:rsid w:val="A3E70971"/>
    <w:rsid w:val="A5EEFEF4"/>
    <w:rsid w:val="A5F8D4B3"/>
    <w:rsid w:val="A67FA771"/>
    <w:rsid w:val="A73D0DD5"/>
    <w:rsid w:val="A77A9539"/>
    <w:rsid w:val="A9538121"/>
    <w:rsid w:val="A99B7769"/>
    <w:rsid w:val="AAF784E8"/>
    <w:rsid w:val="AB9E912C"/>
    <w:rsid w:val="ABAF73A5"/>
    <w:rsid w:val="ABF7CADC"/>
    <w:rsid w:val="ACFA3339"/>
    <w:rsid w:val="ADA6007E"/>
    <w:rsid w:val="ADCFA514"/>
    <w:rsid w:val="ADEFE374"/>
    <w:rsid w:val="AE7DE7C4"/>
    <w:rsid w:val="AE7F4CDB"/>
    <w:rsid w:val="AEFBEDE2"/>
    <w:rsid w:val="AEFEA792"/>
    <w:rsid w:val="AF772FC8"/>
    <w:rsid w:val="AF7B61E5"/>
    <w:rsid w:val="AFBF2099"/>
    <w:rsid w:val="AFD72315"/>
    <w:rsid w:val="AFF6403B"/>
    <w:rsid w:val="AFF67AA9"/>
    <w:rsid w:val="AFF7527D"/>
    <w:rsid w:val="AFFFA1A6"/>
    <w:rsid w:val="B0FFBD90"/>
    <w:rsid w:val="B16F57A7"/>
    <w:rsid w:val="B17B764D"/>
    <w:rsid w:val="B37FD117"/>
    <w:rsid w:val="B3DCEFF3"/>
    <w:rsid w:val="B3F763FD"/>
    <w:rsid w:val="B3FB50B9"/>
    <w:rsid w:val="B3FFC987"/>
    <w:rsid w:val="B675F493"/>
    <w:rsid w:val="B6D5EC63"/>
    <w:rsid w:val="B6DD05AB"/>
    <w:rsid w:val="B6EACFCF"/>
    <w:rsid w:val="B6EC7BC0"/>
    <w:rsid w:val="B777AE16"/>
    <w:rsid w:val="B77DCC5C"/>
    <w:rsid w:val="B7BB8F72"/>
    <w:rsid w:val="B7D786B4"/>
    <w:rsid w:val="B7DF047F"/>
    <w:rsid w:val="B7DF5616"/>
    <w:rsid w:val="B7DF7816"/>
    <w:rsid w:val="B7FA3634"/>
    <w:rsid w:val="B7FC982B"/>
    <w:rsid w:val="B991A51D"/>
    <w:rsid w:val="B9FF6ADC"/>
    <w:rsid w:val="BA3D6875"/>
    <w:rsid w:val="BA7B7903"/>
    <w:rsid w:val="BABFFD34"/>
    <w:rsid w:val="BAEEC423"/>
    <w:rsid w:val="BB2E45B1"/>
    <w:rsid w:val="BB6E4026"/>
    <w:rsid w:val="BBAFBAB2"/>
    <w:rsid w:val="BBBEA2D0"/>
    <w:rsid w:val="BBCECFDB"/>
    <w:rsid w:val="BBE9D1DD"/>
    <w:rsid w:val="BBF32364"/>
    <w:rsid w:val="BC5D25E6"/>
    <w:rsid w:val="BC7FDC1C"/>
    <w:rsid w:val="BCB73D11"/>
    <w:rsid w:val="BD1F5AE9"/>
    <w:rsid w:val="BD57B2B1"/>
    <w:rsid w:val="BD6F761E"/>
    <w:rsid w:val="BD7703B5"/>
    <w:rsid w:val="BD772A0D"/>
    <w:rsid w:val="BD7F4132"/>
    <w:rsid w:val="BDBB0D1A"/>
    <w:rsid w:val="BDBE6A84"/>
    <w:rsid w:val="BDCF7ADE"/>
    <w:rsid w:val="BDEE245C"/>
    <w:rsid w:val="BEDE61D9"/>
    <w:rsid w:val="BEECC0F3"/>
    <w:rsid w:val="BEEF69F5"/>
    <w:rsid w:val="BEFE7628"/>
    <w:rsid w:val="BF038994"/>
    <w:rsid w:val="BF17D58A"/>
    <w:rsid w:val="BF2D0B46"/>
    <w:rsid w:val="BF5FC9D0"/>
    <w:rsid w:val="BF6F27CB"/>
    <w:rsid w:val="BF7E5043"/>
    <w:rsid w:val="BFADC2A3"/>
    <w:rsid w:val="BFB6972B"/>
    <w:rsid w:val="BFB761DD"/>
    <w:rsid w:val="BFBF242B"/>
    <w:rsid w:val="BFBFA5EB"/>
    <w:rsid w:val="BFBFE6FC"/>
    <w:rsid w:val="BFCFBB5F"/>
    <w:rsid w:val="BFDA8798"/>
    <w:rsid w:val="BFDB645D"/>
    <w:rsid w:val="BFDDF50E"/>
    <w:rsid w:val="BFDE6F09"/>
    <w:rsid w:val="BFDFAA72"/>
    <w:rsid w:val="BFF26A67"/>
    <w:rsid w:val="BFF7C717"/>
    <w:rsid w:val="BFFF97C2"/>
    <w:rsid w:val="BFFFFA17"/>
    <w:rsid w:val="C37F9BCF"/>
    <w:rsid w:val="C5AC0AC5"/>
    <w:rsid w:val="C6473A2D"/>
    <w:rsid w:val="C7FB8E09"/>
    <w:rsid w:val="C8FB5839"/>
    <w:rsid w:val="CBDF2E6C"/>
    <w:rsid w:val="CBFE3D58"/>
    <w:rsid w:val="CBFEFB0C"/>
    <w:rsid w:val="CBFF2C33"/>
    <w:rsid w:val="CC8BBDE1"/>
    <w:rsid w:val="CCEC791A"/>
    <w:rsid w:val="CDF16012"/>
    <w:rsid w:val="CDFFB12E"/>
    <w:rsid w:val="CEAD47A0"/>
    <w:rsid w:val="CED56653"/>
    <w:rsid w:val="CEEB128B"/>
    <w:rsid w:val="CEFF9869"/>
    <w:rsid w:val="CF3FC383"/>
    <w:rsid w:val="CF57DF9C"/>
    <w:rsid w:val="CF6F24A8"/>
    <w:rsid w:val="CF78EB40"/>
    <w:rsid w:val="CF7C7D31"/>
    <w:rsid w:val="CF7FFFB3"/>
    <w:rsid w:val="CFAF0E91"/>
    <w:rsid w:val="CFBF1DE7"/>
    <w:rsid w:val="CFE7C8E0"/>
    <w:rsid w:val="CFF810C0"/>
    <w:rsid w:val="D1EAE632"/>
    <w:rsid w:val="D2F3BC68"/>
    <w:rsid w:val="D377B013"/>
    <w:rsid w:val="D3E8E1CA"/>
    <w:rsid w:val="D4FBB2EF"/>
    <w:rsid w:val="D5BDA60A"/>
    <w:rsid w:val="D5FA850E"/>
    <w:rsid w:val="D6A60674"/>
    <w:rsid w:val="D6C66085"/>
    <w:rsid w:val="D76669A2"/>
    <w:rsid w:val="D769096E"/>
    <w:rsid w:val="D77FEC1C"/>
    <w:rsid w:val="D7B7FE1C"/>
    <w:rsid w:val="D7BF468A"/>
    <w:rsid w:val="D7F2252B"/>
    <w:rsid w:val="D7F7DD0A"/>
    <w:rsid w:val="D7FDDF02"/>
    <w:rsid w:val="D8722C93"/>
    <w:rsid w:val="D8B34ED6"/>
    <w:rsid w:val="D8BDF9FC"/>
    <w:rsid w:val="D8DE3529"/>
    <w:rsid w:val="D8FF380C"/>
    <w:rsid w:val="D9FFB7BB"/>
    <w:rsid w:val="DA595172"/>
    <w:rsid w:val="DAB92CC4"/>
    <w:rsid w:val="DACCC658"/>
    <w:rsid w:val="DAEE91DF"/>
    <w:rsid w:val="DAEF8942"/>
    <w:rsid w:val="DAFFEF29"/>
    <w:rsid w:val="DB3B70C9"/>
    <w:rsid w:val="DB67C22D"/>
    <w:rsid w:val="DB7B533E"/>
    <w:rsid w:val="DBA34696"/>
    <w:rsid w:val="DBB68404"/>
    <w:rsid w:val="DBE74235"/>
    <w:rsid w:val="DBF8E8B2"/>
    <w:rsid w:val="DBFD2E54"/>
    <w:rsid w:val="DBFE4A69"/>
    <w:rsid w:val="DBFF2ED8"/>
    <w:rsid w:val="DC71FE6A"/>
    <w:rsid w:val="DD7F6851"/>
    <w:rsid w:val="DD9FD5B5"/>
    <w:rsid w:val="DDB4B099"/>
    <w:rsid w:val="DDB6EA82"/>
    <w:rsid w:val="DDDFBEB5"/>
    <w:rsid w:val="DDDFD8C6"/>
    <w:rsid w:val="DDEF68B4"/>
    <w:rsid w:val="DDF160E4"/>
    <w:rsid w:val="DDFF6C41"/>
    <w:rsid w:val="DDFFC5DE"/>
    <w:rsid w:val="DE1F4019"/>
    <w:rsid w:val="DE3D264C"/>
    <w:rsid w:val="DE7927F5"/>
    <w:rsid w:val="DE8B3A97"/>
    <w:rsid w:val="DEBB921B"/>
    <w:rsid w:val="DED575A0"/>
    <w:rsid w:val="DEDAB6FD"/>
    <w:rsid w:val="DEDD0815"/>
    <w:rsid w:val="DEECBB00"/>
    <w:rsid w:val="DEF35BCA"/>
    <w:rsid w:val="DEFA905C"/>
    <w:rsid w:val="DEFD52A1"/>
    <w:rsid w:val="DEFF7FDF"/>
    <w:rsid w:val="DF2F3FF3"/>
    <w:rsid w:val="DF340EEB"/>
    <w:rsid w:val="DF5FE7E6"/>
    <w:rsid w:val="DF6F88F5"/>
    <w:rsid w:val="DF7BA1A6"/>
    <w:rsid w:val="DF7FCA58"/>
    <w:rsid w:val="DF7FCB2E"/>
    <w:rsid w:val="DFBD1562"/>
    <w:rsid w:val="DFBF1345"/>
    <w:rsid w:val="DFD7016D"/>
    <w:rsid w:val="DFD76A57"/>
    <w:rsid w:val="DFDDCBC2"/>
    <w:rsid w:val="DFDEBE90"/>
    <w:rsid w:val="DFED50A2"/>
    <w:rsid w:val="DFEEABDF"/>
    <w:rsid w:val="DFEECAEF"/>
    <w:rsid w:val="DFEF1307"/>
    <w:rsid w:val="DFEF2AAB"/>
    <w:rsid w:val="DFF4F857"/>
    <w:rsid w:val="DFF5AD9A"/>
    <w:rsid w:val="DFF7A57B"/>
    <w:rsid w:val="DFFF8F42"/>
    <w:rsid w:val="DFFFBA83"/>
    <w:rsid w:val="DFFFBDC4"/>
    <w:rsid w:val="DFFFC6EA"/>
    <w:rsid w:val="E0FF5612"/>
    <w:rsid w:val="E2D587DA"/>
    <w:rsid w:val="E2F679A5"/>
    <w:rsid w:val="E31F42E7"/>
    <w:rsid w:val="E32E06BB"/>
    <w:rsid w:val="E387722D"/>
    <w:rsid w:val="E3BE5050"/>
    <w:rsid w:val="E3BFA3CA"/>
    <w:rsid w:val="E3D74D1A"/>
    <w:rsid w:val="E3FDD47D"/>
    <w:rsid w:val="E3FF1E09"/>
    <w:rsid w:val="E3FF5772"/>
    <w:rsid w:val="E459308D"/>
    <w:rsid w:val="E4FEF684"/>
    <w:rsid w:val="E57CCAAA"/>
    <w:rsid w:val="E59C0E56"/>
    <w:rsid w:val="E59E9573"/>
    <w:rsid w:val="E5F38355"/>
    <w:rsid w:val="E5FFAD4B"/>
    <w:rsid w:val="E74B0F27"/>
    <w:rsid w:val="E75E182F"/>
    <w:rsid w:val="E79ACF5B"/>
    <w:rsid w:val="E7AA5B5A"/>
    <w:rsid w:val="E7B06A65"/>
    <w:rsid w:val="E7BE4A86"/>
    <w:rsid w:val="E7BF0E98"/>
    <w:rsid w:val="E7FDAF71"/>
    <w:rsid w:val="E7FF741F"/>
    <w:rsid w:val="E7FFFB1C"/>
    <w:rsid w:val="E9C71B84"/>
    <w:rsid w:val="E9FF6880"/>
    <w:rsid w:val="EAEEC950"/>
    <w:rsid w:val="EB7B27EF"/>
    <w:rsid w:val="EBB9811E"/>
    <w:rsid w:val="EBCAF011"/>
    <w:rsid w:val="EBCF2E2D"/>
    <w:rsid w:val="EBD079A2"/>
    <w:rsid w:val="EBF36459"/>
    <w:rsid w:val="EBF7F591"/>
    <w:rsid w:val="EBFC93BB"/>
    <w:rsid w:val="EBFF4579"/>
    <w:rsid w:val="EC3F55C1"/>
    <w:rsid w:val="EC6B5CA0"/>
    <w:rsid w:val="EC6DD104"/>
    <w:rsid w:val="ECADA1C7"/>
    <w:rsid w:val="ECBF9672"/>
    <w:rsid w:val="ECCFD51D"/>
    <w:rsid w:val="ECDF8682"/>
    <w:rsid w:val="ECEDEB38"/>
    <w:rsid w:val="EDEBF818"/>
    <w:rsid w:val="EDEC4F9E"/>
    <w:rsid w:val="EDFD0151"/>
    <w:rsid w:val="EDFE0E96"/>
    <w:rsid w:val="EDFF3F2D"/>
    <w:rsid w:val="EE5F0BD7"/>
    <w:rsid w:val="EE73EBDF"/>
    <w:rsid w:val="EE7759B6"/>
    <w:rsid w:val="EE7D49C7"/>
    <w:rsid w:val="EE7D761B"/>
    <w:rsid w:val="EEBD69DE"/>
    <w:rsid w:val="EEDB3FFB"/>
    <w:rsid w:val="EEE70C46"/>
    <w:rsid w:val="EEEA9F01"/>
    <w:rsid w:val="EEED0D85"/>
    <w:rsid w:val="EEED24C7"/>
    <w:rsid w:val="EEEEBEA1"/>
    <w:rsid w:val="EEF344FE"/>
    <w:rsid w:val="EEF59491"/>
    <w:rsid w:val="EEFBBDF6"/>
    <w:rsid w:val="EEFBC13C"/>
    <w:rsid w:val="EF3BDF7C"/>
    <w:rsid w:val="EF3E0208"/>
    <w:rsid w:val="EF5F87D5"/>
    <w:rsid w:val="EF5FFFC3"/>
    <w:rsid w:val="EF6FD7AA"/>
    <w:rsid w:val="EF779990"/>
    <w:rsid w:val="EF7BC6B7"/>
    <w:rsid w:val="EF7F047C"/>
    <w:rsid w:val="EF99C2BB"/>
    <w:rsid w:val="EFB38D5D"/>
    <w:rsid w:val="EFCE905A"/>
    <w:rsid w:val="EFD5C645"/>
    <w:rsid w:val="EFD7DBEB"/>
    <w:rsid w:val="EFDC3271"/>
    <w:rsid w:val="EFDD0567"/>
    <w:rsid w:val="EFEF0728"/>
    <w:rsid w:val="EFEF2AA3"/>
    <w:rsid w:val="EFF59DA7"/>
    <w:rsid w:val="EFF5ED34"/>
    <w:rsid w:val="EFF7230F"/>
    <w:rsid w:val="EFF7624A"/>
    <w:rsid w:val="EFF7965F"/>
    <w:rsid w:val="EFFB0E03"/>
    <w:rsid w:val="EFFB0F67"/>
    <w:rsid w:val="EFFB8498"/>
    <w:rsid w:val="EFFBADC9"/>
    <w:rsid w:val="EFFD087D"/>
    <w:rsid w:val="EFFFBB1F"/>
    <w:rsid w:val="EFFFD1B5"/>
    <w:rsid w:val="F0E97D8B"/>
    <w:rsid w:val="F1332741"/>
    <w:rsid w:val="F153D04B"/>
    <w:rsid w:val="F1BF44D9"/>
    <w:rsid w:val="F2778ABC"/>
    <w:rsid w:val="F27DA92F"/>
    <w:rsid w:val="F2DD75B2"/>
    <w:rsid w:val="F35F651E"/>
    <w:rsid w:val="F375DF47"/>
    <w:rsid w:val="F3BD0F6A"/>
    <w:rsid w:val="F3BF09FF"/>
    <w:rsid w:val="F3DF1E09"/>
    <w:rsid w:val="F3EB3B85"/>
    <w:rsid w:val="F3EE549E"/>
    <w:rsid w:val="F3F379BA"/>
    <w:rsid w:val="F3F96835"/>
    <w:rsid w:val="F3FD34E8"/>
    <w:rsid w:val="F3FF7C7F"/>
    <w:rsid w:val="F4F5E0BF"/>
    <w:rsid w:val="F4FF0120"/>
    <w:rsid w:val="F53FFD93"/>
    <w:rsid w:val="F57E11BD"/>
    <w:rsid w:val="F57F8151"/>
    <w:rsid w:val="F5B7BF95"/>
    <w:rsid w:val="F5BB617B"/>
    <w:rsid w:val="F5BFC447"/>
    <w:rsid w:val="F5CE2975"/>
    <w:rsid w:val="F5EF7935"/>
    <w:rsid w:val="F5F23960"/>
    <w:rsid w:val="F5FF76FA"/>
    <w:rsid w:val="F60BFEBF"/>
    <w:rsid w:val="F61F2F20"/>
    <w:rsid w:val="F67B0000"/>
    <w:rsid w:val="F67F2D6B"/>
    <w:rsid w:val="F6AE12A4"/>
    <w:rsid w:val="F6BF3B09"/>
    <w:rsid w:val="F6CBEFDC"/>
    <w:rsid w:val="F6CED197"/>
    <w:rsid w:val="F6CF9C28"/>
    <w:rsid w:val="F6DF63A2"/>
    <w:rsid w:val="F6EF39F4"/>
    <w:rsid w:val="F6EF4F42"/>
    <w:rsid w:val="F6F7095B"/>
    <w:rsid w:val="F6FC9CB3"/>
    <w:rsid w:val="F727F50B"/>
    <w:rsid w:val="F737FBD6"/>
    <w:rsid w:val="F73D64AE"/>
    <w:rsid w:val="F747E823"/>
    <w:rsid w:val="F76FEEA4"/>
    <w:rsid w:val="F77FDFAB"/>
    <w:rsid w:val="F77FF3DF"/>
    <w:rsid w:val="F7992129"/>
    <w:rsid w:val="F79A42A0"/>
    <w:rsid w:val="F79D24FB"/>
    <w:rsid w:val="F7A7C9D2"/>
    <w:rsid w:val="F7AB552A"/>
    <w:rsid w:val="F7AB9091"/>
    <w:rsid w:val="F7AEE001"/>
    <w:rsid w:val="F7AF7C5E"/>
    <w:rsid w:val="F7B62857"/>
    <w:rsid w:val="F7BD371A"/>
    <w:rsid w:val="F7BF295F"/>
    <w:rsid w:val="F7D7DE92"/>
    <w:rsid w:val="F7DD942A"/>
    <w:rsid w:val="F7DDEFF1"/>
    <w:rsid w:val="F7DE7453"/>
    <w:rsid w:val="F7DF7265"/>
    <w:rsid w:val="F7EDD196"/>
    <w:rsid w:val="F7EEBA21"/>
    <w:rsid w:val="F7EEE7EC"/>
    <w:rsid w:val="F7EF3B05"/>
    <w:rsid w:val="F7EFAD71"/>
    <w:rsid w:val="F7F7F7FD"/>
    <w:rsid w:val="F7FD5B87"/>
    <w:rsid w:val="F7FF8F31"/>
    <w:rsid w:val="F7FFB46C"/>
    <w:rsid w:val="F7FFE84D"/>
    <w:rsid w:val="F7FFF532"/>
    <w:rsid w:val="F86FCDF2"/>
    <w:rsid w:val="F8EED86C"/>
    <w:rsid w:val="F8FF78C3"/>
    <w:rsid w:val="F9BB8848"/>
    <w:rsid w:val="F9BF925E"/>
    <w:rsid w:val="F9CF2780"/>
    <w:rsid w:val="F9D544BC"/>
    <w:rsid w:val="F9F7FDF2"/>
    <w:rsid w:val="F9FA0B0F"/>
    <w:rsid w:val="F9FBF928"/>
    <w:rsid w:val="FA9DB90D"/>
    <w:rsid w:val="FAB738F3"/>
    <w:rsid w:val="FABCEDD1"/>
    <w:rsid w:val="FABDC9E4"/>
    <w:rsid w:val="FAD711BC"/>
    <w:rsid w:val="FAE7F320"/>
    <w:rsid w:val="FAF0DFC6"/>
    <w:rsid w:val="FAFDF315"/>
    <w:rsid w:val="FAFFB8EB"/>
    <w:rsid w:val="FB2AB3E5"/>
    <w:rsid w:val="FB38A78F"/>
    <w:rsid w:val="FB4D387A"/>
    <w:rsid w:val="FB5858FB"/>
    <w:rsid w:val="FB5A53A2"/>
    <w:rsid w:val="FB8B4C48"/>
    <w:rsid w:val="FBA990D1"/>
    <w:rsid w:val="FBAACCCA"/>
    <w:rsid w:val="FBAFF34D"/>
    <w:rsid w:val="FBB56939"/>
    <w:rsid w:val="FBB95C7F"/>
    <w:rsid w:val="FBBB1189"/>
    <w:rsid w:val="FBBBB094"/>
    <w:rsid w:val="FBBBFA1E"/>
    <w:rsid w:val="FBBBFDBF"/>
    <w:rsid w:val="FBD3B090"/>
    <w:rsid w:val="FBD744EE"/>
    <w:rsid w:val="FBDB9061"/>
    <w:rsid w:val="FBDF1618"/>
    <w:rsid w:val="FBED9F05"/>
    <w:rsid w:val="FBEF3174"/>
    <w:rsid w:val="FBF38B18"/>
    <w:rsid w:val="FBF3CAA7"/>
    <w:rsid w:val="FBF7A6ED"/>
    <w:rsid w:val="FBF80EC1"/>
    <w:rsid w:val="FBF915E9"/>
    <w:rsid w:val="FBF9CE6E"/>
    <w:rsid w:val="FBFA326D"/>
    <w:rsid w:val="FBFB4CA3"/>
    <w:rsid w:val="FBFB9188"/>
    <w:rsid w:val="FBFD5512"/>
    <w:rsid w:val="FBFE27BB"/>
    <w:rsid w:val="FBFE814D"/>
    <w:rsid w:val="FBFEB732"/>
    <w:rsid w:val="FBFF40F4"/>
    <w:rsid w:val="FBFF521E"/>
    <w:rsid w:val="FBFF6A84"/>
    <w:rsid w:val="FBFFA369"/>
    <w:rsid w:val="FBFFA96C"/>
    <w:rsid w:val="FC7ED10A"/>
    <w:rsid w:val="FC7EF94E"/>
    <w:rsid w:val="FC7F21D6"/>
    <w:rsid w:val="FC9CDC85"/>
    <w:rsid w:val="FCAD976A"/>
    <w:rsid w:val="FCD3C473"/>
    <w:rsid w:val="FCDEE495"/>
    <w:rsid w:val="FCE7D0C1"/>
    <w:rsid w:val="FCEB6324"/>
    <w:rsid w:val="FCEB6C25"/>
    <w:rsid w:val="FCEE210B"/>
    <w:rsid w:val="FCF4FD18"/>
    <w:rsid w:val="FCF73229"/>
    <w:rsid w:val="FCF78121"/>
    <w:rsid w:val="FCFC1180"/>
    <w:rsid w:val="FCFF12F8"/>
    <w:rsid w:val="FD37ABED"/>
    <w:rsid w:val="FD5D175A"/>
    <w:rsid w:val="FD5F3AC2"/>
    <w:rsid w:val="FD732306"/>
    <w:rsid w:val="FD7385D8"/>
    <w:rsid w:val="FD76EC3C"/>
    <w:rsid w:val="FD7ADA0E"/>
    <w:rsid w:val="FD7BA142"/>
    <w:rsid w:val="FD7F5CA8"/>
    <w:rsid w:val="FDABF936"/>
    <w:rsid w:val="FDB7080C"/>
    <w:rsid w:val="FDB90CB4"/>
    <w:rsid w:val="FDB9918C"/>
    <w:rsid w:val="FDBF4BBF"/>
    <w:rsid w:val="FDCB7DCA"/>
    <w:rsid w:val="FDD570B8"/>
    <w:rsid w:val="FDD6E2C2"/>
    <w:rsid w:val="FDDAED36"/>
    <w:rsid w:val="FDDD77BE"/>
    <w:rsid w:val="FDDF099B"/>
    <w:rsid w:val="FDDFAAE7"/>
    <w:rsid w:val="FDE6B727"/>
    <w:rsid w:val="FDE958AE"/>
    <w:rsid w:val="FDEBD1F7"/>
    <w:rsid w:val="FDEF6C90"/>
    <w:rsid w:val="FDF39664"/>
    <w:rsid w:val="FDF74D82"/>
    <w:rsid w:val="FDFA7413"/>
    <w:rsid w:val="FDFAB1C5"/>
    <w:rsid w:val="FDFB9258"/>
    <w:rsid w:val="FDFCE639"/>
    <w:rsid w:val="FDFE7BBB"/>
    <w:rsid w:val="FDFEDA63"/>
    <w:rsid w:val="FDFF6898"/>
    <w:rsid w:val="FDFFA415"/>
    <w:rsid w:val="FDFFE94D"/>
    <w:rsid w:val="FDFFFF36"/>
    <w:rsid w:val="FE03C3A5"/>
    <w:rsid w:val="FE370956"/>
    <w:rsid w:val="FE3F3BD4"/>
    <w:rsid w:val="FE3F4037"/>
    <w:rsid w:val="FE4DB469"/>
    <w:rsid w:val="FE5EC233"/>
    <w:rsid w:val="FE5F682D"/>
    <w:rsid w:val="FE7F99DE"/>
    <w:rsid w:val="FE92E028"/>
    <w:rsid w:val="FE9A8C7E"/>
    <w:rsid w:val="FE9D281B"/>
    <w:rsid w:val="FEAF3724"/>
    <w:rsid w:val="FEBF0FBF"/>
    <w:rsid w:val="FEBFABBF"/>
    <w:rsid w:val="FEBFCFF9"/>
    <w:rsid w:val="FEBFEDD9"/>
    <w:rsid w:val="FEBFEFF2"/>
    <w:rsid w:val="FEBFF8EF"/>
    <w:rsid w:val="FEC694A1"/>
    <w:rsid w:val="FEC738A4"/>
    <w:rsid w:val="FECA2A23"/>
    <w:rsid w:val="FECF3F38"/>
    <w:rsid w:val="FEDE973F"/>
    <w:rsid w:val="FEEB0125"/>
    <w:rsid w:val="FEF7D8D2"/>
    <w:rsid w:val="FEFB2736"/>
    <w:rsid w:val="FEFB3A46"/>
    <w:rsid w:val="FEFD8A40"/>
    <w:rsid w:val="FEFDC52C"/>
    <w:rsid w:val="FEFE1208"/>
    <w:rsid w:val="FEFFCD5D"/>
    <w:rsid w:val="FEFFF7C5"/>
    <w:rsid w:val="FF02AED4"/>
    <w:rsid w:val="FF130B56"/>
    <w:rsid w:val="FF2F5FB9"/>
    <w:rsid w:val="FF2FF4D8"/>
    <w:rsid w:val="FF336FC0"/>
    <w:rsid w:val="FF366BFC"/>
    <w:rsid w:val="FF382914"/>
    <w:rsid w:val="FF3B6C13"/>
    <w:rsid w:val="FF3F6ED4"/>
    <w:rsid w:val="FF3F916B"/>
    <w:rsid w:val="FF46559B"/>
    <w:rsid w:val="FF4B5C8F"/>
    <w:rsid w:val="FF4F2A57"/>
    <w:rsid w:val="FF594D85"/>
    <w:rsid w:val="FF5A156A"/>
    <w:rsid w:val="FF5D2607"/>
    <w:rsid w:val="FF6B18CD"/>
    <w:rsid w:val="FF6BD663"/>
    <w:rsid w:val="FF7773DE"/>
    <w:rsid w:val="FF7D0411"/>
    <w:rsid w:val="FF7EC806"/>
    <w:rsid w:val="FF7F554F"/>
    <w:rsid w:val="FF7F6A57"/>
    <w:rsid w:val="FF7FB0B5"/>
    <w:rsid w:val="FF7FD1F0"/>
    <w:rsid w:val="FF8F6DB5"/>
    <w:rsid w:val="FF8F93B5"/>
    <w:rsid w:val="FF999B46"/>
    <w:rsid w:val="FF9CB774"/>
    <w:rsid w:val="FF9E3875"/>
    <w:rsid w:val="FF9E6925"/>
    <w:rsid w:val="FFABECBA"/>
    <w:rsid w:val="FFAD8156"/>
    <w:rsid w:val="FFAF0D89"/>
    <w:rsid w:val="FFB327D6"/>
    <w:rsid w:val="FFB86D77"/>
    <w:rsid w:val="FFBB1725"/>
    <w:rsid w:val="FFBB5C56"/>
    <w:rsid w:val="FFBD4D1A"/>
    <w:rsid w:val="FFBDF24B"/>
    <w:rsid w:val="FFBF1974"/>
    <w:rsid w:val="FFBF5C9F"/>
    <w:rsid w:val="FFBFD8C3"/>
    <w:rsid w:val="FFCDDD54"/>
    <w:rsid w:val="FFCF03CE"/>
    <w:rsid w:val="FFD350DE"/>
    <w:rsid w:val="FFD793A6"/>
    <w:rsid w:val="FFD7F949"/>
    <w:rsid w:val="FFDD1CDC"/>
    <w:rsid w:val="FFDD6461"/>
    <w:rsid w:val="FFDE3EE8"/>
    <w:rsid w:val="FFDEA5E2"/>
    <w:rsid w:val="FFDF132E"/>
    <w:rsid w:val="FFDF521D"/>
    <w:rsid w:val="FFE575D1"/>
    <w:rsid w:val="FFE7327E"/>
    <w:rsid w:val="FFE75614"/>
    <w:rsid w:val="FFEA88BC"/>
    <w:rsid w:val="FFEB619C"/>
    <w:rsid w:val="FFEB855A"/>
    <w:rsid w:val="FFEDE2B3"/>
    <w:rsid w:val="FFEDFD59"/>
    <w:rsid w:val="FFEE3999"/>
    <w:rsid w:val="FFEF2051"/>
    <w:rsid w:val="FFEF3A33"/>
    <w:rsid w:val="FFEFC0E2"/>
    <w:rsid w:val="FFF13DE9"/>
    <w:rsid w:val="FFF61430"/>
    <w:rsid w:val="FFF67A9D"/>
    <w:rsid w:val="FFF6FDFC"/>
    <w:rsid w:val="FFF70967"/>
    <w:rsid w:val="FFF7118F"/>
    <w:rsid w:val="FFF7BCF2"/>
    <w:rsid w:val="FFF7CCE5"/>
    <w:rsid w:val="FFF8CC0C"/>
    <w:rsid w:val="FFFA57DF"/>
    <w:rsid w:val="FFFA8E86"/>
    <w:rsid w:val="FFFB3136"/>
    <w:rsid w:val="FFFB72C0"/>
    <w:rsid w:val="FFFB8ABD"/>
    <w:rsid w:val="FFFC7B80"/>
    <w:rsid w:val="FFFCA5FD"/>
    <w:rsid w:val="FFFD1680"/>
    <w:rsid w:val="FFFD808F"/>
    <w:rsid w:val="FFFE301F"/>
    <w:rsid w:val="FFFE4FEB"/>
    <w:rsid w:val="FFFEF980"/>
    <w:rsid w:val="FFFF930E"/>
    <w:rsid w:val="FFFF9362"/>
    <w:rsid w:val="FFFF9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7"/>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8"/>
    <w:qFormat/>
    <w:uiPriority w:val="0"/>
    <w:pPr>
      <w:keepNext/>
      <w:keepLines/>
      <w:spacing w:before="240" w:after="64" w:line="320" w:lineRule="auto"/>
      <w:outlineLvl w:val="6"/>
    </w:pPr>
    <w:rPr>
      <w:b/>
      <w:sz w:val="24"/>
    </w:rPr>
  </w:style>
  <w:style w:type="paragraph" w:styleId="11">
    <w:name w:val="heading 8"/>
    <w:basedOn w:val="1"/>
    <w:next w:val="8"/>
    <w:link w:val="79"/>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0"/>
    <w:qFormat/>
    <w:uiPriority w:val="0"/>
    <w:pPr>
      <w:keepNext/>
      <w:keepLines/>
      <w:spacing w:before="240" w:after="64" w:line="320" w:lineRule="auto"/>
      <w:outlineLvl w:val="8"/>
    </w:pPr>
    <w:rPr>
      <w:rFonts w:ascii="Arial" w:hAnsi="Arial" w:eastAsia="黑体"/>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pPr>
    <w:rPr>
      <w:rFonts w:ascii="Arial" w:hAnsi="Arial" w:eastAsia="黑体" w:cs="Arial"/>
      <w:sz w:val="20"/>
      <w:szCs w:val="20"/>
    </w:rPr>
  </w:style>
  <w:style w:type="paragraph" w:styleId="17">
    <w:name w:val="Document Map"/>
    <w:basedOn w:val="1"/>
    <w:link w:val="81"/>
    <w:semiHidden/>
    <w:qFormat/>
    <w:uiPriority w:val="0"/>
    <w:pPr>
      <w:shd w:val="clear" w:color="auto" w:fill="000080"/>
    </w:pPr>
  </w:style>
  <w:style w:type="paragraph" w:styleId="18">
    <w:name w:val="toa heading"/>
    <w:basedOn w:val="1"/>
    <w:next w:val="1"/>
    <w:semiHidden/>
    <w:qFormat/>
    <w:uiPriority w:val="0"/>
    <w:pPr>
      <w:adjustRightInd w:val="0"/>
      <w:spacing w:before="120" w:line="312" w:lineRule="atLeast"/>
    </w:pPr>
    <w:rPr>
      <w:rFonts w:ascii="Arial" w:hAnsi="Arial"/>
      <w:b/>
      <w:kern w:val="0"/>
      <w:sz w:val="24"/>
    </w:rPr>
  </w:style>
  <w:style w:type="paragraph" w:styleId="19">
    <w:name w:val="annotation text"/>
    <w:basedOn w:val="1"/>
    <w:link w:val="82"/>
    <w:qFormat/>
    <w:uiPriority w:val="0"/>
    <w:pPr>
      <w:adjustRightInd w:val="0"/>
      <w:spacing w:line="360" w:lineRule="atLeast"/>
      <w:jc w:val="left"/>
      <w:textAlignment w:val="baseline"/>
    </w:pPr>
    <w:rPr>
      <w:kern w:val="0"/>
      <w:sz w:val="24"/>
      <w:szCs w:val="20"/>
    </w:rPr>
  </w:style>
  <w:style w:type="paragraph" w:styleId="20">
    <w:name w:val="Salutation"/>
    <w:basedOn w:val="1"/>
    <w:next w:val="1"/>
    <w:link w:val="83"/>
    <w:qFormat/>
    <w:uiPriority w:val="0"/>
    <w:rPr>
      <w:sz w:val="28"/>
    </w:rPr>
  </w:style>
  <w:style w:type="paragraph" w:styleId="21">
    <w:name w:val="Body Text 3"/>
    <w:basedOn w:val="1"/>
    <w:link w:val="84"/>
    <w:qFormat/>
    <w:uiPriority w:val="0"/>
    <w:pPr>
      <w:spacing w:line="500" w:lineRule="exact"/>
    </w:pPr>
    <w:rPr>
      <w:b/>
      <w:bCs/>
      <w:sz w:val="24"/>
    </w:rPr>
  </w:style>
  <w:style w:type="paragraph" w:styleId="22">
    <w:name w:val="Body Text"/>
    <w:basedOn w:val="1"/>
    <w:next w:val="23"/>
    <w:link w:val="71"/>
    <w:qFormat/>
    <w:uiPriority w:val="0"/>
    <w:pPr>
      <w:spacing w:line="380" w:lineRule="exact"/>
    </w:pPr>
    <w:rPr>
      <w:sz w:val="24"/>
    </w:rPr>
  </w:style>
  <w:style w:type="paragraph" w:styleId="23">
    <w:name w:val="Body Text 2"/>
    <w:basedOn w:val="1"/>
    <w:next w:val="22"/>
    <w:link w:val="97"/>
    <w:qFormat/>
    <w:uiPriority w:val="0"/>
    <w:pPr>
      <w:spacing w:after="120" w:line="480" w:lineRule="auto"/>
    </w:pPr>
  </w:style>
  <w:style w:type="paragraph" w:styleId="24">
    <w:name w:val="Body Text Indent"/>
    <w:basedOn w:val="1"/>
    <w:link w:val="85"/>
    <w:qFormat/>
    <w:uiPriority w:val="0"/>
    <w:pPr>
      <w:ind w:firstLine="830" w:firstLineChars="352"/>
    </w:pPr>
    <w:rPr>
      <w:rFonts w:ascii="仿宋_GB2312" w:eastAsia="仿宋_GB2312"/>
      <w:sz w:val="32"/>
      <w:szCs w:val="20"/>
    </w:rPr>
  </w:style>
  <w:style w:type="paragraph" w:styleId="25">
    <w:name w:val="List Number 3"/>
    <w:basedOn w:val="1"/>
    <w:qFormat/>
    <w:uiPriority w:val="0"/>
    <w:pPr>
      <w:tabs>
        <w:tab w:val="left" w:pos="360"/>
      </w:tabs>
      <w:ind w:left="360" w:hanging="360"/>
    </w:pPr>
  </w:style>
  <w:style w:type="paragraph" w:styleId="26">
    <w:name w:val="List 2"/>
    <w:basedOn w:val="1"/>
    <w:qFormat/>
    <w:uiPriority w:val="0"/>
    <w:pPr>
      <w:ind w:left="100" w:leftChars="200" w:hanging="200" w:hangingChars="200"/>
    </w:pPr>
    <w:rPr>
      <w:sz w:val="28"/>
    </w:rPr>
  </w:style>
  <w:style w:type="paragraph" w:styleId="27">
    <w:name w:val="Block Text"/>
    <w:basedOn w:val="1"/>
    <w:qFormat/>
    <w:uiPriority w:val="0"/>
    <w:pPr>
      <w:adjustRightInd w:val="0"/>
      <w:ind w:left="420" w:right="33"/>
      <w:jc w:val="left"/>
      <w:textAlignment w:val="baseline"/>
    </w:pPr>
    <w:rPr>
      <w:kern w:val="0"/>
      <w:sz w:val="24"/>
      <w:szCs w:val="20"/>
    </w:rPr>
  </w:style>
  <w:style w:type="paragraph" w:styleId="28">
    <w:name w:val="HTML Address"/>
    <w:basedOn w:val="1"/>
    <w:link w:val="86"/>
    <w:qFormat/>
    <w:uiPriority w:val="0"/>
    <w:rPr>
      <w:rFonts w:ascii="宋体"/>
      <w:i/>
      <w:iCs/>
      <w:kern w:val="21"/>
      <w:szCs w:val="21"/>
    </w:rPr>
  </w:style>
  <w:style w:type="paragraph" w:styleId="29">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30">
    <w:name w:val="toc 3"/>
    <w:basedOn w:val="1"/>
    <w:next w:val="1"/>
    <w:link w:val="87"/>
    <w:qFormat/>
    <w:uiPriority w:val="0"/>
    <w:pPr>
      <w:ind w:left="840" w:leftChars="400"/>
    </w:pPr>
  </w:style>
  <w:style w:type="paragraph" w:styleId="31">
    <w:name w:val="Plain Text"/>
    <w:basedOn w:val="1"/>
    <w:next w:val="14"/>
    <w:link w:val="88"/>
    <w:qFormat/>
    <w:uiPriority w:val="0"/>
    <w:rPr>
      <w:rFonts w:ascii="宋体" w:hAnsi="Courier New" w:cs="Courier New"/>
      <w:szCs w:val="21"/>
    </w:rPr>
  </w:style>
  <w:style w:type="paragraph" w:styleId="32">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3">
    <w:name w:val="Date"/>
    <w:basedOn w:val="1"/>
    <w:next w:val="1"/>
    <w:link w:val="89"/>
    <w:qFormat/>
    <w:uiPriority w:val="0"/>
    <w:pPr>
      <w:ind w:left="100" w:leftChars="2500"/>
    </w:pPr>
    <w:rPr>
      <w:rFonts w:ascii="宋体" w:hAnsi="Courier New" w:cs="Courier New"/>
      <w:szCs w:val="21"/>
    </w:rPr>
  </w:style>
  <w:style w:type="paragraph" w:styleId="34">
    <w:name w:val="Body Text Indent 2"/>
    <w:basedOn w:val="1"/>
    <w:link w:val="90"/>
    <w:qFormat/>
    <w:uiPriority w:val="0"/>
    <w:pPr>
      <w:ind w:firstLine="630"/>
    </w:pPr>
    <w:rPr>
      <w:sz w:val="32"/>
      <w:szCs w:val="20"/>
    </w:rPr>
  </w:style>
  <w:style w:type="paragraph" w:styleId="35">
    <w:name w:val="endnote text"/>
    <w:basedOn w:val="1"/>
    <w:link w:val="91"/>
    <w:unhideWhenUsed/>
    <w:qFormat/>
    <w:uiPriority w:val="0"/>
    <w:pPr>
      <w:snapToGrid w:val="0"/>
      <w:jc w:val="left"/>
    </w:pPr>
    <w:rPr>
      <w:rFonts w:ascii="Calibri" w:hAnsi="Calibri"/>
      <w:szCs w:val="22"/>
    </w:rPr>
  </w:style>
  <w:style w:type="paragraph" w:styleId="36">
    <w:name w:val="Balloon Text"/>
    <w:basedOn w:val="1"/>
    <w:link w:val="92"/>
    <w:semiHidden/>
    <w:qFormat/>
    <w:uiPriority w:val="0"/>
    <w:rPr>
      <w:sz w:val="18"/>
      <w:szCs w:val="18"/>
    </w:rPr>
  </w:style>
  <w:style w:type="paragraph" w:styleId="37">
    <w:name w:val="footer"/>
    <w:basedOn w:val="1"/>
    <w:next w:val="1"/>
    <w:link w:val="93"/>
    <w:qFormat/>
    <w:uiPriority w:val="99"/>
    <w:pPr>
      <w:tabs>
        <w:tab w:val="center" w:pos="4153"/>
        <w:tab w:val="right" w:pos="8306"/>
      </w:tabs>
      <w:snapToGrid w:val="0"/>
      <w:jc w:val="left"/>
    </w:pPr>
    <w:rPr>
      <w:sz w:val="18"/>
      <w:szCs w:val="18"/>
    </w:rPr>
  </w:style>
  <w:style w:type="paragraph" w:styleId="38">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List"/>
    <w:basedOn w:val="1"/>
    <w:qFormat/>
    <w:uiPriority w:val="0"/>
    <w:pPr>
      <w:ind w:left="200" w:hanging="200" w:hangingChars="200"/>
    </w:pPr>
    <w:rPr>
      <w:sz w:val="28"/>
    </w:rPr>
  </w:style>
  <w:style w:type="paragraph" w:styleId="41">
    <w:name w:val="footnote text"/>
    <w:basedOn w:val="1"/>
    <w:link w:val="95"/>
    <w:semiHidden/>
    <w:qFormat/>
    <w:uiPriority w:val="0"/>
    <w:pPr>
      <w:snapToGrid w:val="0"/>
      <w:jc w:val="left"/>
    </w:pPr>
    <w:rPr>
      <w:rFonts w:ascii="宋体"/>
      <w:kern w:val="21"/>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6"/>
    <w:qFormat/>
    <w:uiPriority w:val="0"/>
    <w:pPr>
      <w:spacing w:after="120"/>
      <w:ind w:left="420" w:leftChars="200"/>
    </w:pPr>
    <w:rPr>
      <w:sz w:val="16"/>
      <w:szCs w:val="16"/>
    </w:rPr>
  </w:style>
  <w:style w:type="paragraph" w:styleId="45">
    <w:name w:val="toc 2"/>
    <w:basedOn w:val="1"/>
    <w:next w:val="1"/>
    <w:qFormat/>
    <w:uiPriority w:val="39"/>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HTML Preformatted"/>
    <w:basedOn w:val="1"/>
    <w:link w:val="9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semiHidden/>
    <w:qFormat/>
    <w:uiPriority w:val="0"/>
    <w:pPr>
      <w:spacing w:line="400" w:lineRule="exact"/>
      <w:ind w:firstLine="420" w:firstLineChars="200"/>
    </w:pPr>
    <w:rPr>
      <w:rFonts w:ascii="宋体" w:hAnsi="Courier New"/>
      <w:b/>
      <w:szCs w:val="20"/>
    </w:rPr>
  </w:style>
  <w:style w:type="paragraph" w:styleId="50">
    <w:name w:val="Title"/>
    <w:basedOn w:val="1"/>
    <w:link w:val="99"/>
    <w:qFormat/>
    <w:uiPriority w:val="0"/>
    <w:pPr>
      <w:spacing w:before="240" w:after="60"/>
      <w:jc w:val="center"/>
      <w:outlineLvl w:val="0"/>
    </w:pPr>
    <w:rPr>
      <w:rFonts w:ascii="Arial" w:hAnsi="Arial"/>
      <w:b/>
      <w:bCs/>
      <w:sz w:val="32"/>
      <w:szCs w:val="32"/>
    </w:rPr>
  </w:style>
  <w:style w:type="paragraph" w:styleId="51">
    <w:name w:val="annotation subject"/>
    <w:basedOn w:val="19"/>
    <w:next w:val="19"/>
    <w:link w:val="100"/>
    <w:semiHidden/>
    <w:qFormat/>
    <w:uiPriority w:val="0"/>
    <w:pPr>
      <w:adjustRightInd/>
      <w:spacing w:line="240" w:lineRule="auto"/>
      <w:textAlignment w:val="auto"/>
    </w:pPr>
    <w:rPr>
      <w:b/>
      <w:bCs/>
      <w:kern w:val="2"/>
      <w:sz w:val="21"/>
      <w:szCs w:val="24"/>
    </w:rPr>
  </w:style>
  <w:style w:type="paragraph" w:styleId="52">
    <w:name w:val="Body Text First Indent"/>
    <w:basedOn w:val="22"/>
    <w:qFormat/>
    <w:uiPriority w:val="0"/>
    <w:pPr>
      <w:ind w:firstLine="420" w:firstLineChars="100"/>
    </w:pPr>
  </w:style>
  <w:style w:type="table" w:styleId="54">
    <w:name w:val="Table Grid"/>
    <w:basedOn w:val="5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TML Definition"/>
    <w:basedOn w:val="55"/>
    <w:qFormat/>
    <w:uiPriority w:val="0"/>
    <w:rPr>
      <w:i/>
    </w:rPr>
  </w:style>
  <w:style w:type="character" w:styleId="61">
    <w:name w:val="HTML Typewriter"/>
    <w:basedOn w:val="55"/>
    <w:qFormat/>
    <w:uiPriority w:val="0"/>
    <w:rPr>
      <w:rFonts w:ascii="Courier New" w:hAnsi="Courier New"/>
      <w:sz w:val="20"/>
    </w:rPr>
  </w:style>
  <w:style w:type="character" w:styleId="62">
    <w:name w:val="HTML Acronym"/>
    <w:basedOn w:val="55"/>
    <w:qFormat/>
    <w:uiPriority w:val="0"/>
    <w:rPr>
      <w:rFonts w:cs="Times New Roman"/>
    </w:rPr>
  </w:style>
  <w:style w:type="character" w:styleId="63">
    <w:name w:val="HTML Variable"/>
    <w:basedOn w:val="55"/>
    <w:qFormat/>
    <w:uiPriority w:val="0"/>
    <w:rPr>
      <w:i/>
    </w:rPr>
  </w:style>
  <w:style w:type="character" w:styleId="64">
    <w:name w:val="Hyperlink"/>
    <w:qFormat/>
    <w:uiPriority w:val="99"/>
    <w:rPr>
      <w:color w:val="0000FF"/>
      <w:u w:val="single"/>
    </w:rPr>
  </w:style>
  <w:style w:type="character" w:styleId="65">
    <w:name w:val="HTML Code"/>
    <w:basedOn w:val="55"/>
    <w:qFormat/>
    <w:uiPriority w:val="0"/>
    <w:rPr>
      <w:rFonts w:ascii="Courier New" w:hAnsi="Courier New"/>
      <w:sz w:val="20"/>
    </w:rPr>
  </w:style>
  <w:style w:type="character" w:styleId="66">
    <w:name w:val="annotation reference"/>
    <w:qFormat/>
    <w:uiPriority w:val="0"/>
    <w:rPr>
      <w:sz w:val="21"/>
      <w:szCs w:val="21"/>
    </w:rPr>
  </w:style>
  <w:style w:type="character" w:styleId="67">
    <w:name w:val="HTML Cite"/>
    <w:basedOn w:val="55"/>
    <w:qFormat/>
    <w:uiPriority w:val="0"/>
    <w:rPr>
      <w:i/>
    </w:rPr>
  </w:style>
  <w:style w:type="character" w:styleId="68">
    <w:name w:val="HTML Keyboard"/>
    <w:basedOn w:val="55"/>
    <w:qFormat/>
    <w:uiPriority w:val="0"/>
    <w:rPr>
      <w:rFonts w:ascii="Courier New" w:hAnsi="Courier New"/>
      <w:sz w:val="20"/>
    </w:rPr>
  </w:style>
  <w:style w:type="character" w:styleId="69">
    <w:name w:val="HTML Sample"/>
    <w:basedOn w:val="55"/>
    <w:qFormat/>
    <w:uiPriority w:val="0"/>
    <w:rPr>
      <w:rFonts w:ascii="Courier New" w:hAnsi="Courier New"/>
    </w:rPr>
  </w:style>
  <w:style w:type="paragraph" w:customStyle="1" w:styleId="70">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71">
    <w:name w:val="正文文本 字符5"/>
    <w:link w:val="22"/>
    <w:qFormat/>
    <w:uiPriority w:val="0"/>
    <w:rPr>
      <w:rFonts w:eastAsia="宋体"/>
      <w:kern w:val="2"/>
      <w:sz w:val="24"/>
      <w:szCs w:val="24"/>
      <w:lang w:val="en-US" w:eastAsia="zh-CN" w:bidi="ar-SA"/>
    </w:rPr>
  </w:style>
  <w:style w:type="character" w:customStyle="1" w:styleId="72">
    <w:name w:val="标题 1 字符5"/>
    <w:link w:val="3"/>
    <w:qFormat/>
    <w:uiPriority w:val="0"/>
    <w:rPr>
      <w:rFonts w:eastAsia="宋体"/>
      <w:b/>
      <w:bCs/>
      <w:kern w:val="44"/>
      <w:sz w:val="44"/>
      <w:szCs w:val="44"/>
      <w:lang w:val="en-US" w:eastAsia="zh-CN" w:bidi="ar-SA"/>
    </w:rPr>
  </w:style>
  <w:style w:type="character" w:customStyle="1" w:styleId="73">
    <w:name w:val="标题 2 字符5"/>
    <w:link w:val="4"/>
    <w:qFormat/>
    <w:uiPriority w:val="0"/>
    <w:rPr>
      <w:rFonts w:ascii="Arial" w:hAnsi="Arial" w:eastAsia="黑体"/>
      <w:b/>
      <w:bCs/>
      <w:sz w:val="32"/>
      <w:szCs w:val="32"/>
      <w:lang w:bidi="ar-SA"/>
    </w:rPr>
  </w:style>
  <w:style w:type="character" w:customStyle="1" w:styleId="74">
    <w:name w:val="标题 3 字符5"/>
    <w:link w:val="5"/>
    <w:qFormat/>
    <w:uiPriority w:val="0"/>
    <w:rPr>
      <w:rFonts w:eastAsia="宋体"/>
      <w:b/>
      <w:bCs/>
      <w:sz w:val="32"/>
      <w:szCs w:val="32"/>
      <w:lang w:bidi="ar-SA"/>
    </w:rPr>
  </w:style>
  <w:style w:type="character" w:customStyle="1" w:styleId="75">
    <w:name w:val="标题 4 字符5"/>
    <w:link w:val="6"/>
    <w:qFormat/>
    <w:uiPriority w:val="0"/>
    <w:rPr>
      <w:rFonts w:ascii="Arial" w:hAnsi="Arial" w:eastAsia="黑体"/>
      <w:sz w:val="28"/>
      <w:lang w:bidi="ar-SA"/>
    </w:rPr>
  </w:style>
  <w:style w:type="character" w:customStyle="1" w:styleId="76">
    <w:name w:val="标题 5 字符5"/>
    <w:link w:val="7"/>
    <w:qFormat/>
    <w:uiPriority w:val="0"/>
    <w:rPr>
      <w:rFonts w:eastAsia="宋体"/>
      <w:b/>
      <w:kern w:val="2"/>
      <w:sz w:val="28"/>
      <w:szCs w:val="24"/>
      <w:lang w:val="en-US" w:eastAsia="zh-CN" w:bidi="ar-SA"/>
    </w:rPr>
  </w:style>
  <w:style w:type="character" w:customStyle="1" w:styleId="77">
    <w:name w:val="标题 6 字符5"/>
    <w:link w:val="9"/>
    <w:qFormat/>
    <w:uiPriority w:val="0"/>
    <w:rPr>
      <w:rFonts w:ascii="Arial" w:hAnsi="Arial" w:eastAsia="黑体"/>
      <w:b/>
      <w:kern w:val="2"/>
      <w:sz w:val="24"/>
      <w:szCs w:val="24"/>
      <w:lang w:val="en-US" w:eastAsia="zh-CN" w:bidi="ar-SA"/>
    </w:rPr>
  </w:style>
  <w:style w:type="character" w:customStyle="1" w:styleId="78">
    <w:name w:val="标题 7 字符5"/>
    <w:link w:val="10"/>
    <w:qFormat/>
    <w:uiPriority w:val="0"/>
    <w:rPr>
      <w:rFonts w:eastAsia="宋体"/>
      <w:b/>
      <w:kern w:val="2"/>
      <w:sz w:val="24"/>
      <w:szCs w:val="24"/>
      <w:lang w:val="en-US" w:eastAsia="zh-CN" w:bidi="ar-SA"/>
    </w:rPr>
  </w:style>
  <w:style w:type="character" w:customStyle="1" w:styleId="79">
    <w:name w:val="标题 8 字符5"/>
    <w:link w:val="11"/>
    <w:qFormat/>
    <w:uiPriority w:val="0"/>
    <w:rPr>
      <w:rFonts w:ascii="Arial" w:hAnsi="Arial" w:eastAsia="黑体"/>
      <w:kern w:val="2"/>
      <w:sz w:val="24"/>
      <w:szCs w:val="24"/>
      <w:lang w:val="en-US" w:eastAsia="zh-CN" w:bidi="ar-SA"/>
    </w:rPr>
  </w:style>
  <w:style w:type="character" w:customStyle="1" w:styleId="80">
    <w:name w:val="标题 9 字符5"/>
    <w:link w:val="12"/>
    <w:qFormat/>
    <w:uiPriority w:val="0"/>
    <w:rPr>
      <w:rFonts w:ascii="Arial" w:hAnsi="Arial" w:eastAsia="黑体"/>
      <w:kern w:val="2"/>
      <w:sz w:val="21"/>
      <w:szCs w:val="24"/>
      <w:lang w:val="en-US" w:eastAsia="zh-CN" w:bidi="ar-SA"/>
    </w:rPr>
  </w:style>
  <w:style w:type="character" w:customStyle="1" w:styleId="81">
    <w:name w:val="文档结构图 字符5"/>
    <w:link w:val="17"/>
    <w:qFormat/>
    <w:uiPriority w:val="0"/>
    <w:rPr>
      <w:rFonts w:eastAsia="宋体"/>
      <w:kern w:val="2"/>
      <w:sz w:val="21"/>
      <w:szCs w:val="24"/>
      <w:lang w:val="en-US" w:eastAsia="zh-CN" w:bidi="ar-SA"/>
    </w:rPr>
  </w:style>
  <w:style w:type="character" w:customStyle="1" w:styleId="82">
    <w:name w:val="批注文字 字符5"/>
    <w:link w:val="19"/>
    <w:qFormat/>
    <w:uiPriority w:val="0"/>
    <w:rPr>
      <w:rFonts w:eastAsia="宋体"/>
      <w:sz w:val="24"/>
      <w:lang w:bidi="ar-SA"/>
    </w:rPr>
  </w:style>
  <w:style w:type="character" w:customStyle="1" w:styleId="83">
    <w:name w:val="称呼 字符5"/>
    <w:link w:val="20"/>
    <w:qFormat/>
    <w:uiPriority w:val="0"/>
    <w:rPr>
      <w:kern w:val="2"/>
      <w:sz w:val="28"/>
      <w:szCs w:val="24"/>
    </w:rPr>
  </w:style>
  <w:style w:type="character" w:customStyle="1" w:styleId="84">
    <w:name w:val="正文文本 3 字符5"/>
    <w:link w:val="21"/>
    <w:qFormat/>
    <w:uiPriority w:val="0"/>
    <w:rPr>
      <w:rFonts w:eastAsia="宋体"/>
      <w:b/>
      <w:bCs/>
      <w:kern w:val="2"/>
      <w:sz w:val="24"/>
      <w:szCs w:val="24"/>
      <w:lang w:val="en-US" w:eastAsia="zh-CN" w:bidi="ar-SA"/>
    </w:rPr>
  </w:style>
  <w:style w:type="character" w:customStyle="1" w:styleId="85">
    <w:name w:val="正文文本缩进 字符5"/>
    <w:link w:val="24"/>
    <w:qFormat/>
    <w:uiPriority w:val="0"/>
    <w:rPr>
      <w:rFonts w:ascii="仿宋_GB2312" w:eastAsia="仿宋_GB2312"/>
      <w:kern w:val="2"/>
      <w:sz w:val="32"/>
      <w:lang w:val="en-US" w:eastAsia="zh-CN" w:bidi="ar-SA"/>
    </w:rPr>
  </w:style>
  <w:style w:type="character" w:customStyle="1" w:styleId="86">
    <w:name w:val="HTML 地址 字符5"/>
    <w:basedOn w:val="55"/>
    <w:link w:val="28"/>
    <w:qFormat/>
    <w:locked/>
    <w:uiPriority w:val="0"/>
    <w:rPr>
      <w:rFonts w:ascii="宋体" w:eastAsia="宋体"/>
      <w:i/>
      <w:iCs/>
      <w:kern w:val="21"/>
      <w:sz w:val="21"/>
      <w:szCs w:val="21"/>
      <w:lang w:val="en-US" w:eastAsia="zh-CN" w:bidi="ar-SA"/>
    </w:rPr>
  </w:style>
  <w:style w:type="character" w:customStyle="1" w:styleId="87">
    <w:name w:val="TOC 3 字符1"/>
    <w:link w:val="30"/>
    <w:qFormat/>
    <w:locked/>
    <w:uiPriority w:val="0"/>
    <w:rPr>
      <w:rFonts w:eastAsia="宋体"/>
      <w:kern w:val="2"/>
      <w:sz w:val="21"/>
      <w:szCs w:val="24"/>
      <w:lang w:val="en-US" w:eastAsia="zh-CN" w:bidi="ar-SA"/>
    </w:rPr>
  </w:style>
  <w:style w:type="character" w:customStyle="1" w:styleId="88">
    <w:name w:val="纯文本 字符6"/>
    <w:link w:val="31"/>
    <w:qFormat/>
    <w:uiPriority w:val="0"/>
    <w:rPr>
      <w:rFonts w:ascii="宋体" w:hAnsi="Courier New" w:eastAsia="宋体" w:cs="Courier New"/>
      <w:kern w:val="2"/>
      <w:sz w:val="21"/>
      <w:szCs w:val="21"/>
      <w:lang w:val="en-US" w:eastAsia="zh-CN" w:bidi="ar-SA"/>
    </w:rPr>
  </w:style>
  <w:style w:type="character" w:customStyle="1" w:styleId="89">
    <w:name w:val="日期 字符5"/>
    <w:link w:val="33"/>
    <w:qFormat/>
    <w:uiPriority w:val="0"/>
    <w:rPr>
      <w:rFonts w:ascii="宋体" w:hAnsi="Courier New" w:eastAsia="宋体" w:cs="Courier New"/>
      <w:kern w:val="2"/>
      <w:sz w:val="21"/>
      <w:szCs w:val="21"/>
      <w:lang w:val="en-US" w:eastAsia="zh-CN" w:bidi="ar-SA"/>
    </w:rPr>
  </w:style>
  <w:style w:type="character" w:customStyle="1" w:styleId="90">
    <w:name w:val="正文文本缩进 2 字符5"/>
    <w:link w:val="34"/>
    <w:qFormat/>
    <w:uiPriority w:val="0"/>
    <w:rPr>
      <w:rFonts w:eastAsia="宋体"/>
      <w:kern w:val="2"/>
      <w:sz w:val="32"/>
      <w:lang w:val="en-US" w:eastAsia="zh-CN" w:bidi="ar-SA"/>
    </w:rPr>
  </w:style>
  <w:style w:type="character" w:customStyle="1" w:styleId="91">
    <w:name w:val="尾注文本 字符5"/>
    <w:link w:val="35"/>
    <w:qFormat/>
    <w:uiPriority w:val="0"/>
    <w:rPr>
      <w:rFonts w:ascii="Calibri" w:hAnsi="Calibri"/>
      <w:kern w:val="2"/>
      <w:sz w:val="21"/>
      <w:szCs w:val="22"/>
    </w:rPr>
  </w:style>
  <w:style w:type="character" w:customStyle="1" w:styleId="92">
    <w:name w:val="批注框文本 字符"/>
    <w:link w:val="36"/>
    <w:semiHidden/>
    <w:qFormat/>
    <w:uiPriority w:val="0"/>
    <w:rPr>
      <w:rFonts w:eastAsia="宋体"/>
      <w:kern w:val="2"/>
      <w:sz w:val="18"/>
      <w:szCs w:val="18"/>
      <w:lang w:val="en-US" w:eastAsia="zh-CN" w:bidi="ar-SA"/>
    </w:rPr>
  </w:style>
  <w:style w:type="character" w:customStyle="1" w:styleId="93">
    <w:name w:val="页脚 字符5"/>
    <w:link w:val="37"/>
    <w:qFormat/>
    <w:uiPriority w:val="99"/>
    <w:rPr>
      <w:rFonts w:eastAsia="宋体"/>
      <w:kern w:val="2"/>
      <w:sz w:val="18"/>
      <w:szCs w:val="18"/>
      <w:lang w:val="en-US" w:eastAsia="zh-CN" w:bidi="ar-SA"/>
    </w:rPr>
  </w:style>
  <w:style w:type="character" w:customStyle="1" w:styleId="94">
    <w:name w:val="页眉 字符5"/>
    <w:link w:val="38"/>
    <w:qFormat/>
    <w:uiPriority w:val="99"/>
    <w:rPr>
      <w:rFonts w:eastAsia="宋体"/>
      <w:kern w:val="2"/>
      <w:sz w:val="18"/>
      <w:szCs w:val="18"/>
      <w:lang w:val="en-US" w:eastAsia="zh-CN" w:bidi="ar-SA"/>
    </w:rPr>
  </w:style>
  <w:style w:type="character" w:customStyle="1" w:styleId="95">
    <w:name w:val="脚注文本 字符5"/>
    <w:basedOn w:val="55"/>
    <w:link w:val="41"/>
    <w:qFormat/>
    <w:locked/>
    <w:uiPriority w:val="0"/>
    <w:rPr>
      <w:rFonts w:ascii="宋体" w:eastAsia="宋体"/>
      <w:kern w:val="21"/>
      <w:sz w:val="18"/>
      <w:szCs w:val="18"/>
      <w:lang w:val="en-US" w:eastAsia="zh-CN" w:bidi="ar-SA"/>
    </w:rPr>
  </w:style>
  <w:style w:type="character" w:customStyle="1" w:styleId="96">
    <w:name w:val="正文文本缩进 3 字符5"/>
    <w:link w:val="44"/>
    <w:qFormat/>
    <w:uiPriority w:val="0"/>
    <w:rPr>
      <w:rFonts w:eastAsia="宋体"/>
      <w:kern w:val="2"/>
      <w:sz w:val="16"/>
      <w:szCs w:val="16"/>
      <w:lang w:val="en-US" w:eastAsia="zh-CN" w:bidi="ar-SA"/>
    </w:rPr>
  </w:style>
  <w:style w:type="character" w:customStyle="1" w:styleId="97">
    <w:name w:val="正文文本 2 字符5"/>
    <w:link w:val="23"/>
    <w:qFormat/>
    <w:uiPriority w:val="0"/>
    <w:rPr>
      <w:rFonts w:eastAsia="宋体"/>
      <w:kern w:val="2"/>
      <w:sz w:val="21"/>
      <w:szCs w:val="24"/>
      <w:lang w:val="en-US" w:eastAsia="zh-CN" w:bidi="ar-SA"/>
    </w:rPr>
  </w:style>
  <w:style w:type="character" w:customStyle="1" w:styleId="98">
    <w:name w:val="HTML 预设格式 字符5"/>
    <w:link w:val="47"/>
    <w:qFormat/>
    <w:uiPriority w:val="0"/>
    <w:rPr>
      <w:rFonts w:ascii="黑体" w:hAnsi="Courier New" w:eastAsia="黑体" w:cs="Courier New"/>
      <w:lang w:val="en-US" w:eastAsia="zh-CN" w:bidi="ar-SA"/>
    </w:rPr>
  </w:style>
  <w:style w:type="character" w:customStyle="1" w:styleId="99">
    <w:name w:val="标题 字符5"/>
    <w:link w:val="50"/>
    <w:qFormat/>
    <w:uiPriority w:val="0"/>
    <w:rPr>
      <w:rFonts w:ascii="Arial" w:hAnsi="Arial" w:eastAsia="宋体"/>
      <w:b/>
      <w:bCs/>
      <w:kern w:val="2"/>
      <w:sz w:val="32"/>
      <w:szCs w:val="32"/>
      <w:lang w:bidi="ar-SA"/>
    </w:rPr>
  </w:style>
  <w:style w:type="character" w:customStyle="1" w:styleId="100">
    <w:name w:val="批注主题 字符"/>
    <w:link w:val="51"/>
    <w:semiHidden/>
    <w:qFormat/>
    <w:uiPriority w:val="0"/>
    <w:rPr>
      <w:b/>
      <w:bCs/>
      <w:kern w:val="2"/>
      <w:sz w:val="21"/>
      <w:szCs w:val="24"/>
    </w:rPr>
  </w:style>
  <w:style w:type="paragraph" w:customStyle="1" w:styleId="101">
    <w:name w:val="表格文字"/>
    <w:basedOn w:val="1"/>
    <w:next w:val="22"/>
    <w:qFormat/>
    <w:uiPriority w:val="0"/>
    <w:pPr>
      <w:spacing w:before="25" w:after="25"/>
      <w:jc w:val="left"/>
    </w:pPr>
    <w:rPr>
      <w:bCs/>
      <w:spacing w:val="10"/>
      <w:kern w:val="0"/>
      <w:sz w:val="24"/>
    </w:rPr>
  </w:style>
  <w:style w:type="paragraph" w:customStyle="1" w:styleId="102">
    <w:name w:val="_Style 8"/>
    <w:basedOn w:val="17"/>
    <w:qFormat/>
    <w:uiPriority w:val="0"/>
    <w:pPr>
      <w:widowControl/>
      <w:ind w:firstLine="454"/>
      <w:jc w:val="left"/>
    </w:pPr>
  </w:style>
  <w:style w:type="character" w:customStyle="1" w:styleId="10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4">
    <w:name w:val="apple-style-span"/>
    <w:basedOn w:val="55"/>
    <w:qFormat/>
    <w:uiPriority w:val="0"/>
  </w:style>
  <w:style w:type="character" w:customStyle="1" w:styleId="105">
    <w:name w:val="无间隔 字符9"/>
    <w:link w:val="106"/>
    <w:qFormat/>
    <w:uiPriority w:val="0"/>
    <w:rPr>
      <w:sz w:val="22"/>
      <w:szCs w:val="22"/>
      <w:lang w:val="en-US" w:eastAsia="zh-CN" w:bidi="ar-SA"/>
    </w:rPr>
  </w:style>
  <w:style w:type="paragraph" w:styleId="106">
    <w:name w:val="No Spacing"/>
    <w:link w:val="105"/>
    <w:qFormat/>
    <w:uiPriority w:val="0"/>
    <w:pPr>
      <w:spacing w:after="160" w:line="278" w:lineRule="auto"/>
    </w:pPr>
    <w:rPr>
      <w:rFonts w:ascii="Times New Roman" w:hAnsi="Times New Roman" w:eastAsia="宋体" w:cs="Times New Roman"/>
      <w:sz w:val="22"/>
      <w:szCs w:val="22"/>
      <w:lang w:val="en-US" w:eastAsia="zh-CN" w:bidi="ar-SA"/>
    </w:rPr>
  </w:style>
  <w:style w:type="character" w:customStyle="1" w:styleId="107">
    <w:name w:val="纯文本 Char"/>
    <w:qFormat/>
    <w:uiPriority w:val="99"/>
    <w:rPr>
      <w:rFonts w:ascii="宋体" w:hAnsi="Courier New" w:eastAsia="宋体"/>
      <w:kern w:val="2"/>
      <w:sz w:val="21"/>
      <w:lang w:val="en-US" w:eastAsia="zh-CN" w:bidi="ar-SA"/>
    </w:rPr>
  </w:style>
  <w:style w:type="character" w:customStyle="1" w:styleId="108">
    <w:name w:val="ca-10"/>
    <w:basedOn w:val="55"/>
    <w:qFormat/>
    <w:uiPriority w:val="0"/>
  </w:style>
  <w:style w:type="character" w:customStyle="1" w:styleId="109">
    <w:name w:val="Char Char Char Char Char"/>
    <w:qFormat/>
    <w:uiPriority w:val="0"/>
    <w:rPr>
      <w:rFonts w:hint="eastAsia" w:ascii="宋体" w:hAnsi="宋体" w:eastAsia="宋体"/>
      <w:b/>
      <w:bCs/>
      <w:kern w:val="44"/>
      <w:sz w:val="44"/>
      <w:szCs w:val="44"/>
      <w:lang w:val="en-US" w:eastAsia="zh-CN" w:bidi="ar-SA"/>
    </w:rPr>
  </w:style>
  <w:style w:type="character" w:customStyle="1" w:styleId="110">
    <w:name w:val="font41"/>
    <w:basedOn w:val="55"/>
    <w:qFormat/>
    <w:uiPriority w:val="0"/>
    <w:rPr>
      <w:rFonts w:hint="eastAsia" w:ascii="仿宋_GB2312" w:eastAsia="仿宋_GB2312" w:cs="仿宋_GB2312"/>
      <w:color w:val="000000"/>
      <w:sz w:val="20"/>
      <w:szCs w:val="20"/>
      <w:u w:val="none"/>
    </w:rPr>
  </w:style>
  <w:style w:type="character" w:customStyle="1" w:styleId="111">
    <w:name w:val="ca-11"/>
    <w:basedOn w:val="55"/>
    <w:qFormat/>
    <w:uiPriority w:val="0"/>
  </w:style>
  <w:style w:type="character" w:customStyle="1" w:styleId="112">
    <w:name w:val="Char Char12"/>
    <w:qFormat/>
    <w:uiPriority w:val="0"/>
    <w:rPr>
      <w:rFonts w:ascii="宋体" w:eastAsia="宋体" w:cs="Courier New"/>
      <w:kern w:val="2"/>
      <w:sz w:val="21"/>
      <w:szCs w:val="21"/>
      <w:lang w:val="en-US" w:eastAsia="zh-CN" w:bidi="ar-SA"/>
    </w:rPr>
  </w:style>
  <w:style w:type="character" w:customStyle="1" w:styleId="113">
    <w:name w:val="普通文字 Char Char4"/>
    <w:qFormat/>
    <w:uiPriority w:val="0"/>
    <w:rPr>
      <w:rFonts w:ascii="宋体" w:hAnsi="Courier New" w:eastAsia="宋体" w:cs="Courier New"/>
      <w:kern w:val="2"/>
      <w:sz w:val="21"/>
      <w:szCs w:val="21"/>
      <w:lang w:val="en-US" w:eastAsia="zh-CN" w:bidi="ar-SA"/>
    </w:rPr>
  </w:style>
  <w:style w:type="character" w:customStyle="1" w:styleId="114">
    <w:name w:val="ca-12"/>
    <w:basedOn w:val="55"/>
    <w:qFormat/>
    <w:uiPriority w:val="0"/>
  </w:style>
  <w:style w:type="character" w:customStyle="1" w:styleId="115">
    <w:name w:val="font71"/>
    <w:basedOn w:val="55"/>
    <w:qFormat/>
    <w:uiPriority w:val="0"/>
    <w:rPr>
      <w:rFonts w:hint="eastAsia" w:ascii="宋体" w:hAnsi="宋体" w:eastAsia="宋体" w:cs="宋体"/>
      <w:color w:val="FF0000"/>
      <w:sz w:val="18"/>
      <w:szCs w:val="18"/>
      <w:u w:val="none"/>
    </w:rPr>
  </w:style>
  <w:style w:type="character" w:customStyle="1" w:styleId="116">
    <w:name w:val="unnamed3"/>
    <w:basedOn w:val="55"/>
    <w:qFormat/>
    <w:uiPriority w:val="0"/>
  </w:style>
  <w:style w:type="character" w:customStyle="1" w:styleId="117">
    <w:name w:val="Char Char7"/>
    <w:qFormat/>
    <w:uiPriority w:val="0"/>
    <w:rPr>
      <w:rFonts w:ascii="宋体" w:eastAsia="宋体" w:cs="Courier New"/>
      <w:kern w:val="2"/>
      <w:sz w:val="21"/>
      <w:szCs w:val="21"/>
      <w:lang w:val="en-US" w:eastAsia="zh-CN" w:bidi="ar-SA"/>
    </w:rPr>
  </w:style>
  <w:style w:type="character" w:customStyle="1" w:styleId="118">
    <w:name w:val="ca-3"/>
    <w:basedOn w:val="55"/>
    <w:qFormat/>
    <w:uiPriority w:val="0"/>
  </w:style>
  <w:style w:type="character" w:customStyle="1" w:styleId="119">
    <w:name w:val="mark13"/>
    <w:basedOn w:val="55"/>
    <w:qFormat/>
    <w:uiPriority w:val="0"/>
  </w:style>
  <w:style w:type="character" w:customStyle="1" w:styleId="120">
    <w:name w:val="style21"/>
    <w:qFormat/>
    <w:uiPriority w:val="0"/>
    <w:rPr>
      <w:sz w:val="18"/>
      <w:szCs w:val="18"/>
    </w:rPr>
  </w:style>
  <w:style w:type="character" w:customStyle="1" w:styleId="121">
    <w:name w:val="Char Char14"/>
    <w:qFormat/>
    <w:uiPriority w:val="0"/>
    <w:rPr>
      <w:sz w:val="18"/>
      <w:szCs w:val="18"/>
    </w:rPr>
  </w:style>
  <w:style w:type="character" w:customStyle="1" w:styleId="122">
    <w:name w:val="Char Char15"/>
    <w:qFormat/>
    <w:uiPriority w:val="0"/>
    <w:rPr>
      <w:sz w:val="18"/>
      <w:szCs w:val="18"/>
    </w:rPr>
  </w:style>
  <w:style w:type="character" w:customStyle="1" w:styleId="123">
    <w:name w:val="p1"/>
    <w:basedOn w:val="55"/>
    <w:qFormat/>
    <w:uiPriority w:val="0"/>
  </w:style>
  <w:style w:type="character" w:customStyle="1" w:styleId="124">
    <w:name w:val="UP标题3 Char Char"/>
    <w:link w:val="125"/>
    <w:qFormat/>
    <w:locked/>
    <w:uiPriority w:val="0"/>
    <w:rPr>
      <w:rFonts w:ascii="黑体" w:eastAsia="黑体"/>
      <w:sz w:val="28"/>
      <w:szCs w:val="28"/>
      <w:lang w:bidi="ar-SA"/>
    </w:rPr>
  </w:style>
  <w:style w:type="paragraph" w:customStyle="1" w:styleId="125">
    <w:name w:val="UP标题3"/>
    <w:basedOn w:val="1"/>
    <w:link w:val="124"/>
    <w:qFormat/>
    <w:uiPriority w:val="0"/>
    <w:pPr>
      <w:spacing w:line="360" w:lineRule="auto"/>
      <w:ind w:firstLine="149" w:firstLineChars="149"/>
    </w:pPr>
    <w:rPr>
      <w:rFonts w:ascii="黑体" w:eastAsia="黑体"/>
      <w:kern w:val="0"/>
      <w:sz w:val="28"/>
      <w:szCs w:val="28"/>
    </w:rPr>
  </w:style>
  <w:style w:type="character" w:customStyle="1" w:styleId="126">
    <w:name w:val="ca-8"/>
    <w:basedOn w:val="55"/>
    <w:qFormat/>
    <w:uiPriority w:val="0"/>
  </w:style>
  <w:style w:type="character" w:customStyle="1" w:styleId="127">
    <w:name w:val="Body Text Char"/>
    <w:qFormat/>
    <w:locked/>
    <w:uiPriority w:val="0"/>
    <w:rPr>
      <w:rFonts w:eastAsia="宋体"/>
      <w:kern w:val="2"/>
      <w:sz w:val="24"/>
      <w:szCs w:val="24"/>
      <w:lang w:val="en-US" w:eastAsia="zh-CN" w:bidi="ar-SA"/>
    </w:rPr>
  </w:style>
  <w:style w:type="character" w:customStyle="1" w:styleId="128">
    <w:name w:val="ca-16"/>
    <w:basedOn w:val="55"/>
    <w:qFormat/>
    <w:uiPriority w:val="0"/>
  </w:style>
  <w:style w:type="character" w:customStyle="1" w:styleId="129">
    <w:name w:val="Char Char17"/>
    <w:qFormat/>
    <w:uiPriority w:val="0"/>
    <w:rPr>
      <w:rFonts w:hint="default" w:ascii="Times New Roman" w:hAnsi="Times New Roman" w:cs="Times New Roman"/>
      <w:b/>
      <w:bCs/>
      <w:kern w:val="2"/>
      <w:sz w:val="21"/>
      <w:szCs w:val="24"/>
    </w:rPr>
  </w:style>
  <w:style w:type="character" w:customStyle="1" w:styleId="130">
    <w:name w:val="ca-0"/>
    <w:qFormat/>
    <w:uiPriority w:val="0"/>
  </w:style>
  <w:style w:type="character" w:customStyle="1" w:styleId="131">
    <w:name w:val="Char Char8"/>
    <w:qFormat/>
    <w:uiPriority w:val="0"/>
    <w:rPr>
      <w:rFonts w:hint="eastAsia" w:ascii="仿宋_GB2312" w:eastAsia="仿宋_GB2312"/>
      <w:kern w:val="2"/>
      <w:sz w:val="32"/>
      <w:lang w:val="en-US" w:eastAsia="zh-CN" w:bidi="ar-SA"/>
    </w:rPr>
  </w:style>
  <w:style w:type="character" w:customStyle="1" w:styleId="132">
    <w:name w:val="Char Char3"/>
    <w:qFormat/>
    <w:locked/>
    <w:uiPriority w:val="0"/>
    <w:rPr>
      <w:rFonts w:ascii="宋体" w:hAnsi="Courier New" w:eastAsia="宋体" w:cs="Courier New"/>
      <w:kern w:val="2"/>
      <w:sz w:val="21"/>
      <w:szCs w:val="21"/>
      <w:lang w:val="en-US" w:eastAsia="zh-CN" w:bidi="ar-SA"/>
    </w:rPr>
  </w:style>
  <w:style w:type="character" w:customStyle="1" w:styleId="133">
    <w:name w:val="Char Char2"/>
    <w:qFormat/>
    <w:uiPriority w:val="0"/>
    <w:rPr>
      <w:rFonts w:eastAsia="宋体"/>
      <w:sz w:val="24"/>
    </w:rPr>
  </w:style>
  <w:style w:type="character" w:customStyle="1" w:styleId="134">
    <w:name w:val="批注文字 Char1"/>
    <w:semiHidden/>
    <w:qFormat/>
    <w:uiPriority w:val="0"/>
    <w:rPr>
      <w:kern w:val="2"/>
      <w:sz w:val="21"/>
      <w:szCs w:val="24"/>
    </w:rPr>
  </w:style>
  <w:style w:type="character" w:customStyle="1" w:styleId="135">
    <w:name w:val="Char Char23"/>
    <w:qFormat/>
    <w:uiPriority w:val="0"/>
    <w:rPr>
      <w:rFonts w:hint="default" w:ascii="Times New Roman" w:hAnsi="Times New Roman" w:eastAsia="宋体" w:cs="Times New Roman"/>
      <w:b/>
      <w:bCs/>
      <w:kern w:val="44"/>
      <w:sz w:val="44"/>
      <w:szCs w:val="44"/>
    </w:rPr>
  </w:style>
  <w:style w:type="character" w:customStyle="1" w:styleId="136">
    <w:name w:val="ca-5"/>
    <w:basedOn w:val="55"/>
    <w:qFormat/>
    <w:uiPriority w:val="0"/>
  </w:style>
  <w:style w:type="character" w:customStyle="1" w:styleId="137">
    <w:name w:val="cubane_hilight1"/>
    <w:qFormat/>
    <w:uiPriority w:val="0"/>
    <w:rPr>
      <w:color w:val="CC0000"/>
    </w:rPr>
  </w:style>
  <w:style w:type="character" w:customStyle="1" w:styleId="138">
    <w:name w:val="ca-7"/>
    <w:basedOn w:val="55"/>
    <w:qFormat/>
    <w:uiPriority w:val="0"/>
  </w:style>
  <w:style w:type="character" w:customStyle="1" w:styleId="139">
    <w:name w:val="普通文字 Char Char2"/>
    <w:qFormat/>
    <w:uiPriority w:val="0"/>
    <w:rPr>
      <w:rFonts w:ascii="宋体" w:hAnsi="Courier New" w:eastAsia="宋体"/>
      <w:kern w:val="2"/>
      <w:sz w:val="21"/>
      <w:lang w:val="en-US" w:eastAsia="zh-CN" w:bidi="ar-SA"/>
    </w:rPr>
  </w:style>
  <w:style w:type="character" w:customStyle="1" w:styleId="140">
    <w:name w:val="apple-converted-space"/>
    <w:basedOn w:val="55"/>
    <w:qFormat/>
    <w:uiPriority w:val="0"/>
  </w:style>
  <w:style w:type="character" w:customStyle="1" w:styleId="141">
    <w:name w:val="标题 Char1"/>
    <w:qFormat/>
    <w:uiPriority w:val="0"/>
    <w:rPr>
      <w:rFonts w:hint="default" w:ascii="Cambria" w:hAnsi="Cambria" w:cs="Times New Roman"/>
      <w:b/>
      <w:bCs/>
      <w:kern w:val="2"/>
      <w:sz w:val="32"/>
      <w:szCs w:val="32"/>
    </w:rPr>
  </w:style>
  <w:style w:type="character" w:customStyle="1" w:styleId="142">
    <w:name w:val="ca-4"/>
    <w:basedOn w:val="55"/>
    <w:qFormat/>
    <w:uiPriority w:val="0"/>
  </w:style>
  <w:style w:type="character" w:customStyle="1" w:styleId="143">
    <w:name w:val="ca-2"/>
    <w:basedOn w:val="55"/>
    <w:qFormat/>
    <w:uiPriority w:val="0"/>
  </w:style>
  <w:style w:type="character" w:customStyle="1" w:styleId="144">
    <w:name w:val="Char Char10"/>
    <w:semiHidden/>
    <w:qFormat/>
    <w:uiPriority w:val="0"/>
    <w:rPr>
      <w:rFonts w:hint="eastAsia" w:ascii="宋体" w:hAnsi="宋体" w:eastAsia="宋体"/>
      <w:kern w:val="2"/>
      <w:sz w:val="24"/>
      <w:szCs w:val="24"/>
      <w:lang w:val="en-US" w:eastAsia="zh-CN" w:bidi="ar-SA"/>
    </w:rPr>
  </w:style>
  <w:style w:type="character" w:customStyle="1" w:styleId="145">
    <w:name w:val="1ji Char Char"/>
    <w:qFormat/>
    <w:locked/>
    <w:uiPriority w:val="0"/>
    <w:rPr>
      <w:rFonts w:ascii="宋体" w:hAnsi="宋体" w:eastAsia="宋体"/>
      <w:b/>
      <w:bCs/>
      <w:kern w:val="44"/>
      <w:sz w:val="36"/>
      <w:szCs w:val="44"/>
    </w:rPr>
  </w:style>
  <w:style w:type="character" w:customStyle="1" w:styleId="146">
    <w:name w:val="H1 Char1"/>
    <w:qFormat/>
    <w:uiPriority w:val="0"/>
    <w:rPr>
      <w:rFonts w:eastAsia="宋体"/>
      <w:b/>
      <w:bCs/>
      <w:kern w:val="44"/>
      <w:sz w:val="44"/>
      <w:szCs w:val="44"/>
      <w:lang w:val="en-US" w:eastAsia="zh-CN" w:bidi="ar-SA"/>
    </w:rPr>
  </w:style>
  <w:style w:type="character" w:customStyle="1" w:styleId="147">
    <w:name w:val="Char Char1011"/>
    <w:semiHidden/>
    <w:qFormat/>
    <w:uiPriority w:val="0"/>
    <w:rPr>
      <w:rFonts w:eastAsia="宋体"/>
      <w:kern w:val="2"/>
      <w:sz w:val="24"/>
      <w:szCs w:val="24"/>
      <w:lang w:val="en-US" w:eastAsia="zh-CN" w:bidi="ar-SA"/>
    </w:rPr>
  </w:style>
  <w:style w:type="character" w:customStyle="1" w:styleId="148">
    <w:name w:val="Char Char1411"/>
    <w:qFormat/>
    <w:uiPriority w:val="0"/>
    <w:rPr>
      <w:sz w:val="18"/>
      <w:szCs w:val="18"/>
    </w:rPr>
  </w:style>
  <w:style w:type="character" w:customStyle="1" w:styleId="149">
    <w:name w:val="H1 Char2"/>
    <w:qFormat/>
    <w:uiPriority w:val="0"/>
    <w:rPr>
      <w:rFonts w:eastAsia="宋体"/>
      <w:b/>
      <w:bCs/>
      <w:kern w:val="44"/>
      <w:sz w:val="44"/>
      <w:szCs w:val="44"/>
      <w:lang w:val="en-US" w:eastAsia="zh-CN" w:bidi="ar-SA"/>
    </w:rPr>
  </w:style>
  <w:style w:type="character" w:customStyle="1" w:styleId="150">
    <w:name w:val="无间隔 Char Char"/>
    <w:qFormat/>
    <w:uiPriority w:val="0"/>
    <w:rPr>
      <w:rFonts w:ascii="Calibri" w:hAnsi="Calibri" w:eastAsia="宋体"/>
      <w:sz w:val="22"/>
      <w:szCs w:val="22"/>
      <w:lang w:val="en-US" w:eastAsia="zh-CN" w:bidi="ar-SA"/>
    </w:rPr>
  </w:style>
  <w:style w:type="character" w:customStyle="1" w:styleId="151">
    <w:name w:val="正文文本缩进 Char1"/>
    <w:semiHidden/>
    <w:qFormat/>
    <w:uiPriority w:val="0"/>
    <w:rPr>
      <w:kern w:val="2"/>
      <w:sz w:val="21"/>
      <w:szCs w:val="22"/>
    </w:rPr>
  </w:style>
  <w:style w:type="character" w:customStyle="1" w:styleId="152">
    <w:name w:val="font31"/>
    <w:basedOn w:val="55"/>
    <w:qFormat/>
    <w:uiPriority w:val="0"/>
    <w:rPr>
      <w:rFonts w:hint="eastAsia" w:ascii="宋体" w:hAnsi="宋体" w:eastAsia="宋体" w:cs="宋体"/>
      <w:color w:val="000000"/>
      <w:sz w:val="16"/>
      <w:szCs w:val="16"/>
      <w:u w:val="none"/>
    </w:rPr>
  </w:style>
  <w:style w:type="character" w:customStyle="1" w:styleId="153">
    <w:name w:val="Char Char4"/>
    <w:qFormat/>
    <w:locked/>
    <w:uiPriority w:val="0"/>
    <w:rPr>
      <w:rFonts w:ascii="宋体" w:hAnsi="Courier New" w:eastAsia="宋体" w:cs="Courier New"/>
      <w:kern w:val="2"/>
      <w:sz w:val="21"/>
      <w:szCs w:val="21"/>
      <w:lang w:val="en-US" w:eastAsia="zh-CN" w:bidi="ar-SA"/>
    </w:rPr>
  </w:style>
  <w:style w:type="character" w:customStyle="1" w:styleId="154">
    <w:name w:val="Char Char21"/>
    <w:qFormat/>
    <w:uiPriority w:val="0"/>
    <w:rPr>
      <w:rFonts w:ascii="宋体" w:eastAsia="宋体"/>
      <w:sz w:val="24"/>
    </w:rPr>
  </w:style>
  <w:style w:type="character" w:customStyle="1" w:styleId="155">
    <w:name w:val="Char Char11"/>
    <w:qFormat/>
    <w:uiPriority w:val="0"/>
    <w:rPr>
      <w:rFonts w:ascii="Times New Roman" w:hAnsi="Times New Roman" w:eastAsia="宋体" w:cs="Times New Roman"/>
      <w:sz w:val="30"/>
      <w:szCs w:val="24"/>
    </w:rPr>
  </w:style>
  <w:style w:type="character" w:customStyle="1" w:styleId="156">
    <w:name w:val="font21"/>
    <w:basedOn w:val="55"/>
    <w:qFormat/>
    <w:uiPriority w:val="0"/>
    <w:rPr>
      <w:rFonts w:ascii="Calibri" w:hAnsi="Calibri" w:cs="Calibri"/>
      <w:color w:val="000000"/>
      <w:sz w:val="20"/>
      <w:szCs w:val="20"/>
      <w:u w:val="none"/>
    </w:rPr>
  </w:style>
  <w:style w:type="character" w:customStyle="1" w:styleId="157">
    <w:name w:val="彩色列表 - 强调文字颜色 1 Char"/>
    <w:qFormat/>
    <w:locked/>
    <w:uiPriority w:val="34"/>
    <w:rPr>
      <w:rFonts w:ascii="Calibri" w:hAnsi="Calibri"/>
      <w:sz w:val="24"/>
      <w:szCs w:val="24"/>
      <w:lang w:eastAsia="en-US"/>
    </w:rPr>
  </w:style>
  <w:style w:type="character" w:customStyle="1" w:styleId="158">
    <w:name w:val="Char Char111"/>
    <w:qFormat/>
    <w:uiPriority w:val="0"/>
    <w:rPr>
      <w:rFonts w:hint="default" w:ascii="Times New Roman" w:hAnsi="Times New Roman" w:eastAsia="宋体" w:cs="Times New Roman"/>
      <w:sz w:val="30"/>
      <w:szCs w:val="24"/>
    </w:rPr>
  </w:style>
  <w:style w:type="character" w:customStyle="1" w:styleId="159">
    <w:name w:val="ca-14"/>
    <w:basedOn w:val="55"/>
    <w:qFormat/>
    <w:uiPriority w:val="0"/>
  </w:style>
  <w:style w:type="character" w:customStyle="1" w:styleId="160">
    <w:name w:val="font11"/>
    <w:qFormat/>
    <w:uiPriority w:val="0"/>
    <w:rPr>
      <w:rFonts w:hint="eastAsia" w:ascii="宋体" w:hAnsi="宋体" w:eastAsia="宋体" w:cs="宋体"/>
      <w:color w:val="FF0000"/>
      <w:sz w:val="16"/>
      <w:szCs w:val="16"/>
      <w:u w:val="none"/>
    </w:rPr>
  </w:style>
  <w:style w:type="character" w:customStyle="1" w:styleId="161">
    <w:name w:val="row08"/>
    <w:qFormat/>
    <w:uiPriority w:val="0"/>
    <w:rPr>
      <w:rFonts w:cs="Times New Roman"/>
      <w:lang w:bidi="ar-SA"/>
    </w:rPr>
  </w:style>
  <w:style w:type="character" w:customStyle="1" w:styleId="162">
    <w:name w:val="列出段落 Char"/>
    <w:link w:val="163"/>
    <w:qFormat/>
    <w:uiPriority w:val="0"/>
    <w:rPr>
      <w:rFonts w:ascii="Calibri" w:hAnsi="Calibri" w:eastAsia="宋体"/>
      <w:kern w:val="2"/>
      <w:sz w:val="21"/>
      <w:szCs w:val="22"/>
      <w:lang w:val="en-US" w:eastAsia="zh-CN" w:bidi="ar-SA"/>
    </w:rPr>
  </w:style>
  <w:style w:type="paragraph" w:customStyle="1" w:styleId="163">
    <w:name w:val="列出段落3"/>
    <w:basedOn w:val="1"/>
    <w:link w:val="162"/>
    <w:qFormat/>
    <w:uiPriority w:val="0"/>
    <w:pPr>
      <w:ind w:firstLine="420" w:firstLineChars="200"/>
    </w:pPr>
    <w:rPr>
      <w:rFonts w:ascii="Calibri" w:hAnsi="Calibri"/>
      <w:szCs w:val="22"/>
    </w:rPr>
  </w:style>
  <w:style w:type="character" w:customStyle="1" w:styleId="164">
    <w:name w:val="自定义标题一 Char"/>
    <w:link w:val="16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5">
    <w:name w:val="自定义标题一"/>
    <w:basedOn w:val="3"/>
    <w:link w:val="164"/>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6">
    <w:name w:val="Char Char6"/>
    <w:qFormat/>
    <w:locked/>
    <w:uiPriority w:val="0"/>
    <w:rPr>
      <w:rFonts w:ascii="宋体" w:hAnsi="Courier New" w:eastAsia="宋体" w:cs="Courier New"/>
      <w:kern w:val="2"/>
      <w:sz w:val="21"/>
      <w:szCs w:val="21"/>
      <w:lang w:val="en-US" w:eastAsia="zh-CN" w:bidi="ar-SA"/>
    </w:rPr>
  </w:style>
  <w:style w:type="character" w:customStyle="1" w:styleId="167">
    <w:name w:val="ca-15"/>
    <w:basedOn w:val="55"/>
    <w:qFormat/>
    <w:uiPriority w:val="0"/>
  </w:style>
  <w:style w:type="character" w:customStyle="1" w:styleId="168">
    <w:name w:val="Char Char28"/>
    <w:qFormat/>
    <w:locked/>
    <w:uiPriority w:val="0"/>
    <w:rPr>
      <w:rFonts w:eastAsia="宋体"/>
      <w:b/>
      <w:bCs/>
      <w:kern w:val="44"/>
      <w:sz w:val="44"/>
      <w:szCs w:val="44"/>
      <w:lang w:val="en-US" w:eastAsia="zh-CN" w:bidi="ar-SA"/>
    </w:rPr>
  </w:style>
  <w:style w:type="character" w:customStyle="1" w:styleId="169">
    <w:name w:val="Char Char Char Char Char11"/>
    <w:qFormat/>
    <w:uiPriority w:val="0"/>
    <w:rPr>
      <w:rFonts w:eastAsia="宋体"/>
      <w:b/>
      <w:bCs/>
      <w:kern w:val="44"/>
      <w:sz w:val="44"/>
      <w:szCs w:val="44"/>
      <w:lang w:val="en-US" w:eastAsia="zh-CN" w:bidi="ar-SA"/>
    </w:rPr>
  </w:style>
  <w:style w:type="character" w:customStyle="1" w:styleId="170">
    <w:name w:val="正文2 Char Char"/>
    <w:link w:val="171"/>
    <w:qFormat/>
    <w:locked/>
    <w:uiPriority w:val="0"/>
    <w:rPr>
      <w:kern w:val="2"/>
      <w:sz w:val="28"/>
      <w:szCs w:val="22"/>
      <w:lang w:bidi="ar-SA"/>
    </w:rPr>
  </w:style>
  <w:style w:type="paragraph" w:customStyle="1" w:styleId="171">
    <w:name w:val="正文2"/>
    <w:basedOn w:val="1"/>
    <w:link w:val="170"/>
    <w:qFormat/>
    <w:uiPriority w:val="0"/>
    <w:pPr>
      <w:spacing w:line="360" w:lineRule="auto"/>
      <w:ind w:firstLine="200" w:firstLineChars="200"/>
    </w:pPr>
    <w:rPr>
      <w:sz w:val="28"/>
      <w:szCs w:val="22"/>
    </w:rPr>
  </w:style>
  <w:style w:type="character" w:customStyle="1" w:styleId="172">
    <w:name w:val="正文文字首行缩进 Char"/>
    <w:qFormat/>
    <w:locked/>
    <w:uiPriority w:val="0"/>
    <w:rPr>
      <w:rFonts w:ascii="仿宋_GB2312" w:eastAsia="仿宋_GB2312"/>
      <w:kern w:val="2"/>
      <w:sz w:val="32"/>
    </w:rPr>
  </w:style>
  <w:style w:type="character" w:customStyle="1" w:styleId="173">
    <w:name w:val="Char Char"/>
    <w:qFormat/>
    <w:uiPriority w:val="0"/>
    <w:rPr>
      <w:rFonts w:ascii="宋体" w:eastAsia="宋体" w:cs="Courier New"/>
      <w:kern w:val="2"/>
      <w:sz w:val="21"/>
      <w:szCs w:val="21"/>
      <w:lang w:val="en-US" w:eastAsia="zh-CN" w:bidi="ar-SA"/>
    </w:rPr>
  </w:style>
  <w:style w:type="character" w:customStyle="1" w:styleId="174">
    <w:name w:val="H1 Char"/>
    <w:qFormat/>
    <w:uiPriority w:val="0"/>
    <w:rPr>
      <w:rFonts w:eastAsia="宋体"/>
      <w:b/>
      <w:bCs/>
      <w:kern w:val="44"/>
      <w:sz w:val="44"/>
      <w:szCs w:val="44"/>
      <w:lang w:val="en-US" w:eastAsia="zh-CN" w:bidi="ar-SA"/>
    </w:rPr>
  </w:style>
  <w:style w:type="character" w:customStyle="1" w:styleId="175">
    <w:name w:val="Plain Text Char"/>
    <w:link w:val="176"/>
    <w:qFormat/>
    <w:locked/>
    <w:uiPriority w:val="0"/>
    <w:rPr>
      <w:rFonts w:ascii="宋体" w:hAnsi="Courier New" w:eastAsia="宋体"/>
      <w:kern w:val="2"/>
      <w:sz w:val="21"/>
    </w:rPr>
  </w:style>
  <w:style w:type="paragraph" w:customStyle="1" w:styleId="176">
    <w:name w:val="纯文本1"/>
    <w:basedOn w:val="1"/>
    <w:link w:val="175"/>
    <w:qFormat/>
    <w:uiPriority w:val="0"/>
    <w:rPr>
      <w:rFonts w:ascii="宋体" w:hAnsi="Courier New"/>
      <w:szCs w:val="20"/>
    </w:rPr>
  </w:style>
  <w:style w:type="character" w:customStyle="1" w:styleId="177">
    <w:name w:val="style31"/>
    <w:qFormat/>
    <w:uiPriority w:val="0"/>
    <w:rPr>
      <w:sz w:val="18"/>
      <w:szCs w:val="18"/>
    </w:rPr>
  </w:style>
  <w:style w:type="character" w:customStyle="1" w:styleId="178">
    <w:name w:val="纯文本 字符"/>
    <w:qFormat/>
    <w:uiPriority w:val="0"/>
    <w:rPr>
      <w:rFonts w:ascii="宋体" w:hAnsi="Courier New" w:eastAsia="宋体" w:cs="Courier New"/>
      <w:kern w:val="2"/>
      <w:sz w:val="21"/>
      <w:szCs w:val="21"/>
      <w:lang w:val="en-US" w:eastAsia="zh-CN" w:bidi="ar-SA"/>
    </w:rPr>
  </w:style>
  <w:style w:type="character" w:customStyle="1" w:styleId="179">
    <w:name w:val="ti"/>
    <w:basedOn w:val="55"/>
    <w:qFormat/>
    <w:uiPriority w:val="0"/>
  </w:style>
  <w:style w:type="character" w:customStyle="1" w:styleId="180">
    <w:name w:val="1ji Char"/>
    <w:link w:val="181"/>
    <w:qFormat/>
    <w:uiPriority w:val="0"/>
    <w:rPr>
      <w:rFonts w:ascii="宋体" w:hAnsi="宋体" w:eastAsia="宋体"/>
      <w:b/>
      <w:bCs/>
      <w:kern w:val="44"/>
      <w:sz w:val="36"/>
      <w:szCs w:val="44"/>
      <w:lang w:val="en-US" w:eastAsia="zh-CN" w:bidi="ar-SA"/>
    </w:rPr>
  </w:style>
  <w:style w:type="paragraph" w:customStyle="1" w:styleId="181">
    <w:name w:val="1ji"/>
    <w:basedOn w:val="3"/>
    <w:link w:val="180"/>
    <w:qFormat/>
    <w:uiPriority w:val="0"/>
    <w:pPr>
      <w:keepLines w:val="0"/>
      <w:widowControl/>
      <w:spacing w:before="0" w:after="0" w:line="240" w:lineRule="auto"/>
      <w:jc w:val="center"/>
    </w:pPr>
    <w:rPr>
      <w:rFonts w:ascii="宋体" w:hAnsi="宋体"/>
      <w:sz w:val="36"/>
    </w:rPr>
  </w:style>
  <w:style w:type="character" w:customStyle="1" w:styleId="182">
    <w:name w:val="Char Char2311"/>
    <w:qFormat/>
    <w:uiPriority w:val="0"/>
    <w:rPr>
      <w:rFonts w:ascii="Times New Roman" w:hAnsi="Times New Roman" w:eastAsia="宋体" w:cs="Times New Roman"/>
      <w:b/>
      <w:bCs/>
      <w:kern w:val="44"/>
      <w:sz w:val="44"/>
      <w:szCs w:val="44"/>
    </w:rPr>
  </w:style>
  <w:style w:type="character" w:customStyle="1" w:styleId="183">
    <w:name w:val="ca-13"/>
    <w:basedOn w:val="55"/>
    <w:qFormat/>
    <w:uiPriority w:val="0"/>
  </w:style>
  <w:style w:type="character" w:customStyle="1" w:styleId="184">
    <w:name w:val="纯文本 Char1"/>
    <w:qFormat/>
    <w:uiPriority w:val="99"/>
    <w:rPr>
      <w:rFonts w:ascii="宋体" w:hAnsi="Courier New" w:eastAsia="宋体" w:cs="Courier New"/>
      <w:kern w:val="2"/>
      <w:sz w:val="21"/>
      <w:szCs w:val="21"/>
      <w:lang w:val="en-US" w:eastAsia="zh-CN" w:bidi="ar-SA"/>
    </w:rPr>
  </w:style>
  <w:style w:type="character" w:customStyle="1" w:styleId="185">
    <w:name w:val="font51"/>
    <w:basedOn w:val="55"/>
    <w:qFormat/>
    <w:uiPriority w:val="0"/>
    <w:rPr>
      <w:rFonts w:hint="eastAsia" w:ascii="宋体" w:hAnsi="宋体" w:eastAsia="宋体" w:cs="宋体"/>
      <w:color w:val="FF0000"/>
      <w:sz w:val="18"/>
      <w:szCs w:val="18"/>
      <w:u w:val="none"/>
      <w:vertAlign w:val="superscript"/>
    </w:rPr>
  </w:style>
  <w:style w:type="character" w:customStyle="1" w:styleId="186">
    <w:name w:val="ca-6"/>
    <w:basedOn w:val="55"/>
    <w:qFormat/>
    <w:uiPriority w:val="0"/>
  </w:style>
  <w:style w:type="character" w:customStyle="1" w:styleId="187">
    <w:name w:val="style161"/>
    <w:qFormat/>
    <w:uiPriority w:val="0"/>
    <w:rPr>
      <w:color w:val="666666"/>
    </w:rPr>
  </w:style>
  <w:style w:type="character" w:customStyle="1" w:styleId="188">
    <w:name w:val="Char Char1511"/>
    <w:qFormat/>
    <w:uiPriority w:val="0"/>
    <w:rPr>
      <w:sz w:val="18"/>
      <w:szCs w:val="18"/>
    </w:rPr>
  </w:style>
  <w:style w:type="character" w:customStyle="1" w:styleId="189">
    <w:name w:val="llyf92"/>
    <w:qFormat/>
    <w:uiPriority w:val="0"/>
    <w:rPr>
      <w:sz w:val="18"/>
      <w:szCs w:val="18"/>
    </w:rPr>
  </w:style>
  <w:style w:type="paragraph" w:customStyle="1" w:styleId="19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1">
    <w:name w:val="Char Char1 Char Char Char Char1"/>
    <w:basedOn w:val="17"/>
    <w:qFormat/>
    <w:uiPriority w:val="0"/>
    <w:rPr>
      <w:rFonts w:ascii="Tahoma" w:hAnsi="Tahoma"/>
      <w:sz w:val="24"/>
    </w:rPr>
  </w:style>
  <w:style w:type="paragraph" w:customStyle="1" w:styleId="192">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3">
    <w:name w:val="Char Char1121"/>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194">
    <w:name w:val="列出段落1"/>
    <w:qFormat/>
    <w:uiPriority w:val="0"/>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195">
    <w:name w:val="标准文本"/>
    <w:basedOn w:val="1"/>
    <w:qFormat/>
    <w:uiPriority w:val="0"/>
    <w:pPr>
      <w:spacing w:line="360" w:lineRule="auto"/>
      <w:ind w:firstLine="200" w:firstLineChars="200"/>
    </w:pPr>
    <w:rPr>
      <w:kern w:val="0"/>
      <w:sz w:val="24"/>
      <w:szCs w:val="20"/>
    </w:rPr>
  </w:style>
  <w:style w:type="paragraph" w:customStyle="1" w:styleId="196">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7">
    <w:name w:val="font10"/>
    <w:basedOn w:val="1"/>
    <w:qFormat/>
    <w:uiPriority w:val="0"/>
    <w:pPr>
      <w:widowControl/>
      <w:spacing w:before="100" w:beforeAutospacing="1" w:after="100" w:afterAutospacing="1"/>
      <w:jc w:val="left"/>
    </w:pPr>
    <w:rPr>
      <w:color w:val="000000"/>
      <w:kern w:val="0"/>
      <w:sz w:val="24"/>
    </w:rPr>
  </w:style>
  <w:style w:type="paragraph" w:customStyle="1" w:styleId="198">
    <w:name w:val="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99">
    <w:name w:val="列出段落2"/>
    <w:basedOn w:val="1"/>
    <w:qFormat/>
    <w:uiPriority w:val="0"/>
    <w:pPr>
      <w:ind w:firstLine="420" w:firstLineChars="200"/>
    </w:pPr>
    <w:rPr>
      <w:sz w:val="24"/>
    </w:rPr>
  </w:style>
  <w:style w:type="paragraph" w:customStyle="1" w:styleId="200">
    <w:name w:val="Char Char18"/>
    <w:basedOn w:val="17"/>
    <w:qFormat/>
    <w:uiPriority w:val="0"/>
    <w:pPr>
      <w:widowControl/>
      <w:ind w:firstLine="454"/>
      <w:jc w:val="left"/>
    </w:pPr>
    <w:rPr>
      <w:rFonts w:ascii="Tahoma" w:hAnsi="Tahoma" w:cs="宋体"/>
      <w:kern w:val="0"/>
      <w:sz w:val="24"/>
      <w:szCs w:val="20"/>
    </w:rPr>
  </w:style>
  <w:style w:type="paragraph" w:customStyle="1" w:styleId="201">
    <w:name w:val="Char Char Char Char Char Char Char Char Char"/>
    <w:basedOn w:val="1"/>
    <w:qFormat/>
    <w:uiPriority w:val="0"/>
    <w:pPr>
      <w:widowControl/>
      <w:spacing w:line="240" w:lineRule="exact"/>
      <w:jc w:val="left"/>
    </w:pPr>
    <w:rPr>
      <w:szCs w:val="20"/>
    </w:rPr>
  </w:style>
  <w:style w:type="paragraph" w:customStyle="1" w:styleId="202">
    <w:name w:val="Table Paragraph"/>
    <w:basedOn w:val="1"/>
    <w:qFormat/>
    <w:uiPriority w:val="1"/>
    <w:rPr>
      <w:rFonts w:ascii="宋体" w:hAnsi="宋体" w:cs="宋体"/>
      <w:lang w:val="zh-CN" w:bidi="zh-CN"/>
    </w:rPr>
  </w:style>
  <w:style w:type="paragraph" w:customStyle="1" w:styleId="203">
    <w:name w:val="纯文本111"/>
    <w:basedOn w:val="1"/>
    <w:qFormat/>
    <w:uiPriority w:val="0"/>
    <w:rPr>
      <w:rFonts w:ascii="宋体"/>
      <w:szCs w:val="21"/>
    </w:rPr>
  </w:style>
  <w:style w:type="paragraph" w:customStyle="1" w:styleId="204">
    <w:name w:val="1"/>
    <w:basedOn w:val="1"/>
    <w:next w:val="31"/>
    <w:qFormat/>
    <w:uiPriority w:val="0"/>
    <w:rPr>
      <w:rFonts w:ascii="宋体" w:hAnsi="Courier New"/>
      <w:szCs w:val="20"/>
    </w:rPr>
  </w:style>
  <w:style w:type="paragraph" w:customStyle="1" w:styleId="205">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20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7">
    <w:name w:val="Char2"/>
    <w:basedOn w:val="1"/>
    <w:qFormat/>
    <w:uiPriority w:val="0"/>
    <w:rPr>
      <w:szCs w:val="20"/>
    </w:rPr>
  </w:style>
  <w:style w:type="paragraph" w:customStyle="1" w:styleId="208">
    <w:name w:val="_Style 2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9">
    <w:name w:val="正文文本缩进 Char Char Char Char"/>
    <w:basedOn w:val="1"/>
    <w:qFormat/>
    <w:uiPriority w:val="0"/>
    <w:pPr>
      <w:ind w:firstLine="540"/>
    </w:pPr>
    <w:rPr>
      <w:rFonts w:hint="eastAsia" w:ascii="宋体" w:hAnsi="Courier New"/>
      <w:szCs w:val="20"/>
    </w:rPr>
  </w:style>
  <w:style w:type="paragraph" w:customStyle="1" w:styleId="210">
    <w:name w:val="Char Char19 Char Char Char Char"/>
    <w:basedOn w:val="17"/>
    <w:qFormat/>
    <w:uiPriority w:val="0"/>
    <w:pPr>
      <w:widowControl/>
      <w:ind w:firstLine="454"/>
      <w:jc w:val="left"/>
    </w:pPr>
  </w:style>
  <w:style w:type="paragraph" w:customStyle="1" w:styleId="211">
    <w:name w:val="pa-14"/>
    <w:basedOn w:val="1"/>
    <w:qFormat/>
    <w:uiPriority w:val="0"/>
    <w:pPr>
      <w:widowControl/>
      <w:spacing w:before="169" w:after="169"/>
      <w:jc w:val="left"/>
    </w:pPr>
    <w:rPr>
      <w:rFonts w:ascii="宋体" w:hAnsi="宋体" w:cs="宋体"/>
      <w:kern w:val="0"/>
      <w:sz w:val="24"/>
    </w:rPr>
  </w:style>
  <w:style w:type="paragraph" w:customStyle="1" w:styleId="212">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213">
    <w:name w:val="msolistparagraph"/>
    <w:basedOn w:val="1"/>
    <w:qFormat/>
    <w:uiPriority w:val="0"/>
    <w:pPr>
      <w:ind w:firstLine="420" w:firstLineChars="200"/>
    </w:pPr>
    <w:rPr>
      <w:rFonts w:ascii="Calibri" w:hAnsi="Calibri"/>
      <w:szCs w:val="22"/>
    </w:rPr>
  </w:style>
  <w:style w:type="paragraph" w:customStyle="1" w:styleId="214">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5">
    <w:name w:val="pa-6"/>
    <w:basedOn w:val="1"/>
    <w:qFormat/>
    <w:uiPriority w:val="0"/>
    <w:pPr>
      <w:widowControl/>
      <w:spacing w:before="169" w:after="169"/>
      <w:jc w:val="left"/>
    </w:pPr>
    <w:rPr>
      <w:rFonts w:ascii="宋体" w:hAnsi="宋体" w:cs="宋体"/>
      <w:kern w:val="0"/>
      <w:sz w:val="24"/>
    </w:rPr>
  </w:style>
  <w:style w:type="paragraph" w:customStyle="1" w:styleId="216">
    <w:name w:val="_Style 213"/>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17">
    <w:name w:val="pa-4"/>
    <w:basedOn w:val="1"/>
    <w:qFormat/>
    <w:uiPriority w:val="0"/>
    <w:pPr>
      <w:widowControl/>
      <w:spacing w:before="169" w:after="169"/>
      <w:jc w:val="left"/>
    </w:pPr>
    <w:rPr>
      <w:rFonts w:ascii="宋体" w:hAnsi="宋体" w:cs="宋体"/>
      <w:kern w:val="0"/>
      <w:sz w:val="24"/>
    </w:rPr>
  </w:style>
  <w:style w:type="paragraph" w:customStyle="1" w:styleId="21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表格题注"/>
    <w:next w:val="1"/>
    <w:qFormat/>
    <w:uiPriority w:val="0"/>
    <w:pPr>
      <w:keepLines/>
      <w:spacing w:before="312" w:beforeLines="100" w:after="160" w:line="278" w:lineRule="auto"/>
      <w:ind w:left="1089" w:hanging="369"/>
      <w:jc w:val="center"/>
    </w:pPr>
    <w:rPr>
      <w:rFonts w:ascii="Arial" w:hAnsi="Arial" w:eastAsia="宋体" w:cs="Times New Roman"/>
      <w:sz w:val="18"/>
      <w:szCs w:val="18"/>
      <w:lang w:val="en-US" w:eastAsia="zh-CN" w:bidi="ar-SA"/>
    </w:rPr>
  </w:style>
  <w:style w:type="paragraph" w:customStyle="1" w:styleId="222">
    <w:name w:val="7"/>
    <w:basedOn w:val="17"/>
    <w:qFormat/>
    <w:uiPriority w:val="0"/>
    <w:pPr>
      <w:widowControl/>
      <w:ind w:firstLine="454"/>
      <w:jc w:val="left"/>
    </w:pPr>
    <w:rPr>
      <w:rFonts w:ascii="Tahoma" w:hAnsi="Tahoma" w:cs="宋体"/>
      <w:kern w:val="0"/>
      <w:sz w:val="24"/>
      <w:szCs w:val="20"/>
    </w:rPr>
  </w:style>
  <w:style w:type="paragraph" w:customStyle="1" w:styleId="223">
    <w:name w:val="Char Char1"/>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224">
    <w:name w:val="pa-10"/>
    <w:basedOn w:val="1"/>
    <w:qFormat/>
    <w:uiPriority w:val="0"/>
    <w:pPr>
      <w:widowControl/>
      <w:spacing w:before="169" w:after="169"/>
      <w:jc w:val="left"/>
    </w:pPr>
    <w:rPr>
      <w:rFonts w:ascii="宋体" w:hAnsi="宋体" w:cs="宋体"/>
      <w:kern w:val="0"/>
      <w:sz w:val="24"/>
    </w:rPr>
  </w:style>
  <w:style w:type="paragraph" w:customStyle="1" w:styleId="225">
    <w:name w:val="表格"/>
    <w:basedOn w:val="1"/>
    <w:qFormat/>
    <w:uiPriority w:val="0"/>
    <w:pPr>
      <w:spacing w:line="400" w:lineRule="exact"/>
    </w:pPr>
    <w:rPr>
      <w:sz w:val="24"/>
    </w:rPr>
  </w:style>
  <w:style w:type="paragraph" w:customStyle="1" w:styleId="226">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227">
    <w:name w:val="p15"/>
    <w:basedOn w:val="1"/>
    <w:qFormat/>
    <w:uiPriority w:val="0"/>
    <w:pPr>
      <w:widowControl/>
    </w:pPr>
    <w:rPr>
      <w:rFonts w:ascii="宋体" w:hAnsi="宋体" w:cs="宋体"/>
      <w:kern w:val="0"/>
      <w:szCs w:val="21"/>
    </w:rPr>
  </w:style>
  <w:style w:type="paragraph" w:customStyle="1" w:styleId="22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9">
    <w:name w:val="正文段"/>
    <w:basedOn w:val="1"/>
    <w:qFormat/>
    <w:uiPriority w:val="0"/>
    <w:pPr>
      <w:widowControl/>
      <w:snapToGrid w:val="0"/>
      <w:spacing w:after="156" w:afterLines="50"/>
      <w:ind w:firstLine="200" w:firstLineChars="200"/>
    </w:pPr>
    <w:rPr>
      <w:kern w:val="0"/>
      <w:sz w:val="24"/>
      <w:szCs w:val="20"/>
    </w:rPr>
  </w:style>
  <w:style w:type="paragraph" w:customStyle="1" w:styleId="230">
    <w:name w:val="Char Char Char Char Char Char1 Char1"/>
    <w:basedOn w:val="1"/>
    <w:qFormat/>
    <w:uiPriority w:val="0"/>
    <w:pPr>
      <w:widowControl/>
      <w:spacing w:line="240" w:lineRule="exact"/>
      <w:jc w:val="left"/>
    </w:pPr>
    <w:rPr>
      <w:rFonts w:ascii="Verdana" w:hAnsi="Verdana"/>
      <w:kern w:val="0"/>
      <w:szCs w:val="20"/>
      <w:lang w:eastAsia="en-US"/>
    </w:rPr>
  </w:style>
  <w:style w:type="paragraph" w:customStyle="1" w:styleId="231">
    <w:name w:val="Default Paragraph Font Para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3">
    <w:name w:val="p0"/>
    <w:basedOn w:val="1"/>
    <w:qFormat/>
    <w:uiPriority w:val="0"/>
    <w:pPr>
      <w:widowControl/>
    </w:pPr>
    <w:rPr>
      <w:kern w:val="0"/>
      <w:szCs w:val="21"/>
    </w:rPr>
  </w:style>
  <w:style w:type="paragraph" w:customStyle="1" w:styleId="234">
    <w:name w:val="段"/>
    <w:link w:val="235"/>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235">
    <w:name w:val="段 Char Char"/>
    <w:link w:val="234"/>
    <w:qFormat/>
    <w:locked/>
    <w:uiPriority w:val="0"/>
    <w:rPr>
      <w:rFonts w:ascii="宋体"/>
      <w:sz w:val="21"/>
      <w:lang w:val="en-US" w:eastAsia="zh-CN" w:bidi="ar-SA"/>
    </w:rPr>
  </w:style>
  <w:style w:type="paragraph" w:customStyle="1" w:styleId="236">
    <w:name w:val="插图题注"/>
    <w:next w:val="1"/>
    <w:qFormat/>
    <w:uiPriority w:val="0"/>
    <w:pPr>
      <w:spacing w:after="312" w:afterLines="100" w:line="278" w:lineRule="auto"/>
      <w:ind w:left="1089" w:hanging="369"/>
      <w:jc w:val="center"/>
    </w:pPr>
    <w:rPr>
      <w:rFonts w:ascii="Arial" w:hAnsi="Arial" w:eastAsia="宋体" w:cs="Times New Roman"/>
      <w:sz w:val="18"/>
      <w:szCs w:val="18"/>
      <w:lang w:val="en-US" w:eastAsia="zh-CN" w:bidi="ar-SA"/>
    </w:rPr>
  </w:style>
  <w:style w:type="paragraph" w:customStyle="1" w:styleId="237">
    <w:name w:val="Char Char19 Char Char Char Char11"/>
    <w:basedOn w:val="17"/>
    <w:qFormat/>
    <w:uiPriority w:val="0"/>
    <w:pPr>
      <w:widowControl/>
      <w:ind w:firstLine="454"/>
      <w:jc w:val="left"/>
    </w:pPr>
  </w:style>
  <w:style w:type="paragraph" w:customStyle="1" w:styleId="238">
    <w:name w:val="文章总标题"/>
    <w:basedOn w:val="1"/>
    <w:next w:val="205"/>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23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40">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1">
    <w:name w:val="4"/>
    <w:basedOn w:val="1"/>
    <w:next w:val="34"/>
    <w:qFormat/>
    <w:uiPriority w:val="0"/>
    <w:pPr>
      <w:spacing w:line="420" w:lineRule="exact"/>
      <w:ind w:firstLine="409" w:firstLineChars="195"/>
    </w:pPr>
  </w:style>
  <w:style w:type="paragraph" w:customStyle="1" w:styleId="242">
    <w:name w:val="pa-8"/>
    <w:basedOn w:val="1"/>
    <w:qFormat/>
    <w:uiPriority w:val="0"/>
    <w:pPr>
      <w:widowControl/>
      <w:spacing w:before="169" w:after="169"/>
      <w:jc w:val="left"/>
    </w:pPr>
    <w:rPr>
      <w:rFonts w:ascii="宋体" w:hAnsi="宋体" w:cs="宋体"/>
      <w:kern w:val="0"/>
      <w:sz w:val="24"/>
    </w:rPr>
  </w:style>
  <w:style w:type="paragraph" w:customStyle="1" w:styleId="243">
    <w:name w:val="Char Char Char Char"/>
    <w:basedOn w:val="17"/>
    <w:qFormat/>
    <w:uiPriority w:val="0"/>
    <w:pPr>
      <w:adjustRightInd w:val="0"/>
      <w:snapToGrid w:val="0"/>
      <w:spacing w:line="360" w:lineRule="auto"/>
    </w:pPr>
    <w:rPr>
      <w:rFonts w:ascii="Tahoma" w:hAnsi="Tahoma"/>
      <w:sz w:val="24"/>
    </w:rPr>
  </w:style>
  <w:style w:type="paragraph" w:customStyle="1" w:styleId="244">
    <w:name w:val="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45">
    <w:name w:val="表内文字"/>
    <w:basedOn w:val="1"/>
    <w:qFormat/>
    <w:uiPriority w:val="0"/>
    <w:pPr>
      <w:snapToGrid w:val="0"/>
      <w:spacing w:before="50" w:after="50" w:line="360" w:lineRule="exact"/>
    </w:pPr>
    <w:rPr>
      <w:rFonts w:ascii="宋体" w:hAnsi="宋体"/>
      <w:b/>
      <w:color w:val="0000FF"/>
      <w:szCs w:val="21"/>
    </w:rPr>
  </w:style>
  <w:style w:type="paragraph" w:customStyle="1" w:styleId="246">
    <w:name w:val="样式 正文文字 + 小四 段后: 0 磅 行距: 1.5 倍行距"/>
    <w:basedOn w:val="22"/>
    <w:qFormat/>
    <w:uiPriority w:val="0"/>
    <w:pPr>
      <w:spacing w:line="360" w:lineRule="auto"/>
      <w:ind w:firstLine="480" w:firstLineChars="200"/>
    </w:pPr>
    <w:rPr>
      <w:rFonts w:cs="宋体"/>
      <w:szCs w:val="20"/>
    </w:rPr>
  </w:style>
  <w:style w:type="paragraph" w:customStyle="1" w:styleId="247">
    <w:name w:val="No Spacing11"/>
    <w:link w:val="248"/>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customStyle="1" w:styleId="248">
    <w:name w:val="No Spacing Char"/>
    <w:link w:val="247"/>
    <w:qFormat/>
    <w:locked/>
    <w:uiPriority w:val="0"/>
    <w:rPr>
      <w:kern w:val="2"/>
      <w:sz w:val="21"/>
      <w:szCs w:val="22"/>
      <w:lang w:val="en-US" w:eastAsia="zh-CN" w:bidi="ar-SA"/>
    </w:rPr>
  </w:style>
  <w:style w:type="paragraph" w:customStyle="1" w:styleId="249">
    <w:name w:val="Char21"/>
    <w:basedOn w:val="1"/>
    <w:qFormat/>
    <w:uiPriority w:val="0"/>
    <w:pPr>
      <w:widowControl/>
      <w:spacing w:line="240" w:lineRule="exact"/>
      <w:jc w:val="left"/>
    </w:pPr>
  </w:style>
  <w:style w:type="paragraph" w:customStyle="1" w:styleId="25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1">
    <w:name w:val="默认段落字体 Para Char"/>
    <w:basedOn w:val="1"/>
    <w:qFormat/>
    <w:uiPriority w:val="0"/>
    <w:pPr>
      <w:adjustRightInd w:val="0"/>
      <w:spacing w:line="360" w:lineRule="auto"/>
    </w:pPr>
    <w:rPr>
      <w:szCs w:val="20"/>
    </w:rPr>
  </w:style>
  <w:style w:type="paragraph" w:customStyle="1" w:styleId="252">
    <w:name w:val="Char11"/>
    <w:basedOn w:val="17"/>
    <w:qFormat/>
    <w:uiPriority w:val="0"/>
    <w:pPr>
      <w:widowControl/>
      <w:ind w:firstLine="454"/>
      <w:jc w:val="left"/>
    </w:pPr>
    <w:rPr>
      <w:rFonts w:ascii="Tahoma" w:hAnsi="Tahoma" w:cs="宋体"/>
      <w:kern w:val="0"/>
      <w:sz w:val="24"/>
      <w:szCs w:val="20"/>
    </w:rPr>
  </w:style>
  <w:style w:type="paragraph" w:customStyle="1" w:styleId="253">
    <w:name w:val="pa-11"/>
    <w:basedOn w:val="1"/>
    <w:qFormat/>
    <w:uiPriority w:val="0"/>
    <w:pPr>
      <w:widowControl/>
      <w:spacing w:before="169" w:after="169"/>
      <w:jc w:val="left"/>
    </w:pPr>
    <w:rPr>
      <w:rFonts w:ascii="宋体" w:hAnsi="宋体" w:cs="宋体"/>
      <w:kern w:val="0"/>
      <w:sz w:val="24"/>
    </w:rPr>
  </w:style>
  <w:style w:type="paragraph" w:customStyle="1" w:styleId="254">
    <w:name w:val="Char"/>
    <w:basedOn w:val="17"/>
    <w:qFormat/>
    <w:uiPriority w:val="0"/>
    <w:pPr>
      <w:widowControl/>
      <w:ind w:firstLine="454"/>
      <w:jc w:val="left"/>
    </w:pPr>
    <w:rPr>
      <w:rFonts w:ascii="Tahoma" w:hAnsi="Tahoma" w:cs="宋体"/>
      <w:kern w:val="0"/>
      <w:sz w:val="24"/>
      <w:szCs w:val="20"/>
    </w:rPr>
  </w:style>
  <w:style w:type="paragraph" w:customStyle="1" w:styleId="255">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6">
    <w:name w:val="Char Char1 Char Char Char Char"/>
    <w:basedOn w:val="17"/>
    <w:qFormat/>
    <w:uiPriority w:val="0"/>
    <w:rPr>
      <w:rFonts w:ascii="Tahoma" w:hAnsi="Tahoma"/>
      <w:sz w:val="24"/>
    </w:rPr>
  </w:style>
  <w:style w:type="paragraph" w:customStyle="1" w:styleId="25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258">
    <w:name w:val="pa-12"/>
    <w:basedOn w:val="1"/>
    <w:qFormat/>
    <w:uiPriority w:val="0"/>
    <w:pPr>
      <w:widowControl/>
      <w:spacing w:before="169" w:after="169"/>
      <w:jc w:val="left"/>
    </w:pPr>
    <w:rPr>
      <w:rFonts w:ascii="宋体" w:hAnsi="宋体" w:cs="宋体"/>
      <w:kern w:val="0"/>
      <w:sz w:val="24"/>
    </w:rPr>
  </w:style>
  <w:style w:type="paragraph" w:customStyle="1" w:styleId="259">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260">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261">
    <w:name w:val="pa-9"/>
    <w:basedOn w:val="1"/>
    <w:qFormat/>
    <w:uiPriority w:val="0"/>
    <w:pPr>
      <w:widowControl/>
      <w:spacing w:before="169" w:after="169"/>
      <w:jc w:val="left"/>
    </w:pPr>
    <w:rPr>
      <w:rFonts w:ascii="宋体" w:hAnsi="宋体" w:cs="宋体"/>
      <w:kern w:val="0"/>
      <w:sz w:val="24"/>
    </w:rPr>
  </w:style>
  <w:style w:type="paragraph" w:customStyle="1" w:styleId="262">
    <w:name w:val="正文首行缩进两字符"/>
    <w:basedOn w:val="1"/>
    <w:qFormat/>
    <w:uiPriority w:val="0"/>
    <w:pPr>
      <w:spacing w:line="360" w:lineRule="auto"/>
      <w:ind w:firstLine="200" w:firstLineChars="200"/>
    </w:pPr>
  </w:style>
  <w:style w:type="paragraph" w:customStyle="1" w:styleId="263">
    <w:name w:val="Char Char Char1"/>
    <w:basedOn w:val="1"/>
    <w:qFormat/>
    <w:uiPriority w:val="0"/>
    <w:rPr>
      <w:rFonts w:ascii="Tahoma" w:hAnsi="Tahoma"/>
      <w:sz w:val="24"/>
      <w:szCs w:val="20"/>
    </w:rPr>
  </w:style>
  <w:style w:type="paragraph" w:customStyle="1" w:styleId="264">
    <w:name w:val="节标题"/>
    <w:basedOn w:val="1"/>
    <w:next w:val="226"/>
    <w:qFormat/>
    <w:uiPriority w:val="0"/>
    <w:pPr>
      <w:widowControl/>
      <w:spacing w:line="289" w:lineRule="atLeast"/>
      <w:jc w:val="center"/>
      <w:textAlignment w:val="baseline"/>
    </w:pPr>
    <w:rPr>
      <w:color w:val="000000"/>
      <w:kern w:val="0"/>
      <w:sz w:val="28"/>
      <w:szCs w:val="20"/>
    </w:rPr>
  </w:style>
  <w:style w:type="paragraph" w:customStyle="1" w:styleId="265">
    <w:name w:val="F2"/>
    <w:basedOn w:val="1"/>
    <w:qFormat/>
    <w:uiPriority w:val="0"/>
    <w:pPr>
      <w:autoSpaceDE w:val="0"/>
      <w:autoSpaceDN w:val="0"/>
      <w:adjustRightInd w:val="0"/>
      <w:ind w:firstLine="601"/>
    </w:pPr>
    <w:rPr>
      <w:kern w:val="0"/>
      <w:sz w:val="24"/>
      <w:szCs w:val="20"/>
    </w:rPr>
  </w:style>
  <w:style w:type="paragraph" w:customStyle="1" w:styleId="266">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267">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68">
    <w:name w:val="Char Char9 Char Char Char Char"/>
    <w:basedOn w:val="1"/>
    <w:qFormat/>
    <w:uiPriority w:val="0"/>
    <w:pPr>
      <w:widowControl/>
      <w:spacing w:line="240" w:lineRule="exact"/>
      <w:jc w:val="left"/>
    </w:pPr>
  </w:style>
  <w:style w:type="paragraph" w:customStyle="1" w:styleId="269">
    <w:name w:val="p16"/>
    <w:basedOn w:val="1"/>
    <w:qFormat/>
    <w:uiPriority w:val="0"/>
    <w:pPr>
      <w:widowControl/>
    </w:pPr>
    <w:rPr>
      <w:rFonts w:ascii="宋体" w:cs="宋体"/>
      <w:kern w:val="0"/>
      <w:sz w:val="20"/>
      <w:szCs w:val="20"/>
    </w:rPr>
  </w:style>
  <w:style w:type="paragraph" w:customStyle="1" w:styleId="270">
    <w:name w:val="Char Char Char1 Char Char Char Char Char Char Char Char Char Char Char Char Char Char Char"/>
    <w:basedOn w:val="1"/>
    <w:qFormat/>
    <w:uiPriority w:val="0"/>
    <w:pPr>
      <w:widowControl/>
      <w:adjustRightInd w:val="0"/>
      <w:spacing w:line="240" w:lineRule="exact"/>
      <w:jc w:val="left"/>
    </w:pPr>
    <w:rPr>
      <w:rFonts w:ascii="Verdana" w:hAnsi="Verdana"/>
      <w:kern w:val="0"/>
      <w:sz w:val="20"/>
      <w:szCs w:val="20"/>
      <w:lang w:eastAsia="en-US"/>
    </w:rPr>
  </w:style>
  <w:style w:type="paragraph" w:customStyle="1" w:styleId="271">
    <w:name w:val="_Style 35"/>
    <w:basedOn w:val="17"/>
    <w:qFormat/>
    <w:uiPriority w:val="0"/>
    <w:pPr>
      <w:widowControl/>
      <w:ind w:firstLine="454"/>
      <w:jc w:val="left"/>
    </w:pPr>
  </w:style>
  <w:style w:type="paragraph" w:customStyle="1" w:styleId="272">
    <w:name w:val="Body"/>
    <w:basedOn w:val="1"/>
    <w:qFormat/>
    <w:uiPriority w:val="0"/>
    <w:pPr>
      <w:widowControl/>
      <w:tabs>
        <w:tab w:val="left" w:pos="1980"/>
      </w:tabs>
      <w:spacing w:before="80" w:after="80" w:line="360" w:lineRule="auto"/>
      <w:jc w:val="center"/>
    </w:pPr>
    <w:rPr>
      <w:szCs w:val="21"/>
    </w:rPr>
  </w:style>
  <w:style w:type="paragraph" w:customStyle="1" w:styleId="273">
    <w:name w:val="列出段落11"/>
    <w:basedOn w:val="1"/>
    <w:qFormat/>
    <w:uiPriority w:val="0"/>
    <w:pPr>
      <w:ind w:firstLine="200" w:firstLineChars="200"/>
    </w:pPr>
    <w:rPr>
      <w:sz w:val="24"/>
    </w:rPr>
  </w:style>
  <w:style w:type="paragraph" w:customStyle="1" w:styleId="274">
    <w:name w:val="pa-7"/>
    <w:basedOn w:val="1"/>
    <w:qFormat/>
    <w:uiPriority w:val="0"/>
    <w:pPr>
      <w:widowControl/>
      <w:spacing w:before="169" w:after="169"/>
      <w:jc w:val="left"/>
    </w:pPr>
    <w:rPr>
      <w:rFonts w:ascii="宋体" w:hAnsi="宋体" w:cs="宋体"/>
      <w:kern w:val="0"/>
      <w:sz w:val="24"/>
    </w:rPr>
  </w:style>
  <w:style w:type="paragraph" w:customStyle="1" w:styleId="275">
    <w:name w:val="Char31"/>
    <w:basedOn w:val="17"/>
    <w:qFormat/>
    <w:uiPriority w:val="0"/>
    <w:pPr>
      <w:widowControl/>
      <w:ind w:firstLine="454"/>
      <w:jc w:val="left"/>
    </w:pPr>
    <w:rPr>
      <w:rFonts w:ascii="Tahoma" w:hAnsi="Tahoma" w:cs="宋体"/>
      <w:kern w:val="0"/>
      <w:sz w:val="24"/>
      <w:szCs w:val="20"/>
    </w:rPr>
  </w:style>
  <w:style w:type="paragraph" w:customStyle="1" w:styleId="276">
    <w:name w:val="pa-15"/>
    <w:basedOn w:val="1"/>
    <w:qFormat/>
    <w:uiPriority w:val="0"/>
    <w:pPr>
      <w:widowControl/>
      <w:spacing w:before="169" w:after="169"/>
      <w:jc w:val="left"/>
    </w:pPr>
    <w:rPr>
      <w:rFonts w:ascii="宋体" w:hAnsi="宋体" w:cs="宋体"/>
      <w:kern w:val="0"/>
      <w:sz w:val="24"/>
    </w:rPr>
  </w:style>
  <w:style w:type="paragraph" w:customStyle="1" w:styleId="277">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8">
    <w:name w:val="表项"/>
    <w:next w:val="1"/>
    <w:qFormat/>
    <w:uiPriority w:val="0"/>
    <w:pPr>
      <w:keepNext/>
      <w:spacing w:after="160" w:line="300" w:lineRule="auto"/>
      <w:jc w:val="center"/>
      <w:textAlignment w:val="baseline"/>
    </w:pPr>
    <w:rPr>
      <w:rFonts w:ascii="Arial" w:hAnsi="Arial" w:eastAsia="黑体" w:cs="Times New Roman"/>
      <w:sz w:val="21"/>
      <w:lang w:val="en-US" w:eastAsia="zh-CN" w:bidi="ar-SA"/>
    </w:rPr>
  </w:style>
  <w:style w:type="paragraph" w:customStyle="1" w:styleId="279">
    <w:name w:val="List Paragraph1"/>
    <w:basedOn w:val="1"/>
    <w:qFormat/>
    <w:uiPriority w:val="0"/>
    <w:pPr>
      <w:ind w:firstLine="420" w:firstLineChars="200"/>
    </w:pPr>
  </w:style>
  <w:style w:type="paragraph" w:customStyle="1" w:styleId="280">
    <w:name w:val="Char Char Char Char Char Char1 Char"/>
    <w:basedOn w:val="1"/>
    <w:qFormat/>
    <w:uiPriority w:val="0"/>
    <w:pPr>
      <w:widowControl/>
      <w:spacing w:line="240" w:lineRule="exact"/>
      <w:jc w:val="left"/>
    </w:pPr>
    <w:rPr>
      <w:rFonts w:ascii="Verdana" w:hAnsi="Verdana"/>
      <w:kern w:val="0"/>
      <w:szCs w:val="20"/>
      <w:lang w:eastAsia="en-US"/>
    </w:rPr>
  </w:style>
  <w:style w:type="paragraph" w:customStyle="1" w:styleId="281">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2">
    <w:name w:val="Char Char1 Char Char Char Char21"/>
    <w:basedOn w:val="17"/>
    <w:qFormat/>
    <w:uiPriority w:val="0"/>
    <w:rPr>
      <w:rFonts w:ascii="Tahoma" w:hAnsi="Tahoma"/>
      <w:sz w:val="24"/>
    </w:rPr>
  </w:style>
  <w:style w:type="paragraph" w:customStyle="1" w:styleId="283">
    <w:name w:val="默认段落字体 Para Char Char Char Char Char Char Char Char Char1 Char Char Char Char"/>
    <w:basedOn w:val="1"/>
    <w:qFormat/>
    <w:uiPriority w:val="0"/>
    <w:rPr>
      <w:rFonts w:ascii="Tahoma" w:hAnsi="Tahoma"/>
      <w:sz w:val="24"/>
      <w:szCs w:val="20"/>
    </w:rPr>
  </w:style>
  <w:style w:type="paragraph" w:customStyle="1" w:styleId="28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285">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286">
    <w:name w:val="我的正文"/>
    <w:basedOn w:val="1"/>
    <w:qFormat/>
    <w:uiPriority w:val="0"/>
    <w:pPr>
      <w:spacing w:line="520" w:lineRule="exact"/>
      <w:ind w:firstLine="192" w:firstLineChars="192"/>
    </w:pPr>
    <w:rPr>
      <w:sz w:val="28"/>
      <w:szCs w:val="28"/>
    </w:rPr>
  </w:style>
  <w:style w:type="paragraph" w:customStyle="1" w:styleId="287">
    <w:name w:val="Char Char Char Char Char Char1 Char21"/>
    <w:basedOn w:val="1"/>
    <w:qFormat/>
    <w:uiPriority w:val="0"/>
    <w:pPr>
      <w:widowControl/>
      <w:spacing w:line="240" w:lineRule="exact"/>
      <w:jc w:val="left"/>
    </w:pPr>
    <w:rPr>
      <w:rFonts w:ascii="Verdana" w:hAnsi="Verdana" w:eastAsia="仿宋_GB2312"/>
      <w:kern w:val="0"/>
      <w:sz w:val="30"/>
      <w:szCs w:val="30"/>
      <w:lang w:eastAsia="en-US"/>
    </w:rPr>
  </w:style>
  <w:style w:type="paragraph" w:customStyle="1" w:styleId="288">
    <w:name w:val="Char221"/>
    <w:basedOn w:val="1"/>
    <w:qFormat/>
    <w:uiPriority w:val="0"/>
    <w:pPr>
      <w:widowControl/>
      <w:spacing w:line="240" w:lineRule="exact"/>
      <w:jc w:val="left"/>
    </w:pPr>
    <w:rPr>
      <w:rFonts w:ascii="Verdana" w:hAnsi="Verdana"/>
      <w:kern w:val="0"/>
      <w:szCs w:val="20"/>
      <w:lang w:eastAsia="en-US"/>
    </w:rPr>
  </w:style>
  <w:style w:type="paragraph" w:customStyle="1" w:styleId="289">
    <w:name w:val="Char12"/>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90">
    <w:name w:val="无间隔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291">
    <w:name w:val="Char Char9 Char Char Char Char1"/>
    <w:basedOn w:val="1"/>
    <w:qFormat/>
    <w:uiPriority w:val="0"/>
    <w:pPr>
      <w:widowControl/>
      <w:spacing w:line="240" w:lineRule="exact"/>
      <w:jc w:val="left"/>
    </w:pPr>
  </w:style>
  <w:style w:type="paragraph" w:customStyle="1" w:styleId="29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3">
    <w:name w:val="Char Char Char21"/>
    <w:basedOn w:val="1"/>
    <w:qFormat/>
    <w:uiPriority w:val="0"/>
    <w:pPr>
      <w:widowControl/>
      <w:spacing w:line="240" w:lineRule="exact"/>
      <w:jc w:val="left"/>
    </w:pPr>
    <w:rPr>
      <w:rFonts w:ascii="Verdana" w:hAnsi="Verdana"/>
      <w:kern w:val="0"/>
      <w:sz w:val="20"/>
      <w:szCs w:val="20"/>
      <w:lang w:eastAsia="en-US"/>
    </w:rPr>
  </w:style>
  <w:style w:type="paragraph" w:customStyle="1" w:styleId="29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95">
    <w:name w:val="Bullets"/>
    <w:basedOn w:val="1"/>
    <w:qFormat/>
    <w:uiPriority w:val="0"/>
    <w:pPr>
      <w:widowControl/>
      <w:adjustRightInd w:val="0"/>
      <w:snapToGrid w:val="0"/>
      <w:spacing w:before="60" w:after="60"/>
    </w:pPr>
    <w:rPr>
      <w:kern w:val="0"/>
      <w:sz w:val="24"/>
      <w:lang w:val="en-GB"/>
    </w:rPr>
  </w:style>
  <w:style w:type="paragraph" w:customStyle="1" w:styleId="296">
    <w:name w:val="Char131"/>
    <w:basedOn w:val="1"/>
    <w:qFormat/>
    <w:uiPriority w:val="0"/>
    <w:rPr>
      <w:szCs w:val="21"/>
    </w:rPr>
  </w:style>
  <w:style w:type="paragraph" w:customStyle="1" w:styleId="297">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8">
    <w:name w:val="样式1"/>
    <w:basedOn w:val="1"/>
    <w:qFormat/>
    <w:uiPriority w:val="0"/>
    <w:pPr>
      <w:spacing w:before="120" w:after="120" w:line="300" w:lineRule="auto"/>
    </w:pPr>
    <w:rPr>
      <w:rFonts w:ascii="宋体" w:hAnsi="宋体"/>
      <w:b/>
      <w:sz w:val="24"/>
      <w:szCs w:val="20"/>
    </w:rPr>
  </w:style>
  <w:style w:type="paragraph" w:customStyle="1" w:styleId="299">
    <w:name w:val="列表段落1"/>
    <w:basedOn w:val="1"/>
    <w:qFormat/>
    <w:uiPriority w:val="34"/>
    <w:pPr>
      <w:ind w:firstLine="420" w:firstLineChars="200"/>
    </w:pPr>
    <w:rPr>
      <w:rFonts w:ascii="Calibri" w:hAnsi="Calibri"/>
      <w:szCs w:val="22"/>
    </w:rPr>
  </w:style>
  <w:style w:type="paragraph" w:customStyle="1" w:styleId="300">
    <w:name w:val="Char Char Char Char Char Char Char Char Char Char Char Char11"/>
    <w:basedOn w:val="1"/>
    <w:qFormat/>
    <w:uiPriority w:val="0"/>
    <w:pPr>
      <w:widowControl/>
      <w:spacing w:line="240" w:lineRule="exact"/>
      <w:jc w:val="left"/>
    </w:pPr>
    <w:rPr>
      <w:rFonts w:ascii="Verdana" w:hAnsi="Verdana"/>
      <w:kern w:val="0"/>
      <w:sz w:val="20"/>
      <w:szCs w:val="20"/>
      <w:lang w:eastAsia="en-US"/>
    </w:rPr>
  </w:style>
  <w:style w:type="paragraph" w:customStyle="1" w:styleId="301">
    <w:name w:val="444"/>
    <w:basedOn w:val="1"/>
    <w:qFormat/>
    <w:uiPriority w:val="0"/>
    <w:pPr>
      <w:adjustRightInd w:val="0"/>
      <w:spacing w:line="312" w:lineRule="atLeast"/>
      <w:jc w:val="center"/>
      <w:textAlignment w:val="baseline"/>
    </w:pPr>
    <w:rPr>
      <w:b/>
      <w:kern w:val="0"/>
      <w:sz w:val="36"/>
      <w:szCs w:val="36"/>
    </w:rPr>
  </w:style>
  <w:style w:type="paragraph" w:customStyle="1" w:styleId="302">
    <w:name w:val="Char Char9 Char Char Char Char21"/>
    <w:basedOn w:val="1"/>
    <w:qFormat/>
    <w:uiPriority w:val="0"/>
    <w:pPr>
      <w:widowControl/>
      <w:spacing w:line="240" w:lineRule="exact"/>
      <w:jc w:val="left"/>
    </w:pPr>
  </w:style>
  <w:style w:type="paragraph" w:customStyle="1" w:styleId="303">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4">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table" w:customStyle="1" w:styleId="305">
    <w:name w:val="彩色列表 - 强调文字颜色 1111"/>
    <w:basedOn w:val="53"/>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6">
    <w:name w:val="_Style 4"/>
    <w:basedOn w:val="1"/>
    <w:next w:val="299"/>
    <w:qFormat/>
    <w:uiPriority w:val="0"/>
    <w:pPr>
      <w:ind w:firstLine="420" w:firstLineChars="200"/>
    </w:pPr>
  </w:style>
  <w:style w:type="table" w:customStyle="1" w:styleId="307">
    <w:name w:val="彩色列表 - 强调文字颜色 11"/>
    <w:basedOn w:val="53"/>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8">
    <w:name w:val="Header Char"/>
    <w:basedOn w:val="55"/>
    <w:qFormat/>
    <w:locked/>
    <w:uiPriority w:val="0"/>
    <w:rPr>
      <w:rFonts w:ascii="Calibri" w:hAnsi="Calibri" w:eastAsia="宋体"/>
      <w:kern w:val="2"/>
      <w:sz w:val="18"/>
      <w:szCs w:val="18"/>
      <w:lang w:val="en-US" w:eastAsia="zh-CN" w:bidi="ar-SA"/>
    </w:rPr>
  </w:style>
  <w:style w:type="character" w:customStyle="1" w:styleId="309">
    <w:name w:val="Footer Char"/>
    <w:basedOn w:val="55"/>
    <w:qFormat/>
    <w:locked/>
    <w:uiPriority w:val="0"/>
    <w:rPr>
      <w:rFonts w:ascii="Calibri" w:hAnsi="Calibri" w:eastAsia="宋体"/>
      <w:kern w:val="2"/>
      <w:sz w:val="18"/>
      <w:szCs w:val="18"/>
      <w:lang w:val="en-US" w:eastAsia="zh-CN" w:bidi="ar-SA"/>
    </w:rPr>
  </w:style>
  <w:style w:type="paragraph" w:customStyle="1" w:styleId="310">
    <w:name w:val="列表段落111"/>
    <w:basedOn w:val="1"/>
    <w:qFormat/>
    <w:uiPriority w:val="0"/>
    <w:pPr>
      <w:ind w:firstLine="420" w:firstLineChars="200"/>
    </w:pPr>
    <w:rPr>
      <w:rFonts w:ascii="Calibri" w:hAnsi="Calibri"/>
      <w:szCs w:val="22"/>
    </w:rPr>
  </w:style>
  <w:style w:type="character" w:customStyle="1" w:styleId="311">
    <w:name w:val="Heading 1 Char"/>
    <w:basedOn w:val="55"/>
    <w:qFormat/>
    <w:locked/>
    <w:uiPriority w:val="0"/>
    <w:rPr>
      <w:rFonts w:ascii="宋体" w:eastAsia="宋体"/>
      <w:b/>
      <w:bCs/>
      <w:kern w:val="44"/>
      <w:sz w:val="44"/>
      <w:szCs w:val="44"/>
      <w:lang w:val="en-US" w:eastAsia="zh-CN" w:bidi="ar-SA"/>
    </w:rPr>
  </w:style>
  <w:style w:type="character" w:customStyle="1" w:styleId="312">
    <w:name w:val="Heading 2 Char"/>
    <w:basedOn w:val="55"/>
    <w:qFormat/>
    <w:locked/>
    <w:uiPriority w:val="0"/>
    <w:rPr>
      <w:rFonts w:ascii="Arial" w:hAnsi="Arial" w:eastAsia="黑体"/>
      <w:b/>
      <w:bCs/>
      <w:kern w:val="21"/>
      <w:sz w:val="32"/>
      <w:szCs w:val="32"/>
      <w:lang w:val="en-US" w:eastAsia="zh-CN" w:bidi="ar-SA"/>
    </w:rPr>
  </w:style>
  <w:style w:type="character" w:customStyle="1" w:styleId="313">
    <w:name w:val="Heading 3 Char"/>
    <w:basedOn w:val="55"/>
    <w:qFormat/>
    <w:locked/>
    <w:uiPriority w:val="0"/>
    <w:rPr>
      <w:rFonts w:ascii="宋体" w:eastAsia="宋体"/>
      <w:b/>
      <w:bCs/>
      <w:kern w:val="21"/>
      <w:sz w:val="32"/>
      <w:szCs w:val="32"/>
      <w:lang w:val="en-US" w:eastAsia="zh-CN" w:bidi="ar-SA"/>
    </w:rPr>
  </w:style>
  <w:style w:type="character" w:customStyle="1" w:styleId="314">
    <w:name w:val="Heading 4 Char"/>
    <w:basedOn w:val="55"/>
    <w:qFormat/>
    <w:locked/>
    <w:uiPriority w:val="0"/>
    <w:rPr>
      <w:rFonts w:ascii="Arial" w:hAnsi="Arial" w:eastAsia="黑体"/>
      <w:b/>
      <w:bCs/>
      <w:kern w:val="21"/>
      <w:sz w:val="28"/>
      <w:szCs w:val="28"/>
      <w:lang w:val="en-US" w:eastAsia="zh-CN" w:bidi="ar-SA"/>
    </w:rPr>
  </w:style>
  <w:style w:type="character" w:customStyle="1" w:styleId="315">
    <w:name w:val="Heading 5 Char"/>
    <w:basedOn w:val="55"/>
    <w:qFormat/>
    <w:locked/>
    <w:uiPriority w:val="0"/>
    <w:rPr>
      <w:rFonts w:ascii="宋体" w:eastAsia="宋体"/>
      <w:b/>
      <w:bCs/>
      <w:kern w:val="21"/>
      <w:sz w:val="28"/>
      <w:szCs w:val="28"/>
      <w:lang w:val="en-US" w:eastAsia="zh-CN" w:bidi="ar-SA"/>
    </w:rPr>
  </w:style>
  <w:style w:type="character" w:customStyle="1" w:styleId="316">
    <w:name w:val="Heading 6 Char"/>
    <w:basedOn w:val="55"/>
    <w:qFormat/>
    <w:locked/>
    <w:uiPriority w:val="0"/>
    <w:rPr>
      <w:rFonts w:ascii="Arial" w:hAnsi="Arial" w:eastAsia="黑体"/>
      <w:b/>
      <w:bCs/>
      <w:kern w:val="21"/>
      <w:sz w:val="24"/>
      <w:szCs w:val="21"/>
      <w:lang w:val="en-US" w:eastAsia="zh-CN" w:bidi="ar-SA"/>
    </w:rPr>
  </w:style>
  <w:style w:type="character" w:customStyle="1" w:styleId="317">
    <w:name w:val="Heading 7 Char"/>
    <w:basedOn w:val="55"/>
    <w:qFormat/>
    <w:locked/>
    <w:uiPriority w:val="0"/>
    <w:rPr>
      <w:rFonts w:ascii="宋体" w:eastAsia="宋体"/>
      <w:b/>
      <w:bCs/>
      <w:kern w:val="21"/>
      <w:sz w:val="24"/>
      <w:szCs w:val="21"/>
      <w:lang w:val="en-US" w:eastAsia="zh-CN" w:bidi="ar-SA"/>
    </w:rPr>
  </w:style>
  <w:style w:type="character" w:customStyle="1" w:styleId="318">
    <w:name w:val="Heading 8 Char"/>
    <w:basedOn w:val="55"/>
    <w:qFormat/>
    <w:locked/>
    <w:uiPriority w:val="0"/>
    <w:rPr>
      <w:rFonts w:ascii="Arial" w:hAnsi="Arial" w:eastAsia="黑体"/>
      <w:kern w:val="21"/>
      <w:sz w:val="24"/>
      <w:szCs w:val="21"/>
      <w:lang w:val="en-US" w:eastAsia="zh-CN" w:bidi="ar-SA"/>
    </w:rPr>
  </w:style>
  <w:style w:type="character" w:customStyle="1" w:styleId="319">
    <w:name w:val="Heading 9 Char"/>
    <w:basedOn w:val="55"/>
    <w:qFormat/>
    <w:locked/>
    <w:uiPriority w:val="0"/>
    <w:rPr>
      <w:rFonts w:ascii="Arial" w:hAnsi="Arial" w:eastAsia="黑体"/>
      <w:kern w:val="21"/>
      <w:sz w:val="21"/>
      <w:szCs w:val="21"/>
      <w:lang w:val="en-US" w:eastAsia="zh-CN" w:bidi="ar-SA"/>
    </w:rPr>
  </w:style>
  <w:style w:type="character" w:customStyle="1" w:styleId="320">
    <w:name w:val="一级条标题 Char"/>
    <w:basedOn w:val="321"/>
    <w:qFormat/>
    <w:uiPriority w:val="0"/>
    <w:rPr>
      <w:rFonts w:ascii="黑体" w:eastAsia="黑体" w:cs="黑体"/>
      <w:sz w:val="21"/>
      <w:szCs w:val="21"/>
      <w:lang w:val="en-US" w:eastAsia="zh-CN" w:bidi="ar-SA"/>
    </w:rPr>
  </w:style>
  <w:style w:type="character" w:customStyle="1" w:styleId="321">
    <w:name w:val="章标题 Char"/>
    <w:qFormat/>
    <w:uiPriority w:val="0"/>
    <w:rPr>
      <w:rFonts w:ascii="黑体" w:eastAsia="黑体"/>
      <w:sz w:val="21"/>
      <w:lang w:val="en-US" w:eastAsia="zh-CN"/>
    </w:rPr>
  </w:style>
  <w:style w:type="character" w:customStyle="1" w:styleId="322">
    <w:name w:val="发布"/>
    <w:qFormat/>
    <w:uiPriority w:val="0"/>
    <w:rPr>
      <w:rFonts w:ascii="黑体" w:eastAsia="黑体"/>
      <w:spacing w:val="22"/>
      <w:w w:val="100"/>
      <w:position w:val="3"/>
      <w:sz w:val="28"/>
    </w:rPr>
  </w:style>
  <w:style w:type="character" w:customStyle="1" w:styleId="323">
    <w:name w:val="个人答复风格"/>
    <w:qFormat/>
    <w:uiPriority w:val="0"/>
    <w:rPr>
      <w:rFonts w:ascii="Arial" w:hAnsi="Arial" w:eastAsia="宋体"/>
      <w:color w:val="auto"/>
      <w:sz w:val="20"/>
    </w:rPr>
  </w:style>
  <w:style w:type="character" w:customStyle="1" w:styleId="324">
    <w:name w:val="三级条标题 Char"/>
    <w:basedOn w:val="325"/>
    <w:qFormat/>
    <w:uiPriority w:val="0"/>
    <w:rPr>
      <w:rFonts w:ascii="黑体" w:eastAsia="黑体" w:cs="黑体"/>
      <w:sz w:val="21"/>
      <w:szCs w:val="21"/>
      <w:lang w:val="en-US" w:eastAsia="zh-CN" w:bidi="ar-SA"/>
    </w:rPr>
  </w:style>
  <w:style w:type="character" w:customStyle="1" w:styleId="325">
    <w:name w:val="二级条标题 Char"/>
    <w:basedOn w:val="320"/>
    <w:qFormat/>
    <w:uiPriority w:val="0"/>
    <w:rPr>
      <w:rFonts w:ascii="黑体" w:eastAsia="黑体" w:cs="黑体"/>
      <w:sz w:val="21"/>
      <w:szCs w:val="21"/>
      <w:lang w:val="en-US" w:eastAsia="zh-CN" w:bidi="ar-SA"/>
    </w:rPr>
  </w:style>
  <w:style w:type="character" w:customStyle="1" w:styleId="326">
    <w:name w:val="章标题 Char Char"/>
    <w:link w:val="327"/>
    <w:qFormat/>
    <w:locked/>
    <w:uiPriority w:val="0"/>
    <w:rPr>
      <w:rFonts w:ascii="黑体" w:eastAsia="黑体"/>
      <w:kern w:val="2"/>
      <w:sz w:val="22"/>
      <w:lang w:val="en-US" w:eastAsia="zh-CN" w:bidi="ar-SA"/>
    </w:rPr>
  </w:style>
  <w:style w:type="paragraph" w:customStyle="1" w:styleId="327">
    <w:name w:val="章标题"/>
    <w:next w:val="234"/>
    <w:link w:val="326"/>
    <w:qFormat/>
    <w:uiPriority w:val="0"/>
    <w:pPr>
      <w:numPr>
        <w:ilvl w:val="1"/>
        <w:numId w:val="1"/>
      </w:numPr>
      <w:spacing w:beforeLines="50" w:after="160" w:afterLines="50" w:line="278" w:lineRule="auto"/>
      <w:jc w:val="both"/>
      <w:outlineLvl w:val="1"/>
    </w:pPr>
    <w:rPr>
      <w:rFonts w:ascii="黑体" w:hAnsi="Times New Roman" w:eastAsia="黑体" w:cs="Times New Roman"/>
      <w:kern w:val="2"/>
      <w:sz w:val="22"/>
      <w:lang w:val="en-US" w:eastAsia="zh-CN" w:bidi="ar-SA"/>
    </w:rPr>
  </w:style>
  <w:style w:type="character" w:customStyle="1" w:styleId="328">
    <w:name w:val="三级条标题 Char Char"/>
    <w:basedOn w:val="329"/>
    <w:link w:val="333"/>
    <w:qFormat/>
    <w:locked/>
    <w:uiPriority w:val="0"/>
    <w:rPr>
      <w:rFonts w:ascii="黑体" w:eastAsia="黑体"/>
      <w:kern w:val="2"/>
      <w:sz w:val="22"/>
      <w:szCs w:val="22"/>
      <w:lang w:val="en-US" w:eastAsia="zh-CN" w:bidi="ar-SA"/>
    </w:rPr>
  </w:style>
  <w:style w:type="character" w:customStyle="1" w:styleId="329">
    <w:name w:val="二级条标题 Char Char"/>
    <w:basedOn w:val="330"/>
    <w:link w:val="332"/>
    <w:qFormat/>
    <w:locked/>
    <w:uiPriority w:val="0"/>
    <w:rPr>
      <w:rFonts w:ascii="黑体" w:eastAsia="黑体"/>
      <w:kern w:val="2"/>
      <w:sz w:val="22"/>
      <w:szCs w:val="22"/>
      <w:lang w:val="en-US" w:eastAsia="zh-CN" w:bidi="ar-SA"/>
    </w:rPr>
  </w:style>
  <w:style w:type="character" w:customStyle="1" w:styleId="330">
    <w:name w:val="一级条标题 Char Char"/>
    <w:basedOn w:val="326"/>
    <w:link w:val="331"/>
    <w:qFormat/>
    <w:locked/>
    <w:uiPriority w:val="0"/>
    <w:rPr>
      <w:rFonts w:ascii="黑体" w:eastAsia="黑体"/>
      <w:kern w:val="2"/>
      <w:sz w:val="22"/>
      <w:szCs w:val="22"/>
      <w:lang w:val="en-US" w:eastAsia="zh-CN" w:bidi="ar-SA"/>
    </w:rPr>
  </w:style>
  <w:style w:type="paragraph" w:customStyle="1" w:styleId="331">
    <w:name w:val="一级条标题"/>
    <w:basedOn w:val="327"/>
    <w:next w:val="234"/>
    <w:link w:val="330"/>
    <w:qFormat/>
    <w:uiPriority w:val="0"/>
    <w:pPr>
      <w:numPr>
        <w:ilvl w:val="2"/>
      </w:numPr>
      <w:tabs>
        <w:tab w:val="left" w:pos="312"/>
        <w:tab w:val="left" w:pos="360"/>
      </w:tabs>
      <w:spacing w:beforeLines="0" w:afterLines="0"/>
      <w:ind w:left="0"/>
      <w:outlineLvl w:val="2"/>
    </w:pPr>
    <w:rPr>
      <w:szCs w:val="22"/>
    </w:rPr>
  </w:style>
  <w:style w:type="paragraph" w:customStyle="1" w:styleId="332">
    <w:name w:val="二级条标题"/>
    <w:basedOn w:val="331"/>
    <w:next w:val="234"/>
    <w:link w:val="329"/>
    <w:qFormat/>
    <w:uiPriority w:val="0"/>
    <w:pPr>
      <w:numPr>
        <w:ilvl w:val="3"/>
        <w:numId w:val="2"/>
      </w:numPr>
      <w:outlineLvl w:val="3"/>
    </w:pPr>
  </w:style>
  <w:style w:type="paragraph" w:customStyle="1" w:styleId="333">
    <w:name w:val="三级条标题"/>
    <w:basedOn w:val="332"/>
    <w:next w:val="234"/>
    <w:link w:val="328"/>
    <w:qFormat/>
    <w:uiPriority w:val="0"/>
  </w:style>
  <w:style w:type="character" w:customStyle="1" w:styleId="334">
    <w:name w:val="个人撰写风格"/>
    <w:qFormat/>
    <w:uiPriority w:val="0"/>
    <w:rPr>
      <w:rFonts w:ascii="Arial" w:hAnsi="Arial" w:eastAsia="宋体"/>
      <w:color w:val="auto"/>
      <w:sz w:val="20"/>
    </w:rPr>
  </w:style>
  <w:style w:type="paragraph" w:customStyle="1" w:styleId="335">
    <w:name w:val="其他发布部门"/>
    <w:basedOn w:val="336"/>
    <w:qFormat/>
    <w:uiPriority w:val="0"/>
    <w:pPr>
      <w:spacing w:line="240" w:lineRule="atLeast"/>
    </w:pPr>
    <w:rPr>
      <w:rFonts w:ascii="黑体" w:eastAsia="黑体"/>
      <w:b w:val="0"/>
    </w:rPr>
  </w:style>
  <w:style w:type="paragraph" w:customStyle="1" w:styleId="336">
    <w:name w:val="发布部门"/>
    <w:next w:val="234"/>
    <w:qFormat/>
    <w:uiPriority w:val="0"/>
    <w:pPr>
      <w:spacing w:after="160" w:line="278" w:lineRule="auto"/>
      <w:jc w:val="center"/>
    </w:pPr>
    <w:rPr>
      <w:rFonts w:ascii="宋体" w:hAnsi="Times New Roman" w:eastAsia="宋体" w:cs="Times New Roman"/>
      <w:b/>
      <w:spacing w:val="20"/>
      <w:w w:val="135"/>
      <w:sz w:val="36"/>
      <w:lang w:val="en-US" w:eastAsia="zh-CN" w:bidi="ar-SA"/>
    </w:rPr>
  </w:style>
  <w:style w:type="paragraph" w:customStyle="1" w:styleId="337">
    <w:name w:val="其他标准称谓"/>
    <w:qFormat/>
    <w:uiPriority w:val="0"/>
    <w:pPr>
      <w:spacing w:after="160" w:line="240" w:lineRule="atLeast"/>
      <w:jc w:val="distribute"/>
    </w:pPr>
    <w:rPr>
      <w:rFonts w:ascii="黑体" w:hAnsi="宋体" w:eastAsia="黑体" w:cs="Times New Roman"/>
      <w:sz w:val="52"/>
      <w:lang w:val="en-US" w:eastAsia="zh-CN" w:bidi="ar-SA"/>
    </w:rPr>
  </w:style>
  <w:style w:type="paragraph" w:customStyle="1" w:styleId="338">
    <w:name w:val="封面一致性程度标识"/>
    <w:qFormat/>
    <w:uiPriority w:val="0"/>
    <w:pPr>
      <w:spacing w:before="440" w:after="160" w:line="400" w:lineRule="exact"/>
      <w:jc w:val="center"/>
    </w:pPr>
    <w:rPr>
      <w:rFonts w:ascii="宋体" w:hAnsi="Times New Roman" w:eastAsia="宋体" w:cs="Times New Roman"/>
      <w:sz w:val="28"/>
      <w:lang w:val="en-US" w:eastAsia="zh-CN" w:bidi="ar-SA"/>
    </w:rPr>
  </w:style>
  <w:style w:type="paragraph" w:customStyle="1" w:styleId="339">
    <w:name w:val="文献分类号"/>
    <w:qFormat/>
    <w:uiPriority w:val="0"/>
    <w:pPr>
      <w:widowControl w:val="0"/>
      <w:spacing w:after="160" w:line="278" w:lineRule="auto"/>
      <w:jc w:val="both"/>
      <w:textAlignment w:val="center"/>
    </w:pPr>
    <w:rPr>
      <w:rFonts w:ascii="Times New Roman" w:hAnsi="Times New Roman" w:eastAsia="黑体" w:cs="Times New Roman"/>
      <w:sz w:val="21"/>
      <w:lang w:val="en-US" w:eastAsia="zh-CN" w:bidi="ar-SA"/>
    </w:rPr>
  </w:style>
  <w:style w:type="paragraph" w:customStyle="1" w:styleId="340">
    <w:name w:val="封面标准代替信息"/>
    <w:basedOn w:val="341"/>
    <w:qFormat/>
    <w:uiPriority w:val="0"/>
    <w:pPr>
      <w:spacing w:before="57"/>
    </w:pPr>
    <w:rPr>
      <w:rFonts w:ascii="宋体"/>
      <w:sz w:val="21"/>
    </w:rPr>
  </w:style>
  <w:style w:type="paragraph" w:customStyle="1" w:styleId="341">
    <w:name w:val="封面标准号2"/>
    <w:basedOn w:val="342"/>
    <w:qFormat/>
    <w:uiPriority w:val="0"/>
    <w:pPr>
      <w:adjustRightInd w:val="0"/>
      <w:spacing w:before="357" w:line="280" w:lineRule="exact"/>
    </w:pPr>
  </w:style>
  <w:style w:type="paragraph" w:customStyle="1" w:styleId="342">
    <w:name w:val="封面标准号1"/>
    <w:qFormat/>
    <w:uiPriority w:val="0"/>
    <w:pPr>
      <w:widowControl w:val="0"/>
      <w:kinsoku w:val="0"/>
      <w:overflowPunct w:val="0"/>
      <w:autoSpaceDE w:val="0"/>
      <w:autoSpaceDN w:val="0"/>
      <w:spacing w:before="308" w:after="160" w:line="278" w:lineRule="auto"/>
      <w:jc w:val="right"/>
      <w:textAlignment w:val="center"/>
    </w:pPr>
    <w:rPr>
      <w:rFonts w:ascii="Times New Roman" w:hAnsi="Times New Roman" w:eastAsia="宋体" w:cs="Times New Roman"/>
      <w:sz w:val="28"/>
      <w:lang w:val="en-US" w:eastAsia="zh-CN" w:bidi="ar-SA"/>
    </w:rPr>
  </w:style>
  <w:style w:type="paragraph" w:customStyle="1" w:styleId="343">
    <w:name w:val="前言、引言标题"/>
    <w:next w:val="1"/>
    <w:qFormat/>
    <w:uiPriority w:val="0"/>
    <w:pPr>
      <w:numPr>
        <w:ilvl w:val="0"/>
        <w:numId w:val="2"/>
      </w:numPr>
      <w:shd w:val="clear" w:color="FFFFFF" w:fill="FFFFFF"/>
      <w:spacing w:before="640" w:after="560" w:line="278" w:lineRule="auto"/>
      <w:jc w:val="center"/>
      <w:outlineLvl w:val="0"/>
    </w:pPr>
    <w:rPr>
      <w:rFonts w:ascii="黑体" w:hAnsi="Times New Roman" w:eastAsia="黑体" w:cs="Times New Roman"/>
      <w:sz w:val="32"/>
      <w:lang w:val="en-US" w:eastAsia="zh-CN" w:bidi="ar-SA"/>
    </w:rPr>
  </w:style>
  <w:style w:type="paragraph" w:customStyle="1" w:styleId="344">
    <w:name w:val="正文表标题"/>
    <w:next w:val="234"/>
    <w:qFormat/>
    <w:uiPriority w:val="0"/>
    <w:pPr>
      <w:numPr>
        <w:ilvl w:val="0"/>
        <w:numId w:val="1"/>
      </w:numPr>
      <w:spacing w:after="160" w:line="278" w:lineRule="auto"/>
      <w:jc w:val="center"/>
    </w:pPr>
    <w:rPr>
      <w:rFonts w:ascii="黑体" w:hAnsi="Times New Roman" w:eastAsia="黑体" w:cs="Times New Roman"/>
      <w:sz w:val="21"/>
      <w:lang w:val="en-US" w:eastAsia="zh-CN" w:bidi="ar-SA"/>
    </w:rPr>
  </w:style>
  <w:style w:type="paragraph" w:customStyle="1" w:styleId="345">
    <w:name w:val="附录章标题"/>
    <w:next w:val="234"/>
    <w:qFormat/>
    <w:uiPriority w:val="0"/>
    <w:pPr>
      <w:numPr>
        <w:ilvl w:val="1"/>
        <w:numId w:val="3"/>
      </w:num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346">
    <w:name w:val="五级无标题条"/>
    <w:basedOn w:val="1"/>
    <w:qFormat/>
    <w:uiPriority w:val="0"/>
    <w:pPr>
      <w:numPr>
        <w:ilvl w:val="6"/>
        <w:numId w:val="3"/>
      </w:numPr>
    </w:pPr>
    <w:rPr>
      <w:rFonts w:ascii="宋体"/>
      <w:kern w:val="21"/>
      <w:szCs w:val="21"/>
    </w:rPr>
  </w:style>
  <w:style w:type="paragraph" w:customStyle="1" w:styleId="347">
    <w:name w:val="三级无标题条"/>
    <w:basedOn w:val="1"/>
    <w:qFormat/>
    <w:uiPriority w:val="0"/>
    <w:pPr>
      <w:numPr>
        <w:ilvl w:val="4"/>
        <w:numId w:val="3"/>
      </w:numPr>
    </w:pPr>
    <w:rPr>
      <w:rFonts w:ascii="宋体"/>
      <w:kern w:val="21"/>
      <w:szCs w:val="21"/>
    </w:rPr>
  </w:style>
  <w:style w:type="character" w:customStyle="1" w:styleId="348">
    <w:name w:val="Document Map Char"/>
    <w:basedOn w:val="55"/>
    <w:qFormat/>
    <w:locked/>
    <w:uiPriority w:val="0"/>
    <w:rPr>
      <w:rFonts w:ascii="宋体" w:eastAsia="宋体"/>
      <w:kern w:val="21"/>
      <w:sz w:val="21"/>
      <w:szCs w:val="21"/>
      <w:lang w:val="en-US" w:eastAsia="zh-CN" w:bidi="ar-SA"/>
    </w:rPr>
  </w:style>
  <w:style w:type="paragraph" w:customStyle="1" w:styleId="349">
    <w:name w:val="数字编号列项（二级）"/>
    <w:qFormat/>
    <w:uiPriority w:val="0"/>
    <w:pPr>
      <w:spacing w:after="160" w:line="278" w:lineRule="auto"/>
      <w:ind w:left="1260" w:leftChars="400" w:hanging="420" w:hangingChars="200"/>
      <w:jc w:val="both"/>
    </w:pPr>
    <w:rPr>
      <w:rFonts w:ascii="宋体" w:hAnsi="Times New Roman" w:eastAsia="宋体" w:cs="Times New Roman"/>
      <w:sz w:val="21"/>
      <w:lang w:val="en-US" w:eastAsia="zh-CN" w:bidi="ar-SA"/>
    </w:rPr>
  </w:style>
  <w:style w:type="paragraph" w:customStyle="1" w:styleId="350">
    <w:name w:val="目次、标准名称标题"/>
    <w:basedOn w:val="343"/>
    <w:next w:val="234"/>
    <w:qFormat/>
    <w:uiPriority w:val="0"/>
    <w:pPr>
      <w:numPr>
        <w:numId w:val="0"/>
      </w:numPr>
      <w:spacing w:line="460" w:lineRule="exact"/>
    </w:pPr>
  </w:style>
  <w:style w:type="paragraph" w:customStyle="1" w:styleId="351">
    <w:name w:val="封面标准名称"/>
    <w:qFormat/>
    <w:uiPriority w:val="0"/>
    <w:pPr>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352">
    <w:name w:val="二级无标题条"/>
    <w:basedOn w:val="1"/>
    <w:qFormat/>
    <w:uiPriority w:val="0"/>
    <w:pPr>
      <w:numPr>
        <w:ilvl w:val="3"/>
        <w:numId w:val="3"/>
      </w:numPr>
    </w:pPr>
    <w:rPr>
      <w:rFonts w:ascii="宋体"/>
      <w:kern w:val="21"/>
      <w:szCs w:val="21"/>
    </w:rPr>
  </w:style>
  <w:style w:type="paragraph" w:customStyle="1" w:styleId="353">
    <w:name w:val="条文脚注"/>
    <w:basedOn w:val="41"/>
    <w:qFormat/>
    <w:uiPriority w:val="0"/>
    <w:pPr>
      <w:ind w:left="780" w:leftChars="200" w:hanging="360" w:hangingChars="200"/>
      <w:jc w:val="both"/>
    </w:pPr>
  </w:style>
  <w:style w:type="character" w:customStyle="1" w:styleId="354">
    <w:name w:val="HTML Preformatted Char"/>
    <w:basedOn w:val="55"/>
    <w:qFormat/>
    <w:locked/>
    <w:uiPriority w:val="0"/>
    <w:rPr>
      <w:rFonts w:ascii="Courier New" w:hAnsi="Courier New" w:eastAsia="宋体" w:cs="Courier New"/>
      <w:kern w:val="21"/>
      <w:lang w:val="en-US" w:eastAsia="zh-CN" w:bidi="ar-SA"/>
    </w:rPr>
  </w:style>
  <w:style w:type="character" w:customStyle="1" w:styleId="355">
    <w:name w:val="Date Char"/>
    <w:basedOn w:val="55"/>
    <w:qFormat/>
    <w:locked/>
    <w:uiPriority w:val="0"/>
    <w:rPr>
      <w:rFonts w:ascii="宋体" w:eastAsia="宋体"/>
      <w:kern w:val="21"/>
      <w:sz w:val="24"/>
      <w:lang w:val="en-US" w:eastAsia="zh-CN" w:bidi="ar-SA"/>
    </w:rPr>
  </w:style>
  <w:style w:type="paragraph" w:customStyle="1" w:styleId="356">
    <w:name w:val="四级条标题"/>
    <w:basedOn w:val="333"/>
    <w:next w:val="234"/>
    <w:qFormat/>
    <w:uiPriority w:val="0"/>
    <w:pPr>
      <w:numPr>
        <w:ilvl w:val="5"/>
      </w:numPr>
      <w:ind w:left="2316"/>
      <w:outlineLvl w:val="5"/>
    </w:pPr>
  </w:style>
  <w:style w:type="character" w:customStyle="1" w:styleId="357">
    <w:name w:val="Title Char"/>
    <w:basedOn w:val="55"/>
    <w:qFormat/>
    <w:locked/>
    <w:uiPriority w:val="0"/>
    <w:rPr>
      <w:rFonts w:ascii="Arial" w:hAnsi="Arial" w:eastAsia="宋体" w:cs="Arial"/>
      <w:b/>
      <w:bCs/>
      <w:kern w:val="21"/>
      <w:sz w:val="32"/>
      <w:szCs w:val="32"/>
      <w:lang w:val="en-US" w:eastAsia="zh-CN" w:bidi="ar-SA"/>
    </w:rPr>
  </w:style>
  <w:style w:type="paragraph" w:customStyle="1" w:styleId="358">
    <w:name w:val="注："/>
    <w:next w:val="234"/>
    <w:qFormat/>
    <w:uiPriority w:val="0"/>
    <w:pPr>
      <w:widowControl w:val="0"/>
      <w:numPr>
        <w:ilvl w:val="0"/>
        <w:numId w:val="4"/>
      </w:numPr>
      <w:autoSpaceDE w:val="0"/>
      <w:autoSpaceDN w:val="0"/>
      <w:spacing w:after="160" w:line="278" w:lineRule="auto"/>
      <w:jc w:val="both"/>
    </w:pPr>
    <w:rPr>
      <w:rFonts w:ascii="宋体" w:hAnsi="Times New Roman" w:eastAsia="宋体" w:cs="Times New Roman"/>
      <w:sz w:val="18"/>
      <w:lang w:val="en-US" w:eastAsia="zh-CN" w:bidi="ar-SA"/>
    </w:rPr>
  </w:style>
  <w:style w:type="paragraph" w:customStyle="1" w:styleId="359">
    <w:name w:val="五级条标题"/>
    <w:basedOn w:val="356"/>
    <w:next w:val="234"/>
    <w:qFormat/>
    <w:uiPriority w:val="0"/>
    <w:pPr>
      <w:numPr>
        <w:ilvl w:val="6"/>
      </w:numPr>
      <w:outlineLvl w:val="6"/>
    </w:pPr>
  </w:style>
  <w:style w:type="paragraph" w:customStyle="1" w:styleId="360">
    <w:name w:val="附录表标题"/>
    <w:next w:val="234"/>
    <w:qFormat/>
    <w:uiPriority w:val="0"/>
    <w:pPr>
      <w:spacing w:after="160" w:line="278" w:lineRule="auto"/>
      <w:jc w:val="center"/>
      <w:textAlignment w:val="baseline"/>
    </w:pPr>
    <w:rPr>
      <w:rFonts w:ascii="黑体" w:hAnsi="Times New Roman" w:eastAsia="黑体" w:cs="Times New Roman"/>
      <w:kern w:val="21"/>
      <w:sz w:val="21"/>
      <w:lang w:val="en-US" w:eastAsia="zh-CN" w:bidi="ar-SA"/>
    </w:rPr>
  </w:style>
  <w:style w:type="paragraph" w:customStyle="1" w:styleId="361">
    <w:name w:val="正文图标题"/>
    <w:next w:val="234"/>
    <w:qFormat/>
    <w:uiPriority w:val="0"/>
    <w:pPr>
      <w:numPr>
        <w:ilvl w:val="0"/>
        <w:numId w:val="5"/>
      </w:numPr>
      <w:spacing w:after="160" w:line="278" w:lineRule="auto"/>
      <w:jc w:val="center"/>
    </w:pPr>
    <w:rPr>
      <w:rFonts w:ascii="黑体" w:hAnsi="Times New Roman" w:eastAsia="黑体" w:cs="Times New Roman"/>
      <w:sz w:val="21"/>
      <w:lang w:val="en-US" w:eastAsia="zh-CN" w:bidi="ar-SA"/>
    </w:rPr>
  </w:style>
  <w:style w:type="paragraph" w:customStyle="1" w:styleId="362">
    <w:name w:val="附录标识"/>
    <w:basedOn w:val="343"/>
    <w:qFormat/>
    <w:uiPriority w:val="0"/>
    <w:pPr>
      <w:numPr>
        <w:ilvl w:val="0"/>
        <w:numId w:val="6"/>
      </w:numPr>
      <w:tabs>
        <w:tab w:val="left" w:pos="6405"/>
      </w:tabs>
      <w:spacing w:after="200"/>
      <w:ind w:firstLine="0"/>
    </w:pPr>
    <w:rPr>
      <w:sz w:val="21"/>
    </w:rPr>
  </w:style>
  <w:style w:type="paragraph" w:customStyle="1" w:styleId="363">
    <w:name w:val="标准书眉_偶数页"/>
    <w:basedOn w:val="364"/>
    <w:next w:val="1"/>
    <w:qFormat/>
    <w:uiPriority w:val="0"/>
    <w:pPr>
      <w:tabs>
        <w:tab w:val="center" w:pos="4154"/>
        <w:tab w:val="right" w:pos="8306"/>
      </w:tabs>
      <w:jc w:val="left"/>
    </w:pPr>
  </w:style>
  <w:style w:type="paragraph" w:customStyle="1" w:styleId="364">
    <w:name w:val="标准书眉_奇数页"/>
    <w:next w:val="1"/>
    <w:qFormat/>
    <w:uiPriority w:val="0"/>
    <w:pPr>
      <w:tabs>
        <w:tab w:val="center" w:pos="4154"/>
        <w:tab w:val="right" w:pos="8306"/>
      </w:tabs>
      <w:spacing w:after="120" w:line="278" w:lineRule="auto"/>
      <w:jc w:val="right"/>
    </w:pPr>
    <w:rPr>
      <w:rFonts w:ascii="Times New Roman" w:hAnsi="Times New Roman" w:eastAsia="宋体" w:cs="Times New Roman"/>
      <w:sz w:val="21"/>
      <w:lang w:val="en-US" w:eastAsia="zh-CN" w:bidi="ar-SA"/>
    </w:rPr>
  </w:style>
  <w:style w:type="paragraph" w:customStyle="1" w:styleId="365">
    <w:name w:val="附录三级条标题"/>
    <w:basedOn w:val="366"/>
    <w:next w:val="234"/>
    <w:qFormat/>
    <w:uiPriority w:val="0"/>
    <w:pPr>
      <w:numPr>
        <w:ilvl w:val="4"/>
      </w:numPr>
      <w:tabs>
        <w:tab w:val="left" w:pos="1418"/>
      </w:tabs>
      <w:outlineLvl w:val="4"/>
    </w:pPr>
  </w:style>
  <w:style w:type="paragraph" w:customStyle="1" w:styleId="366">
    <w:name w:val="附录二级条标题"/>
    <w:basedOn w:val="367"/>
    <w:next w:val="234"/>
    <w:qFormat/>
    <w:uiPriority w:val="0"/>
    <w:pPr>
      <w:numPr>
        <w:ilvl w:val="3"/>
      </w:numPr>
      <w:tabs>
        <w:tab w:val="left" w:pos="1418"/>
      </w:tabs>
      <w:outlineLvl w:val="3"/>
    </w:pPr>
  </w:style>
  <w:style w:type="paragraph" w:customStyle="1" w:styleId="367">
    <w:name w:val="附录一级条标题"/>
    <w:basedOn w:val="345"/>
    <w:next w:val="234"/>
    <w:qFormat/>
    <w:uiPriority w:val="0"/>
    <w:pPr>
      <w:numPr>
        <w:ilvl w:val="2"/>
        <w:numId w:val="6"/>
      </w:numPr>
      <w:autoSpaceDN w:val="0"/>
      <w:spacing w:beforeLines="0" w:afterLines="0"/>
      <w:outlineLvl w:val="2"/>
    </w:pPr>
  </w:style>
  <w:style w:type="paragraph" w:customStyle="1" w:styleId="368">
    <w:name w:val="附录图标题"/>
    <w:next w:val="234"/>
    <w:qFormat/>
    <w:uiPriority w:val="0"/>
    <w:pPr>
      <w:spacing w:after="160" w:line="278" w:lineRule="auto"/>
      <w:jc w:val="center"/>
    </w:pPr>
    <w:rPr>
      <w:rFonts w:ascii="黑体" w:hAnsi="Times New Roman" w:eastAsia="黑体" w:cs="Times New Roman"/>
      <w:sz w:val="21"/>
      <w:lang w:val="en-US" w:eastAsia="zh-CN" w:bidi="ar-SA"/>
    </w:rPr>
  </w:style>
  <w:style w:type="paragraph" w:customStyle="1" w:styleId="369">
    <w:name w:val="四级无标题条"/>
    <w:basedOn w:val="1"/>
    <w:qFormat/>
    <w:uiPriority w:val="0"/>
    <w:pPr>
      <w:numPr>
        <w:ilvl w:val="5"/>
        <w:numId w:val="3"/>
      </w:numPr>
    </w:pPr>
    <w:rPr>
      <w:rFonts w:ascii="宋体"/>
      <w:kern w:val="21"/>
      <w:szCs w:val="21"/>
    </w:rPr>
  </w:style>
  <w:style w:type="paragraph" w:customStyle="1" w:styleId="370">
    <w:name w:val="字母编号列项（一级）"/>
    <w:qFormat/>
    <w:uiPriority w:val="0"/>
    <w:pPr>
      <w:spacing w:after="160" w:line="278" w:lineRule="auto"/>
      <w:ind w:left="840" w:leftChars="200" w:hanging="420" w:hangingChars="200"/>
      <w:jc w:val="both"/>
    </w:pPr>
    <w:rPr>
      <w:rFonts w:ascii="宋体" w:hAnsi="Times New Roman" w:eastAsia="宋体" w:cs="Times New Roman"/>
      <w:sz w:val="21"/>
      <w:lang w:val="en-US" w:eastAsia="zh-CN" w:bidi="ar-SA"/>
    </w:rPr>
  </w:style>
  <w:style w:type="paragraph" w:customStyle="1" w:styleId="371">
    <w:name w:val="封面正文"/>
    <w:qFormat/>
    <w:uiPriority w:val="0"/>
    <w:pPr>
      <w:spacing w:after="160" w:line="278" w:lineRule="auto"/>
      <w:jc w:val="both"/>
    </w:pPr>
    <w:rPr>
      <w:rFonts w:ascii="Times New Roman" w:hAnsi="Times New Roman" w:eastAsia="宋体" w:cs="Times New Roman"/>
      <w:lang w:val="en-US" w:eastAsia="zh-CN" w:bidi="ar-SA"/>
    </w:rPr>
  </w:style>
  <w:style w:type="character" w:customStyle="1" w:styleId="372">
    <w:name w:val="Balloon Text Char"/>
    <w:basedOn w:val="55"/>
    <w:qFormat/>
    <w:locked/>
    <w:uiPriority w:val="0"/>
    <w:rPr>
      <w:rFonts w:ascii="宋体" w:eastAsia="宋体"/>
      <w:kern w:val="21"/>
      <w:sz w:val="18"/>
      <w:szCs w:val="18"/>
      <w:lang w:val="en-US" w:eastAsia="zh-CN" w:bidi="ar-SA"/>
    </w:rPr>
  </w:style>
  <w:style w:type="paragraph" w:customStyle="1" w:styleId="373">
    <w:name w:val="实施日期"/>
    <w:basedOn w:val="374"/>
    <w:qFormat/>
    <w:uiPriority w:val="0"/>
    <w:pPr>
      <w:jc w:val="right"/>
    </w:pPr>
  </w:style>
  <w:style w:type="paragraph" w:customStyle="1" w:styleId="374">
    <w:name w:val="发布日期"/>
    <w:qFormat/>
    <w:uiPriority w:val="0"/>
    <w:pPr>
      <w:spacing w:after="160" w:line="278" w:lineRule="auto"/>
      <w:jc w:val="both"/>
    </w:pPr>
    <w:rPr>
      <w:rFonts w:ascii="Times New Roman" w:hAnsi="Times New Roman" w:eastAsia="黑体" w:cs="Times New Roman"/>
      <w:sz w:val="28"/>
      <w:lang w:val="en-US" w:eastAsia="zh-CN" w:bidi="ar-SA"/>
    </w:rPr>
  </w:style>
  <w:style w:type="paragraph" w:customStyle="1" w:styleId="375">
    <w:name w:val="列项——"/>
    <w:qFormat/>
    <w:uiPriority w:val="0"/>
    <w:pPr>
      <w:widowControl w:val="0"/>
      <w:numPr>
        <w:ilvl w:val="0"/>
        <w:numId w:val="7"/>
      </w:numPr>
      <w:tabs>
        <w:tab w:val="left" w:pos="854"/>
      </w:tabs>
      <w:spacing w:after="160" w:line="278" w:lineRule="auto"/>
      <w:ind w:left="200" w:leftChars="200" w:hanging="200" w:hangingChars="200"/>
      <w:jc w:val="both"/>
    </w:pPr>
    <w:rPr>
      <w:rFonts w:ascii="宋体" w:hAnsi="Times New Roman" w:eastAsia="宋体" w:cs="Times New Roman"/>
      <w:sz w:val="21"/>
      <w:lang w:val="en-US" w:eastAsia="zh-CN" w:bidi="ar-SA"/>
    </w:rPr>
  </w:style>
  <w:style w:type="paragraph" w:customStyle="1" w:styleId="376">
    <w:name w:val="示例"/>
    <w:next w:val="234"/>
    <w:qFormat/>
    <w:uiPriority w:val="0"/>
    <w:pPr>
      <w:numPr>
        <w:ilvl w:val="0"/>
        <w:numId w:val="8"/>
      </w:numPr>
      <w:tabs>
        <w:tab w:val="left" w:pos="816"/>
        <w:tab w:val="clear" w:pos="1140"/>
      </w:tabs>
      <w:spacing w:after="160" w:line="278" w:lineRule="auto"/>
      <w:ind w:firstLine="419" w:firstLineChars="233"/>
      <w:jc w:val="both"/>
    </w:pPr>
    <w:rPr>
      <w:rFonts w:ascii="宋体" w:hAnsi="Times New Roman" w:eastAsia="宋体" w:cs="Times New Roman"/>
      <w:sz w:val="18"/>
      <w:lang w:val="en-US" w:eastAsia="zh-CN" w:bidi="ar-SA"/>
    </w:rPr>
  </w:style>
  <w:style w:type="paragraph" w:customStyle="1" w:styleId="377">
    <w:name w:val="附录四级条标题"/>
    <w:basedOn w:val="365"/>
    <w:next w:val="234"/>
    <w:qFormat/>
    <w:uiPriority w:val="0"/>
    <w:pPr>
      <w:numPr>
        <w:ilvl w:val="5"/>
      </w:numPr>
      <w:outlineLvl w:val="5"/>
    </w:pPr>
  </w:style>
  <w:style w:type="paragraph" w:customStyle="1" w:styleId="378">
    <w:name w:val="列项·"/>
    <w:qFormat/>
    <w:uiPriority w:val="0"/>
    <w:pPr>
      <w:numPr>
        <w:ilvl w:val="0"/>
        <w:numId w:val="9"/>
      </w:numPr>
      <w:tabs>
        <w:tab w:val="left" w:pos="840"/>
        <w:tab w:val="clear" w:pos="1120"/>
      </w:tabs>
      <w:spacing w:after="160" w:line="278" w:lineRule="auto"/>
      <w:ind w:left="840" w:leftChars="200" w:hanging="420" w:hangingChars="200"/>
      <w:jc w:val="both"/>
    </w:pPr>
    <w:rPr>
      <w:rFonts w:ascii="宋体" w:hAnsi="Times New Roman" w:eastAsia="宋体" w:cs="Times New Roman"/>
      <w:sz w:val="21"/>
      <w:lang w:val="en-US" w:eastAsia="zh-CN" w:bidi="ar-SA"/>
    </w:rPr>
  </w:style>
  <w:style w:type="paragraph" w:customStyle="1" w:styleId="379">
    <w:name w:val="图表脚注"/>
    <w:next w:val="234"/>
    <w:qFormat/>
    <w:uiPriority w:val="0"/>
    <w:pPr>
      <w:spacing w:after="160" w:line="278" w:lineRule="auto"/>
      <w:ind w:left="300" w:leftChars="200" w:hanging="100" w:hangingChars="100"/>
      <w:jc w:val="both"/>
    </w:pPr>
    <w:rPr>
      <w:rFonts w:ascii="宋体" w:hAnsi="Times New Roman" w:eastAsia="宋体" w:cs="Times New Roman"/>
      <w:sz w:val="18"/>
      <w:lang w:val="en-US" w:eastAsia="zh-CN" w:bidi="ar-SA"/>
    </w:rPr>
  </w:style>
  <w:style w:type="paragraph" w:customStyle="1" w:styleId="380">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381">
    <w:name w:val="一级无标题条"/>
    <w:basedOn w:val="1"/>
    <w:qFormat/>
    <w:uiPriority w:val="0"/>
    <w:pPr>
      <w:numPr>
        <w:ilvl w:val="2"/>
        <w:numId w:val="3"/>
      </w:numPr>
    </w:pPr>
    <w:rPr>
      <w:rFonts w:ascii="宋体"/>
      <w:kern w:val="21"/>
      <w:szCs w:val="21"/>
    </w:rPr>
  </w:style>
  <w:style w:type="paragraph" w:customStyle="1" w:styleId="382">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383">
    <w:name w:val="无标题条"/>
    <w:next w:val="234"/>
    <w:qFormat/>
    <w:uiPriority w:val="0"/>
    <w:pPr>
      <w:spacing w:after="160" w:line="278" w:lineRule="auto"/>
      <w:jc w:val="both"/>
    </w:pPr>
    <w:rPr>
      <w:rFonts w:ascii="Times New Roman" w:hAnsi="Times New Roman" w:eastAsia="宋体" w:cs="Times New Roman"/>
      <w:sz w:val="21"/>
      <w:lang w:val="en-US" w:eastAsia="zh-CN" w:bidi="ar-SA"/>
    </w:rPr>
  </w:style>
  <w:style w:type="paragraph" w:customStyle="1" w:styleId="384">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385">
    <w:name w:val="封面标准英文名称"/>
    <w:qFormat/>
    <w:uiPriority w:val="0"/>
    <w:pPr>
      <w:widowControl w:val="0"/>
      <w:spacing w:before="370" w:after="160" w:line="400" w:lineRule="exact"/>
      <w:jc w:val="center"/>
    </w:pPr>
    <w:rPr>
      <w:rFonts w:ascii="Times New Roman" w:hAnsi="Times New Roman" w:eastAsia="宋体" w:cs="Times New Roman"/>
      <w:sz w:val="28"/>
      <w:lang w:val="en-US" w:eastAsia="zh-CN" w:bidi="ar-SA"/>
    </w:rPr>
  </w:style>
  <w:style w:type="paragraph" w:customStyle="1" w:styleId="386">
    <w:name w:val="标准称谓"/>
    <w:next w:val="1"/>
    <w:qFormat/>
    <w:uiPriority w:val="0"/>
    <w:pPr>
      <w:widowControl w:val="0"/>
      <w:kinsoku w:val="0"/>
      <w:overflowPunct w:val="0"/>
      <w:autoSpaceDE w:val="0"/>
      <w:autoSpaceDN w:val="0"/>
      <w:spacing w:after="160" w:line="240" w:lineRule="atLeast"/>
      <w:jc w:val="distribute"/>
    </w:pPr>
    <w:rPr>
      <w:rFonts w:ascii="宋体" w:hAnsi="Times New Roman" w:eastAsia="宋体" w:cs="Times New Roman"/>
      <w:b/>
      <w:bCs/>
      <w:spacing w:val="20"/>
      <w:w w:val="148"/>
      <w:sz w:val="52"/>
      <w:lang w:val="en-US" w:eastAsia="zh-CN" w:bidi="ar-SA"/>
    </w:rPr>
  </w:style>
  <w:style w:type="paragraph" w:customStyle="1" w:styleId="387">
    <w:name w:val="附录五级条标题"/>
    <w:basedOn w:val="377"/>
    <w:next w:val="234"/>
    <w:qFormat/>
    <w:uiPriority w:val="0"/>
    <w:pPr>
      <w:numPr>
        <w:ilvl w:val="6"/>
      </w:numPr>
      <w:outlineLvl w:val="6"/>
    </w:pPr>
  </w:style>
  <w:style w:type="paragraph" w:customStyle="1" w:styleId="388">
    <w:name w:val="注×："/>
    <w:qFormat/>
    <w:uiPriority w:val="0"/>
    <w:pPr>
      <w:widowControl w:val="0"/>
      <w:numPr>
        <w:ilvl w:val="0"/>
        <w:numId w:val="10"/>
      </w:numPr>
      <w:tabs>
        <w:tab w:val="left" w:pos="630"/>
      </w:tabs>
      <w:autoSpaceDE w:val="0"/>
      <w:autoSpaceDN w:val="0"/>
      <w:spacing w:after="160" w:line="278" w:lineRule="auto"/>
      <w:jc w:val="both"/>
    </w:pPr>
    <w:rPr>
      <w:rFonts w:ascii="宋体" w:hAnsi="Times New Roman" w:eastAsia="宋体" w:cs="Times New Roman"/>
      <w:sz w:val="18"/>
      <w:lang w:val="en-US" w:eastAsia="zh-CN" w:bidi="ar-SA"/>
    </w:rPr>
  </w:style>
  <w:style w:type="paragraph" w:customStyle="1" w:styleId="389">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390">
    <w:name w:val="标准书脚_奇数页"/>
    <w:qFormat/>
    <w:uiPriority w:val="0"/>
    <w:pPr>
      <w:spacing w:before="120" w:after="160" w:line="278" w:lineRule="auto"/>
      <w:jc w:val="right"/>
    </w:pPr>
    <w:rPr>
      <w:rFonts w:ascii="Times New Roman" w:hAnsi="Times New Roman" w:eastAsia="宋体" w:cs="Times New Roman"/>
      <w:sz w:val="18"/>
      <w:lang w:val="en-US" w:eastAsia="zh-CN" w:bidi="ar-SA"/>
    </w:rPr>
  </w:style>
  <w:style w:type="paragraph" w:customStyle="1" w:styleId="391">
    <w:name w:val="参考文献、索引标题"/>
    <w:basedOn w:val="343"/>
    <w:next w:val="1"/>
    <w:qFormat/>
    <w:uiPriority w:val="0"/>
    <w:pPr>
      <w:numPr>
        <w:numId w:val="0"/>
      </w:numPr>
      <w:spacing w:after="200"/>
    </w:pPr>
    <w:rPr>
      <w:sz w:val="21"/>
    </w:rPr>
  </w:style>
  <w:style w:type="paragraph" w:customStyle="1" w:styleId="392">
    <w:name w:val="标准书脚_偶数页"/>
    <w:qFormat/>
    <w:uiPriority w:val="0"/>
    <w:pPr>
      <w:spacing w:before="120" w:after="160" w:line="278" w:lineRule="auto"/>
      <w:jc w:val="both"/>
    </w:pPr>
    <w:rPr>
      <w:rFonts w:ascii="Times New Roman" w:hAnsi="Times New Roman" w:eastAsia="宋体" w:cs="Times New Roman"/>
      <w:sz w:val="18"/>
      <w:lang w:val="en-US" w:eastAsia="zh-CN" w:bidi="ar-SA"/>
    </w:rPr>
  </w:style>
  <w:style w:type="paragraph" w:customStyle="1" w:styleId="393">
    <w:name w:val="标准标志"/>
    <w:next w:val="1"/>
    <w:qFormat/>
    <w:uiPriority w:val="0"/>
    <w:pPr>
      <w:shd w:val="solid" w:color="FFFFFF" w:fill="FFFFFF"/>
      <w:spacing w:after="160" w:line="240" w:lineRule="atLeast"/>
      <w:jc w:val="right"/>
    </w:pPr>
    <w:rPr>
      <w:rFonts w:ascii="Times New Roman" w:hAnsi="Times New Roman" w:eastAsia="宋体" w:cs="Times New Roman"/>
      <w:b/>
      <w:w w:val="130"/>
      <w:sz w:val="96"/>
      <w:lang w:val="en-US" w:eastAsia="zh-CN" w:bidi="ar-SA"/>
    </w:rPr>
  </w:style>
  <w:style w:type="paragraph" w:customStyle="1" w:styleId="394">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5">
    <w:name w:val="Char Char33"/>
    <w:qFormat/>
    <w:uiPriority w:val="0"/>
    <w:rPr>
      <w:rFonts w:eastAsia="宋体"/>
      <w:b/>
      <w:bCs/>
      <w:kern w:val="44"/>
      <w:sz w:val="44"/>
      <w:szCs w:val="44"/>
      <w:lang w:val="en-US" w:eastAsia="zh-CN" w:bidi="ar-SA"/>
    </w:rPr>
  </w:style>
  <w:style w:type="character" w:customStyle="1" w:styleId="396">
    <w:name w:val="Char Char32"/>
    <w:qFormat/>
    <w:uiPriority w:val="0"/>
    <w:rPr>
      <w:rFonts w:ascii="Arial" w:hAnsi="Arial" w:eastAsia="黑体"/>
      <w:b/>
      <w:bCs/>
      <w:sz w:val="32"/>
      <w:szCs w:val="32"/>
      <w:lang w:bidi="ar-SA"/>
    </w:rPr>
  </w:style>
  <w:style w:type="character" w:customStyle="1" w:styleId="397">
    <w:name w:val="Char Char35"/>
    <w:qFormat/>
    <w:uiPriority w:val="0"/>
    <w:rPr>
      <w:rFonts w:eastAsia="宋体"/>
      <w:b/>
      <w:bCs/>
      <w:kern w:val="44"/>
      <w:sz w:val="44"/>
      <w:szCs w:val="44"/>
      <w:lang w:val="en-US" w:eastAsia="zh-CN" w:bidi="ar-SA"/>
    </w:rPr>
  </w:style>
  <w:style w:type="character" w:customStyle="1" w:styleId="398">
    <w:name w:val="Char Char34"/>
    <w:qFormat/>
    <w:uiPriority w:val="0"/>
    <w:rPr>
      <w:rFonts w:ascii="Arial" w:hAnsi="Arial" w:eastAsia="黑体"/>
      <w:b/>
      <w:bCs/>
      <w:sz w:val="32"/>
      <w:szCs w:val="32"/>
      <w:lang w:bidi="ar-SA"/>
    </w:rPr>
  </w:style>
  <w:style w:type="paragraph" w:customStyle="1" w:styleId="39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400">
    <w:name w:val="*正文"/>
    <w:basedOn w:val="1"/>
    <w:qFormat/>
    <w:uiPriority w:val="0"/>
    <w:pPr>
      <w:spacing w:line="360" w:lineRule="auto"/>
      <w:ind w:firstLine="482"/>
      <w:jc w:val="left"/>
    </w:pPr>
    <w:rPr>
      <w:rFonts w:ascii="宋体" w:hAnsi="宋体"/>
      <w:kern w:val="0"/>
      <w:sz w:val="24"/>
      <w:szCs w:val="20"/>
    </w:rPr>
  </w:style>
  <w:style w:type="character" w:customStyle="1" w:styleId="401">
    <w:name w:val="Body text|3_"/>
    <w:basedOn w:val="55"/>
    <w:link w:val="402"/>
    <w:qFormat/>
    <w:uiPriority w:val="0"/>
    <w:rPr>
      <w:rFonts w:ascii="宋体" w:hAnsi="宋体" w:eastAsia="宋体"/>
      <w:sz w:val="34"/>
      <w:szCs w:val="34"/>
      <w:lang w:bidi="ar-SA"/>
    </w:rPr>
  </w:style>
  <w:style w:type="paragraph" w:customStyle="1" w:styleId="402">
    <w:name w:val="Body text|3"/>
    <w:basedOn w:val="1"/>
    <w:link w:val="401"/>
    <w:qFormat/>
    <w:uiPriority w:val="0"/>
    <w:pPr>
      <w:spacing w:after="460"/>
      <w:jc w:val="center"/>
    </w:pPr>
    <w:rPr>
      <w:rFonts w:ascii="宋体" w:hAnsi="宋体"/>
      <w:kern w:val="0"/>
      <w:sz w:val="34"/>
      <w:szCs w:val="34"/>
    </w:rPr>
  </w:style>
  <w:style w:type="character" w:customStyle="1" w:styleId="403">
    <w:name w:val="Body text|1_"/>
    <w:basedOn w:val="55"/>
    <w:link w:val="404"/>
    <w:qFormat/>
    <w:uiPriority w:val="0"/>
    <w:rPr>
      <w:rFonts w:ascii="宋体" w:hAnsi="宋体" w:eastAsia="宋体"/>
      <w:sz w:val="30"/>
      <w:szCs w:val="30"/>
      <w:lang w:bidi="ar-SA"/>
    </w:rPr>
  </w:style>
  <w:style w:type="paragraph" w:customStyle="1" w:styleId="404">
    <w:name w:val="Body text|1"/>
    <w:basedOn w:val="1"/>
    <w:link w:val="403"/>
    <w:qFormat/>
    <w:uiPriority w:val="0"/>
    <w:pPr>
      <w:spacing w:line="353" w:lineRule="auto"/>
      <w:ind w:firstLine="400"/>
      <w:jc w:val="left"/>
    </w:pPr>
    <w:rPr>
      <w:rFonts w:ascii="宋体" w:hAnsi="宋体"/>
      <w:kern w:val="0"/>
      <w:sz w:val="30"/>
      <w:szCs w:val="30"/>
    </w:rPr>
  </w:style>
  <w:style w:type="character" w:customStyle="1" w:styleId="405">
    <w:name w:val="Char Char37"/>
    <w:qFormat/>
    <w:uiPriority w:val="0"/>
    <w:rPr>
      <w:rFonts w:eastAsia="宋体"/>
      <w:b/>
      <w:bCs/>
      <w:kern w:val="44"/>
      <w:sz w:val="44"/>
      <w:szCs w:val="44"/>
      <w:lang w:val="en-US" w:eastAsia="zh-CN" w:bidi="ar-SA"/>
    </w:rPr>
  </w:style>
  <w:style w:type="character" w:customStyle="1" w:styleId="406">
    <w:name w:val="Char Char36"/>
    <w:qFormat/>
    <w:uiPriority w:val="0"/>
    <w:rPr>
      <w:rFonts w:ascii="Arial" w:hAnsi="Arial" w:eastAsia="黑体"/>
      <w:b/>
      <w:bCs/>
      <w:sz w:val="32"/>
      <w:szCs w:val="32"/>
      <w:lang w:bidi="ar-SA"/>
    </w:rPr>
  </w:style>
  <w:style w:type="character" w:customStyle="1" w:styleId="407">
    <w:name w:val="无间隔 字符"/>
    <w:qFormat/>
    <w:uiPriority w:val="0"/>
    <w:rPr>
      <w:sz w:val="22"/>
      <w:szCs w:val="22"/>
      <w:lang w:val="en-US" w:eastAsia="zh-CN" w:bidi="ar-SA"/>
    </w:rPr>
  </w:style>
  <w:style w:type="character" w:customStyle="1" w:styleId="408">
    <w:name w:val="正文文本 2 字符"/>
    <w:qFormat/>
    <w:uiPriority w:val="0"/>
    <w:rPr>
      <w:rFonts w:eastAsia="宋体"/>
      <w:kern w:val="2"/>
      <w:sz w:val="21"/>
      <w:szCs w:val="24"/>
      <w:lang w:val="en-US" w:eastAsia="zh-CN" w:bidi="ar-SA"/>
    </w:rPr>
  </w:style>
  <w:style w:type="character" w:customStyle="1" w:styleId="409">
    <w:name w:val="HTML 地址 字符"/>
    <w:qFormat/>
    <w:locked/>
    <w:uiPriority w:val="0"/>
    <w:rPr>
      <w:rFonts w:ascii="宋体" w:eastAsia="宋体"/>
      <w:i/>
      <w:iCs/>
      <w:kern w:val="21"/>
      <w:sz w:val="21"/>
      <w:szCs w:val="21"/>
      <w:lang w:val="en-US" w:eastAsia="zh-CN" w:bidi="ar-SA"/>
    </w:rPr>
  </w:style>
  <w:style w:type="character" w:customStyle="1" w:styleId="410">
    <w:name w:val="标题 6 字符"/>
    <w:qFormat/>
    <w:uiPriority w:val="0"/>
    <w:rPr>
      <w:rFonts w:ascii="Arial" w:hAnsi="Arial" w:eastAsia="黑体"/>
      <w:b/>
      <w:kern w:val="2"/>
      <w:sz w:val="24"/>
      <w:szCs w:val="24"/>
      <w:lang w:val="en-US" w:eastAsia="zh-CN" w:bidi="ar-SA"/>
    </w:rPr>
  </w:style>
  <w:style w:type="character" w:customStyle="1" w:styleId="411">
    <w:name w:val="日期 字符"/>
    <w:qFormat/>
    <w:uiPriority w:val="0"/>
    <w:rPr>
      <w:rFonts w:ascii="宋体" w:hAnsi="Courier New" w:eastAsia="宋体" w:cs="Courier New"/>
      <w:kern w:val="2"/>
      <w:sz w:val="21"/>
      <w:szCs w:val="21"/>
      <w:lang w:val="en-US" w:eastAsia="zh-CN" w:bidi="ar-SA"/>
    </w:rPr>
  </w:style>
  <w:style w:type="character" w:customStyle="1" w:styleId="412">
    <w:name w:val="正文文本缩进 2 字符"/>
    <w:qFormat/>
    <w:uiPriority w:val="0"/>
    <w:rPr>
      <w:rFonts w:eastAsia="宋体"/>
      <w:kern w:val="2"/>
      <w:sz w:val="32"/>
      <w:lang w:val="en-US" w:eastAsia="zh-CN" w:bidi="ar-SA"/>
    </w:rPr>
  </w:style>
  <w:style w:type="character" w:customStyle="1" w:styleId="413">
    <w:name w:val="标题 1 字符"/>
    <w:qFormat/>
    <w:uiPriority w:val="0"/>
    <w:rPr>
      <w:rFonts w:eastAsia="宋体"/>
      <w:b/>
      <w:bCs/>
      <w:kern w:val="44"/>
      <w:sz w:val="44"/>
      <w:szCs w:val="44"/>
      <w:lang w:val="en-US" w:eastAsia="zh-CN" w:bidi="ar-SA"/>
    </w:rPr>
  </w:style>
  <w:style w:type="character" w:customStyle="1" w:styleId="414">
    <w:name w:val="正文文本缩进 3 字符"/>
    <w:qFormat/>
    <w:uiPriority w:val="0"/>
    <w:rPr>
      <w:rFonts w:eastAsia="宋体"/>
      <w:kern w:val="2"/>
      <w:sz w:val="16"/>
      <w:szCs w:val="16"/>
      <w:lang w:val="en-US" w:eastAsia="zh-CN" w:bidi="ar-SA"/>
    </w:rPr>
  </w:style>
  <w:style w:type="character" w:customStyle="1" w:styleId="415">
    <w:name w:val="标题 2 字符"/>
    <w:qFormat/>
    <w:uiPriority w:val="0"/>
    <w:rPr>
      <w:rFonts w:ascii="Arial" w:hAnsi="Arial" w:eastAsia="黑体"/>
      <w:b/>
      <w:bCs/>
      <w:sz w:val="32"/>
      <w:szCs w:val="32"/>
      <w:lang w:bidi="ar-SA"/>
    </w:rPr>
  </w:style>
  <w:style w:type="character" w:customStyle="1" w:styleId="416">
    <w:name w:val="标题 3 字符"/>
    <w:qFormat/>
    <w:uiPriority w:val="0"/>
    <w:rPr>
      <w:rFonts w:eastAsia="宋体"/>
      <w:b/>
      <w:bCs/>
      <w:sz w:val="32"/>
      <w:szCs w:val="32"/>
      <w:lang w:bidi="ar-SA"/>
    </w:rPr>
  </w:style>
  <w:style w:type="character" w:customStyle="1" w:styleId="417">
    <w:name w:val="标题 4 字符"/>
    <w:qFormat/>
    <w:uiPriority w:val="0"/>
    <w:rPr>
      <w:rFonts w:ascii="Arial" w:hAnsi="Arial" w:eastAsia="黑体"/>
      <w:sz w:val="28"/>
      <w:lang w:bidi="ar-SA"/>
    </w:rPr>
  </w:style>
  <w:style w:type="character" w:customStyle="1" w:styleId="418">
    <w:name w:val="标题 5 字符"/>
    <w:qFormat/>
    <w:uiPriority w:val="0"/>
    <w:rPr>
      <w:rFonts w:eastAsia="宋体"/>
      <w:b/>
      <w:kern w:val="2"/>
      <w:sz w:val="28"/>
      <w:szCs w:val="24"/>
      <w:lang w:val="en-US" w:eastAsia="zh-CN" w:bidi="ar-SA"/>
    </w:rPr>
  </w:style>
  <w:style w:type="character" w:customStyle="1" w:styleId="419">
    <w:name w:val="标题 7 字符"/>
    <w:qFormat/>
    <w:uiPriority w:val="0"/>
    <w:rPr>
      <w:rFonts w:eastAsia="宋体"/>
      <w:b/>
      <w:kern w:val="2"/>
      <w:sz w:val="24"/>
      <w:szCs w:val="24"/>
      <w:lang w:val="en-US" w:eastAsia="zh-CN" w:bidi="ar-SA"/>
    </w:rPr>
  </w:style>
  <w:style w:type="character" w:customStyle="1" w:styleId="420">
    <w:name w:val="标题 8 字符"/>
    <w:qFormat/>
    <w:uiPriority w:val="0"/>
    <w:rPr>
      <w:rFonts w:ascii="Arial" w:hAnsi="Arial" w:eastAsia="黑体"/>
      <w:kern w:val="2"/>
      <w:sz w:val="24"/>
      <w:szCs w:val="24"/>
      <w:lang w:val="en-US" w:eastAsia="zh-CN" w:bidi="ar-SA"/>
    </w:rPr>
  </w:style>
  <w:style w:type="character" w:customStyle="1" w:styleId="421">
    <w:name w:val="标题 9 字符"/>
    <w:qFormat/>
    <w:uiPriority w:val="0"/>
    <w:rPr>
      <w:rFonts w:ascii="Arial" w:hAnsi="Arial" w:eastAsia="黑体"/>
      <w:kern w:val="2"/>
      <w:sz w:val="21"/>
      <w:szCs w:val="24"/>
      <w:lang w:val="en-US" w:eastAsia="zh-CN" w:bidi="ar-SA"/>
    </w:rPr>
  </w:style>
  <w:style w:type="character" w:customStyle="1" w:styleId="422">
    <w:name w:val="正文文本 3 字符"/>
    <w:qFormat/>
    <w:uiPriority w:val="0"/>
    <w:rPr>
      <w:rFonts w:eastAsia="宋体"/>
      <w:b/>
      <w:bCs/>
      <w:kern w:val="2"/>
      <w:sz w:val="24"/>
      <w:szCs w:val="24"/>
      <w:lang w:val="en-US" w:eastAsia="zh-CN" w:bidi="ar-SA"/>
    </w:rPr>
  </w:style>
  <w:style w:type="character" w:customStyle="1" w:styleId="423">
    <w:name w:val="页眉 字符"/>
    <w:qFormat/>
    <w:uiPriority w:val="0"/>
    <w:rPr>
      <w:rFonts w:eastAsia="宋体"/>
      <w:kern w:val="2"/>
      <w:sz w:val="18"/>
      <w:szCs w:val="18"/>
      <w:lang w:val="en-US" w:eastAsia="zh-CN" w:bidi="ar-SA"/>
    </w:rPr>
  </w:style>
  <w:style w:type="character" w:customStyle="1" w:styleId="424">
    <w:name w:val="标题 字符"/>
    <w:qFormat/>
    <w:uiPriority w:val="0"/>
    <w:rPr>
      <w:rFonts w:ascii="Arial" w:hAnsi="Arial" w:eastAsia="宋体"/>
      <w:b/>
      <w:bCs/>
      <w:kern w:val="2"/>
      <w:sz w:val="32"/>
      <w:szCs w:val="32"/>
      <w:lang w:bidi="ar-SA"/>
    </w:rPr>
  </w:style>
  <w:style w:type="character" w:customStyle="1" w:styleId="425">
    <w:name w:val="称呼 字符"/>
    <w:qFormat/>
    <w:uiPriority w:val="0"/>
    <w:rPr>
      <w:kern w:val="2"/>
      <w:sz w:val="28"/>
      <w:szCs w:val="24"/>
    </w:rPr>
  </w:style>
  <w:style w:type="character" w:customStyle="1" w:styleId="426">
    <w:name w:val="尾注文本 字符"/>
    <w:qFormat/>
    <w:uiPriority w:val="0"/>
    <w:rPr>
      <w:rFonts w:ascii="Calibri" w:hAnsi="Calibri"/>
      <w:kern w:val="2"/>
      <w:sz w:val="21"/>
      <w:szCs w:val="22"/>
    </w:rPr>
  </w:style>
  <w:style w:type="character" w:customStyle="1" w:styleId="427">
    <w:name w:val="纯文本 字符1"/>
    <w:qFormat/>
    <w:uiPriority w:val="0"/>
    <w:rPr>
      <w:rFonts w:ascii="宋体" w:hAnsi="Courier New" w:eastAsia="宋体" w:cs="Courier New"/>
      <w:kern w:val="2"/>
      <w:sz w:val="21"/>
      <w:szCs w:val="21"/>
      <w:lang w:val="en-US" w:eastAsia="zh-CN" w:bidi="ar-SA"/>
    </w:rPr>
  </w:style>
  <w:style w:type="character" w:customStyle="1" w:styleId="428">
    <w:name w:val="页脚 字符"/>
    <w:qFormat/>
    <w:uiPriority w:val="0"/>
    <w:rPr>
      <w:rFonts w:eastAsia="宋体"/>
      <w:kern w:val="2"/>
      <w:sz w:val="18"/>
      <w:szCs w:val="18"/>
      <w:lang w:val="en-US" w:eastAsia="zh-CN" w:bidi="ar-SA"/>
    </w:rPr>
  </w:style>
  <w:style w:type="character" w:customStyle="1" w:styleId="429">
    <w:name w:val="正文文本 字符"/>
    <w:qFormat/>
    <w:uiPriority w:val="0"/>
    <w:rPr>
      <w:rFonts w:eastAsia="宋体"/>
      <w:kern w:val="2"/>
      <w:sz w:val="24"/>
      <w:szCs w:val="24"/>
      <w:lang w:val="en-US" w:eastAsia="zh-CN" w:bidi="ar-SA"/>
    </w:rPr>
  </w:style>
  <w:style w:type="character" w:customStyle="1" w:styleId="430">
    <w:name w:val="HTML 预设格式 字符"/>
    <w:qFormat/>
    <w:uiPriority w:val="0"/>
    <w:rPr>
      <w:rFonts w:ascii="黑体" w:hAnsi="Courier New" w:eastAsia="黑体" w:cs="Courier New"/>
      <w:lang w:val="en-US" w:eastAsia="zh-CN" w:bidi="ar-SA"/>
    </w:rPr>
  </w:style>
  <w:style w:type="character" w:customStyle="1" w:styleId="431">
    <w:name w:val="批注文字 字符"/>
    <w:qFormat/>
    <w:uiPriority w:val="0"/>
    <w:rPr>
      <w:rFonts w:eastAsia="宋体"/>
      <w:sz w:val="24"/>
      <w:lang w:bidi="ar-SA"/>
    </w:rPr>
  </w:style>
  <w:style w:type="character" w:customStyle="1" w:styleId="432">
    <w:name w:val="正文文本缩进 字符"/>
    <w:qFormat/>
    <w:uiPriority w:val="0"/>
    <w:rPr>
      <w:rFonts w:ascii="仿宋_GB2312" w:eastAsia="仿宋_GB2312"/>
      <w:kern w:val="2"/>
      <w:sz w:val="32"/>
      <w:lang w:val="en-US" w:eastAsia="zh-CN" w:bidi="ar-SA"/>
    </w:rPr>
  </w:style>
  <w:style w:type="character" w:customStyle="1" w:styleId="433">
    <w:name w:val="脚注文本 字符"/>
    <w:qFormat/>
    <w:locked/>
    <w:uiPriority w:val="0"/>
    <w:rPr>
      <w:rFonts w:ascii="宋体" w:eastAsia="宋体"/>
      <w:kern w:val="21"/>
      <w:sz w:val="18"/>
      <w:szCs w:val="18"/>
      <w:lang w:val="en-US" w:eastAsia="zh-CN" w:bidi="ar-SA"/>
    </w:rPr>
  </w:style>
  <w:style w:type="character" w:customStyle="1" w:styleId="434">
    <w:name w:val="文档结构图 字符"/>
    <w:qFormat/>
    <w:uiPriority w:val="0"/>
    <w:rPr>
      <w:rFonts w:eastAsia="宋体"/>
      <w:kern w:val="2"/>
      <w:sz w:val="21"/>
      <w:szCs w:val="24"/>
      <w:lang w:val="en-US" w:eastAsia="zh-CN" w:bidi="ar-SA"/>
    </w:rPr>
  </w:style>
  <w:style w:type="character" w:customStyle="1" w:styleId="435">
    <w:name w:val="标题 3 字符1"/>
    <w:qFormat/>
    <w:uiPriority w:val="0"/>
    <w:rPr>
      <w:rFonts w:eastAsia="宋体"/>
      <w:b/>
      <w:bCs/>
      <w:sz w:val="32"/>
      <w:szCs w:val="32"/>
      <w:lang w:bidi="ar-SA"/>
    </w:rPr>
  </w:style>
  <w:style w:type="character" w:customStyle="1" w:styleId="436">
    <w:name w:val="纯文本 字符2"/>
    <w:qFormat/>
    <w:uiPriority w:val="0"/>
    <w:rPr>
      <w:rFonts w:ascii="宋体" w:hAnsi="Courier New" w:eastAsia="宋体" w:cs="Courier New"/>
      <w:kern w:val="2"/>
      <w:sz w:val="21"/>
      <w:szCs w:val="21"/>
      <w:lang w:val="en-US" w:eastAsia="zh-CN" w:bidi="ar-SA"/>
    </w:rPr>
  </w:style>
  <w:style w:type="character" w:customStyle="1" w:styleId="437">
    <w:name w:val="标题 5 字符1"/>
    <w:qFormat/>
    <w:uiPriority w:val="0"/>
    <w:rPr>
      <w:rFonts w:eastAsia="宋体"/>
      <w:b/>
      <w:kern w:val="2"/>
      <w:sz w:val="28"/>
      <w:szCs w:val="24"/>
      <w:lang w:val="en-US" w:eastAsia="zh-CN" w:bidi="ar-SA"/>
    </w:rPr>
  </w:style>
  <w:style w:type="character" w:customStyle="1" w:styleId="438">
    <w:name w:val="标题 8 字符1"/>
    <w:qFormat/>
    <w:uiPriority w:val="0"/>
    <w:rPr>
      <w:rFonts w:ascii="Arial" w:hAnsi="Arial" w:eastAsia="黑体"/>
      <w:kern w:val="2"/>
      <w:sz w:val="24"/>
      <w:szCs w:val="24"/>
      <w:lang w:val="en-US" w:eastAsia="zh-CN" w:bidi="ar-SA"/>
    </w:rPr>
  </w:style>
  <w:style w:type="character" w:customStyle="1" w:styleId="439">
    <w:name w:val="文档结构图 字符1"/>
    <w:qFormat/>
    <w:uiPriority w:val="0"/>
    <w:rPr>
      <w:rFonts w:eastAsia="宋体"/>
      <w:kern w:val="2"/>
      <w:sz w:val="21"/>
      <w:szCs w:val="24"/>
      <w:lang w:val="en-US" w:eastAsia="zh-CN" w:bidi="ar-SA"/>
    </w:rPr>
  </w:style>
  <w:style w:type="character" w:customStyle="1" w:styleId="440">
    <w:name w:val="标题 1 字符1"/>
    <w:qFormat/>
    <w:uiPriority w:val="0"/>
    <w:rPr>
      <w:rFonts w:eastAsia="宋体"/>
      <w:b/>
      <w:bCs/>
      <w:kern w:val="44"/>
      <w:sz w:val="44"/>
      <w:szCs w:val="44"/>
      <w:lang w:val="en-US" w:eastAsia="zh-CN" w:bidi="ar-SA"/>
    </w:rPr>
  </w:style>
  <w:style w:type="character" w:customStyle="1" w:styleId="441">
    <w:name w:val="页眉 字符1"/>
    <w:qFormat/>
    <w:uiPriority w:val="0"/>
    <w:rPr>
      <w:rFonts w:eastAsia="宋体"/>
      <w:kern w:val="2"/>
      <w:sz w:val="18"/>
      <w:szCs w:val="18"/>
      <w:lang w:val="en-US" w:eastAsia="zh-CN" w:bidi="ar-SA"/>
    </w:rPr>
  </w:style>
  <w:style w:type="character" w:customStyle="1" w:styleId="442">
    <w:name w:val="正文文本缩进 3 字符1"/>
    <w:qFormat/>
    <w:uiPriority w:val="0"/>
    <w:rPr>
      <w:rFonts w:eastAsia="宋体"/>
      <w:kern w:val="2"/>
      <w:sz w:val="16"/>
      <w:szCs w:val="16"/>
      <w:lang w:val="en-US" w:eastAsia="zh-CN" w:bidi="ar-SA"/>
    </w:rPr>
  </w:style>
  <w:style w:type="character" w:customStyle="1" w:styleId="443">
    <w:name w:val="页脚 字符1"/>
    <w:qFormat/>
    <w:uiPriority w:val="0"/>
    <w:rPr>
      <w:rFonts w:eastAsia="宋体"/>
      <w:kern w:val="2"/>
      <w:sz w:val="18"/>
      <w:szCs w:val="18"/>
      <w:lang w:val="en-US" w:eastAsia="zh-CN" w:bidi="ar-SA"/>
    </w:rPr>
  </w:style>
  <w:style w:type="character" w:customStyle="1" w:styleId="444">
    <w:name w:val="正文文本缩进 字符1"/>
    <w:qFormat/>
    <w:uiPriority w:val="0"/>
    <w:rPr>
      <w:rFonts w:ascii="仿宋_GB2312" w:eastAsia="仿宋_GB2312"/>
      <w:kern w:val="2"/>
      <w:sz w:val="32"/>
      <w:lang w:val="en-US" w:eastAsia="zh-CN" w:bidi="ar-SA"/>
    </w:rPr>
  </w:style>
  <w:style w:type="character" w:customStyle="1" w:styleId="445">
    <w:name w:val="标题 9 字符1"/>
    <w:qFormat/>
    <w:uiPriority w:val="0"/>
    <w:rPr>
      <w:rFonts w:ascii="Arial" w:hAnsi="Arial" w:eastAsia="黑体"/>
      <w:kern w:val="2"/>
      <w:sz w:val="21"/>
      <w:szCs w:val="24"/>
      <w:lang w:val="en-US" w:eastAsia="zh-CN" w:bidi="ar-SA"/>
    </w:rPr>
  </w:style>
  <w:style w:type="character" w:customStyle="1" w:styleId="446">
    <w:name w:val="正文文本缩进 2 字符1"/>
    <w:qFormat/>
    <w:uiPriority w:val="0"/>
    <w:rPr>
      <w:rFonts w:eastAsia="宋体"/>
      <w:kern w:val="2"/>
      <w:sz w:val="32"/>
      <w:lang w:val="en-US" w:eastAsia="zh-CN" w:bidi="ar-SA"/>
    </w:rPr>
  </w:style>
  <w:style w:type="character" w:customStyle="1" w:styleId="447">
    <w:name w:val="HTML 预设格式 字符1"/>
    <w:qFormat/>
    <w:uiPriority w:val="0"/>
    <w:rPr>
      <w:rFonts w:ascii="黑体" w:hAnsi="Courier New" w:eastAsia="黑体" w:cs="Courier New"/>
      <w:lang w:val="en-US" w:eastAsia="zh-CN" w:bidi="ar-SA"/>
    </w:rPr>
  </w:style>
  <w:style w:type="character" w:customStyle="1" w:styleId="448">
    <w:name w:val="正文文本 2 字符1"/>
    <w:qFormat/>
    <w:uiPriority w:val="0"/>
    <w:rPr>
      <w:rFonts w:eastAsia="宋体"/>
      <w:kern w:val="2"/>
      <w:sz w:val="21"/>
      <w:szCs w:val="24"/>
      <w:lang w:val="en-US" w:eastAsia="zh-CN" w:bidi="ar-SA"/>
    </w:rPr>
  </w:style>
  <w:style w:type="character" w:customStyle="1" w:styleId="449">
    <w:name w:val="正文文本 字符1"/>
    <w:qFormat/>
    <w:uiPriority w:val="0"/>
    <w:rPr>
      <w:rFonts w:eastAsia="宋体"/>
      <w:kern w:val="2"/>
      <w:sz w:val="24"/>
      <w:szCs w:val="24"/>
      <w:lang w:val="en-US" w:eastAsia="zh-CN" w:bidi="ar-SA"/>
    </w:rPr>
  </w:style>
  <w:style w:type="character" w:customStyle="1" w:styleId="450">
    <w:name w:val="标题 6 字符1"/>
    <w:qFormat/>
    <w:uiPriority w:val="0"/>
    <w:rPr>
      <w:rFonts w:ascii="Arial" w:hAnsi="Arial" w:eastAsia="黑体"/>
      <w:b/>
      <w:kern w:val="2"/>
      <w:sz w:val="24"/>
      <w:szCs w:val="24"/>
      <w:lang w:val="en-US" w:eastAsia="zh-CN" w:bidi="ar-SA"/>
    </w:rPr>
  </w:style>
  <w:style w:type="character" w:customStyle="1" w:styleId="451">
    <w:name w:val="称呼 字符1"/>
    <w:qFormat/>
    <w:uiPriority w:val="0"/>
    <w:rPr>
      <w:kern w:val="2"/>
      <w:sz w:val="28"/>
      <w:szCs w:val="24"/>
    </w:rPr>
  </w:style>
  <w:style w:type="character" w:customStyle="1" w:styleId="452">
    <w:name w:val="标题 4 字符1"/>
    <w:qFormat/>
    <w:uiPriority w:val="0"/>
    <w:rPr>
      <w:rFonts w:ascii="Arial" w:hAnsi="Arial" w:eastAsia="黑体"/>
      <w:sz w:val="28"/>
      <w:lang w:bidi="ar-SA"/>
    </w:rPr>
  </w:style>
  <w:style w:type="character" w:customStyle="1" w:styleId="453">
    <w:name w:val="标题 2 字符1"/>
    <w:qFormat/>
    <w:uiPriority w:val="0"/>
    <w:rPr>
      <w:rFonts w:ascii="Arial" w:hAnsi="Arial" w:eastAsia="黑体"/>
      <w:b/>
      <w:bCs/>
      <w:sz w:val="32"/>
      <w:szCs w:val="32"/>
      <w:lang w:bidi="ar-SA"/>
    </w:rPr>
  </w:style>
  <w:style w:type="character" w:customStyle="1" w:styleId="454">
    <w:name w:val="尾注文本 字符1"/>
    <w:qFormat/>
    <w:uiPriority w:val="0"/>
    <w:rPr>
      <w:rFonts w:ascii="Calibri" w:hAnsi="Calibri"/>
      <w:kern w:val="2"/>
      <w:sz w:val="21"/>
      <w:szCs w:val="22"/>
    </w:rPr>
  </w:style>
  <w:style w:type="character" w:customStyle="1" w:styleId="455">
    <w:name w:val="正文文本 3 字符1"/>
    <w:qFormat/>
    <w:uiPriority w:val="0"/>
    <w:rPr>
      <w:rFonts w:eastAsia="宋体"/>
      <w:b/>
      <w:bCs/>
      <w:kern w:val="2"/>
      <w:sz w:val="24"/>
      <w:szCs w:val="24"/>
      <w:lang w:val="en-US" w:eastAsia="zh-CN" w:bidi="ar-SA"/>
    </w:rPr>
  </w:style>
  <w:style w:type="character" w:customStyle="1" w:styleId="456">
    <w:name w:val="日期 字符1"/>
    <w:qFormat/>
    <w:uiPriority w:val="0"/>
    <w:rPr>
      <w:rFonts w:ascii="宋体" w:hAnsi="Courier New" w:eastAsia="宋体" w:cs="Courier New"/>
      <w:kern w:val="2"/>
      <w:sz w:val="21"/>
      <w:szCs w:val="21"/>
      <w:lang w:val="en-US" w:eastAsia="zh-CN" w:bidi="ar-SA"/>
    </w:rPr>
  </w:style>
  <w:style w:type="character" w:customStyle="1" w:styleId="457">
    <w:name w:val="批注文字 字符1"/>
    <w:qFormat/>
    <w:uiPriority w:val="0"/>
    <w:rPr>
      <w:rFonts w:eastAsia="宋体"/>
      <w:sz w:val="24"/>
      <w:lang w:bidi="ar-SA"/>
    </w:rPr>
  </w:style>
  <w:style w:type="character" w:customStyle="1" w:styleId="458">
    <w:name w:val="标题 字符1"/>
    <w:qFormat/>
    <w:uiPriority w:val="0"/>
    <w:rPr>
      <w:rFonts w:ascii="Arial" w:hAnsi="Arial" w:eastAsia="宋体"/>
      <w:b/>
      <w:bCs/>
      <w:kern w:val="2"/>
      <w:sz w:val="32"/>
      <w:szCs w:val="32"/>
      <w:lang w:bidi="ar-SA"/>
    </w:rPr>
  </w:style>
  <w:style w:type="character" w:customStyle="1" w:styleId="459">
    <w:name w:val="标题 7 字符1"/>
    <w:qFormat/>
    <w:uiPriority w:val="0"/>
    <w:rPr>
      <w:rFonts w:eastAsia="宋体"/>
      <w:b/>
      <w:kern w:val="2"/>
      <w:sz w:val="24"/>
      <w:szCs w:val="24"/>
      <w:lang w:val="en-US" w:eastAsia="zh-CN" w:bidi="ar-SA"/>
    </w:rPr>
  </w:style>
  <w:style w:type="character" w:customStyle="1" w:styleId="460">
    <w:name w:val="HTML 地址 字符1"/>
    <w:qFormat/>
    <w:locked/>
    <w:uiPriority w:val="0"/>
    <w:rPr>
      <w:rFonts w:ascii="宋体" w:eastAsia="宋体"/>
      <w:i/>
      <w:iCs/>
      <w:kern w:val="21"/>
      <w:sz w:val="21"/>
      <w:szCs w:val="21"/>
      <w:lang w:val="en-US" w:eastAsia="zh-CN" w:bidi="ar-SA"/>
    </w:rPr>
  </w:style>
  <w:style w:type="character" w:customStyle="1" w:styleId="461">
    <w:name w:val="无间隔 字符1"/>
    <w:qFormat/>
    <w:uiPriority w:val="0"/>
    <w:rPr>
      <w:sz w:val="22"/>
      <w:szCs w:val="22"/>
      <w:lang w:val="en-US" w:eastAsia="zh-CN" w:bidi="ar-SA"/>
    </w:rPr>
  </w:style>
  <w:style w:type="character" w:customStyle="1" w:styleId="462">
    <w:name w:val="脚注文本 字符1"/>
    <w:qFormat/>
    <w:locked/>
    <w:uiPriority w:val="0"/>
    <w:rPr>
      <w:rFonts w:ascii="宋体" w:eastAsia="宋体"/>
      <w:kern w:val="21"/>
      <w:sz w:val="18"/>
      <w:szCs w:val="18"/>
      <w:lang w:val="en-US" w:eastAsia="zh-CN" w:bidi="ar-SA"/>
    </w:rPr>
  </w:style>
  <w:style w:type="character" w:customStyle="1" w:styleId="463">
    <w:name w:val="批注文字 字符2"/>
    <w:qFormat/>
    <w:uiPriority w:val="0"/>
    <w:rPr>
      <w:rFonts w:eastAsia="宋体"/>
      <w:sz w:val="24"/>
      <w:lang w:bidi="ar-SA"/>
    </w:rPr>
  </w:style>
  <w:style w:type="character" w:customStyle="1" w:styleId="464">
    <w:name w:val="HTML 预设格式 字符2"/>
    <w:qFormat/>
    <w:uiPriority w:val="0"/>
    <w:rPr>
      <w:rFonts w:ascii="黑体" w:hAnsi="Courier New" w:eastAsia="黑体" w:cs="Courier New"/>
      <w:lang w:val="en-US" w:eastAsia="zh-CN" w:bidi="ar-SA"/>
    </w:rPr>
  </w:style>
  <w:style w:type="character" w:customStyle="1" w:styleId="465">
    <w:name w:val="HTML 地址 字符2"/>
    <w:qFormat/>
    <w:locked/>
    <w:uiPriority w:val="0"/>
    <w:rPr>
      <w:rFonts w:ascii="宋体" w:eastAsia="宋体"/>
      <w:i/>
      <w:iCs/>
      <w:kern w:val="21"/>
      <w:sz w:val="21"/>
      <w:szCs w:val="21"/>
      <w:lang w:val="en-US" w:eastAsia="zh-CN" w:bidi="ar-SA"/>
    </w:rPr>
  </w:style>
  <w:style w:type="character" w:customStyle="1" w:styleId="466">
    <w:name w:val="页脚 字符2"/>
    <w:qFormat/>
    <w:uiPriority w:val="0"/>
    <w:rPr>
      <w:rFonts w:eastAsia="宋体"/>
      <w:kern w:val="2"/>
      <w:sz w:val="18"/>
      <w:szCs w:val="18"/>
      <w:lang w:val="en-US" w:eastAsia="zh-CN" w:bidi="ar-SA"/>
    </w:rPr>
  </w:style>
  <w:style w:type="character" w:customStyle="1" w:styleId="467">
    <w:name w:val="标题 5 字符2"/>
    <w:qFormat/>
    <w:uiPriority w:val="0"/>
    <w:rPr>
      <w:rFonts w:eastAsia="宋体"/>
      <w:b/>
      <w:kern w:val="2"/>
      <w:sz w:val="28"/>
      <w:szCs w:val="24"/>
      <w:lang w:val="en-US" w:eastAsia="zh-CN" w:bidi="ar-SA"/>
    </w:rPr>
  </w:style>
  <w:style w:type="character" w:customStyle="1" w:styleId="468">
    <w:name w:val="标题 8 字符2"/>
    <w:qFormat/>
    <w:uiPriority w:val="0"/>
    <w:rPr>
      <w:rFonts w:ascii="Arial" w:hAnsi="Arial" w:eastAsia="黑体"/>
      <w:kern w:val="2"/>
      <w:sz w:val="24"/>
      <w:szCs w:val="24"/>
      <w:lang w:val="en-US" w:eastAsia="zh-CN" w:bidi="ar-SA"/>
    </w:rPr>
  </w:style>
  <w:style w:type="character" w:customStyle="1" w:styleId="469">
    <w:name w:val="尾注文本 字符2"/>
    <w:qFormat/>
    <w:uiPriority w:val="0"/>
    <w:rPr>
      <w:rFonts w:ascii="Calibri" w:hAnsi="Calibri"/>
      <w:kern w:val="2"/>
      <w:sz w:val="21"/>
      <w:szCs w:val="22"/>
    </w:rPr>
  </w:style>
  <w:style w:type="character" w:customStyle="1" w:styleId="470">
    <w:name w:val="正文文本 2 字符2"/>
    <w:qFormat/>
    <w:uiPriority w:val="0"/>
    <w:rPr>
      <w:rFonts w:eastAsia="宋体"/>
      <w:kern w:val="2"/>
      <w:sz w:val="21"/>
      <w:szCs w:val="24"/>
      <w:lang w:val="en-US" w:eastAsia="zh-CN" w:bidi="ar-SA"/>
    </w:rPr>
  </w:style>
  <w:style w:type="character" w:customStyle="1" w:styleId="471">
    <w:name w:val="标题 1 字符2"/>
    <w:qFormat/>
    <w:uiPriority w:val="0"/>
    <w:rPr>
      <w:rFonts w:eastAsia="宋体"/>
      <w:b/>
      <w:bCs/>
      <w:kern w:val="44"/>
      <w:sz w:val="44"/>
      <w:szCs w:val="44"/>
      <w:lang w:val="en-US" w:eastAsia="zh-CN" w:bidi="ar-SA"/>
    </w:rPr>
  </w:style>
  <w:style w:type="character" w:customStyle="1" w:styleId="472">
    <w:name w:val="标题 9 字符2"/>
    <w:qFormat/>
    <w:uiPriority w:val="0"/>
    <w:rPr>
      <w:rFonts w:ascii="Arial" w:hAnsi="Arial" w:eastAsia="黑体"/>
      <w:kern w:val="2"/>
      <w:sz w:val="21"/>
      <w:szCs w:val="24"/>
      <w:lang w:val="en-US" w:eastAsia="zh-CN" w:bidi="ar-SA"/>
    </w:rPr>
  </w:style>
  <w:style w:type="character" w:customStyle="1" w:styleId="473">
    <w:name w:val="标题 6 字符2"/>
    <w:qFormat/>
    <w:uiPriority w:val="0"/>
    <w:rPr>
      <w:rFonts w:ascii="Arial" w:hAnsi="Arial" w:eastAsia="黑体"/>
      <w:b/>
      <w:kern w:val="2"/>
      <w:sz w:val="24"/>
      <w:szCs w:val="24"/>
      <w:lang w:val="en-US" w:eastAsia="zh-CN" w:bidi="ar-SA"/>
    </w:rPr>
  </w:style>
  <w:style w:type="character" w:customStyle="1" w:styleId="474">
    <w:name w:val="正文文本缩进 3 字符2"/>
    <w:qFormat/>
    <w:uiPriority w:val="0"/>
    <w:rPr>
      <w:rFonts w:eastAsia="宋体"/>
      <w:kern w:val="2"/>
      <w:sz w:val="16"/>
      <w:szCs w:val="16"/>
      <w:lang w:val="en-US" w:eastAsia="zh-CN" w:bidi="ar-SA"/>
    </w:rPr>
  </w:style>
  <w:style w:type="character" w:customStyle="1" w:styleId="475">
    <w:name w:val="标题 4 字符2"/>
    <w:qFormat/>
    <w:uiPriority w:val="0"/>
    <w:rPr>
      <w:rFonts w:ascii="Arial" w:hAnsi="Arial" w:eastAsia="黑体"/>
      <w:sz w:val="28"/>
      <w:lang w:bidi="ar-SA"/>
    </w:rPr>
  </w:style>
  <w:style w:type="character" w:customStyle="1" w:styleId="476">
    <w:name w:val="标题 字符2"/>
    <w:qFormat/>
    <w:uiPriority w:val="0"/>
    <w:rPr>
      <w:rFonts w:ascii="Arial" w:hAnsi="Arial" w:eastAsia="宋体"/>
      <w:b/>
      <w:bCs/>
      <w:kern w:val="2"/>
      <w:sz w:val="32"/>
      <w:szCs w:val="32"/>
      <w:lang w:bidi="ar-SA"/>
    </w:rPr>
  </w:style>
  <w:style w:type="character" w:customStyle="1" w:styleId="477">
    <w:name w:val="文档结构图 字符2"/>
    <w:qFormat/>
    <w:uiPriority w:val="0"/>
    <w:rPr>
      <w:rFonts w:eastAsia="宋体"/>
      <w:kern w:val="2"/>
      <w:sz w:val="21"/>
      <w:szCs w:val="24"/>
      <w:lang w:val="en-US" w:eastAsia="zh-CN" w:bidi="ar-SA"/>
    </w:rPr>
  </w:style>
  <w:style w:type="character" w:customStyle="1" w:styleId="478">
    <w:name w:val="正文文本 3 字符2"/>
    <w:qFormat/>
    <w:uiPriority w:val="0"/>
    <w:rPr>
      <w:rFonts w:eastAsia="宋体"/>
      <w:b/>
      <w:bCs/>
      <w:kern w:val="2"/>
      <w:sz w:val="24"/>
      <w:szCs w:val="24"/>
      <w:lang w:val="en-US" w:eastAsia="zh-CN" w:bidi="ar-SA"/>
    </w:rPr>
  </w:style>
  <w:style w:type="character" w:customStyle="1" w:styleId="479">
    <w:name w:val="正文文本 字符2"/>
    <w:qFormat/>
    <w:uiPriority w:val="0"/>
    <w:rPr>
      <w:rFonts w:eastAsia="宋体"/>
      <w:kern w:val="2"/>
      <w:sz w:val="24"/>
      <w:szCs w:val="24"/>
      <w:lang w:val="en-US" w:eastAsia="zh-CN" w:bidi="ar-SA"/>
    </w:rPr>
  </w:style>
  <w:style w:type="character" w:customStyle="1" w:styleId="480">
    <w:name w:val="无间隔 字符2"/>
    <w:qFormat/>
    <w:uiPriority w:val="0"/>
    <w:rPr>
      <w:sz w:val="22"/>
      <w:szCs w:val="22"/>
      <w:lang w:val="en-US" w:eastAsia="zh-CN" w:bidi="ar-SA"/>
    </w:rPr>
  </w:style>
  <w:style w:type="character" w:customStyle="1" w:styleId="481">
    <w:name w:val="正文文本缩进 字符2"/>
    <w:qFormat/>
    <w:uiPriority w:val="0"/>
    <w:rPr>
      <w:rFonts w:ascii="仿宋_GB2312" w:eastAsia="仿宋_GB2312"/>
      <w:kern w:val="2"/>
      <w:sz w:val="32"/>
      <w:lang w:val="en-US" w:eastAsia="zh-CN" w:bidi="ar-SA"/>
    </w:rPr>
  </w:style>
  <w:style w:type="character" w:customStyle="1" w:styleId="482">
    <w:name w:val="标题 2 字符2"/>
    <w:qFormat/>
    <w:uiPriority w:val="0"/>
    <w:rPr>
      <w:rFonts w:ascii="Arial" w:hAnsi="Arial" w:eastAsia="黑体"/>
      <w:b/>
      <w:bCs/>
      <w:sz w:val="32"/>
      <w:szCs w:val="32"/>
      <w:lang w:bidi="ar-SA"/>
    </w:rPr>
  </w:style>
  <w:style w:type="character" w:customStyle="1" w:styleId="483">
    <w:name w:val="标题 3 字符2"/>
    <w:qFormat/>
    <w:uiPriority w:val="0"/>
    <w:rPr>
      <w:rFonts w:eastAsia="宋体"/>
      <w:b/>
      <w:bCs/>
      <w:sz w:val="32"/>
      <w:szCs w:val="32"/>
      <w:lang w:bidi="ar-SA"/>
    </w:rPr>
  </w:style>
  <w:style w:type="character" w:customStyle="1" w:styleId="484">
    <w:name w:val="标题 7 字符2"/>
    <w:qFormat/>
    <w:uiPriority w:val="0"/>
    <w:rPr>
      <w:rFonts w:eastAsia="宋体"/>
      <w:b/>
      <w:kern w:val="2"/>
      <w:sz w:val="24"/>
      <w:szCs w:val="24"/>
      <w:lang w:val="en-US" w:eastAsia="zh-CN" w:bidi="ar-SA"/>
    </w:rPr>
  </w:style>
  <w:style w:type="character" w:customStyle="1" w:styleId="485">
    <w:name w:val="正文文本缩进 2 字符2"/>
    <w:qFormat/>
    <w:uiPriority w:val="0"/>
    <w:rPr>
      <w:rFonts w:eastAsia="宋体"/>
      <w:kern w:val="2"/>
      <w:sz w:val="32"/>
      <w:lang w:val="en-US" w:eastAsia="zh-CN" w:bidi="ar-SA"/>
    </w:rPr>
  </w:style>
  <w:style w:type="character" w:customStyle="1" w:styleId="486">
    <w:name w:val="称呼 字符2"/>
    <w:qFormat/>
    <w:uiPriority w:val="0"/>
    <w:rPr>
      <w:kern w:val="2"/>
      <w:sz w:val="28"/>
      <w:szCs w:val="24"/>
    </w:rPr>
  </w:style>
  <w:style w:type="character" w:customStyle="1" w:styleId="487">
    <w:name w:val="纯文本 字符3"/>
    <w:qFormat/>
    <w:uiPriority w:val="0"/>
    <w:rPr>
      <w:rFonts w:ascii="宋体" w:hAnsi="Courier New" w:eastAsia="宋体" w:cs="Courier New"/>
      <w:kern w:val="2"/>
      <w:sz w:val="21"/>
      <w:szCs w:val="21"/>
      <w:lang w:val="en-US" w:eastAsia="zh-CN" w:bidi="ar-SA"/>
    </w:rPr>
  </w:style>
  <w:style w:type="character" w:customStyle="1" w:styleId="488">
    <w:name w:val="日期 字符2"/>
    <w:qFormat/>
    <w:uiPriority w:val="0"/>
    <w:rPr>
      <w:rFonts w:ascii="宋体" w:hAnsi="Courier New" w:eastAsia="宋体" w:cs="Courier New"/>
      <w:kern w:val="2"/>
      <w:sz w:val="21"/>
      <w:szCs w:val="21"/>
      <w:lang w:val="en-US" w:eastAsia="zh-CN" w:bidi="ar-SA"/>
    </w:rPr>
  </w:style>
  <w:style w:type="character" w:customStyle="1" w:styleId="489">
    <w:name w:val="页眉 字符2"/>
    <w:qFormat/>
    <w:uiPriority w:val="0"/>
    <w:rPr>
      <w:rFonts w:eastAsia="宋体"/>
      <w:kern w:val="2"/>
      <w:sz w:val="18"/>
      <w:szCs w:val="18"/>
      <w:lang w:val="en-US" w:eastAsia="zh-CN" w:bidi="ar-SA"/>
    </w:rPr>
  </w:style>
  <w:style w:type="character" w:customStyle="1" w:styleId="490">
    <w:name w:val="脚注文本 字符2"/>
    <w:qFormat/>
    <w:locked/>
    <w:uiPriority w:val="0"/>
    <w:rPr>
      <w:rFonts w:ascii="宋体" w:eastAsia="宋体"/>
      <w:kern w:val="21"/>
      <w:sz w:val="18"/>
      <w:szCs w:val="18"/>
      <w:lang w:val="en-US" w:eastAsia="zh-CN" w:bidi="ar-SA"/>
    </w:rPr>
  </w:style>
  <w:style w:type="character" w:customStyle="1" w:styleId="491">
    <w:name w:val="Char Char39"/>
    <w:qFormat/>
    <w:uiPriority w:val="0"/>
    <w:rPr>
      <w:rFonts w:eastAsia="宋体"/>
      <w:b/>
      <w:bCs/>
      <w:kern w:val="44"/>
      <w:sz w:val="44"/>
      <w:szCs w:val="44"/>
      <w:lang w:val="en-US" w:eastAsia="zh-CN" w:bidi="ar-SA"/>
    </w:rPr>
  </w:style>
  <w:style w:type="character" w:customStyle="1" w:styleId="492">
    <w:name w:val="Char Char38"/>
    <w:qFormat/>
    <w:uiPriority w:val="0"/>
    <w:rPr>
      <w:rFonts w:ascii="Arial" w:hAnsi="Arial" w:eastAsia="黑体"/>
      <w:b/>
      <w:bCs/>
      <w:sz w:val="32"/>
      <w:szCs w:val="32"/>
      <w:lang w:bidi="ar-SA"/>
    </w:rPr>
  </w:style>
  <w:style w:type="character" w:customStyle="1" w:styleId="493">
    <w:name w:val="无间隔 字符3"/>
    <w:qFormat/>
    <w:uiPriority w:val="0"/>
    <w:rPr>
      <w:sz w:val="22"/>
      <w:szCs w:val="22"/>
      <w:lang w:val="en-US" w:eastAsia="zh-CN" w:bidi="ar-SA"/>
    </w:rPr>
  </w:style>
  <w:style w:type="character" w:customStyle="1" w:styleId="494">
    <w:name w:val="普通文字 Char Char6"/>
    <w:qFormat/>
    <w:uiPriority w:val="0"/>
    <w:rPr>
      <w:rFonts w:ascii="宋体" w:hAnsi="Courier New" w:eastAsia="宋体" w:cs="Courier New"/>
      <w:kern w:val="2"/>
      <w:sz w:val="21"/>
      <w:szCs w:val="21"/>
      <w:lang w:val="en-US" w:eastAsia="zh-CN" w:bidi="ar-SA"/>
    </w:rPr>
  </w:style>
  <w:style w:type="character" w:customStyle="1" w:styleId="495">
    <w:name w:val="页脚 Char2"/>
    <w:qFormat/>
    <w:locked/>
    <w:uiPriority w:val="0"/>
    <w:rPr>
      <w:rFonts w:hint="eastAsia" w:ascii="宋体" w:hAnsi="宋体" w:eastAsia="宋体"/>
      <w:kern w:val="2"/>
      <w:sz w:val="18"/>
      <w:szCs w:val="18"/>
    </w:rPr>
  </w:style>
  <w:style w:type="character" w:customStyle="1" w:styleId="496">
    <w:name w:val="font61"/>
    <w:basedOn w:val="55"/>
    <w:qFormat/>
    <w:uiPriority w:val="0"/>
    <w:rPr>
      <w:rFonts w:hint="eastAsia" w:ascii="宋体" w:hAnsi="宋体" w:eastAsia="宋体" w:cs="宋体"/>
      <w:color w:val="000000"/>
      <w:sz w:val="21"/>
      <w:szCs w:val="21"/>
      <w:u w:val="none"/>
    </w:rPr>
  </w:style>
  <w:style w:type="character" w:customStyle="1" w:styleId="497">
    <w:name w:val="font101"/>
    <w:basedOn w:val="55"/>
    <w:qFormat/>
    <w:uiPriority w:val="0"/>
    <w:rPr>
      <w:rFonts w:hint="eastAsia" w:ascii="宋体" w:hAnsi="宋体" w:eastAsia="宋体" w:cs="宋体"/>
      <w:color w:val="000000"/>
      <w:sz w:val="21"/>
      <w:szCs w:val="21"/>
      <w:u w:val="none"/>
    </w:rPr>
  </w:style>
  <w:style w:type="table" w:customStyle="1" w:styleId="498">
    <w:name w:val="彩色列表 - 着色 11"/>
    <w:qFormat/>
    <w:uiPriority w:val="0"/>
    <w:rPr>
      <w:rFonts w:ascii="Calibri" w:hAnsi="Calibri"/>
      <w:sz w:val="24"/>
      <w:szCs w:val="24"/>
      <w:lang w:eastAsia="en-US"/>
    </w:rPr>
    <w:tblPr>
      <w:tblCellMar>
        <w:top w:w="0" w:type="dxa"/>
        <w:left w:w="108" w:type="dxa"/>
        <w:bottom w:w="0" w:type="dxa"/>
        <w:right w:w="108" w:type="dxa"/>
      </w:tblCellMar>
    </w:tblPr>
    <w:tcPr>
      <w:shd w:val="clear" w:color="auto" w:fill="EDF2F8"/>
    </w:tcPr>
  </w:style>
  <w:style w:type="character" w:customStyle="1" w:styleId="499">
    <w:name w:val="Body Text Char1"/>
    <w:qFormat/>
    <w:locked/>
    <w:uiPriority w:val="0"/>
    <w:rPr>
      <w:rFonts w:eastAsia="宋体"/>
      <w:kern w:val="2"/>
      <w:sz w:val="24"/>
      <w:lang w:val="en-US" w:eastAsia="zh-CN"/>
    </w:rPr>
  </w:style>
  <w:style w:type="character" w:customStyle="1" w:styleId="500">
    <w:name w:val="Heading 1 Char1"/>
    <w:qFormat/>
    <w:locked/>
    <w:uiPriority w:val="0"/>
    <w:rPr>
      <w:rFonts w:eastAsia="宋体"/>
      <w:b/>
      <w:kern w:val="44"/>
      <w:sz w:val="44"/>
      <w:lang w:val="en-US" w:eastAsia="zh-CN"/>
    </w:rPr>
  </w:style>
  <w:style w:type="character" w:customStyle="1" w:styleId="501">
    <w:name w:val="Heading 2 Char1"/>
    <w:qFormat/>
    <w:locked/>
    <w:uiPriority w:val="0"/>
    <w:rPr>
      <w:rFonts w:ascii="Arial" w:hAnsi="Arial" w:eastAsia="黑体"/>
      <w:b/>
      <w:sz w:val="32"/>
    </w:rPr>
  </w:style>
  <w:style w:type="character" w:customStyle="1" w:styleId="502">
    <w:name w:val="Heading 3 Char1"/>
    <w:qFormat/>
    <w:locked/>
    <w:uiPriority w:val="0"/>
    <w:rPr>
      <w:rFonts w:eastAsia="宋体"/>
      <w:b/>
      <w:sz w:val="32"/>
    </w:rPr>
  </w:style>
  <w:style w:type="character" w:customStyle="1" w:styleId="503">
    <w:name w:val="Heading 4 Char1"/>
    <w:qFormat/>
    <w:locked/>
    <w:uiPriority w:val="0"/>
    <w:rPr>
      <w:rFonts w:ascii="Arial" w:hAnsi="Arial" w:eastAsia="黑体"/>
      <w:sz w:val="28"/>
    </w:rPr>
  </w:style>
  <w:style w:type="character" w:customStyle="1" w:styleId="504">
    <w:name w:val="Heading 5 Char1"/>
    <w:qFormat/>
    <w:locked/>
    <w:uiPriority w:val="0"/>
    <w:rPr>
      <w:rFonts w:eastAsia="宋体"/>
      <w:b/>
      <w:kern w:val="2"/>
      <w:sz w:val="24"/>
      <w:lang w:val="en-US" w:eastAsia="zh-CN"/>
    </w:rPr>
  </w:style>
  <w:style w:type="character" w:customStyle="1" w:styleId="505">
    <w:name w:val="Heading 6 Char1"/>
    <w:qFormat/>
    <w:locked/>
    <w:uiPriority w:val="0"/>
    <w:rPr>
      <w:rFonts w:ascii="Arial" w:hAnsi="Arial" w:eastAsia="黑体"/>
      <w:b/>
      <w:kern w:val="2"/>
      <w:sz w:val="24"/>
      <w:lang w:val="en-US" w:eastAsia="zh-CN"/>
    </w:rPr>
  </w:style>
  <w:style w:type="character" w:customStyle="1" w:styleId="506">
    <w:name w:val="Heading 7 Char1"/>
    <w:qFormat/>
    <w:locked/>
    <w:uiPriority w:val="0"/>
    <w:rPr>
      <w:rFonts w:eastAsia="宋体"/>
      <w:b/>
      <w:kern w:val="2"/>
      <w:sz w:val="24"/>
      <w:lang w:val="en-US" w:eastAsia="zh-CN"/>
    </w:rPr>
  </w:style>
  <w:style w:type="character" w:customStyle="1" w:styleId="507">
    <w:name w:val="Heading 8 Char1"/>
    <w:qFormat/>
    <w:locked/>
    <w:uiPriority w:val="0"/>
    <w:rPr>
      <w:rFonts w:ascii="Arial" w:hAnsi="Arial" w:eastAsia="黑体"/>
      <w:kern w:val="2"/>
      <w:sz w:val="24"/>
      <w:lang w:val="en-US" w:eastAsia="zh-CN"/>
    </w:rPr>
  </w:style>
  <w:style w:type="character" w:customStyle="1" w:styleId="508">
    <w:name w:val="Heading 9 Char1"/>
    <w:qFormat/>
    <w:locked/>
    <w:uiPriority w:val="0"/>
    <w:rPr>
      <w:rFonts w:ascii="Arial" w:hAnsi="Arial" w:eastAsia="黑体"/>
      <w:kern w:val="2"/>
      <w:sz w:val="24"/>
      <w:lang w:val="en-US" w:eastAsia="zh-CN"/>
    </w:rPr>
  </w:style>
  <w:style w:type="character" w:customStyle="1" w:styleId="509">
    <w:name w:val="Document Map Char1"/>
    <w:qFormat/>
    <w:locked/>
    <w:uiPriority w:val="0"/>
    <w:rPr>
      <w:rFonts w:eastAsia="宋体"/>
      <w:kern w:val="2"/>
      <w:sz w:val="24"/>
      <w:lang w:val="en-US" w:eastAsia="zh-CN"/>
    </w:rPr>
  </w:style>
  <w:style w:type="character" w:customStyle="1" w:styleId="510">
    <w:name w:val="Comment Text Char"/>
    <w:qFormat/>
    <w:locked/>
    <w:uiPriority w:val="0"/>
    <w:rPr>
      <w:rFonts w:eastAsia="宋体"/>
      <w:sz w:val="24"/>
    </w:rPr>
  </w:style>
  <w:style w:type="character" w:customStyle="1" w:styleId="511">
    <w:name w:val="Salutation Char"/>
    <w:qFormat/>
    <w:locked/>
    <w:uiPriority w:val="0"/>
    <w:rPr>
      <w:kern w:val="2"/>
      <w:sz w:val="24"/>
    </w:rPr>
  </w:style>
  <w:style w:type="character" w:customStyle="1" w:styleId="512">
    <w:name w:val="Body Text 3 Char"/>
    <w:qFormat/>
    <w:locked/>
    <w:uiPriority w:val="0"/>
    <w:rPr>
      <w:rFonts w:eastAsia="宋体"/>
      <w:b/>
      <w:kern w:val="2"/>
      <w:sz w:val="24"/>
      <w:lang w:val="en-US" w:eastAsia="zh-CN"/>
    </w:rPr>
  </w:style>
  <w:style w:type="character" w:customStyle="1" w:styleId="513">
    <w:name w:val="Body Text Indent Char"/>
    <w:qFormat/>
    <w:locked/>
    <w:uiPriority w:val="0"/>
    <w:rPr>
      <w:rFonts w:ascii="仿宋_GB2312" w:eastAsia="仿宋_GB2312"/>
      <w:kern w:val="2"/>
      <w:sz w:val="32"/>
      <w:lang w:val="en-US" w:eastAsia="zh-CN"/>
    </w:rPr>
  </w:style>
  <w:style w:type="character" w:customStyle="1" w:styleId="514">
    <w:name w:val="Plain Text Char1"/>
    <w:qFormat/>
    <w:locked/>
    <w:uiPriority w:val="0"/>
    <w:rPr>
      <w:rFonts w:ascii="宋体" w:hAnsi="Courier New" w:eastAsia="宋体"/>
      <w:kern w:val="2"/>
      <w:sz w:val="21"/>
      <w:lang w:val="en-US" w:eastAsia="zh-CN"/>
    </w:rPr>
  </w:style>
  <w:style w:type="character" w:customStyle="1" w:styleId="515">
    <w:name w:val="Date Char1"/>
    <w:qFormat/>
    <w:locked/>
    <w:uiPriority w:val="0"/>
    <w:rPr>
      <w:rFonts w:ascii="宋体" w:hAnsi="Courier New" w:eastAsia="宋体"/>
      <w:kern w:val="2"/>
      <w:sz w:val="21"/>
      <w:lang w:val="en-US" w:eastAsia="zh-CN"/>
    </w:rPr>
  </w:style>
  <w:style w:type="character" w:customStyle="1" w:styleId="516">
    <w:name w:val="Body Text Indent 2 Char"/>
    <w:qFormat/>
    <w:locked/>
    <w:uiPriority w:val="0"/>
    <w:rPr>
      <w:rFonts w:eastAsia="宋体"/>
      <w:kern w:val="2"/>
      <w:sz w:val="32"/>
      <w:lang w:val="en-US" w:eastAsia="zh-CN"/>
    </w:rPr>
  </w:style>
  <w:style w:type="character" w:customStyle="1" w:styleId="517">
    <w:name w:val="Endnote Text Char"/>
    <w:qFormat/>
    <w:locked/>
    <w:uiPriority w:val="0"/>
    <w:rPr>
      <w:rFonts w:ascii="Calibri" w:hAnsi="Calibri"/>
      <w:kern w:val="2"/>
      <w:sz w:val="22"/>
    </w:rPr>
  </w:style>
  <w:style w:type="character" w:customStyle="1" w:styleId="518">
    <w:name w:val="Balloon Text Char1"/>
    <w:semiHidden/>
    <w:qFormat/>
    <w:locked/>
    <w:uiPriority w:val="0"/>
    <w:rPr>
      <w:rFonts w:eastAsia="宋体"/>
      <w:kern w:val="2"/>
      <w:sz w:val="18"/>
      <w:lang w:val="en-US" w:eastAsia="zh-CN"/>
    </w:rPr>
  </w:style>
  <w:style w:type="character" w:customStyle="1" w:styleId="519">
    <w:name w:val="Footer Char1"/>
    <w:qFormat/>
    <w:locked/>
    <w:uiPriority w:val="0"/>
    <w:rPr>
      <w:rFonts w:eastAsia="宋体"/>
      <w:kern w:val="2"/>
      <w:sz w:val="18"/>
      <w:lang w:val="en-US" w:eastAsia="zh-CN"/>
    </w:rPr>
  </w:style>
  <w:style w:type="character" w:customStyle="1" w:styleId="520">
    <w:name w:val="Header Char1"/>
    <w:qFormat/>
    <w:locked/>
    <w:uiPriority w:val="0"/>
    <w:rPr>
      <w:rFonts w:eastAsia="宋体"/>
      <w:kern w:val="2"/>
      <w:sz w:val="18"/>
      <w:lang w:val="en-US" w:eastAsia="zh-CN"/>
    </w:rPr>
  </w:style>
  <w:style w:type="character" w:customStyle="1" w:styleId="521">
    <w:name w:val="Body Text Indent 3 Char"/>
    <w:qFormat/>
    <w:locked/>
    <w:uiPriority w:val="0"/>
    <w:rPr>
      <w:rFonts w:eastAsia="宋体"/>
      <w:kern w:val="2"/>
      <w:sz w:val="16"/>
      <w:lang w:val="en-US" w:eastAsia="zh-CN"/>
    </w:rPr>
  </w:style>
  <w:style w:type="character" w:customStyle="1" w:styleId="522">
    <w:name w:val="Body Text 2 Char"/>
    <w:qFormat/>
    <w:locked/>
    <w:uiPriority w:val="0"/>
    <w:rPr>
      <w:rFonts w:eastAsia="宋体"/>
      <w:kern w:val="2"/>
      <w:sz w:val="24"/>
      <w:lang w:val="en-US" w:eastAsia="zh-CN"/>
    </w:rPr>
  </w:style>
  <w:style w:type="character" w:customStyle="1" w:styleId="523">
    <w:name w:val="HTML Preformatted Char1"/>
    <w:qFormat/>
    <w:locked/>
    <w:uiPriority w:val="0"/>
    <w:rPr>
      <w:rFonts w:ascii="黑体" w:hAnsi="Courier New" w:eastAsia="黑体"/>
      <w:lang w:val="en-US" w:eastAsia="zh-CN"/>
    </w:rPr>
  </w:style>
  <w:style w:type="character" w:customStyle="1" w:styleId="524">
    <w:name w:val="Title Char1"/>
    <w:qFormat/>
    <w:locked/>
    <w:uiPriority w:val="0"/>
    <w:rPr>
      <w:rFonts w:ascii="Arial" w:hAnsi="Arial" w:eastAsia="宋体"/>
      <w:b/>
      <w:kern w:val="2"/>
      <w:sz w:val="32"/>
    </w:rPr>
  </w:style>
  <w:style w:type="character" w:customStyle="1" w:styleId="525">
    <w:name w:val="Comment Subject Char"/>
    <w:semiHidden/>
    <w:qFormat/>
    <w:locked/>
    <w:uiPriority w:val="0"/>
    <w:rPr>
      <w:b/>
      <w:kern w:val="2"/>
      <w:sz w:val="24"/>
    </w:rPr>
  </w:style>
  <w:style w:type="character" w:customStyle="1" w:styleId="526">
    <w:name w:val="Char Char101"/>
    <w:semiHidden/>
    <w:qFormat/>
    <w:uiPriority w:val="0"/>
    <w:rPr>
      <w:rFonts w:eastAsia="宋体"/>
      <w:kern w:val="2"/>
      <w:sz w:val="24"/>
      <w:lang w:val="en-US" w:eastAsia="zh-CN"/>
    </w:rPr>
  </w:style>
  <w:style w:type="character" w:customStyle="1" w:styleId="527">
    <w:name w:val="Char Char141"/>
    <w:qFormat/>
    <w:uiPriority w:val="0"/>
    <w:rPr>
      <w:sz w:val="18"/>
    </w:rPr>
  </w:style>
  <w:style w:type="character" w:customStyle="1" w:styleId="528">
    <w:name w:val="Char Char Char Char Char1"/>
    <w:qFormat/>
    <w:uiPriority w:val="0"/>
    <w:rPr>
      <w:rFonts w:eastAsia="宋体"/>
      <w:b/>
      <w:kern w:val="44"/>
      <w:sz w:val="44"/>
      <w:lang w:val="en-US" w:eastAsia="zh-CN"/>
    </w:rPr>
  </w:style>
  <w:style w:type="character" w:customStyle="1" w:styleId="529">
    <w:name w:val="Char Char231"/>
    <w:qFormat/>
    <w:uiPriority w:val="0"/>
    <w:rPr>
      <w:rFonts w:ascii="Times New Roman" w:hAnsi="Times New Roman" w:eastAsia="宋体"/>
      <w:b/>
      <w:kern w:val="44"/>
      <w:sz w:val="44"/>
    </w:rPr>
  </w:style>
  <w:style w:type="character" w:customStyle="1" w:styleId="530">
    <w:name w:val="Char Char151"/>
    <w:qFormat/>
    <w:uiPriority w:val="0"/>
    <w:rPr>
      <w:sz w:val="18"/>
    </w:rPr>
  </w:style>
  <w:style w:type="paragraph" w:customStyle="1" w:styleId="531">
    <w:name w:val="Char Char112"/>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532">
    <w:name w:val="纯文本11"/>
    <w:basedOn w:val="1"/>
    <w:qFormat/>
    <w:uiPriority w:val="0"/>
    <w:rPr>
      <w:rFonts w:ascii="宋体"/>
      <w:szCs w:val="21"/>
    </w:rPr>
  </w:style>
  <w:style w:type="paragraph" w:customStyle="1" w:styleId="53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4">
    <w:name w:val="修订1"/>
    <w:semiHidden/>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535">
    <w:name w:val="Char Char19 Char Char Char Char1"/>
    <w:basedOn w:val="17"/>
    <w:qFormat/>
    <w:uiPriority w:val="0"/>
    <w:pPr>
      <w:widowControl/>
      <w:ind w:firstLine="454"/>
      <w:jc w:val="left"/>
    </w:pPr>
  </w:style>
  <w:style w:type="paragraph" w:customStyle="1" w:styleId="536">
    <w:name w:val="No Spacing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537">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8">
    <w:name w:val="Char3"/>
    <w:basedOn w:val="17"/>
    <w:qFormat/>
    <w:uiPriority w:val="0"/>
    <w:pPr>
      <w:widowControl/>
      <w:ind w:firstLine="454"/>
      <w:jc w:val="left"/>
    </w:pPr>
    <w:rPr>
      <w:rFonts w:ascii="Tahoma" w:hAnsi="Tahoma" w:cs="宋体"/>
      <w:kern w:val="0"/>
      <w:sz w:val="24"/>
      <w:szCs w:val="20"/>
    </w:rPr>
  </w:style>
  <w:style w:type="paragraph" w:customStyle="1" w:styleId="539">
    <w:name w:val="Char Char1 Char Char Char Char2"/>
    <w:basedOn w:val="17"/>
    <w:qFormat/>
    <w:uiPriority w:val="0"/>
    <w:rPr>
      <w:rFonts w:ascii="Tahoma" w:hAnsi="Tahoma"/>
      <w:sz w:val="24"/>
    </w:rPr>
  </w:style>
  <w:style w:type="paragraph" w:customStyle="1" w:styleId="540">
    <w:name w:val="Char Char Char Char Char Char1 Char2"/>
    <w:basedOn w:val="1"/>
    <w:qFormat/>
    <w:uiPriority w:val="0"/>
    <w:pPr>
      <w:widowControl/>
      <w:spacing w:line="240" w:lineRule="exact"/>
      <w:jc w:val="left"/>
    </w:pPr>
    <w:rPr>
      <w:rFonts w:ascii="Verdana" w:hAnsi="Verdana" w:eastAsia="仿宋_GB2312"/>
      <w:kern w:val="0"/>
      <w:sz w:val="30"/>
      <w:szCs w:val="30"/>
      <w:lang w:eastAsia="en-US"/>
    </w:rPr>
  </w:style>
  <w:style w:type="paragraph" w:customStyle="1" w:styleId="541">
    <w:name w:val="Char22"/>
    <w:basedOn w:val="1"/>
    <w:qFormat/>
    <w:uiPriority w:val="0"/>
    <w:pPr>
      <w:widowControl/>
      <w:spacing w:line="240" w:lineRule="exact"/>
      <w:jc w:val="left"/>
    </w:pPr>
    <w:rPr>
      <w:rFonts w:ascii="Verdana" w:hAnsi="Verdana"/>
      <w:kern w:val="0"/>
      <w:szCs w:val="20"/>
      <w:lang w:eastAsia="en-US"/>
    </w:rPr>
  </w:style>
  <w:style w:type="paragraph" w:customStyle="1" w:styleId="542">
    <w:name w:val="Char Char Char2"/>
    <w:basedOn w:val="1"/>
    <w:qFormat/>
    <w:uiPriority w:val="0"/>
    <w:pPr>
      <w:widowControl/>
      <w:spacing w:line="240" w:lineRule="exact"/>
      <w:jc w:val="left"/>
    </w:pPr>
    <w:rPr>
      <w:rFonts w:ascii="Verdana" w:hAnsi="Verdana"/>
      <w:kern w:val="0"/>
      <w:sz w:val="20"/>
      <w:szCs w:val="20"/>
      <w:lang w:eastAsia="en-US"/>
    </w:rPr>
  </w:style>
  <w:style w:type="paragraph" w:customStyle="1" w:styleId="543">
    <w:name w:val="Char13"/>
    <w:basedOn w:val="1"/>
    <w:qFormat/>
    <w:uiPriority w:val="0"/>
    <w:rPr>
      <w:szCs w:val="21"/>
    </w:rPr>
  </w:style>
  <w:style w:type="paragraph" w:customStyle="1" w:styleId="544">
    <w:name w:val="列出段落4"/>
    <w:basedOn w:val="1"/>
    <w:qFormat/>
    <w:uiPriority w:val="0"/>
    <w:pPr>
      <w:ind w:firstLine="420" w:firstLineChars="200"/>
    </w:pPr>
    <w:rPr>
      <w:rFonts w:ascii="Calibri" w:hAnsi="Calibri"/>
      <w:szCs w:val="22"/>
    </w:rPr>
  </w:style>
  <w:style w:type="paragraph" w:customStyle="1" w:styleId="545">
    <w:name w:val="Char Char Char Char Char Char Char Char Char Char Char Char1"/>
    <w:basedOn w:val="1"/>
    <w:qFormat/>
    <w:uiPriority w:val="0"/>
    <w:pPr>
      <w:widowControl/>
      <w:spacing w:line="240" w:lineRule="exact"/>
      <w:jc w:val="left"/>
    </w:pPr>
    <w:rPr>
      <w:rFonts w:ascii="Verdana" w:hAnsi="Verdana"/>
      <w:kern w:val="0"/>
      <w:sz w:val="20"/>
      <w:szCs w:val="20"/>
      <w:lang w:eastAsia="en-US"/>
    </w:rPr>
  </w:style>
  <w:style w:type="paragraph" w:customStyle="1" w:styleId="546">
    <w:name w:val="Char Char9 Char Char Char Char2"/>
    <w:basedOn w:val="1"/>
    <w:qFormat/>
    <w:uiPriority w:val="0"/>
    <w:pPr>
      <w:widowControl/>
      <w:spacing w:line="240" w:lineRule="exact"/>
      <w:jc w:val="left"/>
    </w:pPr>
  </w:style>
  <w:style w:type="character" w:customStyle="1" w:styleId="547">
    <w:name w:val="Char Char331"/>
    <w:qFormat/>
    <w:uiPriority w:val="0"/>
    <w:rPr>
      <w:rFonts w:eastAsia="宋体"/>
      <w:b/>
      <w:kern w:val="44"/>
      <w:sz w:val="44"/>
      <w:lang w:val="en-US" w:eastAsia="zh-CN"/>
    </w:rPr>
  </w:style>
  <w:style w:type="character" w:customStyle="1" w:styleId="548">
    <w:name w:val="Char Char321"/>
    <w:qFormat/>
    <w:uiPriority w:val="0"/>
    <w:rPr>
      <w:rFonts w:ascii="Arial" w:hAnsi="Arial" w:eastAsia="黑体"/>
      <w:b/>
      <w:sz w:val="32"/>
    </w:rPr>
  </w:style>
  <w:style w:type="character" w:customStyle="1" w:styleId="549">
    <w:name w:val="Char Char351"/>
    <w:qFormat/>
    <w:uiPriority w:val="0"/>
    <w:rPr>
      <w:rFonts w:eastAsia="宋体"/>
      <w:b/>
      <w:kern w:val="44"/>
      <w:sz w:val="44"/>
      <w:lang w:val="en-US" w:eastAsia="zh-CN"/>
    </w:rPr>
  </w:style>
  <w:style w:type="character" w:customStyle="1" w:styleId="550">
    <w:name w:val="Char Char341"/>
    <w:qFormat/>
    <w:uiPriority w:val="0"/>
    <w:rPr>
      <w:rFonts w:ascii="Arial" w:hAnsi="Arial" w:eastAsia="黑体"/>
      <w:b/>
      <w:sz w:val="32"/>
    </w:rPr>
  </w:style>
  <w:style w:type="character" w:customStyle="1" w:styleId="551">
    <w:name w:val="Char Char371"/>
    <w:qFormat/>
    <w:uiPriority w:val="0"/>
    <w:rPr>
      <w:rFonts w:eastAsia="宋体"/>
      <w:b/>
      <w:kern w:val="44"/>
      <w:sz w:val="44"/>
      <w:lang w:val="en-US" w:eastAsia="zh-CN"/>
    </w:rPr>
  </w:style>
  <w:style w:type="character" w:customStyle="1" w:styleId="552">
    <w:name w:val="Char Char361"/>
    <w:qFormat/>
    <w:uiPriority w:val="0"/>
    <w:rPr>
      <w:rFonts w:ascii="Arial" w:hAnsi="Arial" w:eastAsia="黑体"/>
      <w:b/>
      <w:sz w:val="32"/>
    </w:rPr>
  </w:style>
  <w:style w:type="character" w:customStyle="1" w:styleId="553">
    <w:name w:val="Char Char391"/>
    <w:qFormat/>
    <w:uiPriority w:val="0"/>
    <w:rPr>
      <w:rFonts w:eastAsia="宋体"/>
      <w:b/>
      <w:kern w:val="44"/>
      <w:sz w:val="44"/>
      <w:lang w:val="en-US" w:eastAsia="zh-CN"/>
    </w:rPr>
  </w:style>
  <w:style w:type="character" w:customStyle="1" w:styleId="554">
    <w:name w:val="Char Char381"/>
    <w:qFormat/>
    <w:uiPriority w:val="0"/>
    <w:rPr>
      <w:rFonts w:ascii="Arial" w:hAnsi="Arial" w:eastAsia="黑体"/>
      <w:b/>
      <w:sz w:val="32"/>
    </w:rPr>
  </w:style>
  <w:style w:type="paragraph" w:customStyle="1" w:styleId="555">
    <w:name w:val="_Style 493"/>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556">
    <w:name w:val="Char Char42"/>
    <w:qFormat/>
    <w:uiPriority w:val="0"/>
    <w:rPr>
      <w:rFonts w:eastAsia="宋体"/>
      <w:b/>
      <w:bCs/>
      <w:kern w:val="44"/>
      <w:sz w:val="44"/>
      <w:szCs w:val="44"/>
      <w:lang w:val="en-US" w:eastAsia="zh-CN" w:bidi="ar-SA"/>
    </w:rPr>
  </w:style>
  <w:style w:type="character" w:customStyle="1" w:styleId="557">
    <w:name w:val="Char Char41"/>
    <w:qFormat/>
    <w:uiPriority w:val="0"/>
    <w:rPr>
      <w:rFonts w:ascii="Arial" w:hAnsi="Arial" w:eastAsia="黑体"/>
      <w:b/>
      <w:bCs/>
      <w:sz w:val="32"/>
      <w:szCs w:val="32"/>
      <w:lang w:bidi="ar-SA"/>
    </w:rPr>
  </w:style>
  <w:style w:type="character" w:customStyle="1" w:styleId="558">
    <w:name w:val="Char Char40"/>
    <w:qFormat/>
    <w:uiPriority w:val="0"/>
    <w:rPr>
      <w:rFonts w:eastAsia="宋体"/>
      <w:b/>
      <w:bCs/>
      <w:sz w:val="32"/>
      <w:szCs w:val="32"/>
      <w:lang w:bidi="ar-SA"/>
    </w:rPr>
  </w:style>
  <w:style w:type="character" w:customStyle="1" w:styleId="559">
    <w:name w:val="Char Char45"/>
    <w:qFormat/>
    <w:uiPriority w:val="0"/>
    <w:rPr>
      <w:rFonts w:eastAsia="宋体"/>
      <w:b/>
      <w:bCs/>
      <w:kern w:val="44"/>
      <w:sz w:val="44"/>
      <w:szCs w:val="44"/>
      <w:lang w:val="en-US" w:eastAsia="zh-CN" w:bidi="ar-SA"/>
    </w:rPr>
  </w:style>
  <w:style w:type="character" w:customStyle="1" w:styleId="560">
    <w:name w:val="Char Char44"/>
    <w:qFormat/>
    <w:uiPriority w:val="0"/>
    <w:rPr>
      <w:rFonts w:ascii="Arial" w:hAnsi="Arial" w:eastAsia="黑体"/>
      <w:b/>
      <w:bCs/>
      <w:sz w:val="32"/>
      <w:szCs w:val="32"/>
      <w:lang w:bidi="ar-SA"/>
    </w:rPr>
  </w:style>
  <w:style w:type="character" w:customStyle="1" w:styleId="561">
    <w:name w:val="Char Char43"/>
    <w:qFormat/>
    <w:uiPriority w:val="0"/>
    <w:rPr>
      <w:rFonts w:eastAsia="宋体"/>
      <w:b/>
      <w:bCs/>
      <w:sz w:val="32"/>
      <w:szCs w:val="32"/>
      <w:lang w:bidi="ar-SA"/>
    </w:rPr>
  </w:style>
  <w:style w:type="table" w:customStyle="1" w:styleId="562">
    <w:name w:val="彩色列表 - 强调文字颜色 111"/>
    <w:basedOn w:val="53"/>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3">
    <w:name w:val="Char Char48"/>
    <w:qFormat/>
    <w:uiPriority w:val="0"/>
    <w:rPr>
      <w:rFonts w:eastAsia="宋体"/>
      <w:b/>
      <w:bCs/>
      <w:kern w:val="44"/>
      <w:sz w:val="44"/>
      <w:szCs w:val="44"/>
      <w:lang w:val="en-US" w:eastAsia="zh-CN" w:bidi="ar-SA"/>
    </w:rPr>
  </w:style>
  <w:style w:type="character" w:customStyle="1" w:styleId="564">
    <w:name w:val="Char Char47"/>
    <w:qFormat/>
    <w:uiPriority w:val="0"/>
    <w:rPr>
      <w:rFonts w:ascii="Arial" w:hAnsi="Arial" w:eastAsia="黑体"/>
      <w:b/>
      <w:bCs/>
      <w:sz w:val="32"/>
      <w:szCs w:val="32"/>
      <w:lang w:bidi="ar-SA"/>
    </w:rPr>
  </w:style>
  <w:style w:type="character" w:customStyle="1" w:styleId="565">
    <w:name w:val="Char Char46"/>
    <w:qFormat/>
    <w:uiPriority w:val="0"/>
    <w:rPr>
      <w:rFonts w:eastAsia="宋体"/>
      <w:b/>
      <w:bCs/>
      <w:sz w:val="32"/>
      <w:szCs w:val="32"/>
      <w:lang w:bidi="ar-SA"/>
    </w:rPr>
  </w:style>
  <w:style w:type="character" w:customStyle="1" w:styleId="566">
    <w:name w:val="普通文字 Char Char3"/>
    <w:qFormat/>
    <w:uiPriority w:val="0"/>
    <w:rPr>
      <w:rFonts w:ascii="宋体" w:hAnsi="Courier New" w:eastAsia="宋体" w:cs="Courier New"/>
      <w:kern w:val="2"/>
      <w:sz w:val="21"/>
      <w:szCs w:val="21"/>
      <w:lang w:val="en-US" w:eastAsia="zh-CN" w:bidi="ar-SA"/>
    </w:rPr>
  </w:style>
  <w:style w:type="character" w:customStyle="1" w:styleId="567">
    <w:name w:val="普通文字 Char Char5"/>
    <w:qFormat/>
    <w:uiPriority w:val="0"/>
    <w:rPr>
      <w:rFonts w:ascii="宋体" w:hAnsi="Courier New" w:eastAsia="宋体" w:cs="Courier New"/>
      <w:kern w:val="2"/>
      <w:sz w:val="21"/>
      <w:szCs w:val="21"/>
      <w:lang w:val="en-US" w:eastAsia="zh-CN" w:bidi="ar-SA"/>
    </w:rPr>
  </w:style>
  <w:style w:type="paragraph" w:customStyle="1" w:styleId="568">
    <w:name w:val="首行缩进"/>
    <w:basedOn w:val="1"/>
    <w:qFormat/>
    <w:uiPriority w:val="0"/>
    <w:pPr>
      <w:ind w:firstLine="480" w:firstLineChars="200"/>
    </w:pPr>
    <w:rPr>
      <w:sz w:val="24"/>
    </w:rPr>
  </w:style>
  <w:style w:type="paragraph" w:customStyle="1" w:styleId="569">
    <w:name w:val="_Style 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570">
    <w:name w:val="称呼 字符3"/>
    <w:qFormat/>
    <w:uiPriority w:val="0"/>
    <w:rPr>
      <w:kern w:val="2"/>
      <w:sz w:val="28"/>
      <w:szCs w:val="24"/>
    </w:rPr>
  </w:style>
  <w:style w:type="character" w:customStyle="1" w:styleId="571">
    <w:name w:val="批注文字 字符3"/>
    <w:qFormat/>
    <w:uiPriority w:val="0"/>
    <w:rPr>
      <w:rFonts w:eastAsia="宋体"/>
      <w:sz w:val="24"/>
      <w:lang w:bidi="ar-SA"/>
    </w:rPr>
  </w:style>
  <w:style w:type="character" w:customStyle="1" w:styleId="572">
    <w:name w:val="正文文本缩进 2 字符3"/>
    <w:qFormat/>
    <w:uiPriority w:val="0"/>
    <w:rPr>
      <w:rFonts w:eastAsia="宋体"/>
      <w:kern w:val="2"/>
      <w:sz w:val="32"/>
      <w:lang w:val="en-US" w:eastAsia="zh-CN" w:bidi="ar-SA"/>
    </w:rPr>
  </w:style>
  <w:style w:type="character" w:customStyle="1" w:styleId="573">
    <w:name w:val="标题 5 字符3"/>
    <w:qFormat/>
    <w:uiPriority w:val="0"/>
    <w:rPr>
      <w:rFonts w:eastAsia="宋体"/>
      <w:b/>
      <w:kern w:val="2"/>
      <w:sz w:val="28"/>
      <w:szCs w:val="24"/>
      <w:lang w:val="en-US" w:eastAsia="zh-CN" w:bidi="ar-SA"/>
    </w:rPr>
  </w:style>
  <w:style w:type="character" w:customStyle="1" w:styleId="574">
    <w:name w:val="正文文本 3 字符3"/>
    <w:qFormat/>
    <w:uiPriority w:val="0"/>
    <w:rPr>
      <w:rFonts w:eastAsia="宋体"/>
      <w:b/>
      <w:bCs/>
      <w:kern w:val="2"/>
      <w:sz w:val="24"/>
      <w:szCs w:val="24"/>
      <w:lang w:val="en-US" w:eastAsia="zh-CN" w:bidi="ar-SA"/>
    </w:rPr>
  </w:style>
  <w:style w:type="character" w:customStyle="1" w:styleId="575">
    <w:name w:val="标题 8 字符3"/>
    <w:qFormat/>
    <w:uiPriority w:val="0"/>
    <w:rPr>
      <w:rFonts w:ascii="Arial" w:hAnsi="Arial" w:eastAsia="黑体"/>
      <w:kern w:val="2"/>
      <w:sz w:val="24"/>
      <w:szCs w:val="24"/>
      <w:lang w:val="en-US" w:eastAsia="zh-CN" w:bidi="ar-SA"/>
    </w:rPr>
  </w:style>
  <w:style w:type="character" w:customStyle="1" w:styleId="576">
    <w:name w:val="正文文本 字符3"/>
    <w:qFormat/>
    <w:uiPriority w:val="0"/>
    <w:rPr>
      <w:rFonts w:eastAsia="宋体"/>
      <w:kern w:val="2"/>
      <w:sz w:val="24"/>
      <w:szCs w:val="24"/>
      <w:lang w:val="en-US" w:eastAsia="zh-CN" w:bidi="ar-SA"/>
    </w:rPr>
  </w:style>
  <w:style w:type="character" w:customStyle="1" w:styleId="577">
    <w:name w:val="标题 1 字符3"/>
    <w:qFormat/>
    <w:uiPriority w:val="0"/>
    <w:rPr>
      <w:rFonts w:eastAsia="宋体"/>
      <w:b/>
      <w:bCs/>
      <w:kern w:val="44"/>
      <w:sz w:val="44"/>
      <w:szCs w:val="44"/>
      <w:lang w:val="en-US" w:eastAsia="zh-CN" w:bidi="ar-SA"/>
    </w:rPr>
  </w:style>
  <w:style w:type="character" w:customStyle="1" w:styleId="578">
    <w:name w:val="文档结构图 字符3"/>
    <w:qFormat/>
    <w:uiPriority w:val="0"/>
    <w:rPr>
      <w:rFonts w:eastAsia="宋体"/>
      <w:kern w:val="2"/>
      <w:sz w:val="21"/>
      <w:szCs w:val="24"/>
      <w:lang w:val="en-US" w:eastAsia="zh-CN" w:bidi="ar-SA"/>
    </w:rPr>
  </w:style>
  <w:style w:type="character" w:customStyle="1" w:styleId="579">
    <w:name w:val="标题 7 字符3"/>
    <w:qFormat/>
    <w:uiPriority w:val="0"/>
    <w:rPr>
      <w:rFonts w:eastAsia="宋体"/>
      <w:b/>
      <w:kern w:val="2"/>
      <w:sz w:val="24"/>
      <w:szCs w:val="24"/>
      <w:lang w:val="en-US" w:eastAsia="zh-CN" w:bidi="ar-SA"/>
    </w:rPr>
  </w:style>
  <w:style w:type="character" w:customStyle="1" w:styleId="580">
    <w:name w:val="标题 6 字符3"/>
    <w:qFormat/>
    <w:uiPriority w:val="0"/>
    <w:rPr>
      <w:rFonts w:ascii="Arial" w:hAnsi="Arial" w:eastAsia="黑体"/>
      <w:b/>
      <w:kern w:val="2"/>
      <w:sz w:val="24"/>
      <w:szCs w:val="24"/>
      <w:lang w:val="en-US" w:eastAsia="zh-CN" w:bidi="ar-SA"/>
    </w:rPr>
  </w:style>
  <w:style w:type="character" w:customStyle="1" w:styleId="581">
    <w:name w:val="标题 3 字符3"/>
    <w:qFormat/>
    <w:uiPriority w:val="0"/>
    <w:rPr>
      <w:rFonts w:eastAsia="宋体"/>
      <w:b/>
      <w:bCs/>
      <w:sz w:val="32"/>
      <w:szCs w:val="32"/>
      <w:lang w:bidi="ar-SA"/>
    </w:rPr>
  </w:style>
  <w:style w:type="character" w:customStyle="1" w:styleId="582">
    <w:name w:val="页脚 字符3"/>
    <w:qFormat/>
    <w:uiPriority w:val="0"/>
    <w:rPr>
      <w:rFonts w:eastAsia="宋体"/>
      <w:kern w:val="2"/>
      <w:sz w:val="18"/>
      <w:szCs w:val="18"/>
      <w:lang w:val="en-US" w:eastAsia="zh-CN" w:bidi="ar-SA"/>
    </w:rPr>
  </w:style>
  <w:style w:type="character" w:customStyle="1" w:styleId="583">
    <w:name w:val="尾注文本 字符3"/>
    <w:qFormat/>
    <w:uiPriority w:val="0"/>
    <w:rPr>
      <w:rFonts w:ascii="Calibri" w:hAnsi="Calibri"/>
      <w:kern w:val="2"/>
      <w:sz w:val="21"/>
      <w:szCs w:val="22"/>
    </w:rPr>
  </w:style>
  <w:style w:type="character" w:customStyle="1" w:styleId="584">
    <w:name w:val="日期 字符3"/>
    <w:qFormat/>
    <w:uiPriority w:val="0"/>
    <w:rPr>
      <w:rFonts w:ascii="宋体" w:hAnsi="Courier New" w:eastAsia="宋体" w:cs="Courier New"/>
      <w:kern w:val="2"/>
      <w:sz w:val="21"/>
      <w:szCs w:val="21"/>
      <w:lang w:val="en-US" w:eastAsia="zh-CN" w:bidi="ar-SA"/>
    </w:rPr>
  </w:style>
  <w:style w:type="character" w:customStyle="1" w:styleId="585">
    <w:name w:val="正文文本缩进 字符3"/>
    <w:qFormat/>
    <w:uiPriority w:val="0"/>
    <w:rPr>
      <w:rFonts w:ascii="仿宋_GB2312" w:eastAsia="仿宋_GB2312"/>
      <w:kern w:val="2"/>
      <w:sz w:val="32"/>
      <w:lang w:val="en-US" w:eastAsia="zh-CN" w:bidi="ar-SA"/>
    </w:rPr>
  </w:style>
  <w:style w:type="character" w:customStyle="1" w:styleId="586">
    <w:name w:val="标题 9 字符3"/>
    <w:qFormat/>
    <w:uiPriority w:val="0"/>
    <w:rPr>
      <w:rFonts w:ascii="Arial" w:hAnsi="Arial" w:eastAsia="黑体"/>
      <w:kern w:val="2"/>
      <w:sz w:val="21"/>
      <w:szCs w:val="24"/>
      <w:lang w:val="en-US" w:eastAsia="zh-CN" w:bidi="ar-SA"/>
    </w:rPr>
  </w:style>
  <w:style w:type="character" w:customStyle="1" w:styleId="587">
    <w:name w:val="正文文本缩进 3 字符3"/>
    <w:qFormat/>
    <w:uiPriority w:val="0"/>
    <w:rPr>
      <w:rFonts w:eastAsia="宋体"/>
      <w:kern w:val="2"/>
      <w:sz w:val="16"/>
      <w:szCs w:val="16"/>
      <w:lang w:val="en-US" w:eastAsia="zh-CN" w:bidi="ar-SA"/>
    </w:rPr>
  </w:style>
  <w:style w:type="character" w:customStyle="1" w:styleId="588">
    <w:name w:val="脚注文本 字符3"/>
    <w:qFormat/>
    <w:locked/>
    <w:uiPriority w:val="0"/>
    <w:rPr>
      <w:rFonts w:ascii="宋体" w:eastAsia="宋体"/>
      <w:kern w:val="21"/>
      <w:sz w:val="18"/>
      <w:szCs w:val="18"/>
      <w:lang w:val="en-US" w:eastAsia="zh-CN" w:bidi="ar-SA"/>
    </w:rPr>
  </w:style>
  <w:style w:type="character" w:customStyle="1" w:styleId="589">
    <w:name w:val="纯文本 字符4"/>
    <w:qFormat/>
    <w:uiPriority w:val="0"/>
    <w:rPr>
      <w:rFonts w:ascii="宋体" w:hAnsi="Courier New" w:eastAsia="宋体" w:cs="Courier New"/>
      <w:kern w:val="2"/>
      <w:sz w:val="21"/>
      <w:szCs w:val="21"/>
      <w:lang w:val="en-US" w:eastAsia="zh-CN" w:bidi="ar-SA"/>
    </w:rPr>
  </w:style>
  <w:style w:type="character" w:customStyle="1" w:styleId="590">
    <w:name w:val="HTML 预设格式 字符3"/>
    <w:qFormat/>
    <w:uiPriority w:val="0"/>
    <w:rPr>
      <w:rFonts w:ascii="黑体" w:hAnsi="Courier New" w:eastAsia="黑体" w:cs="Courier New"/>
      <w:lang w:val="en-US" w:eastAsia="zh-CN" w:bidi="ar-SA"/>
    </w:rPr>
  </w:style>
  <w:style w:type="character" w:customStyle="1" w:styleId="591">
    <w:name w:val="标题 2 字符3"/>
    <w:qFormat/>
    <w:uiPriority w:val="0"/>
    <w:rPr>
      <w:rFonts w:ascii="Arial" w:hAnsi="Arial" w:eastAsia="黑体"/>
      <w:b/>
      <w:bCs/>
      <w:sz w:val="32"/>
      <w:szCs w:val="32"/>
      <w:lang w:bidi="ar-SA"/>
    </w:rPr>
  </w:style>
  <w:style w:type="character" w:customStyle="1" w:styleId="592">
    <w:name w:val="HTML 地址 字符3"/>
    <w:qFormat/>
    <w:locked/>
    <w:uiPriority w:val="0"/>
    <w:rPr>
      <w:rFonts w:ascii="宋体" w:eastAsia="宋体"/>
      <w:i/>
      <w:iCs/>
      <w:kern w:val="21"/>
      <w:sz w:val="21"/>
      <w:szCs w:val="21"/>
      <w:lang w:val="en-US" w:eastAsia="zh-CN" w:bidi="ar-SA"/>
    </w:rPr>
  </w:style>
  <w:style w:type="character" w:customStyle="1" w:styleId="593">
    <w:name w:val="页眉 字符3"/>
    <w:qFormat/>
    <w:uiPriority w:val="0"/>
    <w:rPr>
      <w:rFonts w:eastAsia="宋体"/>
      <w:kern w:val="2"/>
      <w:sz w:val="18"/>
      <w:szCs w:val="18"/>
      <w:lang w:val="en-US" w:eastAsia="zh-CN" w:bidi="ar-SA"/>
    </w:rPr>
  </w:style>
  <w:style w:type="character" w:customStyle="1" w:styleId="594">
    <w:name w:val="无间隔 字符4"/>
    <w:qFormat/>
    <w:uiPriority w:val="0"/>
    <w:rPr>
      <w:sz w:val="22"/>
      <w:szCs w:val="22"/>
      <w:lang w:val="en-US" w:eastAsia="zh-CN" w:bidi="ar-SA"/>
    </w:rPr>
  </w:style>
  <w:style w:type="character" w:customStyle="1" w:styleId="595">
    <w:name w:val="正文文本 2 字符3"/>
    <w:qFormat/>
    <w:uiPriority w:val="0"/>
    <w:rPr>
      <w:rFonts w:eastAsia="宋体"/>
      <w:kern w:val="2"/>
      <w:sz w:val="21"/>
      <w:szCs w:val="24"/>
      <w:lang w:val="en-US" w:eastAsia="zh-CN" w:bidi="ar-SA"/>
    </w:rPr>
  </w:style>
  <w:style w:type="character" w:customStyle="1" w:styleId="596">
    <w:name w:val="标题 字符3"/>
    <w:qFormat/>
    <w:uiPriority w:val="0"/>
    <w:rPr>
      <w:rFonts w:ascii="Arial" w:hAnsi="Arial" w:eastAsia="宋体"/>
      <w:b/>
      <w:bCs/>
      <w:kern w:val="2"/>
      <w:sz w:val="32"/>
      <w:szCs w:val="32"/>
      <w:lang w:bidi="ar-SA"/>
    </w:rPr>
  </w:style>
  <w:style w:type="character" w:customStyle="1" w:styleId="597">
    <w:name w:val="标题 4 字符3"/>
    <w:qFormat/>
    <w:uiPriority w:val="0"/>
    <w:rPr>
      <w:rFonts w:ascii="Arial" w:hAnsi="Arial" w:eastAsia="黑体"/>
      <w:sz w:val="28"/>
      <w:lang w:bidi="ar-SA"/>
    </w:rPr>
  </w:style>
  <w:style w:type="character" w:customStyle="1" w:styleId="598">
    <w:name w:val="Char Char50"/>
    <w:qFormat/>
    <w:uiPriority w:val="0"/>
    <w:rPr>
      <w:rFonts w:eastAsia="宋体"/>
      <w:b/>
      <w:bCs/>
      <w:kern w:val="44"/>
      <w:sz w:val="44"/>
      <w:szCs w:val="44"/>
      <w:lang w:val="en-US" w:eastAsia="zh-CN" w:bidi="ar-SA"/>
    </w:rPr>
  </w:style>
  <w:style w:type="character" w:customStyle="1" w:styleId="599">
    <w:name w:val="Char Char49"/>
    <w:qFormat/>
    <w:uiPriority w:val="0"/>
    <w:rPr>
      <w:rFonts w:ascii="Arial" w:hAnsi="Arial" w:eastAsia="黑体"/>
      <w:b/>
      <w:bCs/>
      <w:sz w:val="32"/>
      <w:szCs w:val="32"/>
      <w:lang w:bidi="ar-SA"/>
    </w:rPr>
  </w:style>
  <w:style w:type="character" w:customStyle="1" w:styleId="600">
    <w:name w:val="普通文字 Char Char7"/>
    <w:qFormat/>
    <w:uiPriority w:val="0"/>
    <w:rPr>
      <w:rFonts w:ascii="宋体" w:hAnsi="Courier New" w:eastAsia="宋体" w:cs="Courier New"/>
      <w:kern w:val="2"/>
      <w:sz w:val="21"/>
      <w:szCs w:val="21"/>
      <w:lang w:val="en-US" w:eastAsia="zh-CN" w:bidi="ar-SA"/>
    </w:rPr>
  </w:style>
  <w:style w:type="paragraph" w:customStyle="1" w:styleId="601">
    <w:name w:val="Char Char Char3"/>
    <w:basedOn w:val="1"/>
    <w:qFormat/>
    <w:uiPriority w:val="0"/>
    <w:pPr>
      <w:widowControl/>
      <w:spacing w:line="240" w:lineRule="exact"/>
      <w:jc w:val="left"/>
    </w:pPr>
    <w:rPr>
      <w:rFonts w:ascii="Verdana" w:hAnsi="Verdana"/>
      <w:kern w:val="0"/>
      <w:sz w:val="20"/>
      <w:szCs w:val="20"/>
      <w:lang w:eastAsia="en-US"/>
    </w:rPr>
  </w:style>
  <w:style w:type="character" w:customStyle="1" w:styleId="602">
    <w:name w:val="普通文字 Char Char2 Char"/>
    <w:qFormat/>
    <w:locked/>
    <w:uiPriority w:val="0"/>
    <w:rPr>
      <w:rFonts w:ascii="宋体" w:hAnsi="Courier New" w:eastAsia="宋体"/>
      <w:kern w:val="2"/>
      <w:sz w:val="21"/>
      <w:lang w:val="en-US" w:eastAsia="zh-CN" w:bidi="ar-SA"/>
    </w:rPr>
  </w:style>
  <w:style w:type="character" w:customStyle="1" w:styleId="603">
    <w:name w:val="标题 1 字符4"/>
    <w:qFormat/>
    <w:uiPriority w:val="0"/>
    <w:rPr>
      <w:rFonts w:eastAsia="宋体"/>
      <w:b/>
      <w:bCs/>
      <w:kern w:val="44"/>
      <w:sz w:val="44"/>
      <w:szCs w:val="44"/>
      <w:lang w:val="en-US" w:eastAsia="zh-CN" w:bidi="ar-SA"/>
    </w:rPr>
  </w:style>
  <w:style w:type="character" w:customStyle="1" w:styleId="604">
    <w:name w:val="标题 2 字符4"/>
    <w:qFormat/>
    <w:uiPriority w:val="0"/>
    <w:rPr>
      <w:rFonts w:ascii="Arial" w:hAnsi="Arial" w:eastAsia="黑体"/>
      <w:b/>
      <w:bCs/>
      <w:sz w:val="32"/>
      <w:szCs w:val="32"/>
      <w:lang w:bidi="ar-SA"/>
    </w:rPr>
  </w:style>
  <w:style w:type="character" w:customStyle="1" w:styleId="605">
    <w:name w:val="标题 3 字符4"/>
    <w:qFormat/>
    <w:uiPriority w:val="0"/>
    <w:rPr>
      <w:rFonts w:eastAsia="宋体"/>
      <w:b/>
      <w:bCs/>
      <w:sz w:val="32"/>
      <w:szCs w:val="32"/>
      <w:lang w:bidi="ar-SA"/>
    </w:rPr>
  </w:style>
  <w:style w:type="character" w:customStyle="1" w:styleId="606">
    <w:name w:val="标题 4 字符4"/>
    <w:qFormat/>
    <w:uiPriority w:val="0"/>
    <w:rPr>
      <w:rFonts w:ascii="Arial" w:hAnsi="Arial" w:eastAsia="黑体"/>
      <w:sz w:val="28"/>
      <w:lang w:bidi="ar-SA"/>
    </w:rPr>
  </w:style>
  <w:style w:type="character" w:customStyle="1" w:styleId="607">
    <w:name w:val="标题 5 字符4"/>
    <w:qFormat/>
    <w:uiPriority w:val="0"/>
    <w:rPr>
      <w:rFonts w:eastAsia="宋体"/>
      <w:b/>
      <w:kern w:val="2"/>
      <w:sz w:val="28"/>
      <w:szCs w:val="24"/>
      <w:lang w:val="en-US" w:eastAsia="zh-CN" w:bidi="ar-SA"/>
    </w:rPr>
  </w:style>
  <w:style w:type="character" w:customStyle="1" w:styleId="608">
    <w:name w:val="标题 6 字符4"/>
    <w:qFormat/>
    <w:uiPriority w:val="0"/>
    <w:rPr>
      <w:rFonts w:ascii="Arial" w:hAnsi="Arial" w:eastAsia="黑体"/>
      <w:b/>
      <w:kern w:val="2"/>
      <w:sz w:val="24"/>
      <w:szCs w:val="24"/>
      <w:lang w:val="en-US" w:eastAsia="zh-CN" w:bidi="ar-SA"/>
    </w:rPr>
  </w:style>
  <w:style w:type="character" w:customStyle="1" w:styleId="609">
    <w:name w:val="标题 7 字符4"/>
    <w:qFormat/>
    <w:uiPriority w:val="0"/>
    <w:rPr>
      <w:rFonts w:eastAsia="宋体"/>
      <w:b/>
      <w:kern w:val="2"/>
      <w:sz w:val="24"/>
      <w:szCs w:val="24"/>
      <w:lang w:val="en-US" w:eastAsia="zh-CN" w:bidi="ar-SA"/>
    </w:rPr>
  </w:style>
  <w:style w:type="character" w:customStyle="1" w:styleId="610">
    <w:name w:val="标题 8 字符4"/>
    <w:qFormat/>
    <w:uiPriority w:val="0"/>
    <w:rPr>
      <w:rFonts w:ascii="Arial" w:hAnsi="Arial" w:eastAsia="黑体"/>
      <w:kern w:val="2"/>
      <w:sz w:val="24"/>
      <w:szCs w:val="24"/>
      <w:lang w:val="en-US" w:eastAsia="zh-CN" w:bidi="ar-SA"/>
    </w:rPr>
  </w:style>
  <w:style w:type="character" w:customStyle="1" w:styleId="611">
    <w:name w:val="标题 9 字符4"/>
    <w:qFormat/>
    <w:uiPriority w:val="0"/>
    <w:rPr>
      <w:rFonts w:ascii="Arial" w:hAnsi="Arial" w:eastAsia="黑体"/>
      <w:kern w:val="2"/>
      <w:sz w:val="21"/>
      <w:szCs w:val="24"/>
      <w:lang w:val="en-US" w:eastAsia="zh-CN" w:bidi="ar-SA"/>
    </w:rPr>
  </w:style>
  <w:style w:type="character" w:customStyle="1" w:styleId="612">
    <w:name w:val="文档结构图 字符4"/>
    <w:qFormat/>
    <w:uiPriority w:val="0"/>
    <w:rPr>
      <w:rFonts w:eastAsia="宋体"/>
      <w:kern w:val="2"/>
      <w:sz w:val="21"/>
      <w:szCs w:val="24"/>
      <w:lang w:val="en-US" w:eastAsia="zh-CN" w:bidi="ar-SA"/>
    </w:rPr>
  </w:style>
  <w:style w:type="character" w:customStyle="1" w:styleId="613">
    <w:name w:val="批注文字 字符4"/>
    <w:qFormat/>
    <w:uiPriority w:val="0"/>
    <w:rPr>
      <w:rFonts w:eastAsia="宋体"/>
      <w:sz w:val="24"/>
      <w:lang w:bidi="ar-SA"/>
    </w:rPr>
  </w:style>
  <w:style w:type="character" w:customStyle="1" w:styleId="614">
    <w:name w:val="称呼 字符4"/>
    <w:qFormat/>
    <w:uiPriority w:val="0"/>
    <w:rPr>
      <w:kern w:val="2"/>
      <w:sz w:val="28"/>
      <w:szCs w:val="24"/>
    </w:rPr>
  </w:style>
  <w:style w:type="character" w:customStyle="1" w:styleId="615">
    <w:name w:val="正文文本 3 字符4"/>
    <w:qFormat/>
    <w:uiPriority w:val="0"/>
    <w:rPr>
      <w:rFonts w:eastAsia="宋体"/>
      <w:b/>
      <w:bCs/>
      <w:kern w:val="2"/>
      <w:sz w:val="24"/>
      <w:szCs w:val="24"/>
      <w:lang w:val="en-US" w:eastAsia="zh-CN" w:bidi="ar-SA"/>
    </w:rPr>
  </w:style>
  <w:style w:type="character" w:customStyle="1" w:styleId="616">
    <w:name w:val="正文文本 字符4"/>
    <w:qFormat/>
    <w:uiPriority w:val="0"/>
    <w:rPr>
      <w:rFonts w:eastAsia="宋体"/>
      <w:kern w:val="2"/>
      <w:sz w:val="24"/>
      <w:szCs w:val="24"/>
      <w:lang w:val="en-US" w:eastAsia="zh-CN" w:bidi="ar-SA"/>
    </w:rPr>
  </w:style>
  <w:style w:type="character" w:customStyle="1" w:styleId="617">
    <w:name w:val="正文文本缩进 字符4"/>
    <w:qFormat/>
    <w:uiPriority w:val="0"/>
    <w:rPr>
      <w:rFonts w:ascii="仿宋_GB2312" w:eastAsia="仿宋_GB2312"/>
      <w:kern w:val="2"/>
      <w:sz w:val="32"/>
      <w:lang w:val="en-US" w:eastAsia="zh-CN" w:bidi="ar-SA"/>
    </w:rPr>
  </w:style>
  <w:style w:type="character" w:customStyle="1" w:styleId="618">
    <w:name w:val="HTML 地址 字符4"/>
    <w:qFormat/>
    <w:locked/>
    <w:uiPriority w:val="0"/>
    <w:rPr>
      <w:rFonts w:ascii="宋体" w:eastAsia="宋体"/>
      <w:i/>
      <w:iCs/>
      <w:kern w:val="21"/>
      <w:sz w:val="21"/>
      <w:szCs w:val="21"/>
      <w:lang w:val="en-US" w:eastAsia="zh-CN" w:bidi="ar-SA"/>
    </w:rPr>
  </w:style>
  <w:style w:type="character" w:customStyle="1" w:styleId="619">
    <w:name w:val="TOC 3 字符"/>
    <w:qFormat/>
    <w:locked/>
    <w:uiPriority w:val="0"/>
    <w:rPr>
      <w:rFonts w:eastAsia="宋体"/>
      <w:kern w:val="2"/>
      <w:sz w:val="21"/>
      <w:szCs w:val="24"/>
      <w:lang w:val="en-US" w:eastAsia="zh-CN" w:bidi="ar-SA"/>
    </w:rPr>
  </w:style>
  <w:style w:type="character" w:customStyle="1" w:styleId="620">
    <w:name w:val="纯文本 字符5"/>
    <w:qFormat/>
    <w:uiPriority w:val="0"/>
    <w:rPr>
      <w:rFonts w:ascii="宋体" w:hAnsi="Courier New" w:eastAsia="宋体" w:cs="Courier New"/>
      <w:kern w:val="2"/>
      <w:sz w:val="21"/>
      <w:szCs w:val="21"/>
      <w:lang w:val="en-US" w:eastAsia="zh-CN" w:bidi="ar-SA"/>
    </w:rPr>
  </w:style>
  <w:style w:type="character" w:customStyle="1" w:styleId="621">
    <w:name w:val="日期 字符4"/>
    <w:qFormat/>
    <w:uiPriority w:val="0"/>
    <w:rPr>
      <w:rFonts w:ascii="宋体" w:hAnsi="Courier New" w:eastAsia="宋体" w:cs="Courier New"/>
      <w:kern w:val="2"/>
      <w:sz w:val="21"/>
      <w:szCs w:val="21"/>
      <w:lang w:val="en-US" w:eastAsia="zh-CN" w:bidi="ar-SA"/>
    </w:rPr>
  </w:style>
  <w:style w:type="character" w:customStyle="1" w:styleId="622">
    <w:name w:val="正文文本缩进 2 字符4"/>
    <w:qFormat/>
    <w:uiPriority w:val="0"/>
    <w:rPr>
      <w:rFonts w:eastAsia="宋体"/>
      <w:kern w:val="2"/>
      <w:sz w:val="32"/>
      <w:lang w:val="en-US" w:eastAsia="zh-CN" w:bidi="ar-SA"/>
    </w:rPr>
  </w:style>
  <w:style w:type="character" w:customStyle="1" w:styleId="623">
    <w:name w:val="尾注文本 字符4"/>
    <w:qFormat/>
    <w:uiPriority w:val="0"/>
    <w:rPr>
      <w:rFonts w:ascii="Calibri" w:hAnsi="Calibri"/>
      <w:kern w:val="2"/>
      <w:sz w:val="21"/>
      <w:szCs w:val="22"/>
    </w:rPr>
  </w:style>
  <w:style w:type="character" w:customStyle="1" w:styleId="624">
    <w:name w:val="页脚 字符4"/>
    <w:qFormat/>
    <w:uiPriority w:val="0"/>
    <w:rPr>
      <w:rFonts w:eastAsia="宋体"/>
      <w:kern w:val="2"/>
      <w:sz w:val="18"/>
      <w:szCs w:val="18"/>
      <w:lang w:val="en-US" w:eastAsia="zh-CN" w:bidi="ar-SA"/>
    </w:rPr>
  </w:style>
  <w:style w:type="character" w:customStyle="1" w:styleId="625">
    <w:name w:val="页眉 字符4"/>
    <w:qFormat/>
    <w:uiPriority w:val="0"/>
    <w:rPr>
      <w:rFonts w:eastAsia="宋体"/>
      <w:kern w:val="2"/>
      <w:sz w:val="18"/>
      <w:szCs w:val="18"/>
      <w:lang w:val="en-US" w:eastAsia="zh-CN" w:bidi="ar-SA"/>
    </w:rPr>
  </w:style>
  <w:style w:type="character" w:customStyle="1" w:styleId="626">
    <w:name w:val="脚注文本 字符4"/>
    <w:qFormat/>
    <w:locked/>
    <w:uiPriority w:val="0"/>
    <w:rPr>
      <w:rFonts w:ascii="宋体" w:eastAsia="宋体"/>
      <w:kern w:val="21"/>
      <w:sz w:val="18"/>
      <w:szCs w:val="18"/>
      <w:lang w:val="en-US" w:eastAsia="zh-CN" w:bidi="ar-SA"/>
    </w:rPr>
  </w:style>
  <w:style w:type="character" w:customStyle="1" w:styleId="627">
    <w:name w:val="正文文本缩进 3 字符4"/>
    <w:qFormat/>
    <w:uiPriority w:val="0"/>
    <w:rPr>
      <w:rFonts w:eastAsia="宋体"/>
      <w:kern w:val="2"/>
      <w:sz w:val="16"/>
      <w:szCs w:val="16"/>
      <w:lang w:val="en-US" w:eastAsia="zh-CN" w:bidi="ar-SA"/>
    </w:rPr>
  </w:style>
  <w:style w:type="character" w:customStyle="1" w:styleId="628">
    <w:name w:val="正文文本 2 字符4"/>
    <w:qFormat/>
    <w:uiPriority w:val="0"/>
    <w:rPr>
      <w:rFonts w:eastAsia="宋体"/>
      <w:kern w:val="2"/>
      <w:sz w:val="21"/>
      <w:szCs w:val="24"/>
      <w:lang w:val="en-US" w:eastAsia="zh-CN" w:bidi="ar-SA"/>
    </w:rPr>
  </w:style>
  <w:style w:type="character" w:customStyle="1" w:styleId="629">
    <w:name w:val="HTML 预设格式 字符4"/>
    <w:qFormat/>
    <w:uiPriority w:val="0"/>
    <w:rPr>
      <w:rFonts w:ascii="黑体" w:hAnsi="Courier New" w:eastAsia="黑体" w:cs="Courier New"/>
      <w:lang w:val="en-US" w:eastAsia="zh-CN" w:bidi="ar-SA"/>
    </w:rPr>
  </w:style>
  <w:style w:type="character" w:customStyle="1" w:styleId="630">
    <w:name w:val="标题 字符4"/>
    <w:qFormat/>
    <w:uiPriority w:val="0"/>
    <w:rPr>
      <w:rFonts w:ascii="Arial" w:hAnsi="Arial" w:eastAsia="宋体"/>
      <w:b/>
      <w:bCs/>
      <w:kern w:val="2"/>
      <w:sz w:val="32"/>
      <w:szCs w:val="32"/>
      <w:lang w:bidi="ar-SA"/>
    </w:rPr>
  </w:style>
  <w:style w:type="character" w:customStyle="1" w:styleId="631">
    <w:name w:val="无间隔 字符5"/>
    <w:qFormat/>
    <w:uiPriority w:val="0"/>
    <w:rPr>
      <w:sz w:val="22"/>
      <w:szCs w:val="22"/>
      <w:lang w:val="en-US" w:eastAsia="zh-CN" w:bidi="ar-SA"/>
    </w:rPr>
  </w:style>
  <w:style w:type="character" w:customStyle="1" w:styleId="632">
    <w:name w:val="Char Char53"/>
    <w:qFormat/>
    <w:uiPriority w:val="0"/>
    <w:rPr>
      <w:rFonts w:eastAsia="宋体"/>
      <w:b/>
      <w:bCs/>
      <w:kern w:val="44"/>
      <w:sz w:val="44"/>
      <w:szCs w:val="44"/>
      <w:lang w:val="en-US" w:eastAsia="zh-CN" w:bidi="ar-SA"/>
    </w:rPr>
  </w:style>
  <w:style w:type="character" w:customStyle="1" w:styleId="633">
    <w:name w:val="Char Char52"/>
    <w:qFormat/>
    <w:uiPriority w:val="0"/>
    <w:rPr>
      <w:rFonts w:ascii="Arial" w:hAnsi="Arial" w:eastAsia="黑体"/>
      <w:b/>
      <w:bCs/>
      <w:sz w:val="32"/>
      <w:szCs w:val="32"/>
      <w:lang w:bidi="ar-SA"/>
    </w:rPr>
  </w:style>
  <w:style w:type="character" w:customStyle="1" w:styleId="634">
    <w:name w:val="Char Char51"/>
    <w:qFormat/>
    <w:uiPriority w:val="0"/>
    <w:rPr>
      <w:rFonts w:eastAsia="宋体"/>
      <w:b/>
      <w:bCs/>
      <w:sz w:val="32"/>
      <w:szCs w:val="32"/>
      <w:lang w:bidi="ar-SA"/>
    </w:rPr>
  </w:style>
  <w:style w:type="character" w:customStyle="1" w:styleId="635">
    <w:name w:val="无间隔 字符6"/>
    <w:qFormat/>
    <w:uiPriority w:val="0"/>
    <w:rPr>
      <w:sz w:val="22"/>
      <w:szCs w:val="22"/>
      <w:lang w:val="en-US" w:eastAsia="zh-CN" w:bidi="ar-SA"/>
    </w:rPr>
  </w:style>
  <w:style w:type="character" w:customStyle="1" w:styleId="636">
    <w:name w:val="普通文字 Char Char8"/>
    <w:qFormat/>
    <w:uiPriority w:val="0"/>
    <w:rPr>
      <w:rFonts w:ascii="宋体" w:hAnsi="Courier New" w:eastAsia="宋体" w:cs="Courier New"/>
      <w:kern w:val="2"/>
      <w:sz w:val="21"/>
      <w:szCs w:val="21"/>
      <w:lang w:val="en-US" w:eastAsia="zh-CN" w:bidi="ar-SA"/>
    </w:rPr>
  </w:style>
  <w:style w:type="character" w:customStyle="1" w:styleId="637">
    <w:name w:val="font81"/>
    <w:basedOn w:val="55"/>
    <w:qFormat/>
    <w:uiPriority w:val="0"/>
    <w:rPr>
      <w:rFonts w:ascii="微软雅黑" w:hAnsi="微软雅黑" w:eastAsia="微软雅黑" w:cs="微软雅黑"/>
      <w:color w:val="000000"/>
      <w:sz w:val="18"/>
      <w:szCs w:val="18"/>
      <w:u w:val="none"/>
    </w:rPr>
  </w:style>
  <w:style w:type="character" w:customStyle="1" w:styleId="638">
    <w:name w:val="Char Char57"/>
    <w:qFormat/>
    <w:uiPriority w:val="0"/>
    <w:rPr>
      <w:rFonts w:eastAsia="宋体"/>
      <w:b/>
      <w:bCs/>
      <w:kern w:val="44"/>
      <w:sz w:val="44"/>
      <w:szCs w:val="44"/>
      <w:lang w:val="en-US" w:eastAsia="zh-CN" w:bidi="ar-SA"/>
    </w:rPr>
  </w:style>
  <w:style w:type="character" w:customStyle="1" w:styleId="639">
    <w:name w:val="Char Char56"/>
    <w:qFormat/>
    <w:uiPriority w:val="0"/>
    <w:rPr>
      <w:rFonts w:ascii="Arial" w:hAnsi="Arial" w:eastAsia="黑体"/>
      <w:b/>
      <w:bCs/>
      <w:sz w:val="32"/>
      <w:szCs w:val="32"/>
      <w:lang w:bidi="ar-SA"/>
    </w:rPr>
  </w:style>
  <w:style w:type="character" w:customStyle="1" w:styleId="640">
    <w:name w:val="Char Char55"/>
    <w:qFormat/>
    <w:uiPriority w:val="0"/>
    <w:rPr>
      <w:rFonts w:eastAsia="宋体"/>
      <w:b/>
      <w:bCs/>
      <w:sz w:val="32"/>
      <w:szCs w:val="32"/>
      <w:lang w:bidi="ar-SA"/>
    </w:rPr>
  </w:style>
  <w:style w:type="character" w:customStyle="1" w:styleId="641">
    <w:name w:val="Char Char54"/>
    <w:qFormat/>
    <w:uiPriority w:val="0"/>
    <w:rPr>
      <w:rFonts w:ascii="Arial" w:hAnsi="Arial" w:eastAsia="黑体"/>
      <w:sz w:val="28"/>
      <w:lang w:bidi="ar-SA"/>
    </w:rPr>
  </w:style>
  <w:style w:type="character" w:customStyle="1" w:styleId="642">
    <w:name w:val="无间隔 字符7"/>
    <w:qFormat/>
    <w:uiPriority w:val="0"/>
    <w:rPr>
      <w:sz w:val="22"/>
      <w:szCs w:val="22"/>
      <w:lang w:val="en-US" w:eastAsia="zh-CN" w:bidi="ar-SA"/>
    </w:rPr>
  </w:style>
  <w:style w:type="paragraph" w:customStyle="1" w:styleId="643">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4">
    <w:name w:val="Char Char61"/>
    <w:qFormat/>
    <w:uiPriority w:val="0"/>
    <w:rPr>
      <w:rFonts w:eastAsia="宋体"/>
      <w:b/>
      <w:bCs/>
      <w:kern w:val="44"/>
      <w:sz w:val="44"/>
      <w:szCs w:val="44"/>
      <w:lang w:val="en-US" w:eastAsia="zh-CN" w:bidi="ar-SA"/>
    </w:rPr>
  </w:style>
  <w:style w:type="character" w:customStyle="1" w:styleId="645">
    <w:name w:val="Char Char60"/>
    <w:qFormat/>
    <w:uiPriority w:val="0"/>
    <w:rPr>
      <w:rFonts w:ascii="Arial" w:hAnsi="Arial" w:eastAsia="黑体"/>
      <w:b/>
      <w:bCs/>
      <w:sz w:val="32"/>
      <w:szCs w:val="32"/>
      <w:lang w:bidi="ar-SA"/>
    </w:rPr>
  </w:style>
  <w:style w:type="character" w:customStyle="1" w:styleId="646">
    <w:name w:val="Char Char59"/>
    <w:qFormat/>
    <w:uiPriority w:val="0"/>
    <w:rPr>
      <w:rFonts w:eastAsia="宋体"/>
      <w:b/>
      <w:bCs/>
      <w:sz w:val="32"/>
      <w:szCs w:val="32"/>
      <w:lang w:bidi="ar-SA"/>
    </w:rPr>
  </w:style>
  <w:style w:type="character" w:customStyle="1" w:styleId="647">
    <w:name w:val="Char Char58"/>
    <w:qFormat/>
    <w:uiPriority w:val="0"/>
    <w:rPr>
      <w:rFonts w:ascii="Arial" w:hAnsi="Arial" w:eastAsia="黑体"/>
      <w:sz w:val="28"/>
      <w:lang w:bidi="ar-SA"/>
    </w:rPr>
  </w:style>
  <w:style w:type="character" w:customStyle="1" w:styleId="648">
    <w:name w:val="无间隔 字符8"/>
    <w:qFormat/>
    <w:uiPriority w:val="0"/>
    <w:rPr>
      <w:sz w:val="22"/>
      <w:szCs w:val="22"/>
      <w:lang w:val="en-US" w:eastAsia="zh-CN" w:bidi="ar-SA"/>
    </w:rPr>
  </w:style>
  <w:style w:type="character" w:customStyle="1" w:styleId="649">
    <w:name w:val="font121"/>
    <w:basedOn w:val="55"/>
    <w:qFormat/>
    <w:uiPriority w:val="0"/>
    <w:rPr>
      <w:rFonts w:hint="eastAsia" w:ascii="宋体" w:hAnsi="宋体" w:eastAsia="宋体" w:cs="宋体"/>
      <w:b/>
      <w:bCs/>
      <w:color w:val="000000"/>
      <w:sz w:val="12"/>
      <w:szCs w:val="12"/>
      <w:u w:val="none"/>
    </w:rPr>
  </w:style>
  <w:style w:type="paragraph" w:customStyle="1" w:styleId="650">
    <w:name w:val="Table Text"/>
    <w:basedOn w:val="1"/>
    <w:semiHidden/>
    <w:qFormat/>
    <w:uiPriority w:val="0"/>
    <w:rPr>
      <w:rFonts w:ascii="宋体" w:hAnsi="宋体" w:cs="宋体"/>
      <w:sz w:val="20"/>
      <w:szCs w:val="20"/>
    </w:rPr>
  </w:style>
  <w:style w:type="paragraph" w:customStyle="1" w:styleId="651">
    <w:name w:val="null3"/>
    <w:basedOn w:val="1"/>
    <w:unhideWhenUsed/>
    <w:qFormat/>
    <w:uiPriority w:val="99"/>
    <w:pPr>
      <w:widowControl/>
    </w:pPr>
    <w:rPr>
      <w:rFonts w:hint="eastAsia" w:ascii="Calibri" w:hAnsi="Calibri" w:cs="Calibri"/>
      <w:sz w:val="20"/>
      <w:szCs w:val="20"/>
    </w:rPr>
  </w:style>
  <w:style w:type="paragraph" w:customStyle="1" w:styleId="652">
    <w:name w:val="列表段落11"/>
    <w:basedOn w:val="1"/>
    <w:qFormat/>
    <w:uiPriority w:val="34"/>
    <w:pPr>
      <w:ind w:firstLine="420" w:firstLineChars="200"/>
    </w:pPr>
    <w:rPr>
      <w:rFonts w:ascii="Calibri" w:hAnsi="Calibri"/>
      <w:szCs w:val="22"/>
    </w:rPr>
  </w:style>
  <w:style w:type="paragraph" w:customStyle="1" w:styleId="653">
    <w:name w:val="正文格式"/>
    <w:qFormat/>
    <w:uiPriority w:val="0"/>
    <w:pPr>
      <w:adjustRightInd w:val="0"/>
      <w:snapToGrid w:val="0"/>
      <w:spacing w:after="160" w:line="400" w:lineRule="atLeast"/>
      <w:ind w:firstLine="482"/>
      <w:jc w:val="both"/>
      <w:textAlignment w:val="baseline"/>
    </w:pPr>
    <w:rPr>
      <w:rFonts w:ascii="Times New Roman" w:hAnsi="Times New Roman" w:eastAsia="宋体" w:cs="Times New Roman"/>
      <w:sz w:val="24"/>
      <w:szCs w:val="24"/>
      <w:lang w:val="en-US" w:eastAsia="zh-CN" w:bidi="ar-SA"/>
    </w:rPr>
  </w:style>
  <w:style w:type="paragraph" w:customStyle="1" w:styleId="654">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5">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6">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140</Pages>
  <Words>14604</Words>
  <Characters>16259</Characters>
  <Lines>980</Lines>
  <Paragraphs>276</Paragraphs>
  <TotalTime>1</TotalTime>
  <ScaleCrop>false</ScaleCrop>
  <LinksUpToDate>false</LinksUpToDate>
  <CharactersWithSpaces>16936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2022-05-29T11:06:00Z</dcterms:created>
  <dc:creator>聂泉源</dc:creator>
  <cp:lastModifiedBy>gxxc</cp:lastModifiedBy>
  <cp:lastPrinted>2026-02-06T08:29:00Z</cp:lastPrinted>
  <dcterms:modified xsi:type="dcterms:W3CDTF">2026-06-12T17:58:50Z</dcterms:modified>
  <dc:title>3</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eyJoZGlkIjoiZmE5NGIxNDhhODE1YjQ2YmY0MTY5ZTMxMDg0OTBkMWIiLCJ1c2VySWQiOiIxNjE3NDIzMTkyIn0=</vt:lpwstr>
  </property>
  <property fmtid="{D5CDD505-2E9C-101B-9397-08002B2CF9AE}" pid="4" name="ICV">
    <vt:lpwstr>8BD073E364F94565B6CE6E1066294B03_13</vt:lpwstr>
  </property>
</Properties>
</file>