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01F81">
      <w:pPr>
        <w:keepNext/>
        <w:keepLines/>
        <w:spacing w:before="165" w:beforeLines="50" w:line="360" w:lineRule="auto"/>
        <w:jc w:val="center"/>
        <w:rPr>
          <w:rFonts w:hint="eastAsia" w:ascii="宋体" w:hAnsi="宋体" w:cs="宋体"/>
          <w:b/>
          <w:bCs/>
          <w:color w:val="auto"/>
          <w:sz w:val="52"/>
          <w:szCs w:val="52"/>
          <w:highlight w:val="none"/>
        </w:rPr>
      </w:pPr>
    </w:p>
    <w:p w14:paraId="3ACB45F2">
      <w:pPr>
        <w:keepNext/>
        <w:keepLines/>
        <w:spacing w:before="165" w:beforeLines="50" w:line="360" w:lineRule="auto"/>
        <w:jc w:val="center"/>
        <w:rPr>
          <w:rFonts w:hint="eastAsia" w:ascii="宋体" w:hAnsi="宋体" w:cs="宋体"/>
          <w:b/>
          <w:bCs/>
          <w:color w:val="auto"/>
          <w:sz w:val="48"/>
          <w:szCs w:val="48"/>
          <w:highlight w:val="none"/>
        </w:rPr>
      </w:pPr>
      <w:r>
        <w:rPr>
          <w:rFonts w:hint="eastAsia" w:ascii="宋体" w:hAnsi="宋体" w:cs="宋体"/>
          <w:b/>
          <w:bCs/>
          <w:color w:val="auto"/>
          <w:sz w:val="52"/>
          <w:szCs w:val="52"/>
          <w:highlight w:val="none"/>
        </w:rPr>
        <w:t>服务类</w:t>
      </w:r>
    </w:p>
    <w:p w14:paraId="4384C93B">
      <w:pPr>
        <w:keepNext/>
        <w:keepLines/>
        <w:snapToGrid w:val="0"/>
        <w:spacing w:before="165" w:beforeLines="50" w:line="360" w:lineRule="auto"/>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公开招标文件</w:t>
      </w:r>
    </w:p>
    <w:p w14:paraId="6DC2CABC">
      <w:pPr>
        <w:keepNext/>
        <w:keepLines/>
        <w:spacing w:line="360" w:lineRule="auto"/>
        <w:jc w:val="center"/>
        <w:rPr>
          <w:color w:val="auto"/>
          <w:sz w:val="36"/>
          <w:szCs w:val="44"/>
          <w:highlight w:val="none"/>
        </w:rPr>
      </w:pPr>
      <w:r>
        <w:rPr>
          <w:rFonts w:hint="eastAsia"/>
          <w:color w:val="auto"/>
          <w:sz w:val="36"/>
          <w:szCs w:val="44"/>
          <w:highlight w:val="none"/>
        </w:rPr>
        <w:t>（全流程电子化采购）</w:t>
      </w:r>
    </w:p>
    <w:p w14:paraId="633E614C">
      <w:pPr>
        <w:snapToGrid w:val="0"/>
        <w:spacing w:before="165" w:beforeLines="50" w:line="360" w:lineRule="auto"/>
        <w:jc w:val="center"/>
        <w:rPr>
          <w:rFonts w:hint="eastAsia" w:ascii="仿宋" w:hAnsi="仿宋" w:eastAsia="仿宋" w:cs="仿宋"/>
          <w:color w:val="auto"/>
          <w:sz w:val="30"/>
          <w:szCs w:val="72"/>
          <w:highlight w:val="none"/>
        </w:rPr>
      </w:pPr>
    </w:p>
    <w:p w14:paraId="4521957A">
      <w:pPr>
        <w:snapToGrid w:val="0"/>
        <w:spacing w:before="165" w:beforeLines="50" w:line="360" w:lineRule="auto"/>
        <w:rPr>
          <w:rFonts w:hint="eastAsia" w:ascii="仿宋" w:hAnsi="仿宋" w:eastAsia="仿宋" w:cs="仿宋"/>
          <w:color w:val="auto"/>
          <w:sz w:val="30"/>
          <w:szCs w:val="72"/>
          <w:highlight w:val="none"/>
        </w:rPr>
      </w:pPr>
    </w:p>
    <w:p w14:paraId="6984CB5C">
      <w:pPr>
        <w:snapToGrid w:val="0"/>
        <w:spacing w:before="50" w:after="120" w:line="360" w:lineRule="auto"/>
        <w:ind w:firstLine="602" w:firstLineChars="200"/>
        <w:rPr>
          <w:rFonts w:hint="eastAsia" w:ascii="仿宋" w:hAnsi="仿宋" w:eastAsia="仿宋" w:cs="仿宋"/>
          <w:b/>
          <w:bCs/>
          <w:color w:val="auto"/>
          <w:kern w:val="0"/>
          <w:sz w:val="30"/>
          <w:szCs w:val="30"/>
          <w:highlight w:val="none"/>
          <w:lang w:eastAsia="zh-CN"/>
        </w:rPr>
      </w:pPr>
      <w:r>
        <w:rPr>
          <w:rFonts w:hint="eastAsia" w:ascii="仿宋" w:hAnsi="仿宋" w:eastAsia="仿宋" w:cs="仿宋"/>
          <w:b/>
          <w:bCs/>
          <w:color w:val="auto"/>
          <w:kern w:val="0"/>
          <w:sz w:val="30"/>
          <w:szCs w:val="30"/>
          <w:highlight w:val="none"/>
          <w:lang w:eastAsia="zh-CN"/>
        </w:rPr>
        <w:t>项目名称：2026年广西政务服务统一评估服务项目</w:t>
      </w:r>
    </w:p>
    <w:p w14:paraId="0B4CE7CD">
      <w:pPr>
        <w:snapToGrid w:val="0"/>
        <w:spacing w:before="50" w:after="120" w:line="360" w:lineRule="auto"/>
        <w:ind w:firstLine="602" w:firstLineChars="200"/>
        <w:rPr>
          <w:rFonts w:hint="eastAsia" w:ascii="仿宋" w:hAnsi="仿宋" w:eastAsia="仿宋" w:cs="仿宋"/>
          <w:b/>
          <w:bCs/>
          <w:color w:val="auto"/>
          <w:kern w:val="0"/>
          <w:sz w:val="30"/>
          <w:szCs w:val="30"/>
          <w:highlight w:val="none"/>
          <w:lang w:eastAsia="zh-CN"/>
        </w:rPr>
      </w:pPr>
      <w:r>
        <w:rPr>
          <w:rFonts w:hint="eastAsia" w:ascii="仿宋" w:hAnsi="仿宋" w:eastAsia="仿宋" w:cs="仿宋"/>
          <w:b/>
          <w:bCs/>
          <w:color w:val="auto"/>
          <w:kern w:val="0"/>
          <w:sz w:val="30"/>
          <w:szCs w:val="30"/>
          <w:highlight w:val="none"/>
          <w:lang w:eastAsia="zh-CN"/>
        </w:rPr>
        <w:t>项目编号：GXZC2026-G3-003184-GXXZ</w:t>
      </w:r>
    </w:p>
    <w:p w14:paraId="74BE1B3B">
      <w:pPr>
        <w:snapToGrid w:val="0"/>
        <w:spacing w:before="50" w:after="120" w:line="360" w:lineRule="auto"/>
        <w:ind w:firstLine="602" w:firstLineChars="200"/>
        <w:rPr>
          <w:rFonts w:hint="eastAsia" w:ascii="仿宋" w:hAnsi="仿宋" w:eastAsia="仿宋" w:cs="仿宋"/>
          <w:b/>
          <w:bCs/>
          <w:color w:val="auto"/>
          <w:kern w:val="0"/>
          <w:sz w:val="30"/>
          <w:szCs w:val="30"/>
          <w:highlight w:val="none"/>
          <w:lang w:eastAsia="zh-CN"/>
        </w:rPr>
      </w:pPr>
    </w:p>
    <w:p w14:paraId="627E9548">
      <w:pPr>
        <w:snapToGrid w:val="0"/>
        <w:spacing w:before="50" w:after="120" w:line="360" w:lineRule="auto"/>
        <w:ind w:firstLine="1193" w:firstLineChars="396"/>
        <w:rPr>
          <w:rFonts w:hint="eastAsia" w:ascii="仿宋" w:hAnsi="仿宋" w:eastAsia="仿宋" w:cs="仿宋"/>
          <w:b/>
          <w:bCs/>
          <w:color w:val="auto"/>
          <w:kern w:val="0"/>
          <w:sz w:val="30"/>
          <w:szCs w:val="30"/>
          <w:highlight w:val="none"/>
        </w:rPr>
      </w:pPr>
    </w:p>
    <w:p w14:paraId="7B1501F6">
      <w:pPr>
        <w:snapToGrid w:val="0"/>
        <w:spacing w:before="50" w:after="120" w:line="360" w:lineRule="auto"/>
        <w:ind w:firstLine="1193" w:firstLineChars="396"/>
        <w:rPr>
          <w:rFonts w:hint="eastAsia" w:ascii="仿宋" w:hAnsi="仿宋" w:eastAsia="仿宋" w:cs="仿宋"/>
          <w:b/>
          <w:bCs/>
          <w:color w:val="auto"/>
          <w:kern w:val="0"/>
          <w:sz w:val="30"/>
          <w:szCs w:val="30"/>
          <w:highlight w:val="none"/>
        </w:rPr>
      </w:pPr>
    </w:p>
    <w:p w14:paraId="5270A3EC">
      <w:pPr>
        <w:snapToGrid w:val="0"/>
        <w:spacing w:before="50" w:after="120" w:line="360" w:lineRule="auto"/>
        <w:ind w:firstLine="1193" w:firstLineChars="396"/>
        <w:rPr>
          <w:rFonts w:hint="eastAsia" w:ascii="仿宋" w:hAnsi="仿宋" w:eastAsia="仿宋" w:cs="仿宋"/>
          <w:b/>
          <w:bCs/>
          <w:color w:val="auto"/>
          <w:kern w:val="0"/>
          <w:sz w:val="30"/>
          <w:szCs w:val="30"/>
          <w:highlight w:val="none"/>
          <w:lang w:eastAsia="zh-CN"/>
        </w:rPr>
      </w:pPr>
      <w:r>
        <w:rPr>
          <w:rFonts w:hint="eastAsia" w:ascii="仿宋" w:hAnsi="仿宋" w:eastAsia="仿宋" w:cs="仿宋"/>
          <w:b/>
          <w:bCs/>
          <w:color w:val="auto"/>
          <w:kern w:val="0"/>
          <w:sz w:val="30"/>
          <w:szCs w:val="30"/>
          <w:highlight w:val="none"/>
        </w:rPr>
        <w:t>采 购 人：</w:t>
      </w:r>
      <w:r>
        <w:rPr>
          <w:rFonts w:hint="eastAsia" w:ascii="仿宋" w:hAnsi="仿宋" w:eastAsia="仿宋" w:cs="仿宋"/>
          <w:b/>
          <w:bCs/>
          <w:color w:val="auto"/>
          <w:kern w:val="0"/>
          <w:sz w:val="30"/>
          <w:szCs w:val="30"/>
          <w:highlight w:val="none"/>
          <w:lang w:eastAsia="zh-CN"/>
        </w:rPr>
        <w:t xml:space="preserve">广西壮族自治区大数据发展局  </w:t>
      </w:r>
    </w:p>
    <w:p w14:paraId="3A94E9E1">
      <w:pPr>
        <w:snapToGrid w:val="0"/>
        <w:spacing w:before="50" w:after="120" w:line="360" w:lineRule="auto"/>
        <w:ind w:firstLine="1193" w:firstLineChars="396"/>
        <w:rPr>
          <w:rFonts w:hint="eastAsia" w:ascii="仿宋" w:hAnsi="仿宋" w:eastAsia="仿宋" w:cs="仿宋"/>
          <w:b/>
          <w:bCs/>
          <w:color w:val="auto"/>
          <w:kern w:val="0"/>
          <w:sz w:val="30"/>
          <w:szCs w:val="30"/>
          <w:highlight w:val="none"/>
        </w:rPr>
      </w:pPr>
      <w:r>
        <w:rPr>
          <w:rFonts w:hint="eastAsia" w:ascii="仿宋" w:hAnsi="仿宋" w:eastAsia="仿宋" w:cs="仿宋"/>
          <w:b/>
          <w:bCs/>
          <w:color w:val="auto"/>
          <w:kern w:val="0"/>
          <w:sz w:val="30"/>
          <w:szCs w:val="30"/>
          <w:highlight w:val="none"/>
        </w:rPr>
        <w:t>采购代理机构：广西翔正项目管理有限公司</w:t>
      </w:r>
    </w:p>
    <w:p w14:paraId="6EEA9C79">
      <w:pPr>
        <w:snapToGrid w:val="0"/>
        <w:spacing w:before="50" w:after="120" w:line="360" w:lineRule="auto"/>
        <w:ind w:firstLine="841" w:firstLineChars="294"/>
        <w:rPr>
          <w:rFonts w:hint="eastAsia" w:ascii="仿宋" w:hAnsi="仿宋" w:eastAsia="仿宋" w:cs="仿宋"/>
          <w:b/>
          <w:bCs/>
          <w:color w:val="auto"/>
          <w:w w:val="95"/>
          <w:kern w:val="0"/>
          <w:sz w:val="30"/>
          <w:szCs w:val="30"/>
          <w:highlight w:val="none"/>
        </w:rPr>
      </w:pPr>
      <w:r>
        <w:rPr>
          <w:rFonts w:hint="eastAsia" w:ascii="仿宋" w:hAnsi="仿宋" w:eastAsia="仿宋" w:cs="仿宋"/>
          <w:b/>
          <w:bCs/>
          <w:color w:val="auto"/>
          <w:w w:val="95"/>
          <w:kern w:val="0"/>
          <w:sz w:val="30"/>
          <w:szCs w:val="30"/>
          <w:highlight w:val="none"/>
        </w:rPr>
        <w:t xml:space="preserve">             </w:t>
      </w:r>
      <w:r>
        <w:rPr>
          <w:rFonts w:hint="eastAsia" w:ascii="仿宋" w:hAnsi="仿宋" w:eastAsia="仿宋" w:cs="仿宋"/>
          <w:b/>
          <w:bCs/>
          <w:color w:val="auto"/>
          <w:w w:val="95"/>
          <w:kern w:val="0"/>
          <w:sz w:val="30"/>
          <w:szCs w:val="30"/>
          <w:highlight w:val="none"/>
          <w:lang w:val="en-US" w:eastAsia="zh-CN"/>
        </w:rPr>
        <w:t>2026</w:t>
      </w:r>
      <w:r>
        <w:rPr>
          <w:rFonts w:hint="eastAsia" w:ascii="仿宋" w:hAnsi="仿宋" w:eastAsia="仿宋" w:cs="仿宋"/>
          <w:b/>
          <w:bCs/>
          <w:color w:val="auto"/>
          <w:w w:val="95"/>
          <w:sz w:val="30"/>
          <w:szCs w:val="30"/>
          <w:highlight w:val="none"/>
        </w:rPr>
        <w:t xml:space="preserve">年 </w:t>
      </w:r>
      <w:r>
        <w:rPr>
          <w:rFonts w:hint="eastAsia" w:ascii="仿宋" w:hAnsi="仿宋" w:eastAsia="仿宋" w:cs="仿宋"/>
          <w:b/>
          <w:bCs/>
          <w:color w:val="auto"/>
          <w:w w:val="95"/>
          <w:sz w:val="30"/>
          <w:szCs w:val="30"/>
          <w:highlight w:val="none"/>
          <w:lang w:val="en-US" w:eastAsia="zh-CN"/>
        </w:rPr>
        <w:t xml:space="preserve">  </w:t>
      </w:r>
      <w:r>
        <w:rPr>
          <w:rFonts w:hint="eastAsia" w:ascii="仿宋" w:hAnsi="仿宋" w:eastAsia="仿宋" w:cs="仿宋"/>
          <w:b/>
          <w:bCs/>
          <w:color w:val="auto"/>
          <w:w w:val="95"/>
          <w:sz w:val="30"/>
          <w:szCs w:val="30"/>
          <w:highlight w:val="none"/>
        </w:rPr>
        <w:t>月</w:t>
      </w:r>
      <w:r>
        <w:rPr>
          <w:rFonts w:hint="eastAsia" w:ascii="仿宋" w:hAnsi="仿宋" w:eastAsia="仿宋" w:cs="仿宋"/>
          <w:b/>
          <w:bCs/>
          <w:color w:val="auto"/>
          <w:w w:val="95"/>
          <w:sz w:val="30"/>
          <w:szCs w:val="30"/>
          <w:highlight w:val="none"/>
          <w:lang w:val="en-US" w:eastAsia="zh-CN"/>
        </w:rPr>
        <w:t xml:space="preserve">  </w:t>
      </w:r>
      <w:r>
        <w:rPr>
          <w:rFonts w:hint="eastAsia" w:ascii="仿宋" w:hAnsi="仿宋" w:eastAsia="仿宋" w:cs="仿宋"/>
          <w:b/>
          <w:bCs/>
          <w:color w:val="auto"/>
          <w:w w:val="95"/>
          <w:sz w:val="30"/>
          <w:szCs w:val="30"/>
          <w:highlight w:val="none"/>
        </w:rPr>
        <w:t>日</w:t>
      </w:r>
    </w:p>
    <w:p w14:paraId="5D0F202C">
      <w:pPr>
        <w:widowControl/>
        <w:spacing w:line="360" w:lineRule="auto"/>
        <w:jc w:val="left"/>
        <w:rPr>
          <w:rFonts w:hint="eastAsia" w:ascii="方正仿宋_GB2312" w:hAnsi="宋体" w:eastAsia="方正仿宋_GB2312"/>
          <w:b/>
          <w:bCs/>
          <w:color w:val="auto"/>
          <w:w w:val="95"/>
          <w:sz w:val="30"/>
          <w:szCs w:val="30"/>
          <w:highlight w:val="none"/>
        </w:rPr>
        <w:sectPr>
          <w:pgSz w:w="11906" w:h="16838"/>
          <w:pgMar w:top="1134" w:right="1134" w:bottom="1134" w:left="1134" w:header="720" w:footer="720" w:gutter="0"/>
          <w:pgNumType w:start="1"/>
          <w:cols w:space="720" w:num="1"/>
          <w:docGrid w:type="lines" w:linePitch="331" w:charSpace="0"/>
        </w:sectPr>
      </w:pPr>
      <w:r>
        <w:rPr>
          <w:rFonts w:hint="eastAsia" w:ascii="方正仿宋_GB2312" w:hAnsi="宋体" w:eastAsia="方正仿宋_GB2312"/>
          <w:b/>
          <w:bCs/>
          <w:color w:val="auto"/>
          <w:w w:val="95"/>
          <w:sz w:val="30"/>
          <w:szCs w:val="30"/>
          <w:highlight w:val="none"/>
        </w:rPr>
        <w:t xml:space="preserve">   </w:t>
      </w:r>
    </w:p>
    <w:p w14:paraId="756844E8">
      <w:pPr>
        <w:jc w:val="center"/>
        <w:rPr>
          <w:b/>
          <w:color w:val="auto"/>
          <w:kern w:val="0"/>
          <w:sz w:val="48"/>
          <w:szCs w:val="48"/>
          <w:highlight w:val="none"/>
        </w:rPr>
      </w:pPr>
    </w:p>
    <w:p w14:paraId="1583222D">
      <w:pPr>
        <w:jc w:val="center"/>
        <w:rPr>
          <w:b/>
          <w:color w:val="auto"/>
          <w:kern w:val="0"/>
          <w:sz w:val="48"/>
          <w:szCs w:val="48"/>
          <w:highlight w:val="none"/>
        </w:rPr>
      </w:pPr>
      <w:r>
        <w:rPr>
          <w:rFonts w:hint="eastAsia"/>
          <w:b/>
          <w:color w:val="auto"/>
          <w:kern w:val="0"/>
          <w:sz w:val="48"/>
          <w:szCs w:val="48"/>
          <w:highlight w:val="none"/>
        </w:rPr>
        <w:t>目</w:t>
      </w:r>
      <w:r>
        <w:rPr>
          <w:b/>
          <w:color w:val="auto"/>
          <w:kern w:val="0"/>
          <w:sz w:val="48"/>
          <w:szCs w:val="48"/>
          <w:highlight w:val="none"/>
        </w:rPr>
        <w:t xml:space="preserve">     </w:t>
      </w:r>
      <w:r>
        <w:rPr>
          <w:rFonts w:hint="eastAsia"/>
          <w:b/>
          <w:color w:val="auto"/>
          <w:kern w:val="0"/>
          <w:sz w:val="48"/>
          <w:szCs w:val="48"/>
          <w:highlight w:val="none"/>
        </w:rPr>
        <w:t>录</w:t>
      </w:r>
    </w:p>
    <w:p w14:paraId="13E05BF1">
      <w:pPr>
        <w:pStyle w:val="12"/>
        <w:tabs>
          <w:tab w:val="right" w:leader="dot" w:pos="9638"/>
        </w:tabs>
        <w:rPr>
          <w:rFonts w:hint="eastAsia" w:ascii="Calibri" w:hAnsi="宋体"/>
          <w:bCs/>
          <w:caps/>
          <w:color w:val="auto"/>
          <w:szCs w:val="28"/>
          <w:highlight w:val="none"/>
          <w:u w:val="single"/>
        </w:rPr>
      </w:pPr>
    </w:p>
    <w:p w14:paraId="12509309">
      <w:pPr>
        <w:pStyle w:val="12"/>
        <w:tabs>
          <w:tab w:val="right" w:leader="dot" w:pos="9638"/>
        </w:tabs>
        <w:rPr>
          <w:rFonts w:hint="eastAsia" w:ascii="Calibri" w:hAnsi="宋体"/>
          <w:b/>
          <w:bCs/>
          <w:caps/>
          <w:color w:val="auto"/>
          <w:sz w:val="28"/>
          <w:szCs w:val="28"/>
          <w:highlight w:val="none"/>
          <w:u w:val="single"/>
        </w:rPr>
      </w:pPr>
      <w:r>
        <w:rPr>
          <w:color w:val="auto"/>
          <w:highlight w:val="none"/>
        </w:rPr>
        <w:fldChar w:fldCharType="begin"/>
      </w:r>
      <w:r>
        <w:rPr>
          <w:color w:val="auto"/>
          <w:highlight w:val="none"/>
        </w:rPr>
        <w:instrText xml:space="preserve"> HYPERLINK \l "_Toc17295" </w:instrText>
      </w:r>
      <w:r>
        <w:rPr>
          <w:color w:val="auto"/>
          <w:highlight w:val="none"/>
        </w:rPr>
        <w:fldChar w:fldCharType="separate"/>
      </w:r>
      <w:r>
        <w:rPr>
          <w:rFonts w:hint="eastAsia"/>
          <w:color w:val="auto"/>
          <w:kern w:val="0"/>
          <w:szCs w:val="20"/>
          <w:highlight w:val="none"/>
        </w:rPr>
        <w:t>第一章</w:t>
      </w:r>
      <w:r>
        <w:rPr>
          <w:color w:val="auto"/>
          <w:kern w:val="0"/>
          <w:szCs w:val="20"/>
          <w:highlight w:val="none"/>
        </w:rPr>
        <w:t xml:space="preserve">  </w:t>
      </w:r>
      <w:r>
        <w:rPr>
          <w:rFonts w:hint="eastAsia"/>
          <w:color w:val="auto"/>
          <w:kern w:val="0"/>
          <w:szCs w:val="20"/>
          <w:highlight w:val="none"/>
        </w:rPr>
        <w:t>招标公告</w:t>
      </w:r>
      <w:r>
        <w:rPr>
          <w:color w:val="auto"/>
          <w:highlight w:val="none"/>
        </w:rPr>
        <w:tab/>
      </w:r>
      <w:r>
        <w:rPr>
          <w:rFonts w:hint="eastAsia"/>
          <w:color w:val="auto"/>
          <w:highlight w:val="none"/>
        </w:rPr>
        <w:t>2</w:t>
      </w:r>
      <w:r>
        <w:rPr>
          <w:rFonts w:hint="eastAsia"/>
          <w:color w:val="auto"/>
          <w:highlight w:val="none"/>
        </w:rPr>
        <w:fldChar w:fldCharType="end"/>
      </w:r>
    </w:p>
    <w:p w14:paraId="2AD04467">
      <w:pPr>
        <w:pStyle w:val="12"/>
        <w:tabs>
          <w:tab w:val="right" w:leader="dot" w:pos="9638"/>
        </w:tabs>
        <w:rPr>
          <w:color w:val="auto"/>
          <w:highlight w:val="none"/>
        </w:rPr>
      </w:pPr>
      <w:r>
        <w:rPr>
          <w:rFonts w:ascii="Calibri" w:hAnsi="宋体"/>
          <w:b/>
          <w:bCs/>
          <w:caps/>
          <w:color w:val="auto"/>
          <w:sz w:val="28"/>
          <w:szCs w:val="28"/>
          <w:highlight w:val="none"/>
          <w:u w:val="single"/>
        </w:rPr>
        <w:fldChar w:fldCharType="begin"/>
      </w:r>
      <w:r>
        <w:rPr>
          <w:rFonts w:ascii="Calibri" w:hAnsi="宋体"/>
          <w:b/>
          <w:bCs/>
          <w:caps/>
          <w:color w:val="auto"/>
          <w:sz w:val="28"/>
          <w:szCs w:val="28"/>
          <w:highlight w:val="none"/>
          <w:u w:val="single"/>
        </w:rPr>
        <w:instrText xml:space="preserve"> TOC \o "1-3" \h \z \u </w:instrText>
      </w:r>
      <w:r>
        <w:rPr>
          <w:rFonts w:ascii="Calibri" w:hAnsi="宋体"/>
          <w:b/>
          <w:bCs/>
          <w:caps/>
          <w:color w:val="auto"/>
          <w:sz w:val="28"/>
          <w:szCs w:val="28"/>
          <w:highlight w:val="none"/>
          <w:u w:val="single"/>
        </w:rPr>
        <w:fldChar w:fldCharType="separate"/>
      </w:r>
      <w:r>
        <w:rPr>
          <w:color w:val="auto"/>
          <w:highlight w:val="none"/>
        </w:rPr>
        <w:fldChar w:fldCharType="begin"/>
      </w:r>
      <w:r>
        <w:rPr>
          <w:color w:val="auto"/>
          <w:highlight w:val="none"/>
        </w:rPr>
        <w:instrText xml:space="preserve"> HYPERLINK \l "_Toc17295" </w:instrText>
      </w:r>
      <w:r>
        <w:rPr>
          <w:color w:val="auto"/>
          <w:highlight w:val="none"/>
        </w:rPr>
        <w:fldChar w:fldCharType="separate"/>
      </w:r>
      <w:r>
        <w:rPr>
          <w:rFonts w:hint="eastAsia"/>
          <w:color w:val="auto"/>
          <w:kern w:val="0"/>
          <w:szCs w:val="20"/>
          <w:highlight w:val="none"/>
        </w:rPr>
        <w:t>第二章</w:t>
      </w:r>
      <w:r>
        <w:rPr>
          <w:color w:val="auto"/>
          <w:kern w:val="0"/>
          <w:szCs w:val="20"/>
          <w:highlight w:val="none"/>
        </w:rPr>
        <w:t xml:space="preserve">  </w:t>
      </w:r>
      <w:r>
        <w:rPr>
          <w:rFonts w:hint="eastAsia"/>
          <w:color w:val="auto"/>
          <w:kern w:val="0"/>
          <w:szCs w:val="20"/>
          <w:highlight w:val="none"/>
        </w:rPr>
        <w:t>采购需求</w:t>
      </w:r>
      <w:r>
        <w:rPr>
          <w:color w:val="auto"/>
          <w:highlight w:val="none"/>
        </w:rPr>
        <w:tab/>
      </w:r>
      <w:r>
        <w:rPr>
          <w:color w:val="auto"/>
          <w:highlight w:val="none"/>
        </w:rPr>
        <w:fldChar w:fldCharType="begin"/>
      </w:r>
      <w:r>
        <w:rPr>
          <w:color w:val="auto"/>
          <w:highlight w:val="none"/>
        </w:rPr>
        <w:instrText xml:space="preserve"> PAGEREF _Toc17295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0EE014A2">
      <w:pPr>
        <w:pStyle w:val="12"/>
        <w:tabs>
          <w:tab w:val="right" w:leader="dot" w:pos="9638"/>
        </w:tabs>
        <w:rPr>
          <w:color w:val="auto"/>
          <w:highlight w:val="none"/>
        </w:rPr>
      </w:pPr>
      <w:r>
        <w:rPr>
          <w:color w:val="auto"/>
          <w:highlight w:val="none"/>
        </w:rPr>
        <w:fldChar w:fldCharType="begin"/>
      </w:r>
      <w:r>
        <w:rPr>
          <w:color w:val="auto"/>
          <w:highlight w:val="none"/>
        </w:rPr>
        <w:instrText xml:space="preserve"> HYPERLINK \l "_Toc4443" </w:instrText>
      </w:r>
      <w:r>
        <w:rPr>
          <w:color w:val="auto"/>
          <w:highlight w:val="none"/>
        </w:rPr>
        <w:fldChar w:fldCharType="separate"/>
      </w:r>
      <w:r>
        <w:rPr>
          <w:rFonts w:hint="eastAsia"/>
          <w:color w:val="auto"/>
          <w:kern w:val="0"/>
          <w:szCs w:val="20"/>
          <w:highlight w:val="none"/>
        </w:rPr>
        <w:t>第三章</w:t>
      </w:r>
      <w:r>
        <w:rPr>
          <w:color w:val="auto"/>
          <w:kern w:val="0"/>
          <w:szCs w:val="20"/>
          <w:highlight w:val="none"/>
        </w:rPr>
        <w:t xml:space="preserve">  </w:t>
      </w:r>
      <w:r>
        <w:rPr>
          <w:rFonts w:hint="eastAsia"/>
          <w:color w:val="auto"/>
          <w:kern w:val="0"/>
          <w:szCs w:val="20"/>
          <w:highlight w:val="none"/>
        </w:rPr>
        <w:t>投标人须知</w:t>
      </w:r>
      <w:r>
        <w:rPr>
          <w:color w:val="auto"/>
          <w:highlight w:val="none"/>
        </w:rPr>
        <w:tab/>
      </w:r>
      <w:r>
        <w:rPr>
          <w:color w:val="auto"/>
          <w:highlight w:val="none"/>
        </w:rPr>
        <w:fldChar w:fldCharType="begin"/>
      </w:r>
      <w:r>
        <w:rPr>
          <w:color w:val="auto"/>
          <w:highlight w:val="none"/>
        </w:rPr>
        <w:instrText xml:space="preserve"> PAGEREF _Toc4443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6373F5AD">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"_Toc11048" </w:instrText>
      </w:r>
      <w:r>
        <w:rPr>
          <w:color w:val="auto"/>
          <w:highlight w:val="none"/>
        </w:rPr>
        <w:fldChar w:fldCharType="separate"/>
      </w:r>
      <w:r>
        <w:rPr>
          <w:rFonts w:hint="eastAsia"/>
          <w:color w:val="auto"/>
          <w:kern w:val="0"/>
          <w:szCs w:val="30"/>
          <w:highlight w:val="none"/>
        </w:rPr>
        <w:t>第一节</w:t>
      </w:r>
      <w:r>
        <w:rPr>
          <w:color w:val="auto"/>
          <w:kern w:val="0"/>
          <w:szCs w:val="30"/>
          <w:highlight w:val="none"/>
        </w:rPr>
        <w:t xml:space="preserve"> </w:t>
      </w:r>
      <w:r>
        <w:rPr>
          <w:rFonts w:hint="eastAsia"/>
          <w:color w:val="auto"/>
          <w:kern w:val="0"/>
          <w:szCs w:val="30"/>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_Toc11048 \h </w:instrText>
      </w:r>
      <w:r>
        <w:rPr>
          <w:color w:val="auto"/>
          <w:highlight w:val="none"/>
        </w:rPr>
        <w:fldChar w:fldCharType="separate"/>
      </w:r>
      <w:r>
        <w:rPr>
          <w:color w:val="auto"/>
          <w:highlight w:val="none"/>
        </w:rPr>
        <w:t>22</w:t>
      </w:r>
      <w:r>
        <w:rPr>
          <w:color w:val="auto"/>
          <w:highlight w:val="none"/>
        </w:rPr>
        <w:fldChar w:fldCharType="end"/>
      </w:r>
      <w:r>
        <w:rPr>
          <w:color w:val="auto"/>
          <w:highlight w:val="none"/>
        </w:rPr>
        <w:fldChar w:fldCharType="end"/>
      </w:r>
    </w:p>
    <w:p w14:paraId="47945418">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"_Toc8448" </w:instrText>
      </w:r>
      <w:r>
        <w:rPr>
          <w:color w:val="auto"/>
          <w:highlight w:val="none"/>
        </w:rPr>
        <w:fldChar w:fldCharType="separate"/>
      </w:r>
      <w:r>
        <w:rPr>
          <w:rFonts w:hint="eastAsia" w:ascii="Arial" w:hAnsi="Arial" w:eastAsia="黑体"/>
          <w:bCs/>
          <w:color w:val="auto"/>
          <w:kern w:val="0"/>
          <w:szCs w:val="32"/>
          <w:highlight w:val="none"/>
        </w:rPr>
        <w:t>第二节</w:t>
      </w:r>
      <w:r>
        <w:rPr>
          <w:rFonts w:ascii="Arial" w:hAnsi="Arial" w:eastAsia="黑体"/>
          <w:bCs/>
          <w:color w:val="auto"/>
          <w:kern w:val="0"/>
          <w:szCs w:val="32"/>
          <w:highlight w:val="none"/>
        </w:rPr>
        <w:t xml:space="preserve"> </w:t>
      </w:r>
      <w:r>
        <w:rPr>
          <w:rFonts w:hint="eastAsia" w:ascii="Arial" w:hAnsi="Arial" w:eastAsia="黑体"/>
          <w:bCs/>
          <w:color w:val="auto"/>
          <w:kern w:val="0"/>
          <w:szCs w:val="32"/>
          <w:highlight w:val="none"/>
        </w:rPr>
        <w:t>投标人须知正文</w:t>
      </w:r>
      <w:r>
        <w:rPr>
          <w:color w:val="auto"/>
          <w:highlight w:val="none"/>
        </w:rPr>
        <w:tab/>
      </w:r>
      <w:r>
        <w:rPr>
          <w:color w:val="auto"/>
          <w:highlight w:val="none"/>
        </w:rPr>
        <w:fldChar w:fldCharType="begin"/>
      </w:r>
      <w:r>
        <w:rPr>
          <w:color w:val="auto"/>
          <w:highlight w:val="none"/>
        </w:rPr>
        <w:instrText xml:space="preserve"> PAGEREF _Toc8448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1029891">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"_Toc23406" </w:instrText>
      </w:r>
      <w:r>
        <w:rPr>
          <w:color w:val="auto"/>
          <w:highlight w:val="none"/>
        </w:rPr>
        <w:fldChar w:fldCharType="separate"/>
      </w:r>
      <w:r>
        <w:rPr>
          <w:rFonts w:hint="eastAsia"/>
          <w:bCs/>
          <w:color w:val="auto"/>
          <w:kern w:val="0"/>
          <w:szCs w:val="32"/>
          <w:highlight w:val="none"/>
        </w:rPr>
        <w:t>一、总</w:t>
      </w:r>
      <w:r>
        <w:rPr>
          <w:bCs/>
          <w:color w:val="auto"/>
          <w:kern w:val="0"/>
          <w:szCs w:val="32"/>
          <w:highlight w:val="none"/>
        </w:rPr>
        <w:t xml:space="preserve">  </w:t>
      </w:r>
      <w:r>
        <w:rPr>
          <w:rFonts w:hint="eastAsia"/>
          <w:bCs/>
          <w:color w:val="auto"/>
          <w:kern w:val="0"/>
          <w:szCs w:val="32"/>
          <w:highlight w:val="none"/>
        </w:rPr>
        <w:t>则</w:t>
      </w:r>
      <w:r>
        <w:rPr>
          <w:color w:val="auto"/>
          <w:highlight w:val="none"/>
        </w:rPr>
        <w:tab/>
      </w:r>
      <w:r>
        <w:rPr>
          <w:color w:val="auto"/>
          <w:highlight w:val="none"/>
        </w:rPr>
        <w:fldChar w:fldCharType="begin"/>
      </w:r>
      <w:r>
        <w:rPr>
          <w:color w:val="auto"/>
          <w:highlight w:val="none"/>
        </w:rPr>
        <w:instrText xml:space="preserve"> PAGEREF _Toc23406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2B7DD2DC">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"_Toc26415" </w:instrText>
      </w:r>
      <w:r>
        <w:rPr>
          <w:color w:val="auto"/>
          <w:highlight w:val="none"/>
        </w:rPr>
        <w:fldChar w:fldCharType="separate"/>
      </w:r>
      <w:r>
        <w:rPr>
          <w:rFonts w:hint="eastAsia"/>
          <w:bCs/>
          <w:color w:val="auto"/>
          <w:kern w:val="0"/>
          <w:szCs w:val="32"/>
          <w:highlight w:val="none"/>
        </w:rPr>
        <w:t>二、招标文件</w:t>
      </w:r>
      <w:r>
        <w:rPr>
          <w:color w:val="auto"/>
          <w:highlight w:val="none"/>
        </w:rPr>
        <w:tab/>
      </w:r>
      <w:r>
        <w:rPr>
          <w:color w:val="auto"/>
          <w:highlight w:val="none"/>
        </w:rPr>
        <w:fldChar w:fldCharType="begin"/>
      </w:r>
      <w:r>
        <w:rPr>
          <w:color w:val="auto"/>
          <w:highlight w:val="none"/>
        </w:rPr>
        <w:instrText xml:space="preserve"> PAGEREF _Toc26415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1ED7E96B">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"_Toc9725" </w:instrText>
      </w:r>
      <w:r>
        <w:rPr>
          <w:color w:val="auto"/>
          <w:highlight w:val="none"/>
        </w:rPr>
        <w:fldChar w:fldCharType="separate"/>
      </w:r>
      <w:r>
        <w:rPr>
          <w:rFonts w:hint="eastAsia"/>
          <w:bCs/>
          <w:color w:val="auto"/>
          <w:kern w:val="0"/>
          <w:szCs w:val="32"/>
          <w:highlight w:val="none"/>
        </w:rPr>
        <w:t>三、投标文件的编制</w:t>
      </w:r>
      <w:r>
        <w:rPr>
          <w:color w:val="auto"/>
          <w:highlight w:val="none"/>
        </w:rPr>
        <w:tab/>
      </w:r>
      <w:r>
        <w:rPr>
          <w:color w:val="auto"/>
          <w:highlight w:val="none"/>
        </w:rPr>
        <w:fldChar w:fldCharType="begin"/>
      </w:r>
      <w:r>
        <w:rPr>
          <w:color w:val="auto"/>
          <w:highlight w:val="none"/>
        </w:rPr>
        <w:instrText xml:space="preserve"> PAGEREF _Toc9725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7CE5A675">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"_Toc18901" </w:instrText>
      </w:r>
      <w:r>
        <w:rPr>
          <w:color w:val="auto"/>
          <w:highlight w:val="none"/>
        </w:rPr>
        <w:fldChar w:fldCharType="separate"/>
      </w:r>
      <w:r>
        <w:rPr>
          <w:rFonts w:hint="eastAsia"/>
          <w:bCs/>
          <w:color w:val="auto"/>
          <w:kern w:val="0"/>
          <w:szCs w:val="32"/>
          <w:highlight w:val="none"/>
        </w:rPr>
        <w:t>四、开</w:t>
      </w:r>
      <w:r>
        <w:rPr>
          <w:bCs/>
          <w:color w:val="auto"/>
          <w:kern w:val="0"/>
          <w:szCs w:val="32"/>
          <w:highlight w:val="none"/>
        </w:rPr>
        <w:t xml:space="preserve">    </w:t>
      </w:r>
      <w:r>
        <w:rPr>
          <w:rFonts w:hint="eastAsia"/>
          <w:bCs/>
          <w:color w:val="auto"/>
          <w:kern w:val="0"/>
          <w:szCs w:val="32"/>
          <w:highlight w:val="none"/>
        </w:rPr>
        <w:t>标</w:t>
      </w:r>
      <w:r>
        <w:rPr>
          <w:color w:val="auto"/>
          <w:highlight w:val="none"/>
        </w:rPr>
        <w:tab/>
      </w:r>
      <w:r>
        <w:rPr>
          <w:color w:val="auto"/>
          <w:highlight w:val="none"/>
        </w:rPr>
        <w:fldChar w:fldCharType="begin"/>
      </w:r>
      <w:r>
        <w:rPr>
          <w:color w:val="auto"/>
          <w:highlight w:val="none"/>
        </w:rPr>
        <w:instrText xml:space="preserve"> PAGEREF _Toc18901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0B9C6858">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"_Toc27187" </w:instrText>
      </w:r>
      <w:r>
        <w:rPr>
          <w:color w:val="auto"/>
          <w:highlight w:val="none"/>
        </w:rPr>
        <w:fldChar w:fldCharType="separate"/>
      </w:r>
      <w:r>
        <w:rPr>
          <w:rFonts w:hint="eastAsia"/>
          <w:bCs/>
          <w:color w:val="auto"/>
          <w:kern w:val="0"/>
          <w:szCs w:val="32"/>
          <w:highlight w:val="none"/>
        </w:rPr>
        <w:t>五、资格审查</w:t>
      </w:r>
      <w:r>
        <w:rPr>
          <w:color w:val="auto"/>
          <w:highlight w:val="none"/>
        </w:rPr>
        <w:tab/>
      </w:r>
      <w:r>
        <w:rPr>
          <w:color w:val="auto"/>
          <w:highlight w:val="none"/>
        </w:rPr>
        <w:fldChar w:fldCharType="begin"/>
      </w:r>
      <w:r>
        <w:rPr>
          <w:color w:val="auto"/>
          <w:highlight w:val="none"/>
        </w:rPr>
        <w:instrText xml:space="preserve"> PAGEREF _Toc27187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661491B3">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"_Toc8024" </w:instrText>
      </w:r>
      <w:r>
        <w:rPr>
          <w:color w:val="auto"/>
          <w:highlight w:val="none"/>
        </w:rPr>
        <w:fldChar w:fldCharType="separate"/>
      </w:r>
      <w:r>
        <w:rPr>
          <w:rFonts w:hint="eastAsia"/>
          <w:bCs/>
          <w:color w:val="auto"/>
          <w:kern w:val="0"/>
          <w:szCs w:val="32"/>
          <w:highlight w:val="none"/>
        </w:rPr>
        <w:t>六、评</w:t>
      </w:r>
      <w:r>
        <w:rPr>
          <w:bCs/>
          <w:color w:val="auto"/>
          <w:kern w:val="0"/>
          <w:szCs w:val="32"/>
          <w:highlight w:val="none"/>
        </w:rPr>
        <w:t xml:space="preserve">   </w:t>
      </w:r>
      <w:r>
        <w:rPr>
          <w:rFonts w:hint="eastAsia"/>
          <w:bCs/>
          <w:color w:val="auto"/>
          <w:kern w:val="0"/>
          <w:szCs w:val="32"/>
          <w:highlight w:val="none"/>
        </w:rPr>
        <w:t>标</w:t>
      </w:r>
      <w:r>
        <w:rPr>
          <w:color w:val="auto"/>
          <w:highlight w:val="none"/>
        </w:rPr>
        <w:tab/>
      </w:r>
      <w:r>
        <w:rPr>
          <w:color w:val="auto"/>
          <w:highlight w:val="none"/>
        </w:rPr>
        <w:fldChar w:fldCharType="begin"/>
      </w:r>
      <w:r>
        <w:rPr>
          <w:color w:val="auto"/>
          <w:highlight w:val="none"/>
        </w:rPr>
        <w:instrText xml:space="preserve"> PAGEREF _Toc8024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01778A08">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"_Toc20317" </w:instrText>
      </w:r>
      <w:r>
        <w:rPr>
          <w:color w:val="auto"/>
          <w:highlight w:val="none"/>
        </w:rPr>
        <w:fldChar w:fldCharType="separate"/>
      </w:r>
      <w:r>
        <w:rPr>
          <w:rFonts w:hint="eastAsia"/>
          <w:bCs/>
          <w:color w:val="auto"/>
          <w:kern w:val="0"/>
          <w:szCs w:val="32"/>
          <w:highlight w:val="none"/>
        </w:rPr>
        <w:t>七、中标和合同</w:t>
      </w:r>
      <w:r>
        <w:rPr>
          <w:color w:val="auto"/>
          <w:highlight w:val="none"/>
        </w:rPr>
        <w:tab/>
      </w:r>
      <w:r>
        <w:rPr>
          <w:color w:val="auto"/>
          <w:highlight w:val="none"/>
        </w:rPr>
        <w:fldChar w:fldCharType="begin"/>
      </w:r>
      <w:r>
        <w:rPr>
          <w:color w:val="auto"/>
          <w:highlight w:val="none"/>
        </w:rPr>
        <w:instrText xml:space="preserve"> PAGEREF _Toc20317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45EE39F2">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"_Toc23138" </w:instrText>
      </w:r>
      <w:r>
        <w:rPr>
          <w:color w:val="auto"/>
          <w:highlight w:val="none"/>
        </w:rPr>
        <w:fldChar w:fldCharType="separate"/>
      </w:r>
      <w:r>
        <w:rPr>
          <w:rFonts w:hint="eastAsia"/>
          <w:bCs/>
          <w:color w:val="auto"/>
          <w:szCs w:val="32"/>
          <w:highlight w:val="none"/>
        </w:rPr>
        <w:t>八、验收</w:t>
      </w:r>
      <w:r>
        <w:rPr>
          <w:color w:val="auto"/>
          <w:highlight w:val="none"/>
        </w:rPr>
        <w:tab/>
      </w:r>
      <w:r>
        <w:rPr>
          <w:color w:val="auto"/>
          <w:highlight w:val="none"/>
        </w:rPr>
        <w:fldChar w:fldCharType="begin"/>
      </w:r>
      <w:r>
        <w:rPr>
          <w:color w:val="auto"/>
          <w:highlight w:val="none"/>
        </w:rPr>
        <w:instrText xml:space="preserve"> PAGEREF _Toc23138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6615917">
      <w:pPr>
        <w:pStyle w:val="8"/>
        <w:tabs>
          <w:tab w:val="right" w:leader="dot" w:pos="9638"/>
        </w:tabs>
        <w:rPr>
          <w:color w:val="auto"/>
          <w:highlight w:val="none"/>
        </w:rPr>
      </w:pPr>
      <w:r>
        <w:rPr>
          <w:color w:val="auto"/>
          <w:highlight w:val="none"/>
        </w:rPr>
        <w:fldChar w:fldCharType="begin"/>
      </w:r>
      <w:r>
        <w:rPr>
          <w:color w:val="auto"/>
          <w:highlight w:val="none"/>
        </w:rPr>
        <w:instrText xml:space="preserve"> HYPERLINK \l "_Toc3013" </w:instrText>
      </w:r>
      <w:r>
        <w:rPr>
          <w:color w:val="auto"/>
          <w:highlight w:val="none"/>
        </w:rPr>
        <w:fldChar w:fldCharType="separate"/>
      </w:r>
      <w:r>
        <w:rPr>
          <w:rFonts w:hint="eastAsia"/>
          <w:bCs/>
          <w:color w:val="auto"/>
          <w:kern w:val="0"/>
          <w:szCs w:val="32"/>
          <w:highlight w:val="none"/>
        </w:rPr>
        <w:t>九、其他事项</w:t>
      </w:r>
      <w:r>
        <w:rPr>
          <w:color w:val="auto"/>
          <w:highlight w:val="none"/>
        </w:rPr>
        <w:tab/>
      </w:r>
      <w:r>
        <w:rPr>
          <w:color w:val="auto"/>
          <w:highlight w:val="none"/>
        </w:rPr>
        <w:fldChar w:fldCharType="begin"/>
      </w:r>
      <w:r>
        <w:rPr>
          <w:color w:val="auto"/>
          <w:highlight w:val="none"/>
        </w:rPr>
        <w:instrText xml:space="preserve"> PAGEREF _Toc3013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22105979">
      <w:pPr>
        <w:pStyle w:val="12"/>
        <w:tabs>
          <w:tab w:val="right" w:leader="dot" w:pos="9638"/>
        </w:tabs>
        <w:rPr>
          <w:color w:val="auto"/>
          <w:highlight w:val="none"/>
        </w:rPr>
      </w:pPr>
      <w:r>
        <w:rPr>
          <w:color w:val="auto"/>
          <w:highlight w:val="none"/>
        </w:rPr>
        <w:fldChar w:fldCharType="begin"/>
      </w:r>
      <w:r>
        <w:rPr>
          <w:color w:val="auto"/>
          <w:highlight w:val="none"/>
        </w:rPr>
        <w:instrText xml:space="preserve"> HYPERLINK \l "_Toc21819" </w:instrText>
      </w:r>
      <w:r>
        <w:rPr>
          <w:color w:val="auto"/>
          <w:highlight w:val="none"/>
        </w:rPr>
        <w:fldChar w:fldCharType="separate"/>
      </w:r>
      <w:r>
        <w:rPr>
          <w:rFonts w:hint="eastAsia"/>
          <w:color w:val="auto"/>
          <w:kern w:val="0"/>
          <w:szCs w:val="20"/>
          <w:highlight w:val="none"/>
        </w:rPr>
        <w:t>第四章</w:t>
      </w:r>
      <w:r>
        <w:rPr>
          <w:color w:val="auto"/>
          <w:kern w:val="0"/>
          <w:szCs w:val="20"/>
          <w:highlight w:val="none"/>
        </w:rPr>
        <w:t xml:space="preserve">  </w:t>
      </w:r>
      <w:r>
        <w:rPr>
          <w:rFonts w:hint="eastAsia"/>
          <w:color w:val="auto"/>
          <w:kern w:val="0"/>
          <w:szCs w:val="20"/>
          <w:highlight w:val="none"/>
        </w:rPr>
        <w:t>评标方法及评分标准</w:t>
      </w:r>
      <w:r>
        <w:rPr>
          <w:color w:val="auto"/>
          <w:highlight w:val="none"/>
        </w:rPr>
        <w:tab/>
      </w:r>
      <w:r>
        <w:rPr>
          <w:color w:val="auto"/>
          <w:highlight w:val="none"/>
        </w:rPr>
        <w:fldChar w:fldCharType="begin"/>
      </w:r>
      <w:r>
        <w:rPr>
          <w:color w:val="auto"/>
          <w:highlight w:val="none"/>
        </w:rPr>
        <w:instrText xml:space="preserve"> PAGEREF _Toc21819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3B52FE31">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"_Toc8493" </w:instrText>
      </w:r>
      <w:r>
        <w:rPr>
          <w:color w:val="auto"/>
          <w:highlight w:val="none"/>
        </w:rPr>
        <w:fldChar w:fldCharType="separate"/>
      </w:r>
      <w:r>
        <w:rPr>
          <w:rFonts w:hint="eastAsia"/>
          <w:bCs/>
          <w:color w:val="auto"/>
          <w:kern w:val="0"/>
          <w:szCs w:val="32"/>
          <w:highlight w:val="none"/>
        </w:rPr>
        <w:t>第一节</w:t>
      </w:r>
      <w:r>
        <w:rPr>
          <w:bCs/>
          <w:color w:val="auto"/>
          <w:kern w:val="0"/>
          <w:szCs w:val="32"/>
          <w:highlight w:val="none"/>
        </w:rPr>
        <w:t xml:space="preserve"> </w:t>
      </w:r>
      <w:r>
        <w:rPr>
          <w:rFonts w:hint="eastAsia"/>
          <w:bCs/>
          <w:color w:val="auto"/>
          <w:kern w:val="0"/>
          <w:szCs w:val="32"/>
          <w:highlight w:val="none"/>
        </w:rPr>
        <w:t>评标方法</w:t>
      </w:r>
      <w:r>
        <w:rPr>
          <w:color w:val="auto"/>
          <w:highlight w:val="none"/>
        </w:rPr>
        <w:tab/>
      </w:r>
      <w:r>
        <w:rPr>
          <w:color w:val="auto"/>
          <w:highlight w:val="none"/>
        </w:rPr>
        <w:fldChar w:fldCharType="begin"/>
      </w:r>
      <w:r>
        <w:rPr>
          <w:color w:val="auto"/>
          <w:highlight w:val="none"/>
        </w:rPr>
        <w:instrText xml:space="preserve"> PAGEREF _Toc8493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1AF2C85E">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"_Toc16585" </w:instrText>
      </w:r>
      <w:r>
        <w:rPr>
          <w:color w:val="auto"/>
          <w:highlight w:val="none"/>
        </w:rPr>
        <w:fldChar w:fldCharType="separate"/>
      </w:r>
      <w:r>
        <w:rPr>
          <w:rFonts w:hint="eastAsia"/>
          <w:bCs/>
          <w:color w:val="auto"/>
          <w:kern w:val="0"/>
          <w:szCs w:val="32"/>
          <w:highlight w:val="none"/>
        </w:rPr>
        <w:t>第二节</w:t>
      </w:r>
      <w:r>
        <w:rPr>
          <w:bCs/>
          <w:color w:val="auto"/>
          <w:kern w:val="0"/>
          <w:szCs w:val="32"/>
          <w:highlight w:val="none"/>
        </w:rPr>
        <w:t xml:space="preserve"> </w:t>
      </w:r>
      <w:r>
        <w:rPr>
          <w:rFonts w:hint="eastAsia"/>
          <w:bCs/>
          <w:color w:val="auto"/>
          <w:kern w:val="0"/>
          <w:szCs w:val="32"/>
          <w:highlight w:val="none"/>
        </w:rPr>
        <w:t>评标程序</w:t>
      </w:r>
      <w:r>
        <w:rPr>
          <w:color w:val="auto"/>
          <w:highlight w:val="none"/>
        </w:rPr>
        <w:tab/>
      </w:r>
      <w:r>
        <w:rPr>
          <w:color w:val="auto"/>
          <w:highlight w:val="none"/>
        </w:rPr>
        <w:fldChar w:fldCharType="begin"/>
      </w:r>
      <w:r>
        <w:rPr>
          <w:color w:val="auto"/>
          <w:highlight w:val="none"/>
        </w:rPr>
        <w:instrText xml:space="preserve"> PAGEREF _Toc16585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41778EAB">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"_Toc8782" </w:instrText>
      </w:r>
      <w:r>
        <w:rPr>
          <w:color w:val="auto"/>
          <w:highlight w:val="none"/>
        </w:rPr>
        <w:fldChar w:fldCharType="separate"/>
      </w:r>
      <w:r>
        <w:rPr>
          <w:rFonts w:hint="eastAsia" w:ascii="Arial" w:hAnsi="Arial" w:eastAsia="黑体"/>
          <w:bCs/>
          <w:color w:val="auto"/>
          <w:kern w:val="0"/>
          <w:szCs w:val="30"/>
          <w:highlight w:val="none"/>
        </w:rPr>
        <w:t>第三节</w:t>
      </w:r>
      <w:r>
        <w:rPr>
          <w:rFonts w:ascii="Arial" w:hAnsi="Arial" w:eastAsia="黑体"/>
          <w:bCs/>
          <w:color w:val="auto"/>
          <w:kern w:val="0"/>
          <w:szCs w:val="30"/>
          <w:highlight w:val="none"/>
        </w:rPr>
        <w:t xml:space="preserve"> </w:t>
      </w:r>
      <w:r>
        <w:rPr>
          <w:rFonts w:hint="eastAsia" w:ascii="Arial" w:hAnsi="Arial" w:eastAsia="黑体"/>
          <w:bCs/>
          <w:color w:val="auto"/>
          <w:kern w:val="0"/>
          <w:szCs w:val="30"/>
          <w:highlight w:val="none"/>
        </w:rPr>
        <w:t>评分标准</w:t>
      </w:r>
      <w:r>
        <w:rPr>
          <w:color w:val="auto"/>
          <w:highlight w:val="none"/>
        </w:rPr>
        <w:tab/>
      </w:r>
      <w:r>
        <w:rPr>
          <w:color w:val="auto"/>
          <w:highlight w:val="none"/>
        </w:rPr>
        <w:fldChar w:fldCharType="begin"/>
      </w:r>
      <w:r>
        <w:rPr>
          <w:color w:val="auto"/>
          <w:highlight w:val="none"/>
        </w:rPr>
        <w:instrText xml:space="preserve"> PAGEREF _Toc8782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56134CE5">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"_Toc7336" </w:instrText>
      </w:r>
      <w:r>
        <w:rPr>
          <w:color w:val="auto"/>
          <w:highlight w:val="none"/>
        </w:rPr>
        <w:fldChar w:fldCharType="separate"/>
      </w:r>
      <w:r>
        <w:rPr>
          <w:rFonts w:hint="eastAsia" w:ascii="Arial" w:hAnsi="Arial" w:eastAsia="黑体"/>
          <w:bCs/>
          <w:color w:val="auto"/>
          <w:kern w:val="0"/>
          <w:szCs w:val="30"/>
          <w:highlight w:val="none"/>
        </w:rPr>
        <w:t>第四节</w:t>
      </w:r>
      <w:r>
        <w:rPr>
          <w:rFonts w:ascii="Arial" w:hAnsi="Arial" w:eastAsia="黑体"/>
          <w:bCs/>
          <w:color w:val="auto"/>
          <w:kern w:val="0"/>
          <w:szCs w:val="30"/>
          <w:highlight w:val="none"/>
        </w:rPr>
        <w:t xml:space="preserve"> </w:t>
      </w:r>
      <w:r>
        <w:rPr>
          <w:rFonts w:hint="eastAsia" w:ascii="Arial" w:hAnsi="Arial" w:eastAsia="黑体"/>
          <w:bCs/>
          <w:color w:val="auto"/>
          <w:kern w:val="0"/>
          <w:szCs w:val="30"/>
          <w:highlight w:val="none"/>
        </w:rPr>
        <w:t>中标候选人推荐原则</w:t>
      </w:r>
      <w:r>
        <w:rPr>
          <w:color w:val="auto"/>
          <w:highlight w:val="none"/>
        </w:rPr>
        <w:tab/>
      </w:r>
      <w:r>
        <w:rPr>
          <w:color w:val="auto"/>
          <w:highlight w:val="none"/>
        </w:rPr>
        <w:fldChar w:fldCharType="begin"/>
      </w:r>
      <w:r>
        <w:rPr>
          <w:color w:val="auto"/>
          <w:highlight w:val="none"/>
        </w:rPr>
        <w:instrText xml:space="preserve"> PAGEREF _Toc7336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7838BF17">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"_Toc28938" </w:instrText>
      </w:r>
      <w:r>
        <w:rPr>
          <w:color w:val="auto"/>
          <w:highlight w:val="none"/>
        </w:rPr>
        <w:fldChar w:fldCharType="separate"/>
      </w:r>
      <w:r>
        <w:rPr>
          <w:rFonts w:hint="eastAsia" w:ascii="Arial" w:hAnsi="Arial" w:eastAsia="黑体"/>
          <w:bCs/>
          <w:color w:val="auto"/>
          <w:kern w:val="0"/>
          <w:szCs w:val="30"/>
          <w:highlight w:val="none"/>
        </w:rPr>
        <w:t>第五节</w:t>
      </w:r>
      <w:r>
        <w:rPr>
          <w:rFonts w:ascii="Arial" w:hAnsi="Arial" w:eastAsia="黑体"/>
          <w:bCs/>
          <w:color w:val="auto"/>
          <w:kern w:val="0"/>
          <w:szCs w:val="30"/>
          <w:highlight w:val="none"/>
        </w:rPr>
        <w:t xml:space="preserve"> </w:t>
      </w:r>
      <w:r>
        <w:rPr>
          <w:rFonts w:hint="eastAsia" w:ascii="Arial" w:hAnsi="Arial" w:eastAsia="黑体"/>
          <w:bCs/>
          <w:color w:val="auto"/>
          <w:kern w:val="0"/>
          <w:szCs w:val="30"/>
          <w:highlight w:val="none"/>
        </w:rPr>
        <w:t>评标报告</w:t>
      </w:r>
      <w:r>
        <w:rPr>
          <w:color w:val="auto"/>
          <w:highlight w:val="none"/>
        </w:rPr>
        <w:tab/>
      </w:r>
      <w:r>
        <w:rPr>
          <w:color w:val="auto"/>
          <w:highlight w:val="none"/>
        </w:rPr>
        <w:fldChar w:fldCharType="begin"/>
      </w:r>
      <w:r>
        <w:rPr>
          <w:color w:val="auto"/>
          <w:highlight w:val="none"/>
        </w:rPr>
        <w:instrText xml:space="preserve"> PAGEREF _Toc28938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7B2C5167">
      <w:pPr>
        <w:pStyle w:val="12"/>
        <w:tabs>
          <w:tab w:val="right" w:leader="dot" w:pos="9638"/>
        </w:tabs>
        <w:rPr>
          <w:color w:val="auto"/>
          <w:highlight w:val="none"/>
        </w:rPr>
      </w:pPr>
      <w:r>
        <w:rPr>
          <w:color w:val="auto"/>
          <w:highlight w:val="none"/>
        </w:rPr>
        <w:fldChar w:fldCharType="begin"/>
      </w:r>
      <w:r>
        <w:rPr>
          <w:color w:val="auto"/>
          <w:highlight w:val="none"/>
        </w:rPr>
        <w:instrText xml:space="preserve"> HYPERLINK \l "_Toc2306" </w:instrText>
      </w:r>
      <w:r>
        <w:rPr>
          <w:color w:val="auto"/>
          <w:highlight w:val="none"/>
        </w:rPr>
        <w:fldChar w:fldCharType="separate"/>
      </w:r>
      <w:r>
        <w:rPr>
          <w:rFonts w:hint="eastAsia"/>
          <w:color w:val="auto"/>
          <w:kern w:val="0"/>
          <w:szCs w:val="20"/>
          <w:highlight w:val="none"/>
        </w:rPr>
        <w:t>第五章</w:t>
      </w:r>
      <w:r>
        <w:rPr>
          <w:color w:val="auto"/>
          <w:kern w:val="0"/>
          <w:szCs w:val="20"/>
          <w:highlight w:val="none"/>
        </w:rPr>
        <w:t xml:space="preserve"> </w:t>
      </w:r>
      <w:r>
        <w:rPr>
          <w:rFonts w:hint="eastAsia"/>
          <w:color w:val="auto"/>
          <w:kern w:val="0"/>
          <w:szCs w:val="20"/>
          <w:highlight w:val="none"/>
        </w:rPr>
        <w:t>拟签订的合同文本</w:t>
      </w:r>
      <w:r>
        <w:rPr>
          <w:color w:val="auto"/>
          <w:highlight w:val="none"/>
        </w:rPr>
        <w:tab/>
      </w:r>
      <w:r>
        <w:rPr>
          <w:color w:val="auto"/>
          <w:highlight w:val="none"/>
        </w:rPr>
        <w:fldChar w:fldCharType="begin"/>
      </w:r>
      <w:r>
        <w:rPr>
          <w:color w:val="auto"/>
          <w:highlight w:val="none"/>
        </w:rPr>
        <w:instrText xml:space="preserve"> PAGEREF _Toc2306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77E76E0E">
      <w:pPr>
        <w:pStyle w:val="12"/>
        <w:tabs>
          <w:tab w:val="right" w:leader="dot" w:pos="9638"/>
        </w:tabs>
        <w:rPr>
          <w:color w:val="auto"/>
          <w:highlight w:val="none"/>
        </w:rPr>
      </w:pPr>
      <w:r>
        <w:rPr>
          <w:color w:val="auto"/>
          <w:highlight w:val="none"/>
        </w:rPr>
        <w:fldChar w:fldCharType="begin"/>
      </w:r>
      <w:r>
        <w:rPr>
          <w:color w:val="auto"/>
          <w:highlight w:val="none"/>
        </w:rPr>
        <w:instrText xml:space="preserve"> HYPERLINK \l "_Toc9075" </w:instrText>
      </w:r>
      <w:r>
        <w:rPr>
          <w:color w:val="auto"/>
          <w:highlight w:val="none"/>
        </w:rPr>
        <w:fldChar w:fldCharType="separate"/>
      </w:r>
      <w:r>
        <w:rPr>
          <w:rFonts w:hint="eastAsia"/>
          <w:color w:val="auto"/>
          <w:kern w:val="0"/>
          <w:szCs w:val="20"/>
          <w:highlight w:val="none"/>
        </w:rPr>
        <w:t>第六章</w:t>
      </w:r>
      <w:r>
        <w:rPr>
          <w:color w:val="auto"/>
          <w:kern w:val="0"/>
          <w:szCs w:val="20"/>
          <w:highlight w:val="none"/>
        </w:rPr>
        <w:t xml:space="preserve"> </w:t>
      </w:r>
      <w:r>
        <w:rPr>
          <w:rFonts w:hint="eastAsia"/>
          <w:color w:val="auto"/>
          <w:kern w:val="0"/>
          <w:szCs w:val="20"/>
          <w:highlight w:val="none"/>
        </w:rPr>
        <w:t>投标文件格式</w:t>
      </w:r>
      <w:r>
        <w:rPr>
          <w:color w:val="auto"/>
          <w:highlight w:val="none"/>
        </w:rPr>
        <w:tab/>
      </w:r>
      <w:r>
        <w:rPr>
          <w:color w:val="auto"/>
          <w:highlight w:val="none"/>
        </w:rPr>
        <w:fldChar w:fldCharType="begin"/>
      </w:r>
      <w:r>
        <w:rPr>
          <w:color w:val="auto"/>
          <w:highlight w:val="none"/>
        </w:rPr>
        <w:instrText xml:space="preserve"> PAGEREF _Toc9075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611E8438">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"_Toc2051" </w:instrText>
      </w:r>
      <w:r>
        <w:rPr>
          <w:color w:val="auto"/>
          <w:highlight w:val="none"/>
        </w:rPr>
        <w:fldChar w:fldCharType="separate"/>
      </w:r>
      <w:r>
        <w:rPr>
          <w:rFonts w:hint="eastAsia" w:ascii="宋体" w:hAnsi="宋体"/>
          <w:bCs/>
          <w:color w:val="auto"/>
          <w:kern w:val="0"/>
          <w:szCs w:val="28"/>
          <w:highlight w:val="none"/>
        </w:rPr>
        <w:t>第一节 资格证明文件格式</w:t>
      </w:r>
      <w:r>
        <w:rPr>
          <w:color w:val="auto"/>
          <w:highlight w:val="none"/>
        </w:rPr>
        <w:tab/>
      </w:r>
      <w:r>
        <w:rPr>
          <w:color w:val="auto"/>
          <w:highlight w:val="none"/>
        </w:rPr>
        <w:fldChar w:fldCharType="begin"/>
      </w:r>
      <w:r>
        <w:rPr>
          <w:color w:val="auto"/>
          <w:highlight w:val="none"/>
        </w:rPr>
        <w:instrText xml:space="preserve"> PAGEREF _Toc2051 \h </w:instrText>
      </w:r>
      <w:r>
        <w:rPr>
          <w:color w:val="auto"/>
          <w:highlight w:val="none"/>
        </w:rPr>
        <w:fldChar w:fldCharType="separate"/>
      </w:r>
      <w:r>
        <w:rPr>
          <w:color w:val="auto"/>
          <w:highlight w:val="none"/>
        </w:rPr>
        <w:t>67</w:t>
      </w:r>
      <w:r>
        <w:rPr>
          <w:color w:val="auto"/>
          <w:highlight w:val="none"/>
        </w:rPr>
        <w:fldChar w:fldCharType="end"/>
      </w:r>
      <w:r>
        <w:rPr>
          <w:color w:val="auto"/>
          <w:highlight w:val="none"/>
        </w:rPr>
        <w:fldChar w:fldCharType="end"/>
      </w:r>
    </w:p>
    <w:p w14:paraId="5576FCC4">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"_Toc28124" </w:instrText>
      </w:r>
      <w:r>
        <w:rPr>
          <w:color w:val="auto"/>
          <w:highlight w:val="none"/>
        </w:rPr>
        <w:fldChar w:fldCharType="separate"/>
      </w:r>
      <w:r>
        <w:rPr>
          <w:rFonts w:hint="eastAsia" w:ascii="宋体" w:hAnsi="宋体"/>
          <w:bCs/>
          <w:color w:val="auto"/>
          <w:kern w:val="0"/>
          <w:szCs w:val="28"/>
          <w:highlight w:val="none"/>
        </w:rPr>
        <w:t>第二节 商务文件格式</w:t>
      </w:r>
      <w:r>
        <w:rPr>
          <w:color w:val="auto"/>
          <w:highlight w:val="none"/>
        </w:rPr>
        <w:tab/>
      </w:r>
      <w:r>
        <w:rPr>
          <w:color w:val="auto"/>
          <w:highlight w:val="none"/>
        </w:rPr>
        <w:fldChar w:fldCharType="begin"/>
      </w:r>
      <w:r>
        <w:rPr>
          <w:color w:val="auto"/>
          <w:highlight w:val="none"/>
        </w:rPr>
        <w:instrText xml:space="preserve"> PAGEREF _Toc28124 \h </w:instrText>
      </w:r>
      <w:r>
        <w:rPr>
          <w:color w:val="auto"/>
          <w:highlight w:val="none"/>
        </w:rPr>
        <w:fldChar w:fldCharType="separate"/>
      </w:r>
      <w:r>
        <w:rPr>
          <w:color w:val="auto"/>
          <w:highlight w:val="none"/>
        </w:rPr>
        <w:t>75</w:t>
      </w:r>
      <w:r>
        <w:rPr>
          <w:color w:val="auto"/>
          <w:highlight w:val="none"/>
        </w:rPr>
        <w:fldChar w:fldCharType="end"/>
      </w:r>
      <w:r>
        <w:rPr>
          <w:color w:val="auto"/>
          <w:highlight w:val="none"/>
        </w:rPr>
        <w:fldChar w:fldCharType="end"/>
      </w:r>
    </w:p>
    <w:p w14:paraId="49FAE971">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"_Toc13347" </w:instrText>
      </w:r>
      <w:r>
        <w:rPr>
          <w:color w:val="auto"/>
          <w:highlight w:val="none"/>
        </w:rPr>
        <w:fldChar w:fldCharType="separate"/>
      </w:r>
      <w:r>
        <w:rPr>
          <w:rFonts w:hint="eastAsia" w:ascii="宋体" w:hAnsi="宋体"/>
          <w:bCs/>
          <w:color w:val="auto"/>
          <w:kern w:val="0"/>
          <w:szCs w:val="28"/>
          <w:highlight w:val="none"/>
        </w:rPr>
        <w:t>第三节 技术文件格式</w:t>
      </w:r>
      <w:r>
        <w:rPr>
          <w:color w:val="auto"/>
          <w:highlight w:val="none"/>
        </w:rPr>
        <w:tab/>
      </w:r>
      <w:r>
        <w:rPr>
          <w:color w:val="auto"/>
          <w:highlight w:val="none"/>
        </w:rPr>
        <w:fldChar w:fldCharType="begin"/>
      </w:r>
      <w:r>
        <w:rPr>
          <w:color w:val="auto"/>
          <w:highlight w:val="none"/>
        </w:rPr>
        <w:instrText xml:space="preserve"> PAGEREF _Toc13347 \h </w:instrText>
      </w:r>
      <w:r>
        <w:rPr>
          <w:color w:val="auto"/>
          <w:highlight w:val="none"/>
        </w:rPr>
        <w:fldChar w:fldCharType="separate"/>
      </w:r>
      <w:r>
        <w:rPr>
          <w:color w:val="auto"/>
          <w:highlight w:val="none"/>
        </w:rPr>
        <w:t>86</w:t>
      </w:r>
      <w:r>
        <w:rPr>
          <w:color w:val="auto"/>
          <w:highlight w:val="none"/>
        </w:rPr>
        <w:fldChar w:fldCharType="end"/>
      </w:r>
      <w:r>
        <w:rPr>
          <w:color w:val="auto"/>
          <w:highlight w:val="none"/>
        </w:rPr>
        <w:fldChar w:fldCharType="end"/>
      </w:r>
    </w:p>
    <w:p w14:paraId="4D6DAE86">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"_Toc8839" </w:instrText>
      </w:r>
      <w:r>
        <w:rPr>
          <w:color w:val="auto"/>
          <w:highlight w:val="none"/>
        </w:rPr>
        <w:fldChar w:fldCharType="separate"/>
      </w:r>
      <w:r>
        <w:rPr>
          <w:rFonts w:hint="eastAsia" w:ascii="宋体" w:hAnsi="宋体"/>
          <w:bCs/>
          <w:color w:val="auto"/>
          <w:kern w:val="0"/>
          <w:szCs w:val="28"/>
          <w:highlight w:val="none"/>
        </w:rPr>
        <w:t>第四节 报价文件格式</w:t>
      </w:r>
      <w:r>
        <w:rPr>
          <w:color w:val="auto"/>
          <w:highlight w:val="none"/>
        </w:rPr>
        <w:tab/>
      </w:r>
      <w:r>
        <w:rPr>
          <w:color w:val="auto"/>
          <w:highlight w:val="none"/>
        </w:rPr>
        <w:fldChar w:fldCharType="begin"/>
      </w:r>
      <w:r>
        <w:rPr>
          <w:color w:val="auto"/>
          <w:highlight w:val="none"/>
        </w:rPr>
        <w:instrText xml:space="preserve"> PAGEREF _Toc8839 \h </w:instrText>
      </w:r>
      <w:r>
        <w:rPr>
          <w:color w:val="auto"/>
          <w:highlight w:val="none"/>
        </w:rPr>
        <w:fldChar w:fldCharType="separate"/>
      </w:r>
      <w:r>
        <w:rPr>
          <w:color w:val="auto"/>
          <w:highlight w:val="none"/>
        </w:rPr>
        <w:t>93</w:t>
      </w:r>
      <w:r>
        <w:rPr>
          <w:color w:val="auto"/>
          <w:highlight w:val="none"/>
        </w:rPr>
        <w:fldChar w:fldCharType="end"/>
      </w:r>
      <w:r>
        <w:rPr>
          <w:color w:val="auto"/>
          <w:highlight w:val="none"/>
        </w:rPr>
        <w:fldChar w:fldCharType="end"/>
      </w:r>
    </w:p>
    <w:p w14:paraId="03E7E715">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"_Toc22946" </w:instrText>
      </w:r>
      <w:r>
        <w:rPr>
          <w:color w:val="auto"/>
          <w:highlight w:val="none"/>
        </w:rPr>
        <w:fldChar w:fldCharType="separate"/>
      </w:r>
      <w:r>
        <w:rPr>
          <w:rFonts w:hint="eastAsia" w:ascii="宋体" w:hAnsi="宋体"/>
          <w:bCs/>
          <w:color w:val="auto"/>
          <w:szCs w:val="28"/>
          <w:highlight w:val="none"/>
        </w:rPr>
        <w:t>第五节 其他文书、文件格式</w:t>
      </w:r>
      <w:r>
        <w:rPr>
          <w:color w:val="auto"/>
          <w:highlight w:val="none"/>
        </w:rPr>
        <w:tab/>
      </w:r>
      <w:r>
        <w:rPr>
          <w:color w:val="auto"/>
          <w:highlight w:val="none"/>
        </w:rPr>
        <w:fldChar w:fldCharType="begin"/>
      </w:r>
      <w:r>
        <w:rPr>
          <w:color w:val="auto"/>
          <w:highlight w:val="none"/>
        </w:rPr>
        <w:instrText xml:space="preserve"> PAGEREF _Toc22946 \h </w:instrText>
      </w:r>
      <w:r>
        <w:rPr>
          <w:color w:val="auto"/>
          <w:highlight w:val="none"/>
        </w:rPr>
        <w:fldChar w:fldCharType="separate"/>
      </w:r>
      <w:r>
        <w:rPr>
          <w:color w:val="auto"/>
          <w:highlight w:val="none"/>
        </w:rPr>
        <w:t>99</w:t>
      </w:r>
      <w:r>
        <w:rPr>
          <w:color w:val="auto"/>
          <w:highlight w:val="none"/>
        </w:rPr>
        <w:fldChar w:fldCharType="end"/>
      </w:r>
      <w:r>
        <w:rPr>
          <w:color w:val="auto"/>
          <w:highlight w:val="none"/>
        </w:rPr>
        <w:fldChar w:fldCharType="end"/>
      </w:r>
    </w:p>
    <w:p w14:paraId="65BDBF4F">
      <w:pPr>
        <w:pStyle w:val="12"/>
        <w:tabs>
          <w:tab w:val="right" w:leader="dot" w:pos="9638"/>
        </w:tabs>
        <w:rPr>
          <w:color w:val="auto"/>
          <w:highlight w:val="none"/>
        </w:rPr>
      </w:pPr>
      <w:r>
        <w:rPr>
          <w:color w:val="auto"/>
          <w:highlight w:val="none"/>
        </w:rPr>
        <w:fldChar w:fldCharType="begin"/>
      </w:r>
      <w:r>
        <w:rPr>
          <w:color w:val="auto"/>
          <w:highlight w:val="none"/>
        </w:rPr>
        <w:instrText xml:space="preserve"> HYPERLINK \l "_Toc7086" </w:instrText>
      </w:r>
      <w:r>
        <w:rPr>
          <w:color w:val="auto"/>
          <w:highlight w:val="none"/>
        </w:rPr>
        <w:fldChar w:fldCharType="separate"/>
      </w:r>
      <w:r>
        <w:rPr>
          <w:rFonts w:hint="eastAsia"/>
          <w:color w:val="auto"/>
          <w:kern w:val="0"/>
          <w:szCs w:val="20"/>
          <w:highlight w:val="none"/>
        </w:rPr>
        <w:t>第七章</w:t>
      </w:r>
      <w:r>
        <w:rPr>
          <w:color w:val="auto"/>
          <w:kern w:val="0"/>
          <w:szCs w:val="20"/>
          <w:highlight w:val="none"/>
        </w:rPr>
        <w:t xml:space="preserve"> </w:t>
      </w:r>
      <w:r>
        <w:rPr>
          <w:rFonts w:hint="eastAsia"/>
          <w:color w:val="auto"/>
          <w:kern w:val="0"/>
          <w:szCs w:val="20"/>
          <w:highlight w:val="none"/>
        </w:rPr>
        <w:t>质疑、投诉证明材料格式</w:t>
      </w:r>
      <w:r>
        <w:rPr>
          <w:color w:val="auto"/>
          <w:highlight w:val="none"/>
        </w:rPr>
        <w:tab/>
      </w:r>
      <w:r>
        <w:rPr>
          <w:color w:val="auto"/>
          <w:highlight w:val="none"/>
        </w:rPr>
        <w:fldChar w:fldCharType="begin"/>
      </w:r>
      <w:r>
        <w:rPr>
          <w:color w:val="auto"/>
          <w:highlight w:val="none"/>
        </w:rPr>
        <w:instrText xml:space="preserve"> PAGEREF _Toc7086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58B60752">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"_Toc5343" </w:instrText>
      </w:r>
      <w:r>
        <w:rPr>
          <w:color w:val="auto"/>
          <w:highlight w:val="none"/>
        </w:rPr>
        <w:fldChar w:fldCharType="separate"/>
      </w:r>
      <w:r>
        <w:rPr>
          <w:rFonts w:hint="eastAsia" w:ascii="宋体" w:hAnsi="宋体" w:eastAsia="黑体"/>
          <w:color w:val="auto"/>
          <w:kern w:val="0"/>
          <w:szCs w:val="32"/>
          <w:highlight w:val="none"/>
        </w:rPr>
        <w:t>第一节 质疑函（格式）</w:t>
      </w:r>
      <w:r>
        <w:rPr>
          <w:color w:val="auto"/>
          <w:highlight w:val="none"/>
        </w:rPr>
        <w:tab/>
      </w:r>
      <w:r>
        <w:rPr>
          <w:color w:val="auto"/>
          <w:highlight w:val="none"/>
        </w:rPr>
        <w:fldChar w:fldCharType="begin"/>
      </w:r>
      <w:r>
        <w:rPr>
          <w:color w:val="auto"/>
          <w:highlight w:val="none"/>
        </w:rPr>
        <w:instrText xml:space="preserve"> PAGEREF _Toc5343 \h </w:instrText>
      </w:r>
      <w:r>
        <w:rPr>
          <w:color w:val="auto"/>
          <w:highlight w:val="none"/>
        </w:rPr>
        <w:fldChar w:fldCharType="separate"/>
      </w:r>
      <w:r>
        <w:rPr>
          <w:color w:val="auto"/>
          <w:highlight w:val="none"/>
        </w:rPr>
        <w:t>102</w:t>
      </w:r>
      <w:r>
        <w:rPr>
          <w:color w:val="auto"/>
          <w:highlight w:val="none"/>
        </w:rPr>
        <w:fldChar w:fldCharType="end"/>
      </w:r>
      <w:r>
        <w:rPr>
          <w:color w:val="auto"/>
          <w:highlight w:val="none"/>
        </w:rPr>
        <w:fldChar w:fldCharType="end"/>
      </w:r>
    </w:p>
    <w:p w14:paraId="302D3B7F">
      <w:pPr>
        <w:pStyle w:val="15"/>
        <w:tabs>
          <w:tab w:val="right" w:leader="dot" w:pos="9638"/>
        </w:tabs>
        <w:rPr>
          <w:color w:val="auto"/>
          <w:highlight w:val="none"/>
        </w:rPr>
      </w:pPr>
      <w:r>
        <w:rPr>
          <w:color w:val="auto"/>
          <w:highlight w:val="none"/>
        </w:rPr>
        <w:fldChar w:fldCharType="begin"/>
      </w:r>
      <w:r>
        <w:rPr>
          <w:color w:val="auto"/>
          <w:highlight w:val="none"/>
        </w:rPr>
        <w:instrText xml:space="preserve"> HYPERLINK \l "_Toc19198" </w:instrText>
      </w:r>
      <w:r>
        <w:rPr>
          <w:color w:val="auto"/>
          <w:highlight w:val="none"/>
        </w:rPr>
        <w:fldChar w:fldCharType="separate"/>
      </w:r>
      <w:r>
        <w:rPr>
          <w:rFonts w:hint="eastAsia" w:ascii="宋体" w:hAnsi="宋体" w:eastAsia="黑体"/>
          <w:color w:val="auto"/>
          <w:kern w:val="0"/>
          <w:szCs w:val="32"/>
          <w:highlight w:val="none"/>
        </w:rPr>
        <w:t>第二节 投诉书（格式）</w:t>
      </w:r>
      <w:r>
        <w:rPr>
          <w:color w:val="auto"/>
          <w:highlight w:val="none"/>
        </w:rPr>
        <w:tab/>
      </w:r>
      <w:r>
        <w:rPr>
          <w:color w:val="auto"/>
          <w:highlight w:val="none"/>
        </w:rPr>
        <w:fldChar w:fldCharType="begin"/>
      </w:r>
      <w:r>
        <w:rPr>
          <w:color w:val="auto"/>
          <w:highlight w:val="none"/>
        </w:rPr>
        <w:instrText xml:space="preserve"> PAGEREF _Toc19198 \h </w:instrText>
      </w:r>
      <w:r>
        <w:rPr>
          <w:color w:val="auto"/>
          <w:highlight w:val="none"/>
        </w:rPr>
        <w:fldChar w:fldCharType="separate"/>
      </w:r>
      <w:r>
        <w:rPr>
          <w:color w:val="auto"/>
          <w:highlight w:val="none"/>
        </w:rPr>
        <w:t>105</w:t>
      </w:r>
      <w:r>
        <w:rPr>
          <w:color w:val="auto"/>
          <w:highlight w:val="none"/>
        </w:rPr>
        <w:fldChar w:fldCharType="end"/>
      </w:r>
      <w:r>
        <w:rPr>
          <w:color w:val="auto"/>
          <w:highlight w:val="none"/>
        </w:rPr>
        <w:fldChar w:fldCharType="end"/>
      </w:r>
    </w:p>
    <w:p w14:paraId="1C8F1768">
      <w:pPr>
        <w:jc w:val="center"/>
        <w:rPr>
          <w:rFonts w:hint="eastAsia" w:ascii="Calibri" w:hAnsi="宋体"/>
          <w:bCs/>
          <w:caps/>
          <w:color w:val="auto"/>
          <w:kern w:val="0"/>
          <w:sz w:val="20"/>
          <w:szCs w:val="28"/>
          <w:highlight w:val="none"/>
          <w:u w:val="single"/>
        </w:rPr>
      </w:pPr>
      <w:r>
        <w:rPr>
          <w:rFonts w:ascii="Calibri" w:hAnsi="宋体"/>
          <w:bCs/>
          <w:caps/>
          <w:color w:val="auto"/>
          <w:kern w:val="0"/>
          <w:szCs w:val="28"/>
          <w:highlight w:val="none"/>
          <w:u w:val="single"/>
        </w:rPr>
        <w:fldChar w:fldCharType="end"/>
      </w:r>
    </w:p>
    <w:p w14:paraId="050E98F1">
      <w:pPr>
        <w:jc w:val="center"/>
        <w:rPr>
          <w:rFonts w:ascii="宋体" w:hAnsi="Courier New"/>
          <w:color w:val="auto"/>
          <w:kern w:val="0"/>
          <w:sz w:val="20"/>
          <w:szCs w:val="20"/>
          <w:highlight w:val="none"/>
        </w:rPr>
      </w:pPr>
    </w:p>
    <w:p w14:paraId="76192C5B">
      <w:pPr>
        <w:jc w:val="center"/>
        <w:rPr>
          <w:rFonts w:ascii="宋体" w:hAnsi="Courier New"/>
          <w:color w:val="auto"/>
          <w:kern w:val="0"/>
          <w:sz w:val="20"/>
          <w:szCs w:val="20"/>
          <w:highlight w:val="none"/>
        </w:rPr>
      </w:pPr>
    </w:p>
    <w:p w14:paraId="6719F636">
      <w:pPr>
        <w:jc w:val="center"/>
        <w:rPr>
          <w:rFonts w:ascii="宋体" w:hAnsi="Courier New"/>
          <w:color w:val="auto"/>
          <w:kern w:val="0"/>
          <w:sz w:val="20"/>
          <w:szCs w:val="20"/>
          <w:highlight w:val="none"/>
        </w:rPr>
      </w:pPr>
    </w:p>
    <w:p w14:paraId="6C7A8EE5">
      <w:pPr>
        <w:jc w:val="center"/>
        <w:rPr>
          <w:rFonts w:ascii="宋体" w:hAnsi="Courier New"/>
          <w:color w:val="auto"/>
          <w:kern w:val="0"/>
          <w:sz w:val="20"/>
          <w:szCs w:val="20"/>
          <w:highlight w:val="none"/>
        </w:rPr>
      </w:pPr>
    </w:p>
    <w:p w14:paraId="5C6F1832">
      <w:pPr>
        <w:jc w:val="center"/>
        <w:rPr>
          <w:rFonts w:ascii="宋体" w:hAnsi="Courier New"/>
          <w:color w:val="auto"/>
          <w:kern w:val="0"/>
          <w:sz w:val="20"/>
          <w:szCs w:val="20"/>
          <w:highlight w:val="none"/>
        </w:rPr>
      </w:pPr>
    </w:p>
    <w:p w14:paraId="4FB0C5E7">
      <w:pPr>
        <w:jc w:val="center"/>
        <w:rPr>
          <w:rFonts w:ascii="宋体" w:hAnsi="Courier New"/>
          <w:color w:val="auto"/>
          <w:kern w:val="0"/>
          <w:sz w:val="20"/>
          <w:szCs w:val="20"/>
          <w:highlight w:val="none"/>
        </w:rPr>
      </w:pPr>
    </w:p>
    <w:p w14:paraId="1D0F2C78">
      <w:pPr>
        <w:jc w:val="center"/>
        <w:rPr>
          <w:rFonts w:ascii="宋体" w:hAnsi="Courier New"/>
          <w:color w:val="auto"/>
          <w:kern w:val="0"/>
          <w:sz w:val="20"/>
          <w:szCs w:val="20"/>
          <w:highlight w:val="none"/>
        </w:rPr>
      </w:pPr>
    </w:p>
    <w:p w14:paraId="22D88646">
      <w:pPr>
        <w:jc w:val="center"/>
        <w:rPr>
          <w:rFonts w:ascii="宋体" w:hAnsi="Courier New"/>
          <w:color w:val="auto"/>
          <w:kern w:val="0"/>
          <w:sz w:val="20"/>
          <w:szCs w:val="20"/>
          <w:highlight w:val="none"/>
        </w:rPr>
      </w:pPr>
    </w:p>
    <w:p w14:paraId="0D33CA19">
      <w:pPr>
        <w:keepNext/>
        <w:keepLines/>
        <w:pageBreakBefore/>
        <w:widowControl/>
        <w:jc w:val="center"/>
        <w:outlineLvl w:val="0"/>
        <w:rPr>
          <w:rFonts w:hint="eastAsia" w:ascii="宋体" w:hAnsi="宋体" w:cs="宋体"/>
          <w:b/>
          <w:color w:val="auto"/>
          <w:kern w:val="0"/>
          <w:sz w:val="30"/>
          <w:szCs w:val="30"/>
          <w:highlight w:val="none"/>
        </w:rPr>
      </w:pPr>
      <w:r>
        <w:rPr>
          <w:rFonts w:hint="eastAsia" w:ascii="宋体" w:hAnsi="Courier New"/>
          <w:color w:val="auto"/>
          <w:kern w:val="0"/>
          <w:sz w:val="20"/>
          <w:szCs w:val="20"/>
          <w:highlight w:val="none"/>
        </w:rPr>
        <w:tab/>
      </w:r>
      <w:r>
        <w:rPr>
          <w:rFonts w:hint="eastAsia"/>
          <w:b/>
          <w:color w:val="auto"/>
          <w:kern w:val="0"/>
          <w:sz w:val="36"/>
          <w:szCs w:val="20"/>
          <w:highlight w:val="none"/>
        </w:rPr>
        <w:t>第一章  招标公告</w:t>
      </w:r>
      <w:r>
        <w:rPr>
          <w:rFonts w:hint="eastAsia"/>
          <w:b/>
          <w:color w:val="auto"/>
          <w:kern w:val="0"/>
          <w:sz w:val="36"/>
          <w:szCs w:val="20"/>
          <w:highlight w:val="none"/>
          <w:lang w:val="en-US" w:eastAsia="zh-CN"/>
        </w:rPr>
        <w:t xml:space="preserve">   </w:t>
      </w:r>
      <w:r>
        <w:rPr>
          <w:rFonts w:hint="eastAsia" w:ascii="宋体" w:hAnsi="宋体" w:cs="宋体"/>
          <w:b/>
          <w:color w:val="auto"/>
          <w:kern w:val="0"/>
          <w:sz w:val="30"/>
          <w:szCs w:val="30"/>
          <w:highlight w:val="none"/>
        </w:rPr>
        <w:t>公开招标公告</w:t>
      </w:r>
    </w:p>
    <w:p w14:paraId="0ECFC55A">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5FED340A">
      <w:pPr>
        <w:pBdr>
          <w:top w:val="single" w:color="auto" w:sz="4" w:space="1"/>
          <w:left w:val="single" w:color="auto" w:sz="4" w:space="4"/>
          <w:bottom w:val="single" w:color="auto" w:sz="4" w:space="1"/>
          <w:right w:val="single" w:color="auto" w:sz="4" w:space="4"/>
        </w:pBdr>
        <w:spacing w:line="360" w:lineRule="auto"/>
        <w:ind w:firstLine="525" w:firstLineChars="250"/>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2026年广西政务服务统一评估服务项目</w:t>
      </w:r>
      <w:r>
        <w:rPr>
          <w:rFonts w:hint="eastAsia" w:ascii="宋体" w:hAnsi="宋体" w:cs="宋体"/>
          <w:color w:val="auto"/>
          <w:szCs w:val="21"/>
          <w:highlight w:val="none"/>
        </w:rPr>
        <w:t xml:space="preserve">招标项目的潜在投标人应在“广西政府采购云平台”（ </w:t>
      </w:r>
      <w:r>
        <w:rPr>
          <w:color w:val="auto"/>
          <w:highlight w:val="none"/>
        </w:rPr>
        <w:fldChar w:fldCharType="begin"/>
      </w:r>
      <w:r>
        <w:rPr>
          <w:color w:val="auto"/>
          <w:highlight w:val="none"/>
        </w:rPr>
        <w:instrText xml:space="preserve"> HYPERLINK "https://www.gcy.zfcg.gxzf.gov.cn/）获取（下载）招标文件，并于%202024年3月%2018%20%20日%209" </w:instrText>
      </w:r>
      <w:r>
        <w:rPr>
          <w:color w:val="auto"/>
          <w:highlight w:val="none"/>
        </w:rPr>
        <w:fldChar w:fldCharType="separate"/>
      </w:r>
      <w:r>
        <w:rPr>
          <w:rFonts w:hint="eastAsia" w:ascii="宋体" w:hAnsi="宋体" w:cs="宋体"/>
          <w:bCs/>
          <w:color w:val="auto"/>
          <w:szCs w:val="21"/>
          <w:highlight w:val="none"/>
          <w:u w:val="single"/>
        </w:rPr>
        <w:t>https://www.gcy.zfcg.gxzf.gov.cn/</w:t>
      </w:r>
      <w:r>
        <w:rPr>
          <w:rFonts w:hint="eastAsia" w:ascii="宋体" w:hAnsi="宋体" w:cs="宋体"/>
          <w:color w:val="auto"/>
          <w:szCs w:val="21"/>
          <w:highlight w:val="none"/>
          <w:u w:val="single"/>
        </w:rPr>
        <w:t>）</w:t>
      </w:r>
      <w:r>
        <w:rPr>
          <w:rFonts w:hint="eastAsia" w:ascii="宋体" w:hAnsi="宋体" w:cs="宋体"/>
          <w:color w:val="auto"/>
          <w:szCs w:val="21"/>
          <w:highlight w:val="none"/>
          <w:u w:val="single"/>
        </w:rPr>
        <w:fldChar w:fldCharType="end"/>
      </w:r>
      <w:r>
        <w:rPr>
          <w:rFonts w:hint="eastAsia" w:ascii="宋体" w:hAnsi="宋体" w:cs="宋体"/>
          <w:color w:val="auto"/>
          <w:szCs w:val="21"/>
          <w:highlight w:val="none"/>
        </w:rPr>
        <w:t>获取（下载）招标文件，并于</w:t>
      </w:r>
      <w:bookmarkStart w:id="0" w:name="PO_3000001866_PM015"/>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 xml:space="preserve">年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日09:30</w:t>
      </w:r>
      <w:bookmarkEnd w:id="0"/>
      <w:r>
        <w:rPr>
          <w:rFonts w:hint="eastAsia" w:ascii="宋体" w:hAnsi="宋体" w:cs="宋体"/>
          <w:bCs/>
          <w:color w:val="auto"/>
          <w:szCs w:val="21"/>
          <w:highlight w:val="none"/>
        </w:rPr>
        <w:t>（北京时间）前</w:t>
      </w:r>
      <w:r>
        <w:rPr>
          <w:rFonts w:hint="eastAsia" w:ascii="宋体" w:hAnsi="宋体" w:cs="宋体"/>
          <w:color w:val="auto"/>
          <w:szCs w:val="21"/>
          <w:highlight w:val="none"/>
        </w:rPr>
        <w:t>递交（上传）投标文件。</w:t>
      </w:r>
    </w:p>
    <w:p w14:paraId="3A786B56">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一、项目基本情况</w:t>
      </w:r>
    </w:p>
    <w:p w14:paraId="7D474275">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项目编号：GXZC2026-G3-003184-GXXZ</w:t>
      </w:r>
    </w:p>
    <w:p w14:paraId="716D5F46">
      <w:pPr>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 xml:space="preserve">项目名称：2026年广西政务服务统一评估服务项目 </w:t>
      </w:r>
    </w:p>
    <w:p w14:paraId="4BD26F4F">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eastAsia="zh-CN"/>
        </w:rPr>
        <w:t>预算金额：</w:t>
      </w:r>
      <w:r>
        <w:rPr>
          <w:rFonts w:hint="eastAsia" w:ascii="宋体" w:hAnsi="宋体" w:cs="宋体"/>
          <w:color w:val="auto"/>
          <w:szCs w:val="21"/>
          <w:highlight w:val="none"/>
          <w:lang w:val="en-US" w:eastAsia="zh-CN"/>
        </w:rPr>
        <w:t>498.52</w:t>
      </w:r>
      <w:r>
        <w:rPr>
          <w:rFonts w:hint="eastAsia" w:ascii="宋体" w:hAnsi="宋体" w:cs="宋体"/>
          <w:color w:val="auto"/>
          <w:szCs w:val="21"/>
          <w:highlight w:val="none"/>
          <w:lang w:eastAsia="zh-CN"/>
        </w:rPr>
        <w:t>万元，其中</w:t>
      </w:r>
      <w:r>
        <w:rPr>
          <w:rFonts w:hint="eastAsia" w:ascii="宋体" w:hAnsi="宋体" w:cs="宋体"/>
          <w:color w:val="auto"/>
          <w:szCs w:val="21"/>
          <w:highlight w:val="none"/>
          <w:lang w:val="en-US" w:eastAsia="zh-CN"/>
        </w:rPr>
        <w:t>1分标：110.48万元；2分标：148.23万元；3分标：38.7</w:t>
      </w:r>
      <w:r>
        <w:rPr>
          <w:rFonts w:hint="eastAsia" w:ascii="宋体" w:hAnsi="宋体" w:eastAsia="宋体" w:cs="宋体"/>
          <w:color w:val="auto"/>
          <w:szCs w:val="21"/>
          <w:highlight w:val="none"/>
          <w:lang w:val="en-US" w:eastAsia="zh-CN"/>
        </w:rPr>
        <w:t>万元；4分标：60.20万元；5分标：39.91万元；6分标：101.00万元。</w:t>
      </w:r>
    </w:p>
    <w:p w14:paraId="5A0DD118">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最高限价：</w:t>
      </w:r>
      <w:r>
        <w:rPr>
          <w:rFonts w:hint="eastAsia" w:ascii="宋体" w:hAnsi="宋体" w:cs="宋体"/>
          <w:color w:val="auto"/>
          <w:szCs w:val="21"/>
          <w:highlight w:val="none"/>
          <w:lang w:val="en-US" w:eastAsia="zh-CN"/>
        </w:rPr>
        <w:t>498.52</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lang w:eastAsia="zh-CN"/>
        </w:rPr>
        <w:t>，其中</w:t>
      </w:r>
      <w:r>
        <w:rPr>
          <w:rFonts w:hint="eastAsia" w:ascii="宋体" w:hAnsi="宋体" w:eastAsia="宋体" w:cs="宋体"/>
          <w:color w:val="auto"/>
          <w:szCs w:val="21"/>
          <w:highlight w:val="none"/>
          <w:lang w:val="en-US" w:eastAsia="zh-CN"/>
        </w:rPr>
        <w:t>1分标：110.48万元；2分标：148.23万元；3分标：38.7万元；4分标：60.20万元；5分标：39.91万元；6分标：101.00万元。</w:t>
      </w:r>
    </w:p>
    <w:p w14:paraId="0EF1F25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采购需求：</w:t>
      </w:r>
      <w:bookmarkStart w:id="1" w:name="PO_3000001866_PM004"/>
      <w:r>
        <w:rPr>
          <w:rFonts w:hint="eastAsia" w:ascii="宋体" w:hAnsi="宋体" w:eastAsia="宋体" w:cs="宋体"/>
          <w:color w:val="auto"/>
          <w:szCs w:val="21"/>
          <w:highlight w:val="none"/>
        </w:rPr>
        <w:t xml:space="preserve"> </w:t>
      </w:r>
      <w:bookmarkEnd w:id="1"/>
    </w:p>
    <w:tbl>
      <w:tblPr>
        <w:tblStyle w:val="19"/>
        <w:tblW w:w="914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0"/>
        <w:gridCol w:w="2775"/>
        <w:gridCol w:w="962"/>
        <w:gridCol w:w="3031"/>
        <w:gridCol w:w="1644"/>
      </w:tblGrid>
      <w:tr w14:paraId="0CF7C7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5"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0C507BB2">
            <w:pPr>
              <w:spacing w:line="360" w:lineRule="auto"/>
              <w:jc w:val="center"/>
              <w:rPr>
                <w:rFonts w:hint="eastAsia"/>
                <w:color w:val="auto"/>
                <w:highlight w:val="none"/>
              </w:rPr>
            </w:pPr>
            <w:r>
              <w:rPr>
                <w:rFonts w:hint="eastAsia"/>
                <w:color w:val="auto"/>
                <w:highlight w:val="none"/>
              </w:rPr>
              <w:t>项号</w:t>
            </w:r>
          </w:p>
        </w:tc>
        <w:tc>
          <w:tcPr>
            <w:tcW w:w="2775" w:type="dxa"/>
            <w:tcBorders>
              <w:top w:val="single" w:color="auto" w:sz="4" w:space="0"/>
              <w:left w:val="single" w:color="auto" w:sz="4" w:space="0"/>
              <w:bottom w:val="single" w:color="auto" w:sz="4" w:space="0"/>
              <w:right w:val="single" w:color="auto" w:sz="4" w:space="0"/>
            </w:tcBorders>
            <w:vAlign w:val="center"/>
          </w:tcPr>
          <w:p w14:paraId="55F84970">
            <w:pPr>
              <w:spacing w:line="360" w:lineRule="auto"/>
              <w:jc w:val="center"/>
              <w:rPr>
                <w:color w:val="auto"/>
                <w:highlight w:val="none"/>
              </w:rPr>
            </w:pPr>
            <w:r>
              <w:rPr>
                <w:rFonts w:hint="eastAsia"/>
                <w:color w:val="auto"/>
                <w:highlight w:val="none"/>
              </w:rPr>
              <w:t>标的的名称</w:t>
            </w:r>
          </w:p>
        </w:tc>
        <w:tc>
          <w:tcPr>
            <w:tcW w:w="962" w:type="dxa"/>
            <w:tcBorders>
              <w:top w:val="single" w:color="auto" w:sz="4" w:space="0"/>
              <w:left w:val="single" w:color="auto" w:sz="4" w:space="0"/>
              <w:bottom w:val="single" w:color="auto" w:sz="4" w:space="0"/>
              <w:right w:val="single" w:color="auto" w:sz="4" w:space="0"/>
            </w:tcBorders>
            <w:vAlign w:val="center"/>
          </w:tcPr>
          <w:p w14:paraId="716D306E">
            <w:pPr>
              <w:spacing w:line="360" w:lineRule="auto"/>
              <w:jc w:val="center"/>
              <w:rPr>
                <w:color w:val="auto"/>
                <w:highlight w:val="none"/>
              </w:rPr>
            </w:pPr>
            <w:r>
              <w:rPr>
                <w:rFonts w:hint="eastAsia"/>
                <w:color w:val="auto"/>
                <w:highlight w:val="none"/>
              </w:rPr>
              <w:t>数量及</w:t>
            </w:r>
          </w:p>
          <w:p w14:paraId="3C622DC2">
            <w:pPr>
              <w:spacing w:line="360" w:lineRule="auto"/>
              <w:jc w:val="center"/>
              <w:rPr>
                <w:color w:val="auto"/>
                <w:highlight w:val="none"/>
              </w:rPr>
            </w:pPr>
            <w:r>
              <w:rPr>
                <w:rFonts w:hint="eastAsia"/>
                <w:color w:val="auto"/>
                <w:highlight w:val="none"/>
              </w:rPr>
              <w:t>单位</w:t>
            </w:r>
          </w:p>
        </w:tc>
        <w:tc>
          <w:tcPr>
            <w:tcW w:w="3031" w:type="dxa"/>
            <w:tcBorders>
              <w:top w:val="single" w:color="auto" w:sz="4" w:space="0"/>
              <w:left w:val="single" w:color="auto" w:sz="4" w:space="0"/>
              <w:bottom w:val="single" w:color="auto" w:sz="4" w:space="0"/>
              <w:right w:val="single" w:color="auto" w:sz="4" w:space="0"/>
            </w:tcBorders>
            <w:vAlign w:val="center"/>
          </w:tcPr>
          <w:p w14:paraId="64BC0500">
            <w:pPr>
              <w:tabs>
                <w:tab w:val="left" w:pos="180"/>
                <w:tab w:val="left" w:pos="1620"/>
              </w:tabs>
              <w:spacing w:line="360" w:lineRule="auto"/>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提交服务成果时间</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2AA023E0">
            <w:pPr>
              <w:spacing w:line="360" w:lineRule="auto"/>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rPr>
              <w:t>简要技术需求或者服务要求</w:t>
            </w:r>
          </w:p>
        </w:tc>
      </w:tr>
      <w:tr w14:paraId="683F44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8"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667D11F0">
            <w:pPr>
              <w:spacing w:line="360" w:lineRule="auto"/>
              <w:jc w:val="center"/>
              <w:rPr>
                <w:rFonts w:hint="eastAsia"/>
                <w:color w:val="auto"/>
                <w:highlight w:val="none"/>
              </w:rPr>
            </w:pPr>
            <w:r>
              <w:rPr>
                <w:rFonts w:hint="eastAsia"/>
                <w:color w:val="auto"/>
                <w:highlight w:val="none"/>
              </w:rPr>
              <w:t>1</w:t>
            </w:r>
          </w:p>
        </w:tc>
        <w:tc>
          <w:tcPr>
            <w:tcW w:w="2775" w:type="dxa"/>
            <w:tcBorders>
              <w:top w:val="single" w:color="auto" w:sz="4" w:space="0"/>
              <w:left w:val="single" w:color="auto" w:sz="4" w:space="0"/>
              <w:bottom w:val="single" w:color="auto" w:sz="4" w:space="0"/>
              <w:right w:val="single" w:color="auto" w:sz="4" w:space="0"/>
            </w:tcBorders>
            <w:vAlign w:val="center"/>
          </w:tcPr>
          <w:p w14:paraId="5167276B">
            <w:pPr>
              <w:tabs>
                <w:tab w:val="left" w:pos="180"/>
                <w:tab w:val="left" w:pos="1620"/>
              </w:tabs>
              <w:spacing w:line="360" w:lineRule="auto"/>
              <w:jc w:val="center"/>
              <w:rPr>
                <w:rFonts w:hint="default" w:eastAsia="宋体"/>
                <w:color w:val="auto"/>
                <w:highlight w:val="none"/>
                <w:lang w:val="en-US" w:eastAsia="zh-CN"/>
              </w:rPr>
            </w:pPr>
            <w:r>
              <w:rPr>
                <w:rFonts w:hint="eastAsia"/>
                <w:color w:val="auto"/>
                <w:highlight w:val="none"/>
                <w:lang w:val="en-US" w:eastAsia="zh-CN"/>
              </w:rPr>
              <w:t>2026年广西政务服务增值化服务项目</w:t>
            </w:r>
          </w:p>
        </w:tc>
        <w:tc>
          <w:tcPr>
            <w:tcW w:w="962" w:type="dxa"/>
            <w:tcBorders>
              <w:top w:val="single" w:color="auto" w:sz="4" w:space="0"/>
              <w:left w:val="single" w:color="auto" w:sz="4" w:space="0"/>
              <w:bottom w:val="single" w:color="auto" w:sz="4" w:space="0"/>
              <w:right w:val="single" w:color="auto" w:sz="4" w:space="0"/>
            </w:tcBorders>
            <w:vAlign w:val="center"/>
          </w:tcPr>
          <w:p w14:paraId="57874426">
            <w:pPr>
              <w:tabs>
                <w:tab w:val="left" w:pos="180"/>
                <w:tab w:val="left" w:pos="1620"/>
              </w:tabs>
              <w:spacing w:line="360" w:lineRule="auto"/>
              <w:jc w:val="center"/>
              <w:rPr>
                <w:color w:val="auto"/>
                <w:highlight w:val="none"/>
              </w:rPr>
            </w:pPr>
            <w:r>
              <w:rPr>
                <w:rFonts w:hint="eastAsia"/>
                <w:color w:val="auto"/>
                <w:highlight w:val="none"/>
              </w:rPr>
              <w:t>1项</w:t>
            </w:r>
          </w:p>
        </w:tc>
        <w:tc>
          <w:tcPr>
            <w:tcW w:w="3031" w:type="dxa"/>
            <w:tcBorders>
              <w:top w:val="single" w:color="auto" w:sz="4" w:space="0"/>
              <w:left w:val="single" w:color="auto" w:sz="4" w:space="0"/>
              <w:bottom w:val="single" w:color="auto" w:sz="4" w:space="0"/>
              <w:right w:val="single" w:color="auto" w:sz="4" w:space="0"/>
            </w:tcBorders>
            <w:vAlign w:val="center"/>
          </w:tcPr>
          <w:p w14:paraId="7E0393BC">
            <w:pPr>
              <w:tabs>
                <w:tab w:val="left" w:pos="180"/>
                <w:tab w:val="left" w:pos="1620"/>
              </w:tabs>
              <w:spacing w:line="360" w:lineRule="auto"/>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2027年6月底前</w:t>
            </w:r>
          </w:p>
        </w:tc>
        <w:tc>
          <w:tcPr>
            <w:tcW w:w="1644" w:type="dxa"/>
            <w:tcBorders>
              <w:top w:val="single" w:color="auto" w:sz="4" w:space="0"/>
              <w:left w:val="single" w:color="auto" w:sz="4" w:space="0"/>
              <w:bottom w:val="single" w:color="auto" w:sz="4" w:space="0"/>
              <w:right w:val="single" w:color="auto" w:sz="4" w:space="0"/>
            </w:tcBorders>
            <w:shd w:val="clear" w:color="auto" w:fill="auto"/>
            <w:vAlign w:val="center"/>
          </w:tcPr>
          <w:p w14:paraId="604A22E3">
            <w:pPr>
              <w:spacing w:line="360" w:lineRule="exact"/>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详见采购需求</w:t>
            </w:r>
          </w:p>
        </w:tc>
      </w:tr>
      <w:tr w14:paraId="5CE700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7A69F63A">
            <w:pPr>
              <w:spacing w:line="360" w:lineRule="auto"/>
              <w:jc w:val="center"/>
              <w:rPr>
                <w:rFonts w:hint="eastAsia" w:eastAsia="宋体"/>
                <w:color w:val="auto"/>
                <w:highlight w:val="none"/>
                <w:lang w:val="en-US" w:eastAsia="zh-CN"/>
              </w:rPr>
            </w:pPr>
            <w:r>
              <w:rPr>
                <w:rFonts w:hint="eastAsia"/>
                <w:color w:val="auto"/>
                <w:highlight w:val="none"/>
                <w:lang w:val="en-US" w:eastAsia="zh-CN"/>
              </w:rPr>
              <w:t>2</w:t>
            </w:r>
          </w:p>
        </w:tc>
        <w:tc>
          <w:tcPr>
            <w:tcW w:w="2775" w:type="dxa"/>
            <w:tcBorders>
              <w:top w:val="single" w:color="auto" w:sz="4" w:space="0"/>
              <w:left w:val="single" w:color="auto" w:sz="4" w:space="0"/>
              <w:bottom w:val="single" w:color="auto" w:sz="4" w:space="0"/>
              <w:right w:val="single" w:color="auto" w:sz="4" w:space="0"/>
            </w:tcBorders>
            <w:vAlign w:val="center"/>
          </w:tcPr>
          <w:p w14:paraId="38D29B4E">
            <w:pPr>
              <w:tabs>
                <w:tab w:val="left" w:pos="180"/>
                <w:tab w:val="left" w:pos="1620"/>
              </w:tabs>
              <w:spacing w:line="360" w:lineRule="auto"/>
              <w:jc w:val="center"/>
              <w:rPr>
                <w:rFonts w:hint="eastAsia" w:eastAsia="宋体"/>
                <w:color w:val="auto"/>
                <w:highlight w:val="none"/>
                <w:lang w:eastAsia="zh-CN"/>
              </w:rPr>
            </w:pPr>
            <w:r>
              <w:rPr>
                <w:rFonts w:hint="eastAsia" w:ascii="Times New Roman" w:hAnsi="Times New Roman"/>
                <w:color w:val="auto"/>
                <w:highlight w:val="none"/>
                <w:lang w:val="en-US" w:eastAsia="zh-CN"/>
              </w:rPr>
              <w:t>2026年广西推进政务服务标准化规范化便利化项目</w:t>
            </w:r>
          </w:p>
        </w:tc>
        <w:tc>
          <w:tcPr>
            <w:tcW w:w="962" w:type="dxa"/>
            <w:tcBorders>
              <w:top w:val="single" w:color="auto" w:sz="4" w:space="0"/>
              <w:left w:val="single" w:color="auto" w:sz="4" w:space="0"/>
              <w:bottom w:val="single" w:color="auto" w:sz="4" w:space="0"/>
              <w:right w:val="single" w:color="auto" w:sz="4" w:space="0"/>
            </w:tcBorders>
            <w:vAlign w:val="center"/>
          </w:tcPr>
          <w:p w14:paraId="46EAD9AB">
            <w:pPr>
              <w:spacing w:line="360" w:lineRule="auto"/>
              <w:jc w:val="center"/>
              <w:rPr>
                <w:rFonts w:hint="eastAsia"/>
                <w:color w:val="auto"/>
                <w:highlight w:val="none"/>
              </w:rPr>
            </w:pPr>
            <w:r>
              <w:rPr>
                <w:rFonts w:hint="eastAsia"/>
                <w:color w:val="auto"/>
                <w:highlight w:val="none"/>
              </w:rPr>
              <w:t>1项</w:t>
            </w:r>
          </w:p>
        </w:tc>
        <w:tc>
          <w:tcPr>
            <w:tcW w:w="3031" w:type="dxa"/>
            <w:tcBorders>
              <w:top w:val="single" w:color="auto" w:sz="4" w:space="0"/>
              <w:left w:val="single" w:color="auto" w:sz="4" w:space="0"/>
              <w:bottom w:val="single" w:color="auto" w:sz="4" w:space="0"/>
              <w:right w:val="single" w:color="auto" w:sz="4" w:space="0"/>
            </w:tcBorders>
            <w:vAlign w:val="center"/>
          </w:tcPr>
          <w:p w14:paraId="337FDC4C">
            <w:pPr>
              <w:tabs>
                <w:tab w:val="left" w:pos="180"/>
                <w:tab w:val="left" w:pos="1620"/>
              </w:tabs>
              <w:spacing w:line="360" w:lineRule="auto"/>
              <w:jc w:val="center"/>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2027年6月底前</w:t>
            </w:r>
          </w:p>
        </w:tc>
        <w:tc>
          <w:tcPr>
            <w:tcW w:w="1644" w:type="dxa"/>
            <w:tcBorders>
              <w:top w:val="single" w:color="auto" w:sz="4" w:space="0"/>
              <w:left w:val="single" w:color="auto" w:sz="4" w:space="0"/>
              <w:bottom w:val="single" w:color="auto" w:sz="4" w:space="0"/>
              <w:right w:val="single" w:color="auto" w:sz="4" w:space="0"/>
            </w:tcBorders>
            <w:vAlign w:val="center"/>
          </w:tcPr>
          <w:p w14:paraId="72C582C4">
            <w:pPr>
              <w:spacing w:line="360" w:lineRule="exact"/>
              <w:jc w:val="left"/>
              <w:rPr>
                <w:rFonts w:hint="eastAsia"/>
                <w:color w:val="auto"/>
                <w:szCs w:val="21"/>
                <w:highlight w:val="none"/>
              </w:rPr>
            </w:pPr>
            <w:r>
              <w:rPr>
                <w:rFonts w:hint="eastAsia"/>
                <w:color w:val="auto"/>
                <w:szCs w:val="21"/>
                <w:highlight w:val="none"/>
                <w:lang w:eastAsia="zh-CN"/>
              </w:rPr>
              <w:t>详见采购需求</w:t>
            </w:r>
          </w:p>
        </w:tc>
      </w:tr>
      <w:tr w14:paraId="569597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6E3EC7CD">
            <w:pPr>
              <w:spacing w:line="360" w:lineRule="auto"/>
              <w:jc w:val="center"/>
              <w:rPr>
                <w:rFonts w:hint="eastAsia" w:eastAsia="宋体"/>
                <w:color w:val="auto"/>
                <w:highlight w:val="none"/>
                <w:lang w:val="en-US" w:eastAsia="zh-CN"/>
              </w:rPr>
            </w:pPr>
            <w:r>
              <w:rPr>
                <w:rFonts w:hint="eastAsia"/>
                <w:color w:val="auto"/>
                <w:highlight w:val="none"/>
                <w:lang w:val="en-US" w:eastAsia="zh-CN"/>
              </w:rPr>
              <w:t>3</w:t>
            </w:r>
          </w:p>
        </w:tc>
        <w:tc>
          <w:tcPr>
            <w:tcW w:w="2775" w:type="dxa"/>
            <w:tcBorders>
              <w:top w:val="single" w:color="auto" w:sz="4" w:space="0"/>
              <w:left w:val="single" w:color="auto" w:sz="4" w:space="0"/>
              <w:bottom w:val="single" w:color="auto" w:sz="4" w:space="0"/>
              <w:right w:val="single" w:color="auto" w:sz="4" w:space="0"/>
            </w:tcBorders>
            <w:vAlign w:val="center"/>
          </w:tcPr>
          <w:p w14:paraId="54D9CFCE">
            <w:pPr>
              <w:tabs>
                <w:tab w:val="left" w:pos="180"/>
                <w:tab w:val="left" w:pos="1620"/>
              </w:tabs>
              <w:spacing w:line="360" w:lineRule="auto"/>
              <w:jc w:val="center"/>
              <w:rPr>
                <w:rFonts w:hint="eastAsia" w:eastAsia="宋体"/>
                <w:color w:val="auto"/>
                <w:highlight w:val="none"/>
                <w:lang w:eastAsia="zh-CN"/>
              </w:rPr>
            </w:pPr>
            <w:r>
              <w:rPr>
                <w:rFonts w:hint="eastAsia" w:ascii="Times New Roman" w:hAnsi="Times New Roman"/>
                <w:color w:val="auto"/>
                <w:highlight w:val="none"/>
                <w:lang w:val="en-US" w:eastAsia="zh-CN"/>
              </w:rPr>
              <w:t>2026年政务服务事项实施清单标准化管理项目</w:t>
            </w:r>
          </w:p>
        </w:tc>
        <w:tc>
          <w:tcPr>
            <w:tcW w:w="962" w:type="dxa"/>
            <w:tcBorders>
              <w:top w:val="single" w:color="auto" w:sz="4" w:space="0"/>
              <w:left w:val="single" w:color="auto" w:sz="4" w:space="0"/>
              <w:bottom w:val="single" w:color="auto" w:sz="4" w:space="0"/>
              <w:right w:val="single" w:color="auto" w:sz="4" w:space="0"/>
            </w:tcBorders>
            <w:vAlign w:val="center"/>
          </w:tcPr>
          <w:p w14:paraId="64EF443F">
            <w:pPr>
              <w:spacing w:line="360" w:lineRule="auto"/>
              <w:jc w:val="center"/>
              <w:rPr>
                <w:rFonts w:hint="eastAsia"/>
                <w:color w:val="auto"/>
                <w:highlight w:val="none"/>
              </w:rPr>
            </w:pPr>
            <w:r>
              <w:rPr>
                <w:rFonts w:hint="eastAsia"/>
                <w:color w:val="auto"/>
                <w:highlight w:val="none"/>
              </w:rPr>
              <w:t>1项</w:t>
            </w:r>
          </w:p>
        </w:tc>
        <w:tc>
          <w:tcPr>
            <w:tcW w:w="3031" w:type="dxa"/>
            <w:tcBorders>
              <w:top w:val="single" w:color="auto" w:sz="4" w:space="0"/>
              <w:left w:val="single" w:color="auto" w:sz="4" w:space="0"/>
              <w:bottom w:val="single" w:color="auto" w:sz="4" w:space="0"/>
              <w:right w:val="single" w:color="auto" w:sz="4" w:space="0"/>
            </w:tcBorders>
            <w:vAlign w:val="center"/>
          </w:tcPr>
          <w:p w14:paraId="335CA3B9">
            <w:pPr>
              <w:tabs>
                <w:tab w:val="left" w:pos="180"/>
                <w:tab w:val="left" w:pos="1620"/>
              </w:tabs>
              <w:spacing w:line="360" w:lineRule="auto"/>
              <w:jc w:val="center"/>
              <w:rPr>
                <w:rFonts w:hint="eastAsia" w:ascii="Times New Roman" w:hAnsi="Times New Roman" w:eastAsia="宋体" w:cs="Times New Roman"/>
                <w:color w:val="auto"/>
                <w:highlight w:val="none"/>
                <w:lang w:val="en-US" w:eastAsia="zh-CN"/>
              </w:rPr>
            </w:pPr>
            <w:r>
              <w:rPr>
                <w:rFonts w:hint="eastAsia" w:ascii="宋体" w:hAnsi="宋体" w:cs="宋体"/>
                <w:color w:val="auto"/>
                <w:sz w:val="21"/>
                <w:szCs w:val="21"/>
                <w:highlight w:val="none"/>
                <w:lang w:val="en-US" w:eastAsia="zh-CN"/>
              </w:rPr>
              <w:t>2026年12月底</w:t>
            </w:r>
          </w:p>
        </w:tc>
        <w:tc>
          <w:tcPr>
            <w:tcW w:w="1644" w:type="dxa"/>
            <w:tcBorders>
              <w:top w:val="single" w:color="auto" w:sz="4" w:space="0"/>
              <w:left w:val="single" w:color="auto" w:sz="4" w:space="0"/>
              <w:bottom w:val="single" w:color="auto" w:sz="4" w:space="0"/>
              <w:right w:val="single" w:color="auto" w:sz="4" w:space="0"/>
            </w:tcBorders>
            <w:vAlign w:val="center"/>
          </w:tcPr>
          <w:p w14:paraId="1039BAB7">
            <w:pPr>
              <w:spacing w:line="360" w:lineRule="exact"/>
              <w:jc w:val="left"/>
              <w:rPr>
                <w:rFonts w:hint="eastAsia"/>
                <w:color w:val="auto"/>
                <w:szCs w:val="21"/>
                <w:highlight w:val="none"/>
              </w:rPr>
            </w:pPr>
            <w:r>
              <w:rPr>
                <w:rFonts w:hint="eastAsia"/>
                <w:color w:val="auto"/>
                <w:szCs w:val="21"/>
                <w:highlight w:val="none"/>
                <w:lang w:eastAsia="zh-CN"/>
              </w:rPr>
              <w:t>详见采购需求</w:t>
            </w:r>
          </w:p>
        </w:tc>
      </w:tr>
      <w:tr w14:paraId="617B43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20F4E32C">
            <w:pPr>
              <w:spacing w:line="360" w:lineRule="auto"/>
              <w:jc w:val="center"/>
              <w:rPr>
                <w:rFonts w:hint="eastAsia" w:eastAsia="宋体"/>
                <w:color w:val="auto"/>
                <w:highlight w:val="none"/>
                <w:lang w:val="en-US" w:eastAsia="zh-CN"/>
              </w:rPr>
            </w:pPr>
            <w:r>
              <w:rPr>
                <w:rFonts w:hint="eastAsia"/>
                <w:color w:val="auto"/>
                <w:highlight w:val="none"/>
                <w:lang w:val="en-US" w:eastAsia="zh-CN"/>
              </w:rPr>
              <w:t>4</w:t>
            </w:r>
          </w:p>
        </w:tc>
        <w:tc>
          <w:tcPr>
            <w:tcW w:w="2775" w:type="dxa"/>
            <w:tcBorders>
              <w:top w:val="single" w:color="auto" w:sz="4" w:space="0"/>
              <w:left w:val="single" w:color="auto" w:sz="4" w:space="0"/>
              <w:bottom w:val="single" w:color="auto" w:sz="4" w:space="0"/>
              <w:right w:val="single" w:color="auto" w:sz="4" w:space="0"/>
            </w:tcBorders>
            <w:vAlign w:val="center"/>
          </w:tcPr>
          <w:p w14:paraId="2FEBDE09">
            <w:pPr>
              <w:tabs>
                <w:tab w:val="left" w:pos="180"/>
                <w:tab w:val="left" w:pos="1620"/>
              </w:tabs>
              <w:spacing w:line="360" w:lineRule="auto"/>
              <w:jc w:val="center"/>
              <w:rPr>
                <w:rFonts w:hint="eastAsia" w:eastAsia="宋体"/>
                <w:color w:val="auto"/>
                <w:highlight w:val="none"/>
                <w:lang w:eastAsia="zh-CN"/>
              </w:rPr>
            </w:pPr>
            <w:r>
              <w:rPr>
                <w:rFonts w:hint="eastAsia" w:ascii="Times New Roman" w:hAnsi="Times New Roman"/>
                <w:color w:val="auto"/>
                <w:highlight w:val="none"/>
                <w:lang w:val="en-US" w:eastAsia="zh-CN"/>
              </w:rPr>
              <w:t>2026年全区政府网站与政务新媒体检查评估项目</w:t>
            </w:r>
          </w:p>
        </w:tc>
        <w:tc>
          <w:tcPr>
            <w:tcW w:w="962" w:type="dxa"/>
            <w:tcBorders>
              <w:top w:val="single" w:color="auto" w:sz="4" w:space="0"/>
              <w:left w:val="single" w:color="auto" w:sz="4" w:space="0"/>
              <w:bottom w:val="single" w:color="auto" w:sz="4" w:space="0"/>
              <w:right w:val="single" w:color="auto" w:sz="4" w:space="0"/>
            </w:tcBorders>
            <w:vAlign w:val="center"/>
          </w:tcPr>
          <w:p w14:paraId="3E789FA1">
            <w:pPr>
              <w:spacing w:line="360" w:lineRule="auto"/>
              <w:jc w:val="center"/>
              <w:rPr>
                <w:rFonts w:hint="eastAsia"/>
                <w:color w:val="auto"/>
                <w:highlight w:val="none"/>
              </w:rPr>
            </w:pPr>
            <w:r>
              <w:rPr>
                <w:rFonts w:hint="eastAsia"/>
                <w:color w:val="auto"/>
                <w:highlight w:val="none"/>
              </w:rPr>
              <w:t>1项</w:t>
            </w:r>
          </w:p>
        </w:tc>
        <w:tc>
          <w:tcPr>
            <w:tcW w:w="3031" w:type="dxa"/>
            <w:tcBorders>
              <w:top w:val="single" w:color="auto" w:sz="4" w:space="0"/>
              <w:left w:val="single" w:color="auto" w:sz="4" w:space="0"/>
              <w:bottom w:val="single" w:color="auto" w:sz="4" w:space="0"/>
              <w:right w:val="single" w:color="auto" w:sz="4" w:space="0"/>
            </w:tcBorders>
            <w:vAlign w:val="center"/>
          </w:tcPr>
          <w:p w14:paraId="5C8408E1">
            <w:pPr>
              <w:tabs>
                <w:tab w:val="left" w:pos="180"/>
                <w:tab w:val="left" w:pos="1620"/>
              </w:tabs>
              <w:spacing w:line="360" w:lineRule="auto"/>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合同签订之日起至2027年6月30日，实际期限以采购人实际工作进度为准</w:t>
            </w:r>
          </w:p>
        </w:tc>
        <w:tc>
          <w:tcPr>
            <w:tcW w:w="1644" w:type="dxa"/>
            <w:tcBorders>
              <w:top w:val="single" w:color="auto" w:sz="4" w:space="0"/>
              <w:left w:val="single" w:color="auto" w:sz="4" w:space="0"/>
              <w:bottom w:val="single" w:color="auto" w:sz="4" w:space="0"/>
              <w:right w:val="single" w:color="auto" w:sz="4" w:space="0"/>
            </w:tcBorders>
            <w:vAlign w:val="center"/>
          </w:tcPr>
          <w:p w14:paraId="1935A866">
            <w:pPr>
              <w:spacing w:line="360" w:lineRule="exact"/>
              <w:jc w:val="left"/>
              <w:rPr>
                <w:rFonts w:hint="eastAsia"/>
                <w:color w:val="auto"/>
                <w:szCs w:val="21"/>
                <w:highlight w:val="none"/>
              </w:rPr>
            </w:pPr>
            <w:r>
              <w:rPr>
                <w:rFonts w:hint="eastAsia"/>
                <w:color w:val="auto"/>
                <w:szCs w:val="21"/>
                <w:highlight w:val="none"/>
                <w:lang w:eastAsia="zh-CN"/>
              </w:rPr>
              <w:t>详见采购需求</w:t>
            </w:r>
          </w:p>
        </w:tc>
      </w:tr>
      <w:tr w14:paraId="797633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029F7FF9">
            <w:pPr>
              <w:spacing w:line="360" w:lineRule="auto"/>
              <w:jc w:val="center"/>
              <w:rPr>
                <w:rFonts w:hint="eastAsia" w:eastAsia="宋体"/>
                <w:color w:val="auto"/>
                <w:highlight w:val="none"/>
                <w:lang w:val="en-US" w:eastAsia="zh-CN"/>
              </w:rPr>
            </w:pPr>
            <w:r>
              <w:rPr>
                <w:rFonts w:hint="eastAsia"/>
                <w:color w:val="auto"/>
                <w:highlight w:val="none"/>
                <w:lang w:val="en-US" w:eastAsia="zh-CN"/>
              </w:rPr>
              <w:t>5</w:t>
            </w:r>
          </w:p>
        </w:tc>
        <w:tc>
          <w:tcPr>
            <w:tcW w:w="2775" w:type="dxa"/>
            <w:tcBorders>
              <w:top w:val="single" w:color="auto" w:sz="4" w:space="0"/>
              <w:left w:val="single" w:color="auto" w:sz="4" w:space="0"/>
              <w:bottom w:val="single" w:color="auto" w:sz="4" w:space="0"/>
              <w:right w:val="single" w:color="auto" w:sz="4" w:space="0"/>
            </w:tcBorders>
            <w:vAlign w:val="center"/>
          </w:tcPr>
          <w:p w14:paraId="70B5AB9C">
            <w:pPr>
              <w:tabs>
                <w:tab w:val="left" w:pos="180"/>
                <w:tab w:val="left" w:pos="1620"/>
              </w:tabs>
              <w:spacing w:line="360" w:lineRule="auto"/>
              <w:jc w:val="center"/>
              <w:rPr>
                <w:rFonts w:hint="eastAsia" w:eastAsia="宋体"/>
                <w:color w:val="auto"/>
                <w:highlight w:val="none"/>
                <w:lang w:eastAsia="zh-CN"/>
              </w:rPr>
            </w:pPr>
            <w:r>
              <w:rPr>
                <w:rFonts w:hint="eastAsia" w:ascii="Times New Roman" w:hAnsi="Times New Roman"/>
                <w:color w:val="auto"/>
                <w:highlight w:val="none"/>
                <w:lang w:val="en-US" w:eastAsia="zh-CN"/>
              </w:rPr>
              <w:t>2026年自治区政务服务好差评评价项目</w:t>
            </w:r>
          </w:p>
        </w:tc>
        <w:tc>
          <w:tcPr>
            <w:tcW w:w="962" w:type="dxa"/>
            <w:tcBorders>
              <w:top w:val="single" w:color="auto" w:sz="4" w:space="0"/>
              <w:left w:val="single" w:color="auto" w:sz="4" w:space="0"/>
              <w:bottom w:val="single" w:color="auto" w:sz="4" w:space="0"/>
              <w:right w:val="single" w:color="auto" w:sz="4" w:space="0"/>
            </w:tcBorders>
            <w:vAlign w:val="center"/>
          </w:tcPr>
          <w:p w14:paraId="7E9A1551">
            <w:pPr>
              <w:spacing w:line="360" w:lineRule="auto"/>
              <w:jc w:val="center"/>
              <w:rPr>
                <w:rFonts w:hint="eastAsia"/>
                <w:color w:val="auto"/>
                <w:highlight w:val="none"/>
              </w:rPr>
            </w:pPr>
            <w:r>
              <w:rPr>
                <w:rFonts w:hint="eastAsia"/>
                <w:color w:val="auto"/>
                <w:highlight w:val="none"/>
              </w:rPr>
              <w:t>1项</w:t>
            </w:r>
          </w:p>
        </w:tc>
        <w:tc>
          <w:tcPr>
            <w:tcW w:w="3031" w:type="dxa"/>
            <w:tcBorders>
              <w:top w:val="single" w:color="auto" w:sz="4" w:space="0"/>
              <w:left w:val="single" w:color="auto" w:sz="4" w:space="0"/>
              <w:bottom w:val="single" w:color="auto" w:sz="4" w:space="0"/>
              <w:right w:val="single" w:color="auto" w:sz="4" w:space="0"/>
            </w:tcBorders>
            <w:vAlign w:val="center"/>
          </w:tcPr>
          <w:p w14:paraId="6D99E9F2">
            <w:pPr>
              <w:tabs>
                <w:tab w:val="left" w:pos="180"/>
                <w:tab w:val="left" w:pos="1620"/>
              </w:tabs>
              <w:spacing w:line="360" w:lineRule="auto"/>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中标后7天内开始提供服务</w:t>
            </w:r>
          </w:p>
        </w:tc>
        <w:tc>
          <w:tcPr>
            <w:tcW w:w="1644" w:type="dxa"/>
            <w:tcBorders>
              <w:top w:val="single" w:color="auto" w:sz="4" w:space="0"/>
              <w:left w:val="single" w:color="auto" w:sz="4" w:space="0"/>
              <w:bottom w:val="single" w:color="auto" w:sz="4" w:space="0"/>
              <w:right w:val="single" w:color="auto" w:sz="4" w:space="0"/>
            </w:tcBorders>
            <w:vAlign w:val="center"/>
          </w:tcPr>
          <w:p w14:paraId="14A12443">
            <w:pPr>
              <w:spacing w:line="360" w:lineRule="exact"/>
              <w:jc w:val="left"/>
              <w:rPr>
                <w:rFonts w:hint="eastAsia"/>
                <w:color w:val="auto"/>
                <w:szCs w:val="21"/>
                <w:highlight w:val="none"/>
              </w:rPr>
            </w:pPr>
            <w:r>
              <w:rPr>
                <w:rFonts w:hint="eastAsia"/>
                <w:color w:val="auto"/>
                <w:szCs w:val="21"/>
                <w:highlight w:val="none"/>
                <w:lang w:eastAsia="zh-CN"/>
              </w:rPr>
              <w:t>详见采购需求</w:t>
            </w:r>
          </w:p>
        </w:tc>
      </w:tr>
      <w:tr w14:paraId="100DBC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8" w:hRule="atLeast"/>
          <w:jc w:val="center"/>
        </w:trPr>
        <w:tc>
          <w:tcPr>
            <w:tcW w:w="730" w:type="dxa"/>
            <w:tcBorders>
              <w:top w:val="single" w:color="auto" w:sz="4" w:space="0"/>
              <w:left w:val="single" w:color="auto" w:sz="4" w:space="0"/>
              <w:bottom w:val="single" w:color="auto" w:sz="4" w:space="0"/>
              <w:right w:val="single" w:color="auto" w:sz="4" w:space="0"/>
            </w:tcBorders>
            <w:vAlign w:val="center"/>
          </w:tcPr>
          <w:p w14:paraId="637AAA33">
            <w:pPr>
              <w:spacing w:line="360" w:lineRule="auto"/>
              <w:jc w:val="center"/>
              <w:rPr>
                <w:rFonts w:hint="eastAsia" w:eastAsia="宋体"/>
                <w:color w:val="auto"/>
                <w:highlight w:val="none"/>
                <w:lang w:val="en-US" w:eastAsia="zh-CN"/>
              </w:rPr>
            </w:pPr>
            <w:r>
              <w:rPr>
                <w:rFonts w:hint="eastAsia"/>
                <w:color w:val="auto"/>
                <w:highlight w:val="none"/>
                <w:lang w:val="en-US" w:eastAsia="zh-CN"/>
              </w:rPr>
              <w:t>6</w:t>
            </w:r>
          </w:p>
        </w:tc>
        <w:tc>
          <w:tcPr>
            <w:tcW w:w="2775" w:type="dxa"/>
            <w:tcBorders>
              <w:top w:val="single" w:color="auto" w:sz="4" w:space="0"/>
              <w:left w:val="single" w:color="auto" w:sz="4" w:space="0"/>
              <w:bottom w:val="single" w:color="auto" w:sz="4" w:space="0"/>
              <w:right w:val="single" w:color="auto" w:sz="4" w:space="0"/>
            </w:tcBorders>
            <w:vAlign w:val="center"/>
          </w:tcPr>
          <w:p w14:paraId="3EADDA53">
            <w:pPr>
              <w:tabs>
                <w:tab w:val="left" w:pos="180"/>
                <w:tab w:val="left" w:pos="1620"/>
              </w:tabs>
              <w:spacing w:line="360" w:lineRule="auto"/>
              <w:jc w:val="center"/>
              <w:rPr>
                <w:rFonts w:hint="eastAsia" w:eastAsia="宋体"/>
                <w:color w:val="auto"/>
                <w:highlight w:val="none"/>
                <w:lang w:eastAsia="zh-CN"/>
              </w:rPr>
            </w:pPr>
            <w:r>
              <w:rPr>
                <w:rFonts w:hint="eastAsia" w:ascii="Times New Roman" w:hAnsi="Times New Roman"/>
                <w:color w:val="auto"/>
                <w:highlight w:val="none"/>
                <w:lang w:val="en-US" w:eastAsia="zh-CN"/>
              </w:rPr>
              <w:t>2026年广西政务服务“事好办”成效校验项目</w:t>
            </w:r>
          </w:p>
        </w:tc>
        <w:tc>
          <w:tcPr>
            <w:tcW w:w="962" w:type="dxa"/>
            <w:tcBorders>
              <w:top w:val="single" w:color="auto" w:sz="4" w:space="0"/>
              <w:left w:val="single" w:color="auto" w:sz="4" w:space="0"/>
              <w:bottom w:val="single" w:color="auto" w:sz="4" w:space="0"/>
              <w:right w:val="single" w:color="auto" w:sz="4" w:space="0"/>
            </w:tcBorders>
            <w:vAlign w:val="center"/>
          </w:tcPr>
          <w:p w14:paraId="26DCE1DF">
            <w:pPr>
              <w:spacing w:line="360" w:lineRule="auto"/>
              <w:jc w:val="center"/>
              <w:rPr>
                <w:rFonts w:hint="eastAsia"/>
                <w:color w:val="auto"/>
                <w:highlight w:val="none"/>
              </w:rPr>
            </w:pPr>
            <w:r>
              <w:rPr>
                <w:rFonts w:hint="eastAsia"/>
                <w:color w:val="auto"/>
                <w:highlight w:val="none"/>
              </w:rPr>
              <w:t>1项</w:t>
            </w:r>
          </w:p>
        </w:tc>
        <w:tc>
          <w:tcPr>
            <w:tcW w:w="3031" w:type="dxa"/>
            <w:tcBorders>
              <w:top w:val="single" w:color="auto" w:sz="4" w:space="0"/>
              <w:left w:val="single" w:color="auto" w:sz="4" w:space="0"/>
              <w:bottom w:val="single" w:color="auto" w:sz="4" w:space="0"/>
              <w:right w:val="single" w:color="auto" w:sz="4" w:space="0"/>
            </w:tcBorders>
            <w:vAlign w:val="center"/>
          </w:tcPr>
          <w:p w14:paraId="6DD4E8D7">
            <w:pPr>
              <w:spacing w:line="360" w:lineRule="exact"/>
              <w:ind w:firstLine="420" w:firstLineChars="200"/>
              <w:jc w:val="left"/>
              <w:rPr>
                <w:rFonts w:hint="eastAsia" w:eastAsia="宋体"/>
                <w:color w:val="auto"/>
                <w:szCs w:val="21"/>
                <w:highlight w:val="none"/>
                <w:lang w:val="en-US" w:eastAsia="zh-CN"/>
              </w:rPr>
            </w:pPr>
            <w:r>
              <w:rPr>
                <w:rFonts w:hint="eastAsia"/>
                <w:color w:val="auto"/>
                <w:szCs w:val="21"/>
                <w:highlight w:val="none"/>
                <w:lang w:val="en-US" w:eastAsia="zh-CN"/>
              </w:rPr>
              <w:t>1年</w:t>
            </w:r>
          </w:p>
        </w:tc>
        <w:tc>
          <w:tcPr>
            <w:tcW w:w="1644" w:type="dxa"/>
            <w:tcBorders>
              <w:top w:val="single" w:color="auto" w:sz="4" w:space="0"/>
              <w:left w:val="single" w:color="auto" w:sz="4" w:space="0"/>
              <w:bottom w:val="single" w:color="auto" w:sz="4" w:space="0"/>
              <w:right w:val="single" w:color="auto" w:sz="4" w:space="0"/>
            </w:tcBorders>
            <w:vAlign w:val="center"/>
          </w:tcPr>
          <w:p w14:paraId="7FD4FB64">
            <w:pPr>
              <w:spacing w:line="360" w:lineRule="exact"/>
              <w:jc w:val="left"/>
              <w:rPr>
                <w:rFonts w:hint="eastAsia"/>
                <w:color w:val="auto"/>
                <w:szCs w:val="21"/>
                <w:highlight w:val="none"/>
              </w:rPr>
            </w:pPr>
            <w:r>
              <w:rPr>
                <w:rFonts w:hint="eastAsia"/>
                <w:color w:val="auto"/>
                <w:szCs w:val="21"/>
                <w:highlight w:val="none"/>
                <w:lang w:eastAsia="zh-CN"/>
              </w:rPr>
              <w:t>详见采购需求</w:t>
            </w:r>
          </w:p>
        </w:tc>
      </w:tr>
    </w:tbl>
    <w:p w14:paraId="0EE3661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本项目是否接受联合体投标：否。</w:t>
      </w:r>
    </w:p>
    <w:p w14:paraId="4C8A0907">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二、投标人的资格要求：</w:t>
      </w:r>
    </w:p>
    <w:p w14:paraId="07317AA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1DBFFB2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2.落实政府采购政策需满足的资格要求：</w:t>
      </w:r>
      <w:r>
        <w:rPr>
          <w:rFonts w:hint="eastAsia" w:ascii="宋体" w:hAnsi="宋体" w:cs="宋体"/>
          <w:color w:val="auto"/>
          <w:szCs w:val="21"/>
          <w:highlight w:val="none"/>
          <w:lang w:val="en-US" w:eastAsia="zh-CN"/>
        </w:rPr>
        <w:t>1、2、3、5、6分标</w:t>
      </w:r>
      <w:r>
        <w:rPr>
          <w:rFonts w:hint="eastAsia" w:ascii="宋体" w:hAnsi="宋体" w:cs="宋体"/>
          <w:color w:val="auto"/>
          <w:szCs w:val="21"/>
          <w:highlight w:val="none"/>
        </w:rPr>
        <w:t>专门面向中小企业采购的项目</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4分标</w:t>
      </w:r>
      <w:r>
        <w:rPr>
          <w:rFonts w:hint="eastAsia" w:ascii="宋体" w:hAnsi="宋体" w:cs="宋体"/>
          <w:color w:val="auto"/>
          <w:szCs w:val="21"/>
          <w:highlight w:val="none"/>
        </w:rPr>
        <w:t>非专门面向中小企业采购的项目</w:t>
      </w:r>
      <w:r>
        <w:rPr>
          <w:rFonts w:hint="eastAsia" w:ascii="宋体" w:hAnsi="宋体" w:cs="宋体"/>
          <w:color w:val="auto"/>
          <w:szCs w:val="21"/>
          <w:highlight w:val="none"/>
          <w:lang w:eastAsia="zh-CN"/>
        </w:rPr>
        <w:t>。</w:t>
      </w:r>
    </w:p>
    <w:p w14:paraId="6F391664">
      <w:pPr>
        <w:numPr>
          <w:ilvl w:val="0"/>
          <w:numId w:val="0"/>
        </w:numPr>
        <w:spacing w:line="360" w:lineRule="auto"/>
        <w:ind w:firstLine="420" w:firstLineChars="200"/>
        <w:rPr>
          <w:rFonts w:hint="eastAsia" w:ascii="宋体" w:hAnsi="宋体" w:eastAsia="宋体" w:cs="宋体"/>
          <w:strike w:val="0"/>
          <w:color w:val="auto"/>
          <w:szCs w:val="21"/>
          <w:highlight w:val="none"/>
          <w:lang w:eastAsia="zh-CN"/>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本项目的特定资格要求：</w:t>
      </w:r>
      <w:r>
        <w:rPr>
          <w:rFonts w:hint="eastAsia" w:ascii="宋体" w:hAnsi="宋体" w:cs="宋体"/>
          <w:color w:val="auto"/>
          <w:szCs w:val="21"/>
          <w:highlight w:val="none"/>
          <w:lang w:eastAsia="zh-CN"/>
        </w:rPr>
        <w:t>无</w:t>
      </w:r>
    </w:p>
    <w:p w14:paraId="07B2AEB0">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三、获取招标文件</w:t>
      </w:r>
    </w:p>
    <w:p w14:paraId="2405B13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bCs/>
          <w:color w:val="auto"/>
          <w:kern w:val="0"/>
          <w:szCs w:val="21"/>
          <w:highlight w:val="none"/>
        </w:rPr>
      </w:pPr>
      <w:r>
        <w:rPr>
          <w:rFonts w:hint="eastAsia" w:ascii="宋体" w:hAnsi="宋体" w:cs="宋体"/>
          <w:color w:val="auto"/>
          <w:szCs w:val="21"/>
          <w:highlight w:val="none"/>
        </w:rPr>
        <w:t>时间：</w:t>
      </w:r>
      <w:r>
        <w:rPr>
          <w:rFonts w:hint="eastAsia" w:ascii="宋体" w:hAnsi="宋体" w:cs="Arial"/>
          <w:color w:val="auto"/>
          <w:highlight w:val="none"/>
          <w:lang w:val="en-US" w:eastAsia="zh-CN"/>
        </w:rPr>
        <w:t>2026</w:t>
      </w:r>
      <w:r>
        <w:rPr>
          <w:rFonts w:hint="eastAsia" w:ascii="宋体" w:hAnsi="宋体" w:cs="Arial"/>
          <w:color w:val="auto"/>
          <w:highlight w:val="none"/>
        </w:rPr>
        <w:t>年</w:t>
      </w:r>
      <w:r>
        <w:rPr>
          <w:rFonts w:hint="eastAsia" w:ascii="宋体" w:hAnsi="宋体" w:cs="Arial"/>
          <w:color w:val="auto"/>
          <w:highlight w:val="none"/>
          <w:lang w:val="en-US" w:eastAsia="zh-CN"/>
        </w:rPr>
        <w:t xml:space="preserve">  </w:t>
      </w:r>
      <w:r>
        <w:rPr>
          <w:rFonts w:hint="eastAsia" w:ascii="宋体" w:hAnsi="宋体" w:cs="Arial"/>
          <w:color w:val="auto"/>
          <w:highlight w:val="none"/>
        </w:rPr>
        <w:t>月</w:t>
      </w:r>
      <w:r>
        <w:rPr>
          <w:rFonts w:hint="eastAsia" w:ascii="宋体" w:hAnsi="宋体" w:cs="Arial"/>
          <w:color w:val="auto"/>
          <w:highlight w:val="none"/>
          <w:lang w:val="en-US" w:eastAsia="zh-CN"/>
        </w:rPr>
        <w:t xml:space="preserve">  </w:t>
      </w:r>
      <w:r>
        <w:rPr>
          <w:rFonts w:hint="eastAsia" w:ascii="宋体" w:hAnsi="宋体" w:cs="Arial"/>
          <w:color w:val="auto"/>
          <w:highlight w:val="none"/>
        </w:rPr>
        <w:t>日</w:t>
      </w:r>
      <w:r>
        <w:rPr>
          <w:rFonts w:hint="eastAsia" w:ascii="宋体" w:hAnsi="宋体" w:cs="Arial"/>
          <w:color w:val="auto"/>
          <w:szCs w:val="21"/>
          <w:highlight w:val="none"/>
        </w:rPr>
        <w:t>至</w:t>
      </w:r>
      <w:r>
        <w:rPr>
          <w:rFonts w:hint="eastAsia" w:ascii="宋体" w:hAnsi="宋体" w:cs="Arial"/>
          <w:color w:val="auto"/>
          <w:highlight w:val="none"/>
        </w:rPr>
        <w:t>20</w:t>
      </w:r>
      <w:r>
        <w:rPr>
          <w:rFonts w:hint="eastAsia" w:ascii="宋体" w:hAnsi="宋体" w:cs="Arial"/>
          <w:color w:val="auto"/>
          <w:highlight w:val="none"/>
          <w:lang w:val="en-US" w:eastAsia="zh-CN"/>
        </w:rPr>
        <w:t>26</w:t>
      </w:r>
      <w:r>
        <w:rPr>
          <w:rFonts w:hint="eastAsia" w:ascii="宋体" w:hAnsi="宋体" w:cs="Arial"/>
          <w:color w:val="auto"/>
          <w:highlight w:val="none"/>
        </w:rPr>
        <w:t>年</w:t>
      </w:r>
      <w:r>
        <w:rPr>
          <w:rFonts w:hint="eastAsia" w:ascii="宋体" w:hAnsi="宋体" w:cs="Arial"/>
          <w:color w:val="auto"/>
          <w:highlight w:val="none"/>
          <w:lang w:val="en-US" w:eastAsia="zh-CN"/>
        </w:rPr>
        <w:t xml:space="preserve">  </w:t>
      </w:r>
      <w:r>
        <w:rPr>
          <w:rFonts w:hint="eastAsia" w:ascii="宋体" w:hAnsi="宋体" w:cs="Arial"/>
          <w:color w:val="auto"/>
          <w:highlight w:val="none"/>
        </w:rPr>
        <w:t>月</w:t>
      </w:r>
      <w:r>
        <w:rPr>
          <w:rFonts w:hint="eastAsia" w:ascii="宋体" w:hAnsi="宋体" w:cs="Arial"/>
          <w:color w:val="auto"/>
          <w:highlight w:val="none"/>
          <w:lang w:val="en-US" w:eastAsia="zh-CN"/>
        </w:rPr>
        <w:t xml:space="preserve">  </w:t>
      </w:r>
      <w:r>
        <w:rPr>
          <w:rFonts w:hint="eastAsia" w:ascii="宋体" w:hAnsi="宋体" w:cs="Arial"/>
          <w:color w:val="auto"/>
          <w:highlight w:val="none"/>
        </w:rPr>
        <w:t>日</w:t>
      </w:r>
      <w:r>
        <w:rPr>
          <w:rFonts w:hint="eastAsia" w:ascii="宋体" w:hAnsi="宋体" w:cs="Arial"/>
          <w:color w:val="auto"/>
          <w:szCs w:val="21"/>
          <w:highlight w:val="none"/>
        </w:rPr>
        <w:t>，每天上午00:00至1</w:t>
      </w:r>
      <w:r>
        <w:rPr>
          <w:rFonts w:ascii="宋体" w:hAnsi="宋体" w:cs="Arial"/>
          <w:color w:val="auto"/>
          <w:szCs w:val="21"/>
          <w:highlight w:val="none"/>
        </w:rPr>
        <w:t>2</w:t>
      </w:r>
      <w:r>
        <w:rPr>
          <w:rFonts w:hint="eastAsia" w:ascii="宋体" w:hAnsi="宋体" w:cs="Arial"/>
          <w:color w:val="auto"/>
          <w:szCs w:val="21"/>
          <w:highlight w:val="none"/>
        </w:rPr>
        <w:t>:</w:t>
      </w:r>
      <w:r>
        <w:rPr>
          <w:rFonts w:ascii="宋体" w:hAnsi="宋体" w:cs="Arial"/>
          <w:color w:val="auto"/>
          <w:szCs w:val="21"/>
          <w:highlight w:val="none"/>
        </w:rPr>
        <w:t>00</w:t>
      </w:r>
      <w:r>
        <w:rPr>
          <w:rFonts w:hint="eastAsia" w:ascii="宋体" w:hAnsi="宋体" w:cs="Arial"/>
          <w:color w:val="auto"/>
          <w:szCs w:val="21"/>
          <w:highlight w:val="none"/>
        </w:rPr>
        <w:t>；下午12:00至23:59（北京时间，</w:t>
      </w:r>
      <w:r>
        <w:rPr>
          <w:rFonts w:ascii="宋体" w:hAnsi="宋体" w:cs="Arial"/>
          <w:color w:val="auto"/>
          <w:szCs w:val="21"/>
          <w:highlight w:val="none"/>
        </w:rPr>
        <w:t>法定节假日</w:t>
      </w:r>
      <w:r>
        <w:rPr>
          <w:rFonts w:hint="eastAsia" w:ascii="宋体" w:hAnsi="宋体" w:cs="Arial"/>
          <w:color w:val="auto"/>
          <w:szCs w:val="21"/>
          <w:highlight w:val="none"/>
        </w:rPr>
        <w:t>除外）。</w:t>
      </w:r>
    </w:p>
    <w:p w14:paraId="71D2A103">
      <w:pPr>
        <w:spacing w:line="360" w:lineRule="auto"/>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rPr>
        <w:t>获取方式:网上下载。本项目不发放纸质文件，供应商可自行在</w:t>
      </w:r>
      <w:r>
        <w:rPr>
          <w:color w:val="auto"/>
          <w:highlight w:val="none"/>
        </w:rPr>
        <w:fldChar w:fldCharType="begin"/>
      </w:r>
      <w:r>
        <w:rPr>
          <w:color w:val="auto"/>
          <w:highlight w:val="none"/>
        </w:rPr>
        <w:instrText xml:space="preserve"> HYPERLINK </w:instrText>
      </w:r>
      <w:r>
        <w:rPr>
          <w:color w:val="auto"/>
          <w:highlight w:val="none"/>
        </w:rPr>
        <w:fldChar w:fldCharType="separate"/>
      </w:r>
      <w:r>
        <w:rPr>
          <w:color w:val="auto"/>
          <w:highlight w:val="none"/>
        </w:rPr>
        <w:fldChar w:fldCharType="end"/>
      </w:r>
      <w:r>
        <w:rPr>
          <w:rFonts w:hint="eastAsia" w:ascii="宋体" w:hAnsi="宋体" w:cs="宋体"/>
          <w:color w:val="auto"/>
          <w:szCs w:val="21"/>
          <w:highlight w:val="none"/>
        </w:rPr>
        <w:t xml:space="preserve">“广西政府采购云平台”（ </w:t>
      </w:r>
      <w:r>
        <w:rPr>
          <w:color w:val="auto"/>
          <w:highlight w:val="none"/>
        </w:rPr>
        <w:fldChar w:fldCharType="begin"/>
      </w:r>
      <w:r>
        <w:rPr>
          <w:color w:val="auto"/>
          <w:highlight w:val="none"/>
        </w:rPr>
        <w:instrText xml:space="preserve"> HYPERLINK "https://www.gcy.zfcg.gxzf.gov.cn/）获取（下载）招标文件，并于%202024年3月%2018%20%20日%209" </w:instrText>
      </w:r>
      <w:r>
        <w:rPr>
          <w:color w:val="auto"/>
          <w:highlight w:val="none"/>
        </w:rPr>
        <w:fldChar w:fldCharType="separate"/>
      </w:r>
      <w:r>
        <w:rPr>
          <w:rFonts w:hint="eastAsia" w:ascii="宋体" w:hAnsi="宋体" w:cs="宋体"/>
          <w:color w:val="auto"/>
          <w:szCs w:val="21"/>
          <w:highlight w:val="none"/>
        </w:rPr>
        <w:t>https://www.gcy.zfcg.gxzf.gov.cn/）</w:t>
      </w:r>
      <w:r>
        <w:rPr>
          <w:rFonts w:hint="eastAsia" w:ascii="宋体" w:hAnsi="宋体" w:cs="宋体"/>
          <w:color w:val="auto"/>
          <w:szCs w:val="21"/>
          <w:highlight w:val="none"/>
        </w:rPr>
        <w:fldChar w:fldCharType="end"/>
      </w:r>
      <w:r>
        <w:rPr>
          <w:rFonts w:hint="eastAsia" w:ascii="宋体" w:hAnsi="宋体" w:cs="宋体"/>
          <w:color w:val="auto"/>
          <w:szCs w:val="21"/>
          <w:highlight w:val="none"/>
        </w:rPr>
        <w:t>下载招标文件（操作路径：登录广西政府采购云平台-项目采购-获取采购文件-找到本项目-点击“申请获取采购文件”），电子投标文件制作需要基于广西政府采购云平台获取的招标文件编制。</w:t>
      </w:r>
    </w:p>
    <w:p w14:paraId="5C2D66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售价：0元。</w:t>
      </w:r>
    </w:p>
    <w:p w14:paraId="7BB55833">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四、提交投标文件截止时间、开标时间和地点</w:t>
      </w:r>
    </w:p>
    <w:p w14:paraId="6AC1FB32">
      <w:pPr>
        <w:spacing w:line="360" w:lineRule="auto"/>
        <w:ind w:firstLine="42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1、提交投标文件截止时间和开标时间：</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u w:val="single"/>
        </w:rPr>
        <w:t xml:space="preserve">年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日09:30</w:t>
      </w:r>
      <w:r>
        <w:rPr>
          <w:rFonts w:hint="eastAsia" w:ascii="宋体" w:hAnsi="宋体" w:cs="宋体"/>
          <w:bCs/>
          <w:color w:val="auto"/>
          <w:szCs w:val="21"/>
          <w:highlight w:val="none"/>
        </w:rPr>
        <w:t>（北京时间）</w:t>
      </w:r>
    </w:p>
    <w:p w14:paraId="59B0FEEC">
      <w:pPr>
        <w:keepNext/>
        <w:keepLines/>
        <w:widowControl/>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2、投标和开标地点：</w:t>
      </w:r>
      <w:r>
        <w:rPr>
          <w:rFonts w:hint="eastAsia" w:ascii="宋体" w:hAnsi="宋体" w:cs="宋体"/>
          <w:color w:val="auto"/>
          <w:szCs w:val="21"/>
          <w:highlight w:val="none"/>
          <w:u w:val="single"/>
        </w:rPr>
        <w:t>广西政府采购云平台（https://www.gcy.zfcg.gxzf.gov.cn/）</w:t>
      </w:r>
    </w:p>
    <w:p w14:paraId="2C8ED9C2">
      <w:pPr>
        <w:keepNext/>
        <w:keepLines/>
        <w:widowControl/>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3、开标时间：</w:t>
      </w:r>
      <w:r>
        <w:rPr>
          <w:rFonts w:hint="eastAsia"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6</w:t>
      </w:r>
      <w:r>
        <w:rPr>
          <w:rFonts w:hint="eastAsia" w:ascii="宋体" w:hAnsi="宋体" w:cs="宋体"/>
          <w:bCs/>
          <w:color w:val="auto"/>
          <w:szCs w:val="21"/>
          <w:highlight w:val="none"/>
          <w:u w:val="single"/>
        </w:rPr>
        <w:t xml:space="preserve">年 </w:t>
      </w:r>
      <w:r>
        <w:rPr>
          <w:rFonts w:hint="eastAsia" w:ascii="宋体" w:hAnsi="宋体" w:cs="宋体"/>
          <w:bCs/>
          <w:color w:val="auto"/>
          <w:szCs w:val="21"/>
          <w:highlight w:val="none"/>
          <w:u w:val="single"/>
          <w:lang w:val="en-US" w:eastAsia="zh-CN"/>
        </w:rPr>
        <w:t xml:space="preserve">  </w:t>
      </w:r>
      <w:r>
        <w:rPr>
          <w:rFonts w:hint="eastAsia" w:ascii="宋体" w:hAnsi="宋体" w:cs="宋体"/>
          <w:bCs/>
          <w:color w:val="auto"/>
          <w:szCs w:val="21"/>
          <w:highlight w:val="none"/>
          <w:u w:val="single"/>
        </w:rPr>
        <w:t xml:space="preserve">月 </w:t>
      </w:r>
      <w:r>
        <w:rPr>
          <w:rFonts w:hint="eastAsia" w:ascii="宋体" w:hAnsi="宋体" w:cs="宋体"/>
          <w:bCs/>
          <w:color w:val="auto"/>
          <w:szCs w:val="21"/>
          <w:highlight w:val="none"/>
          <w:u w:val="single"/>
          <w:lang w:val="en-US" w:eastAsia="zh-CN"/>
        </w:rPr>
        <w:t xml:space="preserve">  </w:t>
      </w:r>
      <w:r>
        <w:rPr>
          <w:rFonts w:hint="eastAsia" w:ascii="宋体" w:hAnsi="宋体" w:cs="宋体"/>
          <w:bCs/>
          <w:color w:val="auto"/>
          <w:szCs w:val="21"/>
          <w:highlight w:val="none"/>
          <w:u w:val="single"/>
        </w:rPr>
        <w:t>日9点30分</w:t>
      </w:r>
      <w:r>
        <w:rPr>
          <w:rFonts w:hint="eastAsia" w:ascii="宋体" w:hAnsi="宋体" w:cs="宋体"/>
          <w:color w:val="auto"/>
          <w:szCs w:val="21"/>
          <w:highlight w:val="none"/>
        </w:rPr>
        <w:t>（北京时间）</w:t>
      </w:r>
    </w:p>
    <w:p w14:paraId="27AA9D33">
      <w:pPr>
        <w:keepNext/>
        <w:keepLines/>
        <w:widowControl/>
        <w:adjustRightInd w:val="0"/>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4、开标地点：</w:t>
      </w:r>
      <w:r>
        <w:rPr>
          <w:rFonts w:hint="eastAsia" w:ascii="宋体" w:hAnsi="宋体" w:cs="宋体"/>
          <w:color w:val="auto"/>
          <w:szCs w:val="21"/>
          <w:highlight w:val="none"/>
          <w:u w:val="single"/>
        </w:rPr>
        <w:t>广西政府采购云平台（https://www.gcy.zfcg.gxzf.gov.cn/）</w:t>
      </w:r>
    </w:p>
    <w:p w14:paraId="6A44F198">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五、公告期限</w:t>
      </w:r>
    </w:p>
    <w:p w14:paraId="7F13A7D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自本公告发布之日起5个工作日。</w:t>
      </w:r>
    </w:p>
    <w:p w14:paraId="2293527D">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六、其他补充事宜</w:t>
      </w:r>
    </w:p>
    <w:p w14:paraId="5FC654FE">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1.投标保证金：本项目不收取投标保证金</w:t>
      </w:r>
    </w:p>
    <w:p w14:paraId="02DF5028">
      <w:pPr>
        <w:spacing w:line="360" w:lineRule="auto"/>
        <w:ind w:firstLine="315" w:firstLineChars="15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2.采购意向公开链接：</w:t>
      </w:r>
      <w:r>
        <w:rPr>
          <w:rFonts w:hint="eastAsia" w:ascii="宋体" w:hAnsi="宋体" w:cs="宋体"/>
          <w:color w:val="auto"/>
          <w:kern w:val="0"/>
          <w:szCs w:val="21"/>
          <w:highlight w:val="none"/>
          <w:u w:val="single"/>
        </w:rPr>
        <w:t>http://www.ccgp-guangxi.gov.cn/site/detail?categoryCode=ZcyAnnouncement&amp;parentId=66485&amp;articleId=TWH53ibwlHBofa4K9YmRxg==</w:t>
      </w:r>
    </w:p>
    <w:p w14:paraId="51C8B735">
      <w:pPr>
        <w:spacing w:line="360" w:lineRule="auto"/>
        <w:ind w:firstLine="315" w:firstLineChars="15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网上查询地址</w:t>
      </w:r>
    </w:p>
    <w:p w14:paraId="6D6F41EE">
      <w:pPr>
        <w:spacing w:line="360" w:lineRule="auto"/>
        <w:ind w:firstLine="315" w:firstLineChars="150"/>
        <w:rPr>
          <w:rFonts w:hint="eastAsia" w:ascii="宋体" w:hAnsi="宋体" w:eastAsia="宋体" w:cs="宋体"/>
          <w:i w:val="0"/>
          <w:iCs w:val="0"/>
          <w:caps w:val="0"/>
          <w:color w:val="auto"/>
          <w:spacing w:val="0"/>
          <w:kern w:val="0"/>
          <w:sz w:val="21"/>
          <w:szCs w:val="21"/>
          <w:highlight w:val="none"/>
          <w:shd w:val="clear" w:color="auto" w:fill="auto"/>
        </w:rPr>
      </w:pPr>
      <w:r>
        <w:rPr>
          <w:rFonts w:hint="eastAsia" w:ascii="宋体" w:hAnsi="宋体" w:cs="宋体"/>
          <w:color w:val="auto"/>
          <w:kern w:val="0"/>
          <w:szCs w:val="21"/>
          <w:highlight w:val="none"/>
        </w:rPr>
        <w:t>中国政府采购网（www.ccgp.gov.cn）、广西政府采购网（zfcg.gxzf.gov.cn）</w:t>
      </w:r>
      <w:r>
        <w:rPr>
          <w:rFonts w:hint="eastAsia" w:ascii="宋体" w:hAnsi="宋体" w:cs="宋体"/>
          <w:color w:val="auto"/>
          <w:kern w:val="0"/>
          <w:szCs w:val="21"/>
          <w:highlight w:val="none"/>
          <w:lang w:eastAsia="zh-CN"/>
        </w:rPr>
        <w:t>、</w:t>
      </w:r>
      <w:r>
        <w:rPr>
          <w:rFonts w:hint="eastAsia" w:ascii="宋体" w:hAnsi="宋体" w:eastAsia="宋体" w:cs="宋体"/>
          <w:i w:val="0"/>
          <w:iCs w:val="0"/>
          <w:caps w:val="0"/>
          <w:color w:val="auto"/>
          <w:spacing w:val="0"/>
          <w:kern w:val="0"/>
          <w:sz w:val="21"/>
          <w:szCs w:val="21"/>
          <w:highlight w:val="none"/>
          <w:shd w:val="clear" w:color="auto" w:fill="auto"/>
        </w:rPr>
        <w:t>广西壮族自治区公共资源交易中心（</w:t>
      </w:r>
      <w:r>
        <w:rPr>
          <w:rFonts w:hint="eastAsia" w:ascii="宋体" w:hAnsi="宋体" w:eastAsia="宋体" w:cs="宋体"/>
          <w:i w:val="0"/>
          <w:iCs w:val="0"/>
          <w:caps w:val="0"/>
          <w:color w:val="auto"/>
          <w:spacing w:val="0"/>
          <w:kern w:val="0"/>
          <w:sz w:val="21"/>
          <w:szCs w:val="21"/>
          <w:highlight w:val="none"/>
          <w:u w:val="none"/>
          <w:shd w:val="clear" w:color="auto" w:fill="auto"/>
        </w:rPr>
        <w:fldChar w:fldCharType="begin"/>
      </w:r>
      <w:r>
        <w:rPr>
          <w:rFonts w:hint="eastAsia" w:ascii="宋体" w:hAnsi="宋体" w:eastAsia="宋体" w:cs="宋体"/>
          <w:i w:val="0"/>
          <w:iCs w:val="0"/>
          <w:caps w:val="0"/>
          <w:color w:val="auto"/>
          <w:spacing w:val="0"/>
          <w:kern w:val="0"/>
          <w:sz w:val="21"/>
          <w:szCs w:val="21"/>
          <w:highlight w:val="none"/>
          <w:u w:val="none"/>
          <w:shd w:val="clear" w:color="auto" w:fill="auto"/>
        </w:rPr>
        <w:instrText xml:space="preserve"> HYPERLINK "http://gxggzy.gxzf.gov.cn/" </w:instrText>
      </w:r>
      <w:r>
        <w:rPr>
          <w:rFonts w:hint="eastAsia" w:ascii="宋体" w:hAnsi="宋体" w:eastAsia="宋体" w:cs="宋体"/>
          <w:i w:val="0"/>
          <w:iCs w:val="0"/>
          <w:caps w:val="0"/>
          <w:color w:val="auto"/>
          <w:spacing w:val="0"/>
          <w:kern w:val="0"/>
          <w:sz w:val="21"/>
          <w:szCs w:val="21"/>
          <w:highlight w:val="none"/>
          <w:u w:val="none"/>
          <w:shd w:val="clear" w:color="auto" w:fill="auto"/>
        </w:rPr>
        <w:fldChar w:fldCharType="separate"/>
      </w:r>
      <w:r>
        <w:rPr>
          <w:rStyle w:val="20"/>
          <w:rFonts w:hint="eastAsia" w:ascii="宋体" w:hAnsi="宋体" w:eastAsia="宋体" w:cs="宋体"/>
          <w:i w:val="0"/>
          <w:iCs w:val="0"/>
          <w:caps w:val="0"/>
          <w:color w:val="auto"/>
          <w:spacing w:val="0"/>
          <w:kern w:val="0"/>
          <w:sz w:val="21"/>
          <w:szCs w:val="21"/>
          <w:highlight w:val="none"/>
          <w:u w:val="none"/>
          <w:shd w:val="clear" w:color="auto" w:fill="auto"/>
        </w:rPr>
        <w:t>http://gxggzy.gxzf.gov.cn/</w:t>
      </w:r>
      <w:r>
        <w:rPr>
          <w:rFonts w:hint="eastAsia" w:ascii="宋体" w:hAnsi="宋体" w:eastAsia="宋体" w:cs="宋体"/>
          <w:i w:val="0"/>
          <w:iCs w:val="0"/>
          <w:caps w:val="0"/>
          <w:color w:val="auto"/>
          <w:spacing w:val="0"/>
          <w:kern w:val="0"/>
          <w:sz w:val="21"/>
          <w:szCs w:val="21"/>
          <w:highlight w:val="none"/>
          <w:u w:val="none"/>
          <w:shd w:val="clear" w:color="auto" w:fill="auto"/>
        </w:rPr>
        <w:fldChar w:fldCharType="end"/>
      </w:r>
      <w:r>
        <w:rPr>
          <w:rFonts w:hint="eastAsia" w:ascii="宋体" w:hAnsi="宋体" w:eastAsia="宋体" w:cs="宋体"/>
          <w:i w:val="0"/>
          <w:iCs w:val="0"/>
          <w:caps w:val="0"/>
          <w:color w:val="auto"/>
          <w:spacing w:val="0"/>
          <w:kern w:val="0"/>
          <w:sz w:val="21"/>
          <w:szCs w:val="21"/>
          <w:highlight w:val="none"/>
          <w:shd w:val="clear" w:color="auto" w:fill="auto"/>
        </w:rPr>
        <w:t>）</w:t>
      </w:r>
    </w:p>
    <w:p w14:paraId="36695FD5">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szCs w:val="21"/>
          <w:highlight w:val="none"/>
        </w:rPr>
        <w:t xml:space="preserve">4. </w:t>
      </w:r>
      <w:r>
        <w:rPr>
          <w:rFonts w:hint="eastAsia" w:ascii="宋体" w:hAnsi="宋体" w:cs="宋体"/>
          <w:color w:val="auto"/>
          <w:kern w:val="0"/>
          <w:szCs w:val="21"/>
          <w:highlight w:val="none"/>
        </w:rPr>
        <w:t>本项目需要落实的政府采购政策：</w:t>
      </w:r>
      <w:bookmarkStart w:id="2" w:name="PO_3000001867_PM023"/>
      <w:r>
        <w:rPr>
          <w:rFonts w:hint="eastAsia" w:ascii="宋体" w:hAnsi="宋体" w:cs="宋体"/>
          <w:color w:val="auto"/>
          <w:kern w:val="0"/>
          <w:szCs w:val="21"/>
          <w:highlight w:val="none"/>
        </w:rPr>
        <w:t xml:space="preserve"> </w:t>
      </w:r>
      <w:bookmarkEnd w:id="2"/>
    </w:p>
    <w:p w14:paraId="5BA7030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6907A55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390027CD">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31B4255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697F7837">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14:paraId="755DA5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（6）</w:t>
      </w:r>
      <w:r>
        <w:rPr>
          <w:rFonts w:hint="eastAsia" w:ascii="宋体" w:hAnsi="宋体" w:cs="宋体"/>
          <w:color w:val="auto"/>
          <w:szCs w:val="21"/>
          <w:highlight w:val="none"/>
        </w:rPr>
        <w:t>扶持不发达地区和少数民族地区政策。</w:t>
      </w:r>
    </w:p>
    <w:p w14:paraId="4921065C">
      <w:pPr>
        <w:spacing w:line="360" w:lineRule="auto"/>
        <w:ind w:firstLine="315" w:firstLineChars="150"/>
        <w:rPr>
          <w:rFonts w:hint="eastAsia" w:ascii="宋体" w:hAnsi="宋体" w:cs="宋体"/>
          <w:color w:val="auto"/>
          <w:kern w:val="0"/>
          <w:szCs w:val="21"/>
          <w:highlight w:val="none"/>
        </w:rPr>
      </w:pPr>
      <w:r>
        <w:rPr>
          <w:rFonts w:hint="eastAsia" w:ascii="宋体" w:hAnsi="宋体" w:cs="宋体"/>
          <w:color w:val="auto"/>
          <w:kern w:val="0"/>
          <w:szCs w:val="21"/>
          <w:highlight w:val="none"/>
        </w:rPr>
        <w:t>5.供应商认为采购文件使自己的权益受到损害的，可以在知道或者应知其权益受到损害之日起7个工作日内，以书面形式向采购人、采购代理机构提出质疑。质疑供应商对采购人、采购代理机构的答复不满意或者采购人、采购代理机构未在规定的时间内作出答复的，可以在答复期满后十五个工作日内向同级政府采购监督管理部门投诉。</w:t>
      </w:r>
    </w:p>
    <w:p w14:paraId="0A8E89DE">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 若对项目采购电子交易系统操作有疑问，可登录“</w:t>
      </w:r>
      <w:r>
        <w:rPr>
          <w:rFonts w:hint="eastAsia" w:ascii="宋体" w:hAnsi="宋体" w:cs="宋体"/>
          <w:bCs/>
          <w:color w:val="auto"/>
          <w:szCs w:val="21"/>
          <w:highlight w:val="none"/>
        </w:rPr>
        <w:t>广西政府采购云</w:t>
      </w:r>
      <w:r>
        <w:rPr>
          <w:rFonts w:hint="eastAsia" w:ascii="宋体" w:hAnsi="宋体" w:cs="宋体"/>
          <w:color w:val="auto"/>
          <w:kern w:val="0"/>
          <w:szCs w:val="21"/>
          <w:highlight w:val="none"/>
        </w:rPr>
        <w:t>”平台</w:t>
      </w:r>
      <w:r>
        <w:rPr>
          <w:rFonts w:hint="eastAsia" w:ascii="宋体" w:hAnsi="宋体" w:cs="宋体"/>
          <w:color w:val="auto"/>
          <w:szCs w:val="21"/>
          <w:highlight w:val="none"/>
        </w:rPr>
        <w:t>（ https://www.gcy.zfcg.gxzf.gov.cn/）</w:t>
      </w:r>
      <w:r>
        <w:rPr>
          <w:rFonts w:hint="eastAsia" w:ascii="宋体" w:hAnsi="宋体" w:cs="宋体"/>
          <w:color w:val="auto"/>
          <w:kern w:val="0"/>
          <w:szCs w:val="21"/>
          <w:highlight w:val="none"/>
        </w:rPr>
        <w:t>，点击右侧咨询小采，获取采小蜜智能服务管家帮助，或拨打</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服务热线95763获取热线服务帮助。</w:t>
      </w:r>
    </w:p>
    <w:p w14:paraId="4DB5EEE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7. 各供应商通过</w:t>
      </w:r>
      <w:r>
        <w:rPr>
          <w:rFonts w:hint="eastAsia" w:ascii="宋体" w:hAnsi="宋体" w:cs="宋体"/>
          <w:color w:val="auto"/>
          <w:szCs w:val="21"/>
          <w:highlight w:val="none"/>
        </w:rPr>
        <w:t>广西政府采购云平台（</w:t>
      </w:r>
      <w:r>
        <w:rPr>
          <w:rFonts w:hint="eastAsia" w:ascii="宋体" w:hAnsi="宋体" w:cs="宋体"/>
          <w:color w:val="auto"/>
          <w:kern w:val="0"/>
          <w:szCs w:val="21"/>
          <w:highlight w:val="none"/>
        </w:rPr>
        <w:t>简称新平台</w:t>
      </w:r>
      <w:r>
        <w:rPr>
          <w:rFonts w:hint="eastAsia" w:ascii="宋体" w:hAnsi="宋体" w:cs="宋体"/>
          <w:color w:val="auto"/>
          <w:szCs w:val="21"/>
          <w:highlight w:val="none"/>
        </w:rPr>
        <w:t>）</w:t>
      </w:r>
      <w:r>
        <w:rPr>
          <w:rFonts w:hint="eastAsia" w:ascii="宋体" w:hAnsi="宋体" w:cs="宋体"/>
          <w:color w:val="auto"/>
          <w:kern w:val="0"/>
          <w:szCs w:val="21"/>
          <w:highlight w:val="none"/>
        </w:rPr>
        <w:t>参与政府采购项目投标需下载使用新版客户端，新版客户端下载路径：广西政府采购网（访问地址</w:t>
      </w:r>
      <w:r>
        <w:rPr>
          <w:rFonts w:hint="eastAsia" w:ascii="宋体" w:hAnsi="宋体" w:cs="宋体"/>
          <w:b/>
          <w:bCs/>
          <w:color w:val="auto"/>
          <w:kern w:val="0"/>
          <w:szCs w:val="21"/>
          <w:highlight w:val="none"/>
        </w:rPr>
        <w:t>http://zfcg.gxzf.gov.cn/</w:t>
      </w:r>
      <w:r>
        <w:rPr>
          <w:rFonts w:hint="eastAsia" w:ascii="宋体" w:hAnsi="宋体" w:cs="宋体"/>
          <w:color w:val="auto"/>
          <w:kern w:val="0"/>
          <w:szCs w:val="21"/>
          <w:highlight w:val="none"/>
        </w:rPr>
        <w:t>）—办事服务—下载专区。原在政采云平台注册的临时供应商需在新平台启用后重新注册登记。</w:t>
      </w:r>
    </w:p>
    <w:p w14:paraId="3C91A5DA">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七、对本次招标提出询问，请按以下方式联系。</w:t>
      </w:r>
    </w:p>
    <w:p w14:paraId="34E08415">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1.采购人信息</w:t>
      </w:r>
    </w:p>
    <w:p w14:paraId="71C0508E">
      <w:pPr>
        <w:spacing w:line="360" w:lineRule="auto"/>
        <w:ind w:left="1041" w:leftChars="371" w:hanging="262" w:hangingChars="125"/>
        <w:jc w:val="left"/>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u w:val="single"/>
          <w:lang w:eastAsia="zh-CN"/>
        </w:rPr>
        <w:t xml:space="preserve">广西壮族自治区大数据发展局  </w:t>
      </w:r>
    </w:p>
    <w:p w14:paraId="1D4395E9">
      <w:pPr>
        <w:spacing w:line="360" w:lineRule="auto"/>
        <w:ind w:firstLine="735" w:firstLineChars="350"/>
        <w:rPr>
          <w:rFonts w:hint="eastAsia" w:ascii="宋体" w:hAnsi="宋体" w:eastAsia="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eastAsia="宋体" w:cs="宋体"/>
          <w:color w:val="auto"/>
          <w:szCs w:val="21"/>
          <w:highlight w:val="none"/>
          <w:u w:val="single"/>
        </w:rPr>
        <w:t>南宁市良庆区体强路18号</w:t>
      </w:r>
    </w:p>
    <w:p w14:paraId="770844C4">
      <w:pPr>
        <w:spacing w:line="360" w:lineRule="auto"/>
        <w:ind w:firstLine="735" w:firstLineChars="350"/>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val="en-US" w:eastAsia="zh-CN"/>
        </w:rPr>
        <w:t>吕</w:t>
      </w:r>
      <w:r>
        <w:rPr>
          <w:rFonts w:hint="eastAsia" w:ascii="宋体" w:hAnsi="宋体" w:cs="宋体"/>
          <w:color w:val="auto"/>
          <w:szCs w:val="21"/>
          <w:highlight w:val="none"/>
          <w:u w:val="single"/>
          <w:lang w:eastAsia="zh-CN"/>
        </w:rPr>
        <w:t>工</w:t>
      </w:r>
    </w:p>
    <w:p w14:paraId="267DD02D">
      <w:pPr>
        <w:spacing w:line="360" w:lineRule="auto"/>
        <w:ind w:firstLine="735" w:firstLineChars="350"/>
        <w:rPr>
          <w:rFonts w:hint="default" w:ascii="宋体" w:hAnsi="宋体" w:eastAsia="宋体" w:cs="宋体"/>
          <w:color w:val="auto"/>
          <w:szCs w:val="21"/>
          <w:highlight w:val="none"/>
          <w:u w:val="single"/>
          <w:lang w:val="en-US" w:eastAsia="zh-CN"/>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0771-</w:t>
      </w:r>
      <w:r>
        <w:rPr>
          <w:rFonts w:hint="eastAsia" w:ascii="宋体" w:hAnsi="宋体" w:cs="宋体"/>
          <w:color w:val="auto"/>
          <w:szCs w:val="21"/>
          <w:highlight w:val="none"/>
          <w:u w:val="single"/>
          <w:lang w:val="en-US" w:eastAsia="zh-CN"/>
        </w:rPr>
        <w:t xml:space="preserve"> 6116961</w:t>
      </w:r>
    </w:p>
    <w:p w14:paraId="2896761F">
      <w:pPr>
        <w:spacing w:line="360" w:lineRule="auto"/>
        <w:ind w:left="1041" w:leftChars="371" w:hanging="262" w:hangingChars="125"/>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2E17BCD1">
      <w:pPr>
        <w:spacing w:line="360" w:lineRule="auto"/>
        <w:ind w:firstLine="735" w:firstLineChars="350"/>
        <w:rPr>
          <w:rFonts w:hint="eastAsia" w:ascii="宋体" w:hAnsi="宋体" w:cs="宋体"/>
          <w:color w:val="auto"/>
          <w:szCs w:val="21"/>
          <w:highlight w:val="none"/>
          <w:u w:val="singl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广西翔正项目管理有限公司</w:t>
      </w:r>
    </w:p>
    <w:p w14:paraId="796C094F">
      <w:pPr>
        <w:spacing w:line="360" w:lineRule="auto"/>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南宁市兴宁区秀厢大道199号金源城（建兴路）金源CBD东城25楼</w:t>
      </w:r>
    </w:p>
    <w:p w14:paraId="4D2063CD">
      <w:pPr>
        <w:spacing w:line="360" w:lineRule="auto"/>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0771-3925351</w:t>
      </w:r>
    </w:p>
    <w:p w14:paraId="445BE9D2">
      <w:pPr>
        <w:spacing w:line="360" w:lineRule="auto"/>
        <w:ind w:firstLine="735" w:firstLineChars="350"/>
        <w:rPr>
          <w:rFonts w:hint="eastAsia"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u w:val="single"/>
        </w:rPr>
        <w:t xml:space="preserve">蒋萍萍、黄翠丽 </w:t>
      </w:r>
    </w:p>
    <w:p w14:paraId="60A55E3C">
      <w:pPr>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u w:val="single"/>
        </w:rPr>
        <w:t>广西翔正项目管理有限公司</w:t>
      </w:r>
    </w:p>
    <w:p w14:paraId="5ADA5BD3">
      <w:pPr>
        <w:wordWrap w:val="0"/>
        <w:spacing w:line="360" w:lineRule="auto"/>
        <w:ind w:firstLine="210" w:firstLineChars="100"/>
        <w:jc w:val="right"/>
        <w:rPr>
          <w:rFonts w:hint="eastAsia" w:ascii="宋体" w:hAnsi="宋体" w:cs="宋体"/>
          <w:color w:val="auto"/>
          <w:highlight w:val="none"/>
        </w:rPr>
      </w:pP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0025E98E">
      <w:pPr>
        <w:widowControl/>
        <w:spacing w:line="360" w:lineRule="auto"/>
        <w:jc w:val="left"/>
        <w:rPr>
          <w:rFonts w:hint="eastAsia" w:ascii="宋体" w:hAnsi="宋体" w:cs="宋体"/>
          <w:color w:val="auto"/>
          <w:sz w:val="24"/>
          <w:highlight w:val="none"/>
          <w:lang w:val="zh-CN"/>
        </w:rPr>
        <w:sectPr>
          <w:footerReference r:id="rId3" w:type="default"/>
          <w:pgSz w:w="11906" w:h="16838"/>
          <w:pgMar w:top="1134" w:right="1474" w:bottom="1134" w:left="1587" w:header="720" w:footer="720" w:gutter="0"/>
          <w:pgNumType w:start="1"/>
          <w:cols w:space="0" w:num="1"/>
          <w:rtlGutter w:val="0"/>
          <w:docGrid w:type="lines" w:linePitch="331" w:charSpace="0"/>
        </w:sectPr>
      </w:pPr>
    </w:p>
    <w:p w14:paraId="218F980E">
      <w:pPr>
        <w:jc w:val="center"/>
        <w:outlineLvl w:val="0"/>
        <w:rPr>
          <w:b/>
          <w:color w:val="auto"/>
          <w:kern w:val="0"/>
          <w:sz w:val="36"/>
          <w:szCs w:val="20"/>
          <w:highlight w:val="none"/>
        </w:rPr>
      </w:pPr>
      <w:bookmarkStart w:id="3" w:name="_Toc17295"/>
      <w:bookmarkStart w:id="80" w:name="_GoBack"/>
      <w:bookmarkEnd w:id="80"/>
      <w:r>
        <w:rPr>
          <w:rFonts w:hint="eastAsia"/>
          <w:b/>
          <w:color w:val="auto"/>
          <w:kern w:val="0"/>
          <w:sz w:val="36"/>
          <w:szCs w:val="20"/>
          <w:highlight w:val="none"/>
        </w:rPr>
        <w:t>第二章</w:t>
      </w:r>
      <w:r>
        <w:rPr>
          <w:b/>
          <w:color w:val="auto"/>
          <w:kern w:val="0"/>
          <w:sz w:val="36"/>
          <w:szCs w:val="20"/>
          <w:highlight w:val="none"/>
        </w:rPr>
        <w:t xml:space="preserve">  </w:t>
      </w:r>
      <w:r>
        <w:rPr>
          <w:rFonts w:hint="eastAsia"/>
          <w:b/>
          <w:color w:val="auto"/>
          <w:kern w:val="0"/>
          <w:sz w:val="36"/>
          <w:szCs w:val="20"/>
          <w:highlight w:val="none"/>
        </w:rPr>
        <w:t>采购需求</w:t>
      </w:r>
      <w:bookmarkEnd w:id="3"/>
    </w:p>
    <w:p w14:paraId="2DE60986">
      <w:pPr>
        <w:adjustRightInd w:val="0"/>
        <w:spacing w:line="340" w:lineRule="exact"/>
        <w:rPr>
          <w:rFonts w:hint="eastAsia" w:hAnsi="宋体"/>
          <w:b/>
          <w:color w:val="auto"/>
          <w:szCs w:val="21"/>
          <w:highlight w:val="none"/>
        </w:rPr>
      </w:pPr>
    </w:p>
    <w:p w14:paraId="62144B1F">
      <w:pPr>
        <w:adjustRightInd w:val="0"/>
        <w:spacing w:line="340" w:lineRule="exact"/>
        <w:rPr>
          <w:rFonts w:hint="eastAsia" w:hAnsi="宋体"/>
          <w:b/>
          <w:color w:val="auto"/>
          <w:szCs w:val="21"/>
          <w:highlight w:val="none"/>
        </w:rPr>
      </w:pPr>
      <w:r>
        <w:rPr>
          <w:rFonts w:hint="eastAsia" w:hAnsi="宋体"/>
          <w:b/>
          <w:color w:val="auto"/>
          <w:szCs w:val="21"/>
          <w:highlight w:val="none"/>
        </w:rPr>
        <w:t>说明：</w:t>
      </w:r>
    </w:p>
    <w:p w14:paraId="703F88CD">
      <w:pPr>
        <w:spacing w:line="360" w:lineRule="auto"/>
        <w:ind w:firstLine="420" w:firstLineChars="200"/>
        <w:jc w:val="left"/>
        <w:rPr>
          <w:color w:val="auto"/>
          <w:highlight w:val="none"/>
        </w:rPr>
      </w:pPr>
      <w:r>
        <w:rPr>
          <w:color w:val="auto"/>
          <w:highlight w:val="none"/>
        </w:rPr>
        <w:t xml:space="preserve">1. </w:t>
      </w:r>
      <w:r>
        <w:rPr>
          <w:rFonts w:hint="eastAsia"/>
          <w:color w:val="auto"/>
          <w:highlight w:val="none"/>
        </w:rPr>
        <w:t>为落实政府采购政策需满足的要求（根据项目实际情况填写内容）</w:t>
      </w:r>
    </w:p>
    <w:p w14:paraId="30D436B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（1）本招标文件所称中小企业必须符合《政府采购促进中小企业发展管理办法》（财库〔2020〕46号）的规定。</w:t>
      </w:r>
    </w:p>
    <w:p w14:paraId="60F3161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“实质性要求”是指招标文件中已经指明不满足则投标无效的条款，或者不能负偏离的条款，或者采购需求中带“▲”的条款。</w:t>
      </w:r>
    </w:p>
    <w:p w14:paraId="177D65B7">
      <w:pPr>
        <w:spacing w:line="360" w:lineRule="auto"/>
        <w:ind w:firstLine="420" w:firstLineChars="200"/>
        <w:jc w:val="left"/>
        <w:rPr>
          <w:b/>
          <w:color w:val="auto"/>
          <w:highlight w:val="none"/>
        </w:rPr>
      </w:pPr>
      <w:r>
        <w:rPr>
          <w:rFonts w:hint="eastAsia"/>
          <w:color w:val="auto"/>
          <w:highlight w:val="none"/>
          <w:lang w:val="en-US" w:eastAsia="zh-CN"/>
        </w:rPr>
        <w:t>3</w:t>
      </w:r>
      <w:r>
        <w:rPr>
          <w:rFonts w:hint="eastAsia"/>
          <w:color w:val="auto"/>
          <w:highlight w:val="none"/>
        </w:rPr>
        <w:t>. 如投标人投标产品存在侵犯他人的知识产权或者专利成果行为的，应承担相应法律责任。</w:t>
      </w:r>
    </w:p>
    <w:p w14:paraId="06F2E5FE">
      <w:pPr>
        <w:spacing w:line="360" w:lineRule="auto"/>
        <w:ind w:firstLine="420" w:firstLineChars="200"/>
        <w:jc w:val="left"/>
        <w:rPr>
          <w:rFonts w:hint="eastAsia" w:eastAsia="宋体"/>
          <w:b/>
          <w:color w:val="auto"/>
          <w:highlight w:val="none"/>
          <w:u w:val="single"/>
          <w:lang w:eastAsia="zh-CN"/>
        </w:rPr>
      </w:pPr>
      <w:r>
        <w:rPr>
          <w:rFonts w:hint="eastAsia"/>
          <w:bCs/>
          <w:color w:val="auto"/>
          <w:highlight w:val="none"/>
          <w:lang w:val="en-US" w:eastAsia="zh-CN"/>
        </w:rPr>
        <w:t>4</w:t>
      </w:r>
      <w:r>
        <w:rPr>
          <w:rFonts w:hint="eastAsia"/>
          <w:bCs/>
          <w:color w:val="auto"/>
          <w:highlight w:val="none"/>
        </w:rPr>
        <w:t>. 本项目采购标的对应的中小企业划分标准所属行业：</w:t>
      </w:r>
      <w:r>
        <w:rPr>
          <w:rFonts w:hint="eastAsia" w:ascii="宋体" w:hAnsi="宋体" w:cs="宋体"/>
          <w:b/>
          <w:bCs/>
          <w:color w:val="auto"/>
          <w:szCs w:val="21"/>
          <w:highlight w:val="none"/>
          <w:u w:val="single"/>
          <w:lang w:eastAsia="zh-CN"/>
        </w:rPr>
        <w:t>其它未列明行业</w:t>
      </w:r>
    </w:p>
    <w:p w14:paraId="7BF5AD1F">
      <w:pPr>
        <w:rPr>
          <w:rFonts w:hint="default" w:ascii="宋体" w:hAnsi="宋体" w:eastAsia="宋体" w:cs="宋体"/>
          <w:b/>
          <w:bCs/>
          <w:color w:val="auto"/>
          <w:sz w:val="30"/>
          <w:szCs w:val="30"/>
          <w:highlight w:val="none"/>
          <w:lang w:val="en-US" w:eastAsia="zh-CN"/>
        </w:rPr>
      </w:pPr>
      <w:r>
        <w:rPr>
          <w:rFonts w:hint="eastAsia" w:ascii="宋体" w:hAnsi="宋体" w:cs="宋体"/>
          <w:b/>
          <w:bCs/>
          <w:color w:val="auto"/>
          <w:sz w:val="30"/>
          <w:szCs w:val="30"/>
          <w:highlight w:val="none"/>
          <w:lang w:eastAsia="zh-CN"/>
        </w:rPr>
        <w:t>分标</w:t>
      </w:r>
      <w:r>
        <w:rPr>
          <w:rFonts w:hint="eastAsia" w:ascii="宋体" w:hAnsi="宋体" w:cs="宋体"/>
          <w:b/>
          <w:bCs/>
          <w:color w:val="auto"/>
          <w:sz w:val="30"/>
          <w:szCs w:val="30"/>
          <w:highlight w:val="none"/>
          <w:lang w:val="en-US" w:eastAsia="zh-CN"/>
        </w:rPr>
        <w:t>1：</w:t>
      </w:r>
    </w:p>
    <w:tbl>
      <w:tblPr>
        <w:tblStyle w:val="19"/>
        <w:tblW w:w="9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6"/>
        <w:gridCol w:w="737"/>
        <w:gridCol w:w="477"/>
        <w:gridCol w:w="58"/>
        <w:gridCol w:w="419"/>
        <w:gridCol w:w="6532"/>
        <w:gridCol w:w="1239"/>
      </w:tblGrid>
      <w:tr w14:paraId="65D8E7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828" w:type="dxa"/>
            <w:gridSpan w:val="7"/>
            <w:tcBorders>
              <w:top w:val="single" w:color="auto" w:sz="4" w:space="0"/>
              <w:left w:val="single" w:color="auto" w:sz="4" w:space="0"/>
              <w:right w:val="single" w:color="auto" w:sz="4" w:space="0"/>
            </w:tcBorders>
            <w:vAlign w:val="center"/>
          </w:tcPr>
          <w:p w14:paraId="7A59654A">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服务需求一览表</w:t>
            </w:r>
          </w:p>
        </w:tc>
      </w:tr>
      <w:tr w14:paraId="0044EB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8F6A43">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37" w:type="dxa"/>
            <w:tcBorders>
              <w:top w:val="single" w:color="auto" w:sz="4" w:space="0"/>
              <w:left w:val="single" w:color="auto" w:sz="4" w:space="0"/>
              <w:bottom w:val="single" w:color="auto" w:sz="4" w:space="0"/>
              <w:right w:val="single" w:color="auto" w:sz="4" w:space="0"/>
            </w:tcBorders>
            <w:vAlign w:val="center"/>
          </w:tcPr>
          <w:p w14:paraId="637D9EFD">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477" w:type="dxa"/>
            <w:tcBorders>
              <w:top w:val="single" w:color="auto" w:sz="4" w:space="0"/>
              <w:left w:val="single" w:color="auto" w:sz="4" w:space="0"/>
              <w:bottom w:val="single" w:color="auto" w:sz="4" w:space="0"/>
              <w:right w:val="single" w:color="auto" w:sz="4" w:space="0"/>
            </w:tcBorders>
            <w:vAlign w:val="center"/>
          </w:tcPr>
          <w:p w14:paraId="0D14ACE1">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477" w:type="dxa"/>
            <w:gridSpan w:val="2"/>
            <w:tcBorders>
              <w:top w:val="single" w:color="auto" w:sz="4" w:space="0"/>
              <w:left w:val="single" w:color="auto" w:sz="4" w:space="0"/>
              <w:bottom w:val="single" w:color="auto" w:sz="4" w:space="0"/>
              <w:right w:val="single" w:color="auto" w:sz="4" w:space="0"/>
            </w:tcBorders>
            <w:vAlign w:val="center"/>
          </w:tcPr>
          <w:p w14:paraId="1DEF257D">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532" w:type="dxa"/>
            <w:tcBorders>
              <w:top w:val="single" w:color="auto" w:sz="4" w:space="0"/>
              <w:left w:val="single" w:color="auto" w:sz="4" w:space="0"/>
              <w:bottom w:val="single" w:color="auto" w:sz="4" w:space="0"/>
              <w:right w:val="single" w:color="auto" w:sz="4" w:space="0"/>
            </w:tcBorders>
            <w:vAlign w:val="center"/>
          </w:tcPr>
          <w:p w14:paraId="68EE473B">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服务参数</w:t>
            </w:r>
          </w:p>
        </w:tc>
        <w:tc>
          <w:tcPr>
            <w:tcW w:w="1239" w:type="dxa"/>
            <w:tcBorders>
              <w:top w:val="single" w:color="auto" w:sz="4" w:space="0"/>
              <w:left w:val="single" w:color="auto" w:sz="4" w:space="0"/>
              <w:bottom w:val="single" w:color="auto" w:sz="4" w:space="0"/>
              <w:right w:val="single" w:color="auto" w:sz="4" w:space="0"/>
            </w:tcBorders>
            <w:vAlign w:val="center"/>
          </w:tcPr>
          <w:p w14:paraId="52E014BD">
            <w:pPr>
              <w:keepNext w:val="0"/>
              <w:keepLines w:val="0"/>
              <w:pageBreakBefore w:val="0"/>
              <w:kinsoku/>
              <w:topLinePunct w:val="0"/>
              <w:autoSpaceDE/>
              <w:autoSpaceDN/>
              <w:bidi w:val="0"/>
              <w:adjustRightInd/>
              <w:snapToGrid/>
              <w:spacing w:line="4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分项预算合计（元）</w:t>
            </w:r>
          </w:p>
        </w:tc>
      </w:tr>
      <w:tr w14:paraId="3DB5B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B4B3E1D">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737" w:type="dxa"/>
            <w:tcBorders>
              <w:top w:val="single" w:color="auto" w:sz="4" w:space="0"/>
              <w:left w:val="single" w:color="auto" w:sz="4" w:space="0"/>
              <w:bottom w:val="single" w:color="auto" w:sz="4" w:space="0"/>
              <w:right w:val="single" w:color="auto" w:sz="4" w:space="0"/>
            </w:tcBorders>
            <w:vAlign w:val="center"/>
          </w:tcPr>
          <w:p w14:paraId="3D9541AE">
            <w:pPr>
              <w:pStyle w:val="6"/>
              <w:keepNext w:val="0"/>
              <w:keepLines w:val="0"/>
              <w:pageBreakBefore w:val="0"/>
              <w:kinsoku/>
              <w:topLinePunct w:val="0"/>
              <w:autoSpaceDE/>
              <w:autoSpaceDN/>
              <w:bidi w:val="0"/>
              <w:adjustRightInd/>
              <w:snapToGrid/>
              <w:spacing w:after="0"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2026年广西政务服务增值化服务项目</w:t>
            </w:r>
          </w:p>
        </w:tc>
        <w:tc>
          <w:tcPr>
            <w:tcW w:w="477" w:type="dxa"/>
            <w:tcBorders>
              <w:top w:val="single" w:color="auto" w:sz="4" w:space="0"/>
              <w:left w:val="single" w:color="auto" w:sz="4" w:space="0"/>
              <w:bottom w:val="single" w:color="auto" w:sz="4" w:space="0"/>
              <w:right w:val="single" w:color="auto" w:sz="4" w:space="0"/>
            </w:tcBorders>
            <w:vAlign w:val="center"/>
          </w:tcPr>
          <w:p w14:paraId="676576B8">
            <w:pPr>
              <w:pStyle w:val="6"/>
              <w:keepNext w:val="0"/>
              <w:keepLines w:val="0"/>
              <w:pageBreakBefore w:val="0"/>
              <w:kinsoku/>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77" w:type="dxa"/>
            <w:gridSpan w:val="2"/>
            <w:tcBorders>
              <w:top w:val="single" w:color="auto" w:sz="4" w:space="0"/>
              <w:left w:val="single" w:color="auto" w:sz="4" w:space="0"/>
              <w:bottom w:val="single" w:color="auto" w:sz="4" w:space="0"/>
              <w:right w:val="single" w:color="auto" w:sz="4" w:space="0"/>
            </w:tcBorders>
            <w:vAlign w:val="center"/>
          </w:tcPr>
          <w:p w14:paraId="55E10F24">
            <w:pPr>
              <w:pStyle w:val="6"/>
              <w:keepNext w:val="0"/>
              <w:keepLines w:val="0"/>
              <w:pageBreakBefore w:val="0"/>
              <w:kinsoku/>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w:t>
            </w:r>
          </w:p>
        </w:tc>
        <w:tc>
          <w:tcPr>
            <w:tcW w:w="6532" w:type="dxa"/>
            <w:tcBorders>
              <w:top w:val="single" w:color="auto" w:sz="4" w:space="0"/>
              <w:left w:val="single" w:color="auto" w:sz="4" w:space="0"/>
              <w:bottom w:val="single" w:color="auto" w:sz="4" w:space="0"/>
              <w:right w:val="single" w:color="auto" w:sz="4" w:space="0"/>
            </w:tcBorders>
            <w:vAlign w:val="center"/>
          </w:tcPr>
          <w:p w14:paraId="5231C7C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w:t>
            </w:r>
            <w:r>
              <w:rPr>
                <w:rFonts w:hint="eastAsia" w:ascii="宋体" w:hAnsi="宋体" w:eastAsia="宋体" w:cs="宋体"/>
                <w:b w:val="0"/>
                <w:bCs w:val="0"/>
                <w:color w:val="auto"/>
                <w:sz w:val="21"/>
                <w:szCs w:val="21"/>
                <w:highlight w:val="none"/>
              </w:rPr>
              <w:t>2026年广西政务服务增值化服务项目</w:t>
            </w:r>
            <w:r>
              <w:rPr>
                <w:rFonts w:hint="eastAsia" w:ascii="宋体" w:hAnsi="宋体" w:eastAsia="宋体" w:cs="宋体"/>
                <w:b w:val="0"/>
                <w:bCs w:val="0"/>
                <w:color w:val="auto"/>
                <w:sz w:val="21"/>
                <w:szCs w:val="21"/>
                <w:highlight w:val="none"/>
                <w:lang w:val="en-US" w:eastAsia="zh-CN"/>
              </w:rPr>
              <w:t>服务内容</w:t>
            </w:r>
          </w:p>
          <w:p w14:paraId="466158E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1.编制11大领域增值服务清单。</w:t>
            </w:r>
            <w:r>
              <w:rPr>
                <w:rFonts w:hint="eastAsia" w:ascii="宋体" w:hAnsi="宋体" w:eastAsia="宋体" w:cs="宋体"/>
                <w:b w:val="0"/>
                <w:bCs w:val="0"/>
                <w:color w:val="auto"/>
                <w:sz w:val="21"/>
                <w:szCs w:val="21"/>
                <w:highlight w:val="none"/>
                <w:lang w:val="en-US" w:eastAsia="zh-CN"/>
              </w:rPr>
              <w:t>在现有已梳理增值服务基础上，梳理更多增值服务清单，覆盖自治区、市、县三级，囊括法律、信用、国际贸易、科技创新、知识产权、政策、金融、人才服务、项目、数字化转型、其他服务等11大领域</w:t>
            </w:r>
            <w:r>
              <w:rPr>
                <w:rFonts w:hint="eastAsia" w:ascii="宋体" w:hAnsi="宋体" w:eastAsia="宋体" w:cs="宋体"/>
                <w:color w:val="auto"/>
                <w:sz w:val="21"/>
                <w:szCs w:val="21"/>
                <w:highlight w:val="none"/>
                <w:lang w:val="en-US" w:eastAsia="zh-CN"/>
              </w:rPr>
              <w:t>。</w:t>
            </w:r>
          </w:p>
          <w:p w14:paraId="24D6637E">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2.自治区本级增值服务清单常态化检查和审核工作。</w:t>
            </w:r>
            <w:r>
              <w:rPr>
                <w:rFonts w:hint="eastAsia" w:ascii="宋体" w:hAnsi="宋体" w:eastAsia="宋体" w:cs="宋体"/>
                <w:b w:val="0"/>
                <w:bCs w:val="0"/>
                <w:color w:val="auto"/>
                <w:sz w:val="21"/>
                <w:szCs w:val="21"/>
                <w:highlight w:val="none"/>
                <w:lang w:val="en-US" w:eastAsia="zh-CN"/>
              </w:rPr>
              <w:t>负责自治区本级增值服务清单的日常审核工作，对照增值服务目录和服务指南的标准规范对自治区本级已发布的清单进行人工检查</w:t>
            </w:r>
            <w:r>
              <w:rPr>
                <w:rFonts w:hint="eastAsia" w:ascii="宋体" w:hAnsi="宋体" w:eastAsia="宋体" w:cs="宋体"/>
                <w:color w:val="auto"/>
                <w:sz w:val="21"/>
                <w:szCs w:val="21"/>
                <w:highlight w:val="none"/>
                <w:lang w:val="en-US" w:eastAsia="zh-CN"/>
              </w:rPr>
              <w:t>。</w:t>
            </w:r>
          </w:p>
          <w:p w14:paraId="0FADF37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3.编制20个“高效办成一类事”场景服务。</w:t>
            </w:r>
            <w:r>
              <w:rPr>
                <w:rFonts w:hint="eastAsia" w:ascii="宋体" w:hAnsi="宋体" w:eastAsia="宋体" w:cs="宋体"/>
                <w:b w:val="0"/>
                <w:bCs w:val="0"/>
                <w:color w:val="auto"/>
                <w:sz w:val="21"/>
                <w:szCs w:val="21"/>
                <w:highlight w:val="none"/>
                <w:lang w:val="en-US" w:eastAsia="zh-CN"/>
              </w:rPr>
              <w:t>聚焦梳理20个广西壮族自治区重点产业“一类事”套餐，涵盖企业不同生命周期、产业不同发展阶段</w:t>
            </w:r>
            <w:r>
              <w:rPr>
                <w:rFonts w:hint="eastAsia" w:ascii="宋体" w:hAnsi="宋体" w:eastAsia="宋体" w:cs="宋体"/>
                <w:color w:val="auto"/>
                <w:sz w:val="21"/>
                <w:szCs w:val="21"/>
                <w:highlight w:val="none"/>
                <w:lang w:val="en-US" w:eastAsia="zh-CN"/>
              </w:rPr>
              <w:t>。</w:t>
            </w:r>
          </w:p>
          <w:p w14:paraId="3FEFB98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4.拓展8个地市特色产业服务。</w:t>
            </w:r>
            <w:r>
              <w:rPr>
                <w:rFonts w:hint="eastAsia" w:ascii="宋体" w:hAnsi="宋体" w:eastAsia="宋体" w:cs="宋体"/>
                <w:b w:val="0"/>
                <w:bCs w:val="0"/>
                <w:color w:val="auto"/>
                <w:sz w:val="21"/>
                <w:szCs w:val="21"/>
                <w:highlight w:val="none"/>
                <w:lang w:val="en-US" w:eastAsia="zh-CN"/>
              </w:rPr>
              <w:t>通过开展培训、现场讲解等方式，指导各地市进行特色产业对特色产业展开全方位、深层次的拓展，每个地市至少拓展8个，落地更多特色产业服务场景</w:t>
            </w:r>
            <w:r>
              <w:rPr>
                <w:rFonts w:hint="eastAsia" w:ascii="宋体" w:hAnsi="宋体" w:eastAsia="宋体" w:cs="宋体"/>
                <w:color w:val="auto"/>
                <w:sz w:val="21"/>
                <w:szCs w:val="21"/>
                <w:highlight w:val="none"/>
                <w:lang w:val="en-US" w:eastAsia="zh-CN"/>
              </w:rPr>
              <w:t>。</w:t>
            </w:r>
          </w:p>
          <w:p w14:paraId="71EBAD1E">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eastAsia="zh-CN"/>
              </w:rPr>
              <w:t>增值服务</w:t>
            </w:r>
            <w:r>
              <w:rPr>
                <w:rFonts w:hint="eastAsia" w:ascii="宋体" w:hAnsi="宋体" w:eastAsia="宋体" w:cs="宋体"/>
                <w:b/>
                <w:bCs/>
                <w:color w:val="auto"/>
                <w:sz w:val="21"/>
                <w:szCs w:val="21"/>
                <w:highlight w:val="none"/>
                <w:lang w:val="en-US" w:eastAsia="zh-CN"/>
              </w:rPr>
              <w:t>向</w:t>
            </w:r>
            <w:r>
              <w:rPr>
                <w:rFonts w:hint="eastAsia" w:ascii="宋体" w:hAnsi="宋体" w:eastAsia="宋体" w:cs="宋体"/>
                <w:b/>
                <w:bCs/>
                <w:color w:val="auto"/>
                <w:sz w:val="21"/>
                <w:szCs w:val="21"/>
                <w:highlight w:val="none"/>
                <w:lang w:eastAsia="zh-CN"/>
              </w:rPr>
              <w:t>乡镇延伸</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一是</w:t>
            </w:r>
            <w:r>
              <w:rPr>
                <w:rFonts w:hint="eastAsia" w:ascii="宋体" w:hAnsi="宋体" w:eastAsia="宋体" w:cs="宋体"/>
                <w:color w:val="auto"/>
                <w:sz w:val="21"/>
                <w:szCs w:val="21"/>
                <w:highlight w:val="none"/>
                <w:lang w:eastAsia="zh-CN"/>
              </w:rPr>
              <w:t>设置镇街增值服务线下专窗。根据各市镇街企业分布和服务需求情况，设置试点镇街，在试点镇街便民服务大厅设置至少 1 个增值服务线下专窗。</w:t>
            </w:r>
            <w:r>
              <w:rPr>
                <w:rFonts w:hint="eastAsia" w:ascii="宋体" w:hAnsi="宋体" w:eastAsia="宋体" w:cs="宋体"/>
                <w:color w:val="auto"/>
                <w:sz w:val="21"/>
                <w:szCs w:val="21"/>
                <w:highlight w:val="none"/>
                <w:lang w:val="en-US" w:eastAsia="zh-CN"/>
              </w:rPr>
              <w:t>二是</w:t>
            </w:r>
            <w:r>
              <w:rPr>
                <w:rFonts w:hint="eastAsia" w:ascii="宋体" w:hAnsi="宋体" w:eastAsia="宋体" w:cs="宋体"/>
                <w:color w:val="auto"/>
                <w:sz w:val="21"/>
                <w:szCs w:val="21"/>
                <w:highlight w:val="none"/>
                <w:lang w:eastAsia="zh-CN"/>
              </w:rPr>
              <w:t>新增街道特色增值服务或下放服务权限组织镇街工作人员深入社区和企业，了解当地产业特点和居民需求，挖掘具有街道特色的增值服务项目。</w:t>
            </w:r>
          </w:p>
          <w:p w14:paraId="7657BA87">
            <w:pPr>
              <w:pStyle w:val="28"/>
              <w:keepNext w:val="0"/>
              <w:keepLines w:val="0"/>
              <w:pageBreakBefore w:val="0"/>
              <w:widowControl w:val="0"/>
              <w:kinsoku/>
              <w:wordWrap w:val="0"/>
              <w:overflowPunct w:val="0"/>
              <w:topLinePunct w:val="0"/>
              <w:autoSpaceDE/>
              <w:autoSpaceDN/>
              <w:bidi w:val="0"/>
              <w:adjustRightInd/>
              <w:snapToGrid/>
              <w:spacing w:line="480" w:lineRule="exact"/>
              <w:ind w:firstLine="422" w:firstLineChars="200"/>
              <w:jc w:val="both"/>
              <w:textAlignment w:val="auto"/>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eastAsia="zh-CN"/>
              </w:rPr>
              <w:t>编制广西壮族自治区增值服务管理办法</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eastAsia="zh-CN"/>
              </w:rPr>
              <w:t>组织专业力量，依据相关法律法规和政策要求，精心编制《广西壮族自治区增值服务管理办法》，促进增值服务行业健康、有序、可持续发展。</w:t>
            </w:r>
          </w:p>
          <w:p w14:paraId="2D09FEC0">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7.开展增值化改革成效核验。</w:t>
            </w:r>
            <w:r>
              <w:rPr>
                <w:rFonts w:hint="eastAsia" w:ascii="宋体" w:hAnsi="宋体" w:eastAsia="宋体" w:cs="宋体"/>
                <w:b w:val="0"/>
                <w:bCs w:val="0"/>
                <w:color w:val="auto"/>
                <w:sz w:val="21"/>
                <w:szCs w:val="21"/>
                <w:highlight w:val="none"/>
                <w:lang w:val="en-US" w:eastAsia="zh-CN"/>
              </w:rPr>
              <w:t>设计与制定成效核验指标体系，对全区增值化改革工作成效进行全面核验，编制形成专项核验报告，总结成效、剖析问题，为深化改革、优化服务提供决策建议</w:t>
            </w:r>
            <w:r>
              <w:rPr>
                <w:rFonts w:hint="eastAsia" w:ascii="宋体" w:hAnsi="宋体" w:eastAsia="宋体" w:cs="宋体"/>
                <w:color w:val="auto"/>
                <w:sz w:val="21"/>
                <w:szCs w:val="21"/>
                <w:highlight w:val="none"/>
                <w:lang w:val="en-US" w:eastAsia="zh-CN"/>
              </w:rPr>
              <w:t>。</w:t>
            </w:r>
          </w:p>
          <w:p w14:paraId="672D9327">
            <w:pPr>
              <w:pStyle w:val="28"/>
              <w:keepNext w:val="0"/>
              <w:keepLines w:val="0"/>
              <w:pageBreakBefore w:val="0"/>
              <w:widowControl w:val="0"/>
              <w:kinsoku/>
              <w:wordWrap w:val="0"/>
              <w:overflowPunct w:val="0"/>
              <w:topLinePunct w:val="0"/>
              <w:autoSpaceDE/>
              <w:autoSpaceDN/>
              <w:bidi w:val="0"/>
              <w:adjustRightInd/>
              <w:snapToGrid/>
              <w:spacing w:line="480" w:lineRule="exact"/>
              <w:ind w:firstLine="422" w:firstLineChars="200"/>
              <w:jc w:val="both"/>
              <w:textAlignment w:val="auto"/>
              <w:outlineLvl w:val="3"/>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eastAsia="zh-CN"/>
              </w:rPr>
              <w:t>提供5个企业特色服务</w:t>
            </w:r>
            <w:r>
              <w:rPr>
                <w:rFonts w:hint="eastAsia" w:ascii="宋体" w:hAnsi="宋体" w:eastAsia="宋体" w:cs="宋体"/>
                <w:b/>
                <w:bCs/>
                <w:color w:val="auto"/>
                <w:sz w:val="21"/>
                <w:szCs w:val="21"/>
                <w:highlight w:val="none"/>
                <w:lang w:val="en-US" w:eastAsia="zh-CN"/>
              </w:rPr>
              <w:t>。</w:t>
            </w:r>
          </w:p>
          <w:p w14:paraId="766B0751">
            <w:pPr>
              <w:pStyle w:val="28"/>
              <w:keepNext w:val="0"/>
              <w:keepLines w:val="0"/>
              <w:pageBreakBefore w:val="0"/>
              <w:widowControl w:val="0"/>
              <w:kinsoku/>
              <w:wordWrap w:val="0"/>
              <w:overflowPunct w:val="0"/>
              <w:topLinePunct w:val="0"/>
              <w:autoSpaceDE/>
              <w:autoSpaceDN/>
              <w:bidi w:val="0"/>
              <w:adjustRightInd/>
              <w:snapToGrid/>
              <w:spacing w:line="480" w:lineRule="exact"/>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提供“企业之家”服务，分领域展示企业诉求基础库中的企业诉求供企业浏览，并提供企业交流广场，促进企业之间沟通；提供政企帮办服务，吸纳自治区本级和各地市的帮办代办团队，在线展示并提供在线咨询渠道；提供协会/商会服务，展示各行业领域协会以及自治区内外各地区商会信息；提供桂企课堂服务，展示各领域学习资料，提供在线申请指导的方式；提供企业落户服务，整合自治区和各地市企业迁入的流程和可提供的政策优惠等便利服务。</w:t>
            </w:r>
          </w:p>
          <w:p w14:paraId="54F9F99B">
            <w:pPr>
              <w:pStyle w:val="28"/>
              <w:keepNext w:val="0"/>
              <w:keepLines w:val="0"/>
              <w:pageBreakBefore w:val="0"/>
              <w:widowControl w:val="0"/>
              <w:kinsoku/>
              <w:wordWrap w:val="0"/>
              <w:overflowPunct w:val="0"/>
              <w:topLinePunct w:val="0"/>
              <w:autoSpaceDE/>
              <w:autoSpaceDN/>
              <w:bidi w:val="0"/>
              <w:adjustRightInd/>
              <w:snapToGrid/>
              <w:spacing w:line="480" w:lineRule="exact"/>
              <w:ind w:firstLine="422" w:firstLineChars="200"/>
              <w:jc w:val="both"/>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eastAsia="zh-CN"/>
              </w:rPr>
              <w:t>提供增值服务产业“一类事”配置与发布服务</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eastAsia="zh-CN"/>
              </w:rPr>
              <w:t>针对产业“一类事”基础信息提供配置服务，包含产业“一类事”分类管理、事项基础信息录入、事项关联配置、基础信息校验；针对产业“一类事”申办过程提供配置服务，包含申报流程配置、材料配置管理；针对产业“一类事”审核与发布提供配置服务，包含设置审核流程、审核记录管理、正式发布服务、版本管理、下架与撤回功能；针对产业“一类事”数据提供统计服务，包含核心数据申请量、办理时长、办结率、材料补正率、企业满意度、各节点办理效率等，支持以表格、折线图、柱状图、饼图等形式关联统计数据，支持文档下载导出。</w:t>
            </w:r>
          </w:p>
          <w:p w14:paraId="4E0345FF">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eastAsia="zh-CN"/>
              </w:rPr>
              <w:t>提供平台优化服务</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eastAsia="zh-CN"/>
              </w:rPr>
              <w:t>提供在线反馈评价、老龄化界面主题服务以及针对现有服务进行优化。</w:t>
            </w:r>
          </w:p>
          <w:p w14:paraId="7B1D5098">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11.</w:t>
            </w:r>
            <w:r>
              <w:rPr>
                <w:rFonts w:hint="eastAsia" w:ascii="宋体" w:hAnsi="宋体" w:eastAsia="宋体" w:cs="宋体"/>
                <w:b/>
                <w:bCs/>
                <w:color w:val="auto"/>
                <w:sz w:val="21"/>
                <w:szCs w:val="21"/>
                <w:highlight w:val="none"/>
                <w:lang w:eastAsia="zh-CN"/>
              </w:rPr>
              <w:t>提供平台对接服务</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color w:val="auto"/>
                <w:sz w:val="21"/>
                <w:szCs w:val="21"/>
                <w:highlight w:val="none"/>
                <w:lang w:eastAsia="zh-CN"/>
              </w:rPr>
              <w:t>与一网通办平台、广西法律服务网、专利业务办理系统、国家企业信用公示系统、各大银行金融服务平台等40余家平台的对接服务。梳理各类对接平台业务方向，逐项开展需求摸排工作，细化对接流程与相关权限内容。具体落实对接服务。</w:t>
            </w:r>
          </w:p>
          <w:p w14:paraId="2567E8DB">
            <w:pPr>
              <w:pStyle w:val="6"/>
              <w:keepNext w:val="0"/>
              <w:keepLines w:val="0"/>
              <w:pageBreakBefore w:val="0"/>
              <w:kinsoku/>
              <w:wordWrap/>
              <w:overflowPunct/>
              <w:topLinePunct w:val="0"/>
              <w:autoSpaceDE/>
              <w:autoSpaceDN/>
              <w:bidi w:val="0"/>
              <w:adjustRightInd/>
              <w:snapToGrid/>
              <w:spacing w:after="0" w:line="480" w:lineRule="exact"/>
              <w:ind w:leftChars="0" w:firstLine="420" w:firstLineChars="200"/>
              <w:textAlignment w:val="auto"/>
              <w:rPr>
                <w:rFonts w:hint="eastAsia" w:ascii="宋体" w:hAnsi="宋体" w:eastAsia="宋体" w:cs="宋体"/>
                <w:color w:val="auto"/>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108704AE">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1104800.00</w:t>
            </w:r>
          </w:p>
        </w:tc>
      </w:tr>
      <w:tr w14:paraId="1CA115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828" w:type="dxa"/>
            <w:gridSpan w:val="7"/>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C20EF64">
            <w:pPr>
              <w:pStyle w:val="18"/>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商务条款</w:t>
            </w:r>
          </w:p>
        </w:tc>
      </w:tr>
      <w:tr w14:paraId="5BAB1B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2AC0E9">
            <w:pPr>
              <w:pStyle w:val="30"/>
              <w:keepNext w:val="0"/>
              <w:keepLines w:val="0"/>
              <w:pageBreakBefore w:val="0"/>
              <w:kinsoku/>
              <w:topLinePunct w:val="0"/>
              <w:autoSpaceDE/>
              <w:autoSpaceDN/>
              <w:bidi w:val="0"/>
              <w:adjustRightInd/>
              <w:snapToGrid/>
              <w:spacing w:line="48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▲合同签订期</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2DB9D8">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自成交通知书发出之日起 25 日内</w:t>
            </w:r>
          </w:p>
        </w:tc>
      </w:tr>
      <w:tr w14:paraId="74FB3E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1084A9">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▲服务时间</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A30886F">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1.梳理11大领域增值服务清单。</w:t>
            </w:r>
            <w:r>
              <w:rPr>
                <w:rFonts w:hint="eastAsia" w:ascii="宋体" w:hAnsi="宋体" w:eastAsia="宋体" w:cs="宋体"/>
                <w:color w:val="auto"/>
                <w:sz w:val="21"/>
                <w:szCs w:val="21"/>
                <w:highlight w:val="none"/>
                <w:lang w:val="en-US" w:eastAsia="zh-CN"/>
              </w:rPr>
              <w:t>（2026年12月底前）</w:t>
            </w:r>
          </w:p>
          <w:p w14:paraId="565B9DB5">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2.自治区本级增值服务清单常态化检查和审核工作。</w:t>
            </w:r>
            <w:r>
              <w:rPr>
                <w:rFonts w:hint="eastAsia" w:ascii="宋体" w:hAnsi="宋体" w:eastAsia="宋体" w:cs="宋体"/>
                <w:color w:val="auto"/>
                <w:sz w:val="21"/>
                <w:szCs w:val="21"/>
                <w:highlight w:val="none"/>
                <w:lang w:val="en-US" w:eastAsia="zh-CN"/>
              </w:rPr>
              <w:t>（2026年12月底前）</w:t>
            </w:r>
          </w:p>
          <w:p w14:paraId="0B4D063D">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3.梳理20个“高效办成一类事”场景服务。</w:t>
            </w:r>
            <w:r>
              <w:rPr>
                <w:rFonts w:hint="eastAsia" w:ascii="宋体" w:hAnsi="宋体" w:eastAsia="宋体" w:cs="宋体"/>
                <w:color w:val="auto"/>
                <w:sz w:val="21"/>
                <w:szCs w:val="21"/>
                <w:highlight w:val="none"/>
                <w:lang w:val="en-US" w:eastAsia="zh-CN"/>
              </w:rPr>
              <w:t>（2026年12月底前）</w:t>
            </w:r>
          </w:p>
          <w:p w14:paraId="124B9E4A">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5.增值服务乡镇延伸。</w:t>
            </w:r>
            <w:r>
              <w:rPr>
                <w:rFonts w:hint="eastAsia" w:ascii="宋体" w:hAnsi="宋体" w:eastAsia="宋体" w:cs="宋体"/>
                <w:color w:val="auto"/>
                <w:sz w:val="21"/>
                <w:szCs w:val="21"/>
                <w:highlight w:val="none"/>
                <w:lang w:val="en-US" w:eastAsia="zh-CN"/>
              </w:rPr>
              <w:t>（2027年6月底前）</w:t>
            </w:r>
          </w:p>
          <w:p w14:paraId="483113C1">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6.编制广西壮族自治区增值服务管理办法。</w:t>
            </w:r>
            <w:r>
              <w:rPr>
                <w:rFonts w:hint="eastAsia" w:ascii="宋体" w:hAnsi="宋体" w:eastAsia="宋体" w:cs="宋体"/>
                <w:color w:val="auto"/>
                <w:sz w:val="21"/>
                <w:szCs w:val="21"/>
                <w:highlight w:val="none"/>
                <w:lang w:val="en-US" w:eastAsia="zh-CN"/>
              </w:rPr>
              <w:t>（2027年6月底前）</w:t>
            </w:r>
          </w:p>
          <w:p w14:paraId="5A673E89">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8.提供5个企业特色服务。</w:t>
            </w:r>
            <w:r>
              <w:rPr>
                <w:rFonts w:hint="eastAsia" w:ascii="宋体" w:hAnsi="宋体" w:eastAsia="宋体" w:cs="宋体"/>
                <w:color w:val="auto"/>
                <w:sz w:val="21"/>
                <w:szCs w:val="21"/>
                <w:highlight w:val="none"/>
                <w:lang w:val="en-US" w:eastAsia="zh-CN"/>
              </w:rPr>
              <w:t>（2027年6月底前）</w:t>
            </w:r>
          </w:p>
          <w:p w14:paraId="64006A07">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9.提供“高效办成一类事”配置与发布服务。</w:t>
            </w:r>
            <w:r>
              <w:rPr>
                <w:rFonts w:hint="eastAsia" w:ascii="宋体" w:hAnsi="宋体" w:eastAsia="宋体" w:cs="宋体"/>
                <w:color w:val="auto"/>
                <w:sz w:val="21"/>
                <w:szCs w:val="21"/>
                <w:highlight w:val="none"/>
                <w:lang w:val="en-US" w:eastAsia="zh-CN"/>
              </w:rPr>
              <w:t>（2027年6月底前）</w:t>
            </w:r>
          </w:p>
          <w:p w14:paraId="6BE199C2">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10.平台优化服务。</w:t>
            </w:r>
            <w:r>
              <w:rPr>
                <w:rFonts w:hint="eastAsia" w:ascii="宋体" w:hAnsi="宋体" w:eastAsia="宋体" w:cs="宋体"/>
                <w:color w:val="auto"/>
                <w:sz w:val="21"/>
                <w:szCs w:val="21"/>
                <w:highlight w:val="none"/>
                <w:lang w:val="en-US" w:eastAsia="zh-CN"/>
              </w:rPr>
              <w:t>（2027年6月底前）</w:t>
            </w:r>
          </w:p>
          <w:p w14:paraId="122E7701">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11.平台对接服务。</w:t>
            </w:r>
            <w:r>
              <w:rPr>
                <w:rFonts w:hint="eastAsia" w:ascii="宋体" w:hAnsi="宋体" w:eastAsia="宋体" w:cs="宋体"/>
                <w:color w:val="auto"/>
                <w:sz w:val="21"/>
                <w:szCs w:val="21"/>
                <w:highlight w:val="none"/>
                <w:lang w:val="en-US" w:eastAsia="zh-CN"/>
              </w:rPr>
              <w:t>（2027年6月底前）</w:t>
            </w:r>
          </w:p>
          <w:p w14:paraId="55998F2C">
            <w:pPr>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12.验收。（2027年6月底前）</w:t>
            </w:r>
          </w:p>
        </w:tc>
      </w:tr>
      <w:tr w14:paraId="6F020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86A77A">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服务地点</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2D0B7E8">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采购人指定地点</w:t>
            </w:r>
          </w:p>
        </w:tc>
      </w:tr>
      <w:tr w14:paraId="0249B4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877C56D">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▲售后服务要求</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03D9AF6">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处理问题响应时间:接到采购人处理问题通知后2小时内到达采购人指定现场，提供7×24小时服务。</w:t>
            </w:r>
          </w:p>
          <w:p w14:paraId="4446C717">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2</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其他：接到紧急事件时30分钟内到达采购人指定现场。</w:t>
            </w:r>
          </w:p>
        </w:tc>
      </w:tr>
      <w:tr w14:paraId="456216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432935B">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报价要求</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113DF6A">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1.本项目为整体服务包干项目，报价中应包含所有设备集成实施、人员、必要的保险费用、各项税金及服务等费用，成交后采购人不再另行支付额外费用；</w:t>
            </w:r>
          </w:p>
          <w:p w14:paraId="618B2C14">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2.供应商的报价≤采购预算。</w:t>
            </w:r>
          </w:p>
        </w:tc>
      </w:tr>
      <w:tr w14:paraId="164EF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9983A52">
            <w:pPr>
              <w:pStyle w:val="30"/>
              <w:keepNext w:val="0"/>
              <w:keepLines w:val="0"/>
              <w:pageBreakBefore w:val="0"/>
              <w:kinsoku/>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付款方式</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226F3B0">
            <w:pPr>
              <w:keepNext w:val="0"/>
              <w:keepLines w:val="0"/>
              <w:pageBreakBefore w:val="0"/>
              <w:kinsoku/>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本项目预付款为</w:t>
            </w:r>
            <w:r>
              <w:rPr>
                <w:rFonts w:hint="eastAsia" w:ascii="宋体" w:hAnsi="宋体" w:eastAsia="宋体" w:cs="宋体"/>
                <w:color w:val="auto"/>
                <w:sz w:val="21"/>
                <w:szCs w:val="21"/>
                <w:highlight w:val="none"/>
                <w:lang w:val="en-US" w:eastAsia="zh-CN"/>
              </w:rPr>
              <w:t>合同金额的50%，</w:t>
            </w:r>
            <w:r>
              <w:rPr>
                <w:rFonts w:hint="eastAsia" w:ascii="宋体" w:hAnsi="宋体" w:eastAsia="宋体" w:cs="宋体"/>
                <w:color w:val="auto"/>
                <w:sz w:val="21"/>
                <w:szCs w:val="21"/>
                <w:highlight w:val="none"/>
              </w:rPr>
              <w:t>双方在签订合同后10个工作日内支付预付款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完成</w:t>
            </w:r>
            <w:r>
              <w:rPr>
                <w:rFonts w:hint="eastAsia" w:ascii="宋体" w:hAnsi="宋体" w:eastAsia="宋体" w:cs="宋体"/>
                <w:color w:val="auto"/>
                <w:sz w:val="21"/>
                <w:szCs w:val="21"/>
                <w:highlight w:val="none"/>
                <w:lang w:val="en-US" w:eastAsia="zh-CN"/>
              </w:rPr>
              <w:t>梳理11大领域增值服务清单、自治区本级增值服务清单常态化检查和审核工作和梳理20个“高效办成一类事”场景服务</w:t>
            </w:r>
            <w:r>
              <w:rPr>
                <w:rFonts w:hint="eastAsia" w:ascii="宋体" w:hAnsi="宋体" w:eastAsia="宋体" w:cs="宋体"/>
                <w:color w:val="auto"/>
                <w:sz w:val="21"/>
                <w:szCs w:val="21"/>
                <w:highlight w:val="none"/>
              </w:rPr>
              <w:t>，经甲方确认完成后，</w:t>
            </w:r>
            <w:r>
              <w:rPr>
                <w:rFonts w:hint="eastAsia" w:ascii="宋体" w:hAnsi="宋体" w:eastAsia="宋体" w:cs="宋体"/>
                <w:color w:val="auto"/>
                <w:sz w:val="21"/>
                <w:szCs w:val="21"/>
                <w:highlight w:val="none"/>
                <w:lang w:val="en-US" w:eastAsia="zh-CN"/>
              </w:rPr>
              <w:t>支付合同金额的30%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项目成果全部完成，经验收合格后甲方支付剩余尾款。每次付款前乙方应向甲方提供请款函和合法有效的发票。</w:t>
            </w:r>
          </w:p>
        </w:tc>
      </w:tr>
      <w:tr w14:paraId="5ED95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638" w:type="dxa"/>
            <w:gridSpan w:val="4"/>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3E93ECD">
            <w:pPr>
              <w:pStyle w:val="30"/>
              <w:keepNext w:val="0"/>
              <w:keepLines w:val="0"/>
              <w:pageBreakBefore w:val="0"/>
              <w:kinsoku/>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其他要求</w:t>
            </w:r>
          </w:p>
        </w:tc>
        <w:tc>
          <w:tcPr>
            <w:tcW w:w="819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B68FC30">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采购人对成交供应商提交的委托项目工作成果提出质疑或者要求成交供应商答复时，须在收到采购人的质疑后1日内给予书面解释或者答复。</w:t>
            </w:r>
          </w:p>
          <w:p w14:paraId="14C817C2">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供应商必须承诺自行完成本项目的服务内容，不得转让或转包；</w:t>
            </w:r>
          </w:p>
          <w:p w14:paraId="59349830">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成交供应商提供的服务不满足采购文件要求验收不合格的，采购人有权解除合同并追究成交供应商的法律责任。</w:t>
            </w:r>
          </w:p>
          <w:p w14:paraId="6114F115">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驻场团队应具有职业道德素养，工作勤勉、踏实、细心、负责。如驻场团队不符合要求的，采购人有权要求改派，后果由成交供应商承担</w:t>
            </w:r>
          </w:p>
          <w:p w14:paraId="4B4945A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color w:val="auto"/>
                <w:sz w:val="21"/>
                <w:szCs w:val="21"/>
                <w:highlight w:val="none"/>
                <w:lang w:eastAsia="zh-CN"/>
              </w:rPr>
              <w:t>根据《</w:t>
            </w:r>
            <w:r>
              <w:rPr>
                <w:rFonts w:hint="eastAsia" w:ascii="宋体" w:hAnsi="宋体" w:eastAsia="宋体" w:cs="宋体"/>
                <w:color w:val="auto"/>
                <w:sz w:val="21"/>
                <w:szCs w:val="21"/>
                <w:highlight w:val="none"/>
              </w:rPr>
              <w:t>关于推动解决政府采购异常低价问题的通知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财库〔2026〕2号</w:t>
            </w:r>
            <w:r>
              <w:rPr>
                <w:rFonts w:hint="eastAsia" w:ascii="宋体" w:hAnsi="宋体" w:eastAsia="宋体" w:cs="宋体"/>
                <w:color w:val="auto"/>
                <w:sz w:val="21"/>
                <w:szCs w:val="21"/>
                <w:highlight w:val="none"/>
                <w:lang w:eastAsia="zh-CN"/>
              </w:rPr>
              <w:t>）的规定，评审小组</w:t>
            </w:r>
            <w:r>
              <w:rPr>
                <w:rFonts w:hint="eastAsia" w:ascii="宋体" w:hAnsi="宋体" w:eastAsia="宋体" w:cs="宋体"/>
                <w:color w:val="auto"/>
                <w:sz w:val="21"/>
                <w:szCs w:val="21"/>
                <w:highlight w:val="none"/>
              </w:rPr>
              <w:t>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5D41E6E9">
            <w:pPr>
              <w:pStyle w:val="30"/>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政府采购评审中出现下列情形之一的，评审委员会应当启动异常低价投标（响应）审查程序：</w:t>
            </w:r>
          </w:p>
          <w:p w14:paraId="1743FCDB">
            <w:pPr>
              <w:pStyle w:val="30"/>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（1）投标（响应）报价低于全部通过符合性审查供应商投标（响应）报价平均值50%的，即投标（响应）报价&lt;全部通过符合性审查供应商投标（响应）报价平均值×50%；</w:t>
            </w:r>
          </w:p>
          <w:p w14:paraId="4DEA7C3B">
            <w:pPr>
              <w:pStyle w:val="30"/>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（2）投标（响应）报价低于通过符合性审查的次低报价供应商投标（响应）报价50%的，即投标（响应）报价&lt;通过符合性审查的次低报价供应商投标（响应）报价×50%；</w:t>
            </w:r>
          </w:p>
          <w:p w14:paraId="3BDDBE4B">
            <w:pPr>
              <w:pStyle w:val="30"/>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（3）投标（响应）报价低于采购项目最高限价45%的，即投标（响应）报价&lt;采购项目最高限价×45%；</w:t>
            </w:r>
          </w:p>
          <w:p w14:paraId="2DB83B6C">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（4）评审委员会基于专业判断，认为供应商报价过低，有可能影响产品质量或者不能诚信履约的其他情形。</w:t>
            </w:r>
          </w:p>
        </w:tc>
      </w:tr>
    </w:tbl>
    <w:p w14:paraId="7039A412">
      <w:pPr>
        <w:spacing w:line="240" w:lineRule="auto"/>
        <w:jc w:val="left"/>
        <w:rPr>
          <w:b/>
          <w:bCs/>
          <w:color w:val="auto"/>
          <w:sz w:val="28"/>
          <w:szCs w:val="36"/>
          <w:highlight w:val="none"/>
        </w:rPr>
      </w:pPr>
    </w:p>
    <w:p w14:paraId="5A249125">
      <w:pPr>
        <w:keepNext/>
        <w:keepLines/>
        <w:pageBreakBefore/>
        <w:widowControl/>
        <w:spacing w:line="428" w:lineRule="exact"/>
        <w:ind w:left="119"/>
        <w:rPr>
          <w:rFonts w:hint="eastAsia" w:ascii="微软雅黑" w:hAnsi="微软雅黑" w:eastAsia="微软雅黑" w:cs="微软雅黑"/>
          <w:color w:val="auto"/>
          <w:sz w:val="32"/>
          <w:szCs w:val="32"/>
          <w:highlight w:val="none"/>
        </w:rPr>
        <w:sectPr>
          <w:footerReference r:id="rId4" w:type="default"/>
          <w:pgSz w:w="11906" w:h="16838"/>
          <w:pgMar w:top="1361" w:right="1474" w:bottom="1304" w:left="1587" w:header="720" w:footer="720" w:gutter="0"/>
          <w:cols w:space="720" w:num="1"/>
          <w:docGrid w:type="lines" w:linePitch="331" w:charSpace="0"/>
        </w:sectPr>
      </w:pPr>
    </w:p>
    <w:p w14:paraId="59966DA1">
      <w:pPr>
        <w:keepNext/>
        <w:keepLines/>
        <w:pageBreakBefore/>
        <w:widowControl/>
        <w:spacing w:line="428" w:lineRule="exact"/>
        <w:ind w:left="119"/>
        <w:rPr>
          <w:rFonts w:hint="eastAsia" w:ascii="微软雅黑" w:hAnsi="微软雅黑" w:eastAsia="微软雅黑" w:cs="微软雅黑"/>
          <w:color w:val="auto"/>
          <w:sz w:val="32"/>
          <w:szCs w:val="32"/>
          <w:highlight w:val="none"/>
          <w:lang w:val="en-US" w:eastAsia="zh-CN"/>
        </w:rPr>
      </w:pPr>
      <w:r>
        <w:rPr>
          <w:rFonts w:hint="eastAsia" w:ascii="微软雅黑" w:hAnsi="微软雅黑" w:eastAsia="微软雅黑" w:cs="微软雅黑"/>
          <w:color w:val="auto"/>
          <w:sz w:val="32"/>
          <w:szCs w:val="32"/>
          <w:highlight w:val="none"/>
          <w:lang w:eastAsia="zh-CN"/>
        </w:rPr>
        <w:t>分标</w:t>
      </w:r>
      <w:r>
        <w:rPr>
          <w:rFonts w:hint="eastAsia" w:ascii="微软雅黑" w:hAnsi="微软雅黑" w:eastAsia="微软雅黑" w:cs="微软雅黑"/>
          <w:color w:val="auto"/>
          <w:sz w:val="32"/>
          <w:szCs w:val="32"/>
          <w:highlight w:val="none"/>
          <w:lang w:val="en-US" w:eastAsia="zh-CN"/>
        </w:rPr>
        <w:t>2：</w:t>
      </w:r>
    </w:p>
    <w:tbl>
      <w:tblPr>
        <w:tblStyle w:val="19"/>
        <w:tblW w:w="9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6"/>
        <w:gridCol w:w="737"/>
        <w:gridCol w:w="477"/>
        <w:gridCol w:w="477"/>
        <w:gridCol w:w="6532"/>
        <w:gridCol w:w="1239"/>
      </w:tblGrid>
      <w:tr w14:paraId="3886C0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828" w:type="dxa"/>
            <w:gridSpan w:val="6"/>
            <w:tcBorders>
              <w:top w:val="single" w:color="auto" w:sz="4" w:space="0"/>
              <w:left w:val="single" w:color="auto" w:sz="4" w:space="0"/>
              <w:right w:val="single" w:color="auto" w:sz="4" w:space="0"/>
            </w:tcBorders>
            <w:vAlign w:val="center"/>
          </w:tcPr>
          <w:p w14:paraId="215D189B">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服务需求一览表</w:t>
            </w:r>
          </w:p>
        </w:tc>
      </w:tr>
      <w:tr w14:paraId="11B2DA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8198519">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37" w:type="dxa"/>
            <w:tcBorders>
              <w:top w:val="single" w:color="auto" w:sz="4" w:space="0"/>
              <w:left w:val="single" w:color="auto" w:sz="4" w:space="0"/>
              <w:bottom w:val="single" w:color="auto" w:sz="4" w:space="0"/>
              <w:right w:val="single" w:color="auto" w:sz="4" w:space="0"/>
            </w:tcBorders>
            <w:vAlign w:val="center"/>
          </w:tcPr>
          <w:p w14:paraId="3DFE117F">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477" w:type="dxa"/>
            <w:tcBorders>
              <w:top w:val="single" w:color="auto" w:sz="4" w:space="0"/>
              <w:left w:val="single" w:color="auto" w:sz="4" w:space="0"/>
              <w:bottom w:val="single" w:color="auto" w:sz="4" w:space="0"/>
              <w:right w:val="single" w:color="auto" w:sz="4" w:space="0"/>
            </w:tcBorders>
            <w:vAlign w:val="center"/>
          </w:tcPr>
          <w:p w14:paraId="531C82C7">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477" w:type="dxa"/>
            <w:tcBorders>
              <w:top w:val="single" w:color="auto" w:sz="4" w:space="0"/>
              <w:left w:val="single" w:color="auto" w:sz="4" w:space="0"/>
              <w:bottom w:val="single" w:color="auto" w:sz="4" w:space="0"/>
              <w:right w:val="single" w:color="auto" w:sz="4" w:space="0"/>
            </w:tcBorders>
            <w:vAlign w:val="center"/>
          </w:tcPr>
          <w:p w14:paraId="2F84597D">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532" w:type="dxa"/>
            <w:tcBorders>
              <w:top w:val="single" w:color="auto" w:sz="4" w:space="0"/>
              <w:left w:val="single" w:color="auto" w:sz="4" w:space="0"/>
              <w:bottom w:val="single" w:color="auto" w:sz="4" w:space="0"/>
              <w:right w:val="single" w:color="auto" w:sz="4" w:space="0"/>
            </w:tcBorders>
            <w:vAlign w:val="center"/>
          </w:tcPr>
          <w:p w14:paraId="218CDF7B">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服务参数</w:t>
            </w:r>
          </w:p>
        </w:tc>
        <w:tc>
          <w:tcPr>
            <w:tcW w:w="1239" w:type="dxa"/>
            <w:tcBorders>
              <w:top w:val="single" w:color="auto" w:sz="4" w:space="0"/>
              <w:left w:val="single" w:color="auto" w:sz="4" w:space="0"/>
              <w:bottom w:val="single" w:color="auto" w:sz="4" w:space="0"/>
              <w:right w:val="single" w:color="auto" w:sz="4" w:space="0"/>
            </w:tcBorders>
            <w:vAlign w:val="center"/>
          </w:tcPr>
          <w:p w14:paraId="3BF0C058">
            <w:pPr>
              <w:keepNext w:val="0"/>
              <w:keepLines w:val="0"/>
              <w:pageBreakBefore w:val="0"/>
              <w:kinsoku/>
              <w:topLinePunct w:val="0"/>
              <w:autoSpaceDE/>
              <w:autoSpaceDN/>
              <w:bidi w:val="0"/>
              <w:adjustRightInd/>
              <w:snapToGrid/>
              <w:spacing w:line="4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分项预算合计（元）</w:t>
            </w:r>
          </w:p>
        </w:tc>
      </w:tr>
      <w:tr w14:paraId="3ACAE2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BCCB461">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737" w:type="dxa"/>
            <w:tcBorders>
              <w:top w:val="single" w:color="auto" w:sz="4" w:space="0"/>
              <w:left w:val="single" w:color="auto" w:sz="4" w:space="0"/>
              <w:bottom w:val="single" w:color="auto" w:sz="4" w:space="0"/>
              <w:right w:val="single" w:color="auto" w:sz="4" w:space="0"/>
            </w:tcBorders>
            <w:vAlign w:val="center"/>
          </w:tcPr>
          <w:p w14:paraId="28481712">
            <w:pPr>
              <w:pStyle w:val="6"/>
              <w:keepNext w:val="0"/>
              <w:keepLines w:val="0"/>
              <w:pageBreakBefore w:val="0"/>
              <w:kinsoku/>
              <w:topLinePunct w:val="0"/>
              <w:autoSpaceDE/>
              <w:autoSpaceDN/>
              <w:bidi w:val="0"/>
              <w:adjustRightInd/>
              <w:snapToGrid/>
              <w:spacing w:after="0"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2026年广西推进政务服务标准化规范化便利化项目</w:t>
            </w:r>
          </w:p>
        </w:tc>
        <w:tc>
          <w:tcPr>
            <w:tcW w:w="477" w:type="dxa"/>
            <w:tcBorders>
              <w:top w:val="single" w:color="auto" w:sz="4" w:space="0"/>
              <w:left w:val="single" w:color="auto" w:sz="4" w:space="0"/>
              <w:bottom w:val="single" w:color="auto" w:sz="4" w:space="0"/>
              <w:right w:val="single" w:color="auto" w:sz="4" w:space="0"/>
            </w:tcBorders>
            <w:vAlign w:val="center"/>
          </w:tcPr>
          <w:p w14:paraId="324ECD6E">
            <w:pPr>
              <w:pStyle w:val="6"/>
              <w:keepNext w:val="0"/>
              <w:keepLines w:val="0"/>
              <w:pageBreakBefore w:val="0"/>
              <w:kinsoku/>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77" w:type="dxa"/>
            <w:tcBorders>
              <w:top w:val="single" w:color="auto" w:sz="4" w:space="0"/>
              <w:left w:val="single" w:color="auto" w:sz="4" w:space="0"/>
              <w:bottom w:val="single" w:color="auto" w:sz="4" w:space="0"/>
              <w:right w:val="single" w:color="auto" w:sz="4" w:space="0"/>
            </w:tcBorders>
            <w:vAlign w:val="center"/>
          </w:tcPr>
          <w:p w14:paraId="4F09025E">
            <w:pPr>
              <w:pStyle w:val="6"/>
              <w:keepNext w:val="0"/>
              <w:keepLines w:val="0"/>
              <w:pageBreakBefore w:val="0"/>
              <w:kinsoku/>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w:t>
            </w:r>
          </w:p>
        </w:tc>
        <w:tc>
          <w:tcPr>
            <w:tcW w:w="6532" w:type="dxa"/>
            <w:tcBorders>
              <w:top w:val="single" w:color="auto" w:sz="4" w:space="0"/>
              <w:left w:val="single" w:color="auto" w:sz="4" w:space="0"/>
              <w:bottom w:val="single" w:color="auto" w:sz="4" w:space="0"/>
              <w:right w:val="single" w:color="auto" w:sz="4" w:space="0"/>
            </w:tcBorders>
            <w:vAlign w:val="center"/>
          </w:tcPr>
          <w:p w14:paraId="0E249738">
            <w:pPr>
              <w:pStyle w:val="28"/>
              <w:keepNext w:val="0"/>
              <w:keepLines w:val="0"/>
              <w:pageBreakBefore w:val="0"/>
              <w:widowControl w:val="0"/>
              <w:kinsoku/>
              <w:wordWrap w:val="0"/>
              <w:overflowPunct w:val="0"/>
              <w:topLinePunct w:val="0"/>
              <w:autoSpaceDE/>
              <w:autoSpaceDN/>
              <w:bidi w:val="0"/>
              <w:adjustRightInd/>
              <w:snapToGrid/>
              <w:spacing w:line="480" w:lineRule="exact"/>
              <w:ind w:firstLine="422" w:firstLineChars="200"/>
              <w:jc w:val="both"/>
              <w:textAlignment w:val="auto"/>
              <w:outlineLvl w:val="4"/>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kern w:val="2"/>
                <w:sz w:val="21"/>
                <w:szCs w:val="21"/>
                <w:highlight w:val="none"/>
                <w:lang w:val="en-US" w:eastAsia="zh-CN"/>
              </w:rPr>
              <w:t>组织开展全区第三届政务服务大比武赛事服务。</w:t>
            </w:r>
          </w:p>
          <w:p w14:paraId="07EB0CFD">
            <w:pPr>
              <w:keepNext w:val="0"/>
              <w:keepLines w:val="0"/>
              <w:pageBreakBefore w:val="0"/>
              <w:kinsoku/>
              <w:topLinePunct w:val="0"/>
              <w:autoSpaceDE/>
              <w:autoSpaceDN/>
              <w:bidi w:val="0"/>
              <w:adjustRightInd/>
              <w:snapToGrid/>
              <w:spacing w:line="480" w:lineRule="exact"/>
              <w:ind w:firstLine="420" w:firstLineChars="200"/>
              <w:jc w:val="both"/>
              <w:textAlignment w:val="auto"/>
              <w:rPr>
                <w:rFonts w:hint="eastAsia" w:ascii="宋体" w:hAnsi="宋体" w:eastAsia="宋体" w:cs="宋体"/>
                <w:color w:val="auto"/>
                <w:sz w:val="21"/>
                <w:szCs w:val="21"/>
                <w:highlight w:val="none"/>
                <w:lang w:eastAsia="zh-CN" w:bidi="ar"/>
              </w:rPr>
            </w:pPr>
            <w:r>
              <w:rPr>
                <w:rFonts w:hint="eastAsia" w:ascii="宋体" w:hAnsi="宋体" w:eastAsia="宋体" w:cs="宋体"/>
                <w:color w:val="auto"/>
                <w:sz w:val="21"/>
                <w:szCs w:val="21"/>
                <w:highlight w:val="none"/>
                <w:lang w:eastAsia="zh-CN" w:bidi="ar"/>
              </w:rPr>
              <w:t>统筹策划活动方案，细化赛事流程与评分标准，组织全区各级政务服务人员参与，以赛促学、以赛提能，全面提升政务服务队伍业务素养和实操水平。</w:t>
            </w:r>
          </w:p>
          <w:p w14:paraId="5D99065B">
            <w:pPr>
              <w:pStyle w:val="28"/>
              <w:keepNext w:val="0"/>
              <w:keepLines w:val="0"/>
              <w:pageBreakBefore w:val="0"/>
              <w:widowControl w:val="0"/>
              <w:kinsoku/>
              <w:wordWrap w:val="0"/>
              <w:overflowPunct w:val="0"/>
              <w:topLinePunct w:val="0"/>
              <w:autoSpaceDE/>
              <w:autoSpaceDN/>
              <w:bidi w:val="0"/>
              <w:adjustRightInd/>
              <w:snapToGrid/>
              <w:spacing w:line="480" w:lineRule="exact"/>
              <w:ind w:firstLine="422" w:firstLineChars="200"/>
              <w:jc w:val="both"/>
              <w:textAlignment w:val="auto"/>
              <w:outlineLvl w:val="4"/>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开展自贸区园区放权及权力运行效能监测工作</w:t>
            </w:r>
          </w:p>
          <w:p w14:paraId="18AB0765">
            <w:pPr>
              <w:keepNext w:val="0"/>
              <w:keepLines w:val="0"/>
              <w:pageBreakBefore w:val="0"/>
              <w:kinsoku/>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对自贸区各园区的行政权力下放承接情况、事项运行效率及实际效果进行跟踪监测，分析存在的问题，提出优化建议，确保放权事项接得住、用得好、管到位。</w:t>
            </w:r>
          </w:p>
          <w:p w14:paraId="0582CF48">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3.实行动态化清单管理。</w:t>
            </w:r>
            <w:r>
              <w:rPr>
                <w:rFonts w:hint="eastAsia" w:ascii="宋体" w:hAnsi="宋体" w:eastAsia="宋体" w:cs="宋体"/>
                <w:color w:val="auto"/>
                <w:sz w:val="21"/>
                <w:szCs w:val="21"/>
                <w:highlight w:val="none"/>
                <w:lang w:eastAsia="zh-CN"/>
              </w:rPr>
              <w:t>根据法律法规修订、机构职能调整及实际业务变化，定期对各类政务服务清单事项进行动态调整与更新，确保清单内容规范、准确、合法、有效。</w:t>
            </w:r>
          </w:p>
          <w:p w14:paraId="5D2B3C95">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4</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优化中介服务管理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eastAsia="zh-CN"/>
              </w:rPr>
              <w:t>加强对中介服务管理，推动中介服务行为持续规范、服务质量持续提升，切实减轻企业制度性交易成本，提升行政审批透明度和企业满意度。</w:t>
            </w:r>
          </w:p>
          <w:p w14:paraId="0569D3C4">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kern w:val="2"/>
                <w:sz w:val="21"/>
                <w:szCs w:val="21"/>
                <w:highlight w:val="none"/>
                <w:lang w:val="en-US" w:eastAsia="zh-CN" w:bidi="ar-SA"/>
              </w:rPr>
              <w:t>开展清单梳理工作。</w:t>
            </w:r>
            <w:r>
              <w:rPr>
                <w:rFonts w:hint="eastAsia" w:ascii="宋体" w:hAnsi="宋体" w:eastAsia="宋体" w:cs="宋体"/>
                <w:color w:val="auto"/>
                <w:sz w:val="21"/>
                <w:szCs w:val="21"/>
                <w:highlight w:val="none"/>
                <w:lang w:eastAsia="zh-CN"/>
              </w:rPr>
              <w:t>对照国家相关工作要求，结合广西实际，系统梳理政务服务“免审批”清单大于100项，梳理政务服务“智慧办”清单100，梳理“人工智能+政务服务”应用场景20个。</w:t>
            </w:r>
          </w:p>
          <w:p w14:paraId="705F5995">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协助推进改革理论与标准体系建设</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eastAsia="zh-CN"/>
              </w:rPr>
              <w:t>配合相关单位研究政务服务、行政审批等领域的改革理论，制定或完善1套政务服标准体系，推动政务服务改革成果制度化、规范化、长效化。</w:t>
            </w:r>
          </w:p>
          <w:p w14:paraId="44B591CD">
            <w:pPr>
              <w:pStyle w:val="28"/>
              <w:keepNext w:val="0"/>
              <w:keepLines w:val="0"/>
              <w:pageBreakBefore w:val="0"/>
              <w:kinsoku/>
              <w:wordWrap w:val="0"/>
              <w:overflowPunct w:val="0"/>
              <w:topLinePunct w:val="0"/>
              <w:autoSpaceDE/>
              <w:autoSpaceDN/>
              <w:bidi w:val="0"/>
              <w:adjustRightInd/>
              <w:snapToGrid/>
              <w:spacing w:line="480" w:lineRule="exact"/>
              <w:ind w:firstLine="422" w:firstLineChars="200"/>
              <w:textAlignment w:val="auto"/>
              <w:outlineLvl w:val="4"/>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rPr>
              <w:t>7</w:t>
            </w:r>
            <w:r>
              <w:rPr>
                <w:rFonts w:hint="eastAsia" w:ascii="宋体"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跟踪监测营商环境指标</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eastAsia="zh-CN"/>
              </w:rPr>
              <w:t>围绕国家及自治区营商环境评价体系，定期收集、分析相关指标数据，识别短板弱项，提出改进措施，助力营商环境持续优化。</w:t>
            </w:r>
          </w:p>
          <w:p w14:paraId="69ACB3EE">
            <w:pPr>
              <w:pStyle w:val="28"/>
              <w:keepNext w:val="0"/>
              <w:keepLines w:val="0"/>
              <w:pageBreakBefore w:val="0"/>
              <w:widowControl w:val="0"/>
              <w:kinsoku/>
              <w:wordWrap w:val="0"/>
              <w:overflowPunct w:val="0"/>
              <w:topLinePunct w:val="0"/>
              <w:autoSpaceDE/>
              <w:autoSpaceDN/>
              <w:bidi w:val="0"/>
              <w:adjustRightInd/>
              <w:snapToGrid/>
              <w:spacing w:line="480" w:lineRule="exact"/>
              <w:ind w:firstLine="422" w:firstLineChars="200"/>
              <w:jc w:val="both"/>
              <w:textAlignment w:val="auto"/>
              <w:outlineLvl w:val="4"/>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 xml:space="preserve"> 驻场工作人员</w:t>
            </w:r>
            <w:r>
              <w:rPr>
                <w:rFonts w:hint="eastAsia" w:ascii="宋体" w:hAnsi="宋体" w:eastAsia="宋体" w:cs="宋体"/>
                <w:b/>
                <w:bCs/>
                <w:color w:val="auto"/>
                <w:sz w:val="21"/>
                <w:szCs w:val="21"/>
                <w:highlight w:val="none"/>
                <w:lang w:val="en-US" w:eastAsia="zh-CN"/>
              </w:rPr>
              <w:t>安排。</w:t>
            </w:r>
          </w:p>
          <w:p w14:paraId="043ACF0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除了项目服务内容之外，另安排5名工作人员在我局驻场，实行长期驻场配合服务模式，配合业务处室开展常态化事务工作等综合性支撑工作。</w:t>
            </w:r>
          </w:p>
          <w:p w14:paraId="7CD96E36">
            <w:pPr>
              <w:pStyle w:val="6"/>
              <w:keepNext w:val="0"/>
              <w:keepLines w:val="0"/>
              <w:pageBreakBefore w:val="0"/>
              <w:kinsoku/>
              <w:wordWrap/>
              <w:overflowPunct/>
              <w:topLinePunct w:val="0"/>
              <w:autoSpaceDE/>
              <w:autoSpaceDN/>
              <w:bidi w:val="0"/>
              <w:adjustRightInd/>
              <w:snapToGrid/>
              <w:spacing w:after="0" w:line="480" w:lineRule="exact"/>
              <w:ind w:leftChars="0" w:firstLine="420" w:firstLineChars="200"/>
              <w:textAlignment w:val="auto"/>
              <w:rPr>
                <w:rFonts w:hint="eastAsia" w:ascii="宋体" w:hAnsi="宋体" w:eastAsia="宋体" w:cs="宋体"/>
                <w:color w:val="auto"/>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4B3621A">
            <w:pPr>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1482300.00</w:t>
            </w:r>
          </w:p>
        </w:tc>
      </w:tr>
      <w:tr w14:paraId="14EC3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828" w:type="dxa"/>
            <w:gridSpan w:val="6"/>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8554DB5">
            <w:pPr>
              <w:pStyle w:val="18"/>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商务条款</w:t>
            </w:r>
          </w:p>
        </w:tc>
      </w:tr>
      <w:tr w14:paraId="1F6BA3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5C82A87">
            <w:pPr>
              <w:pStyle w:val="30"/>
              <w:keepNext w:val="0"/>
              <w:keepLines w:val="0"/>
              <w:pageBreakBefore w:val="0"/>
              <w:kinsoku/>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合同签订期</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7CA847A">
            <w:pPr>
              <w:pStyle w:val="30"/>
              <w:keepNext w:val="0"/>
              <w:keepLines w:val="0"/>
              <w:pageBreakBefore w:val="0"/>
              <w:kinsoku/>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自成交通知书发出之日起 25 日内</w:t>
            </w:r>
          </w:p>
        </w:tc>
      </w:tr>
      <w:tr w14:paraId="18FF88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CB5DB9A">
            <w:pPr>
              <w:pStyle w:val="30"/>
              <w:keepNext w:val="0"/>
              <w:keepLines w:val="0"/>
              <w:pageBreakBefore w:val="0"/>
              <w:kinsoku/>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服务时间</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C2488C5">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.实行动态化清单管理。</w:t>
            </w:r>
            <w:r>
              <w:rPr>
                <w:rFonts w:hint="eastAsia" w:ascii="宋体" w:hAnsi="宋体" w:eastAsia="宋体" w:cs="宋体"/>
                <w:color w:val="auto"/>
                <w:sz w:val="21"/>
                <w:szCs w:val="21"/>
                <w:highlight w:val="none"/>
                <w:lang w:val="en-US" w:eastAsia="zh-CN"/>
              </w:rPr>
              <w:t>（2026年12月底前）</w:t>
            </w:r>
          </w:p>
          <w:p w14:paraId="30567FEF">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2.优化中介服务管理。</w:t>
            </w:r>
            <w:r>
              <w:rPr>
                <w:rFonts w:hint="eastAsia" w:ascii="宋体" w:hAnsi="宋体" w:eastAsia="宋体" w:cs="宋体"/>
                <w:color w:val="auto"/>
                <w:sz w:val="21"/>
                <w:szCs w:val="21"/>
                <w:highlight w:val="none"/>
                <w:lang w:val="en-US" w:eastAsia="zh-CN"/>
              </w:rPr>
              <w:t>（2026年12月底前）</w:t>
            </w:r>
          </w:p>
          <w:p w14:paraId="1AC1F7C3">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3.开展清单梳理工作。</w:t>
            </w:r>
            <w:r>
              <w:rPr>
                <w:rFonts w:hint="eastAsia" w:ascii="宋体" w:hAnsi="宋体" w:eastAsia="宋体" w:cs="宋体"/>
                <w:color w:val="auto"/>
                <w:sz w:val="21"/>
                <w:szCs w:val="21"/>
                <w:highlight w:val="none"/>
                <w:lang w:val="en-US" w:eastAsia="zh-CN"/>
              </w:rPr>
              <w:t>（2026年12月底前）</w:t>
            </w:r>
          </w:p>
          <w:p w14:paraId="6576B10C">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4.跟踪监测营商环境指标。</w:t>
            </w:r>
            <w:r>
              <w:rPr>
                <w:rFonts w:hint="eastAsia" w:ascii="宋体" w:hAnsi="宋体" w:eastAsia="宋体" w:cs="宋体"/>
                <w:color w:val="auto"/>
                <w:sz w:val="21"/>
                <w:szCs w:val="21"/>
                <w:highlight w:val="none"/>
                <w:lang w:val="en-US" w:eastAsia="zh-CN"/>
              </w:rPr>
              <w:t>（2026年12月底前）</w:t>
            </w:r>
          </w:p>
          <w:p w14:paraId="0B73B639">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5.协助推进改革理论与标准体系建设。</w:t>
            </w:r>
            <w:r>
              <w:rPr>
                <w:rFonts w:hint="eastAsia" w:ascii="宋体" w:hAnsi="宋体" w:eastAsia="宋体" w:cs="宋体"/>
                <w:color w:val="auto"/>
                <w:sz w:val="21"/>
                <w:szCs w:val="21"/>
                <w:highlight w:val="none"/>
                <w:lang w:val="en-US" w:eastAsia="zh-CN"/>
              </w:rPr>
              <w:t>（2027年6月底前）</w:t>
            </w:r>
          </w:p>
          <w:p w14:paraId="5961A567">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6.全区政务服务大比武赛事服务。</w:t>
            </w:r>
            <w:r>
              <w:rPr>
                <w:rFonts w:hint="eastAsia" w:ascii="宋体" w:hAnsi="宋体" w:eastAsia="宋体" w:cs="宋体"/>
                <w:color w:val="auto"/>
                <w:sz w:val="21"/>
                <w:szCs w:val="21"/>
                <w:highlight w:val="none"/>
                <w:lang w:val="en-US" w:eastAsia="zh-CN"/>
              </w:rPr>
              <w:t>（2027年6月底前）</w:t>
            </w:r>
          </w:p>
          <w:p w14:paraId="1C5F92B9">
            <w:pPr>
              <w:keepNext w:val="0"/>
              <w:keepLines w:val="0"/>
              <w:pageBreakBefore w:val="0"/>
              <w:widowControl/>
              <w:suppressLineNumbers w:val="0"/>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7.开展自贸区、园区放权及权力运行效能监测工作。</w:t>
            </w:r>
            <w:r>
              <w:rPr>
                <w:rFonts w:hint="eastAsia" w:ascii="宋体" w:hAnsi="宋体" w:eastAsia="宋体" w:cs="宋体"/>
                <w:color w:val="auto"/>
                <w:sz w:val="21"/>
                <w:szCs w:val="21"/>
                <w:highlight w:val="none"/>
                <w:lang w:val="en-US" w:eastAsia="zh-CN"/>
              </w:rPr>
              <w:t>（2027年6月底前）</w:t>
            </w:r>
          </w:p>
          <w:p w14:paraId="0BF6F405">
            <w:pPr>
              <w:keepNext w:val="0"/>
              <w:keepLines w:val="0"/>
              <w:pageBreakBefore w:val="0"/>
              <w:widowControl/>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8.验收。</w:t>
            </w:r>
            <w:r>
              <w:rPr>
                <w:rFonts w:hint="eastAsia" w:ascii="宋体" w:hAnsi="宋体" w:eastAsia="宋体" w:cs="宋体"/>
                <w:color w:val="auto"/>
                <w:sz w:val="21"/>
                <w:szCs w:val="21"/>
                <w:highlight w:val="none"/>
                <w:lang w:val="en-US" w:eastAsia="zh-CN"/>
              </w:rPr>
              <w:t>（2027年6月底前）</w:t>
            </w:r>
          </w:p>
        </w:tc>
      </w:tr>
      <w:tr w14:paraId="26A0A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380FEF9">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服务地点</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85FEAD7">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采购人指定地点</w:t>
            </w:r>
          </w:p>
        </w:tc>
      </w:tr>
      <w:tr w14:paraId="71F04E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3185770">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售后服务要求</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1497882">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处理问题响应时间:接到采购人处理问题通知后2小时内到达采购人指定现场，提供7×24小时服务。</w:t>
            </w:r>
          </w:p>
          <w:p w14:paraId="7AEE5E48">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2</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其他：接到紧急事件时30分钟内到达采购人指定现场。</w:t>
            </w:r>
          </w:p>
        </w:tc>
      </w:tr>
      <w:tr w14:paraId="553EB5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50DAA57">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报价要求</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1EF2FC">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1.本项目为整体服务包干项目，报价中应包含所有设备集成实施、人员、必要的保险费用、各项税金及服务等费用，成交后采购人不再另行支付额外费用；</w:t>
            </w:r>
          </w:p>
          <w:p w14:paraId="432E97E9">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2.供应商的报价≤采购预算。</w:t>
            </w:r>
          </w:p>
        </w:tc>
      </w:tr>
      <w:tr w14:paraId="7B9100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F8E2327">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付款方式</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2033134">
            <w:pPr>
              <w:keepNext w:val="0"/>
              <w:keepLines w:val="0"/>
              <w:pageBreakBefore w:val="0"/>
              <w:kinsoku/>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本项目预付款为</w:t>
            </w:r>
            <w:r>
              <w:rPr>
                <w:rFonts w:hint="eastAsia" w:ascii="宋体" w:hAnsi="宋体" w:eastAsia="宋体" w:cs="宋体"/>
                <w:color w:val="auto"/>
                <w:sz w:val="21"/>
                <w:szCs w:val="21"/>
                <w:highlight w:val="none"/>
                <w:lang w:val="en-US" w:eastAsia="zh-CN"/>
              </w:rPr>
              <w:t>合同金额的50%，</w:t>
            </w:r>
            <w:r>
              <w:rPr>
                <w:rFonts w:hint="eastAsia" w:ascii="宋体" w:hAnsi="宋体" w:eastAsia="宋体" w:cs="宋体"/>
                <w:color w:val="auto"/>
                <w:sz w:val="21"/>
                <w:szCs w:val="21"/>
                <w:highlight w:val="none"/>
              </w:rPr>
              <w:t>双方在签订合同后10个工作日内支付预付款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完成梳理政务服务“智慧办”清单</w:t>
            </w:r>
            <w:r>
              <w:rPr>
                <w:rFonts w:hint="eastAsia" w:ascii="宋体" w:hAnsi="宋体" w:eastAsia="宋体" w:cs="宋体"/>
                <w:color w:val="auto"/>
                <w:sz w:val="21"/>
                <w:szCs w:val="21"/>
                <w:highlight w:val="none"/>
                <w:lang w:val="en-US" w:eastAsia="zh-CN"/>
              </w:rPr>
              <w:t>和</w:t>
            </w:r>
            <w:r>
              <w:rPr>
                <w:rFonts w:hint="eastAsia" w:ascii="宋体" w:hAnsi="宋体" w:eastAsia="宋体" w:cs="宋体"/>
                <w:color w:val="auto"/>
                <w:sz w:val="21"/>
                <w:szCs w:val="21"/>
                <w:highlight w:val="none"/>
              </w:rPr>
              <w:t>“人工智能+政务服务”应用场景</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rPr>
              <w:t>。，经甲方确认完成后，</w:t>
            </w:r>
            <w:r>
              <w:rPr>
                <w:rFonts w:hint="eastAsia" w:ascii="宋体" w:hAnsi="宋体" w:eastAsia="宋体" w:cs="宋体"/>
                <w:color w:val="auto"/>
                <w:sz w:val="21"/>
                <w:szCs w:val="21"/>
                <w:highlight w:val="none"/>
                <w:lang w:val="en-US" w:eastAsia="zh-CN"/>
              </w:rPr>
              <w:t>支付合同金额的30%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项目成果全部完成，经验收合格后甲方支付剩余尾款。每次付款前乙方应向甲方提供请款函和合法有效的发票。</w:t>
            </w:r>
          </w:p>
        </w:tc>
      </w:tr>
      <w:tr w14:paraId="53C296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DD634B7">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其他要求</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1D14A2C">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采购人对成交供应商提交的委托项目工作成果提出质疑或者要求成交供应商答复时，须在收到采购人的质疑后1日内给予书面解释或者答复。</w:t>
            </w:r>
          </w:p>
          <w:p w14:paraId="53EBE373">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供应商必须承诺自行完成本项目的服务内容，不得转让或转包；</w:t>
            </w:r>
          </w:p>
          <w:p w14:paraId="2F6EAF5F">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成交供应商提供的服务不满足采购文件要求验收不合格的，采购人有权解除合同并追究成交供应商的法律责任。</w:t>
            </w:r>
          </w:p>
          <w:p w14:paraId="53489061">
            <w:pPr>
              <w:pStyle w:val="30"/>
              <w:keepNext w:val="0"/>
              <w:keepLines w:val="0"/>
              <w:pageBreakBefore w:val="0"/>
              <w:kinsoku/>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驻场团队应具有职业道德素养，工作勤勉、踏实、细心、负责。如驻场团队不符合要求的，采购人有权要求改派，后果由成交供应商承担</w:t>
            </w:r>
          </w:p>
        </w:tc>
      </w:tr>
    </w:tbl>
    <w:p w14:paraId="7A9AA6F0">
      <w:pPr>
        <w:pStyle w:val="2"/>
        <w:rPr>
          <w:rFonts w:hint="default" w:ascii="微软雅黑" w:hAnsi="微软雅黑" w:eastAsia="微软雅黑" w:cs="微软雅黑"/>
          <w:color w:val="auto"/>
          <w:sz w:val="32"/>
          <w:szCs w:val="32"/>
          <w:highlight w:val="none"/>
          <w:lang w:val="en-US" w:eastAsia="zh-CN"/>
        </w:rPr>
        <w:sectPr>
          <w:pgSz w:w="11906" w:h="16838"/>
          <w:pgMar w:top="1361" w:right="1474" w:bottom="1304" w:left="1587" w:header="720" w:footer="720" w:gutter="0"/>
          <w:cols w:space="720" w:num="1"/>
          <w:docGrid w:type="lines" w:linePitch="331" w:charSpace="0"/>
        </w:sectPr>
      </w:pPr>
    </w:p>
    <w:p w14:paraId="1413E827">
      <w:pPr>
        <w:pStyle w:val="2"/>
        <w:ind w:left="0" w:leftChars="0" w:firstLine="0" w:firstLineChars="0"/>
        <w:jc w:val="left"/>
        <w:rPr>
          <w:rFonts w:hint="default" w:eastAsia="宋体"/>
          <w:b/>
          <w:bCs/>
          <w:color w:val="auto"/>
          <w:sz w:val="44"/>
          <w:szCs w:val="44"/>
          <w:highlight w:val="none"/>
          <w:lang w:val="en-US" w:eastAsia="zh-CN"/>
        </w:rPr>
      </w:pPr>
      <w:r>
        <w:rPr>
          <w:rFonts w:hint="eastAsia"/>
          <w:b/>
          <w:bCs/>
          <w:color w:val="auto"/>
          <w:sz w:val="44"/>
          <w:szCs w:val="44"/>
          <w:highlight w:val="none"/>
          <w:lang w:eastAsia="zh-CN"/>
        </w:rPr>
        <w:t>分标</w:t>
      </w:r>
      <w:r>
        <w:rPr>
          <w:rFonts w:hint="eastAsia"/>
          <w:b/>
          <w:bCs/>
          <w:color w:val="auto"/>
          <w:sz w:val="44"/>
          <w:szCs w:val="44"/>
          <w:highlight w:val="none"/>
          <w:lang w:val="en-US" w:eastAsia="zh-CN"/>
        </w:rPr>
        <w:t>3：</w:t>
      </w:r>
    </w:p>
    <w:tbl>
      <w:tblPr>
        <w:tblStyle w:val="19"/>
        <w:tblW w:w="9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6"/>
        <w:gridCol w:w="737"/>
        <w:gridCol w:w="477"/>
        <w:gridCol w:w="477"/>
        <w:gridCol w:w="6532"/>
        <w:gridCol w:w="1239"/>
      </w:tblGrid>
      <w:tr w14:paraId="701D08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828" w:type="dxa"/>
            <w:gridSpan w:val="6"/>
            <w:tcBorders>
              <w:top w:val="single" w:color="auto" w:sz="4" w:space="0"/>
              <w:left w:val="single" w:color="auto" w:sz="4" w:space="0"/>
              <w:right w:val="single" w:color="auto" w:sz="4" w:space="0"/>
            </w:tcBorders>
            <w:vAlign w:val="center"/>
          </w:tcPr>
          <w:p w14:paraId="781ED59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服务需求一览表</w:t>
            </w:r>
          </w:p>
        </w:tc>
      </w:tr>
      <w:tr w14:paraId="4FD9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E32553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37" w:type="dxa"/>
            <w:tcBorders>
              <w:top w:val="single" w:color="auto" w:sz="4" w:space="0"/>
              <w:left w:val="single" w:color="auto" w:sz="4" w:space="0"/>
              <w:bottom w:val="single" w:color="auto" w:sz="4" w:space="0"/>
              <w:right w:val="single" w:color="auto" w:sz="4" w:space="0"/>
            </w:tcBorders>
            <w:vAlign w:val="center"/>
          </w:tcPr>
          <w:p w14:paraId="6A55DB76">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477" w:type="dxa"/>
            <w:tcBorders>
              <w:top w:val="single" w:color="auto" w:sz="4" w:space="0"/>
              <w:left w:val="single" w:color="auto" w:sz="4" w:space="0"/>
              <w:bottom w:val="single" w:color="auto" w:sz="4" w:space="0"/>
              <w:right w:val="single" w:color="auto" w:sz="4" w:space="0"/>
            </w:tcBorders>
            <w:vAlign w:val="center"/>
          </w:tcPr>
          <w:p w14:paraId="6A5CAE0C">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477" w:type="dxa"/>
            <w:tcBorders>
              <w:top w:val="single" w:color="auto" w:sz="4" w:space="0"/>
              <w:left w:val="single" w:color="auto" w:sz="4" w:space="0"/>
              <w:bottom w:val="single" w:color="auto" w:sz="4" w:space="0"/>
              <w:right w:val="single" w:color="auto" w:sz="4" w:space="0"/>
            </w:tcBorders>
            <w:vAlign w:val="center"/>
          </w:tcPr>
          <w:p w14:paraId="5397AC7A">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532" w:type="dxa"/>
            <w:tcBorders>
              <w:top w:val="single" w:color="auto" w:sz="4" w:space="0"/>
              <w:left w:val="single" w:color="auto" w:sz="4" w:space="0"/>
              <w:bottom w:val="single" w:color="auto" w:sz="4" w:space="0"/>
              <w:right w:val="single" w:color="auto" w:sz="4" w:space="0"/>
            </w:tcBorders>
            <w:vAlign w:val="center"/>
          </w:tcPr>
          <w:p w14:paraId="7C139E27">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服务参数</w:t>
            </w:r>
          </w:p>
        </w:tc>
        <w:tc>
          <w:tcPr>
            <w:tcW w:w="1239" w:type="dxa"/>
            <w:tcBorders>
              <w:top w:val="single" w:color="auto" w:sz="4" w:space="0"/>
              <w:left w:val="single" w:color="auto" w:sz="4" w:space="0"/>
              <w:bottom w:val="single" w:color="auto" w:sz="4" w:space="0"/>
              <w:right w:val="single" w:color="auto" w:sz="4" w:space="0"/>
            </w:tcBorders>
            <w:vAlign w:val="center"/>
          </w:tcPr>
          <w:p w14:paraId="2CC4D2B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分项预算合计（元）</w:t>
            </w:r>
          </w:p>
        </w:tc>
      </w:tr>
      <w:tr w14:paraId="5ECDAC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EF587D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737" w:type="dxa"/>
            <w:tcBorders>
              <w:top w:val="single" w:color="auto" w:sz="4" w:space="0"/>
              <w:left w:val="single" w:color="auto" w:sz="4" w:space="0"/>
              <w:bottom w:val="single" w:color="auto" w:sz="4" w:space="0"/>
              <w:right w:val="single" w:color="auto" w:sz="4" w:space="0"/>
            </w:tcBorders>
            <w:vAlign w:val="center"/>
          </w:tcPr>
          <w:p w14:paraId="72545483">
            <w:pPr>
              <w:pStyle w:val="6"/>
              <w:keepNext w:val="0"/>
              <w:keepLines w:val="0"/>
              <w:pageBreakBefore w:val="0"/>
              <w:kinsoku/>
              <w:wordWrap/>
              <w:overflowPunct/>
              <w:topLinePunct w:val="0"/>
              <w:autoSpaceDE/>
              <w:autoSpaceDN/>
              <w:bidi w:val="0"/>
              <w:adjustRightInd/>
              <w:snapToGrid/>
              <w:spacing w:after="0"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2026年政务服务事项实施清单标准化管理项目</w:t>
            </w:r>
          </w:p>
        </w:tc>
        <w:tc>
          <w:tcPr>
            <w:tcW w:w="477" w:type="dxa"/>
            <w:tcBorders>
              <w:top w:val="single" w:color="auto" w:sz="4" w:space="0"/>
              <w:left w:val="single" w:color="auto" w:sz="4" w:space="0"/>
              <w:bottom w:val="single" w:color="auto" w:sz="4" w:space="0"/>
              <w:right w:val="single" w:color="auto" w:sz="4" w:space="0"/>
            </w:tcBorders>
            <w:vAlign w:val="center"/>
          </w:tcPr>
          <w:p w14:paraId="00007676">
            <w:pPr>
              <w:pStyle w:val="6"/>
              <w:keepNext w:val="0"/>
              <w:keepLines w:val="0"/>
              <w:pageBreakBefore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77" w:type="dxa"/>
            <w:tcBorders>
              <w:top w:val="single" w:color="auto" w:sz="4" w:space="0"/>
              <w:left w:val="single" w:color="auto" w:sz="4" w:space="0"/>
              <w:bottom w:val="single" w:color="auto" w:sz="4" w:space="0"/>
              <w:right w:val="single" w:color="auto" w:sz="4" w:space="0"/>
            </w:tcBorders>
            <w:vAlign w:val="center"/>
          </w:tcPr>
          <w:p w14:paraId="004DFE2D">
            <w:pPr>
              <w:pStyle w:val="6"/>
              <w:keepNext w:val="0"/>
              <w:keepLines w:val="0"/>
              <w:pageBreakBefore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w:t>
            </w:r>
          </w:p>
        </w:tc>
        <w:tc>
          <w:tcPr>
            <w:tcW w:w="6532" w:type="dxa"/>
            <w:tcBorders>
              <w:top w:val="single" w:color="auto" w:sz="4" w:space="0"/>
              <w:left w:val="single" w:color="auto" w:sz="4" w:space="0"/>
              <w:bottom w:val="single" w:color="auto" w:sz="4" w:space="0"/>
              <w:right w:val="single" w:color="auto" w:sz="4" w:space="0"/>
            </w:tcBorders>
            <w:vAlign w:val="center"/>
          </w:tcPr>
          <w:p w14:paraId="2BCC7B59">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eastAsia="zh-CN"/>
              </w:rPr>
              <w:t>抽查对象。</w:t>
            </w:r>
            <w:r>
              <w:rPr>
                <w:rFonts w:hint="eastAsia" w:ascii="宋体" w:hAnsi="宋体" w:eastAsia="宋体" w:cs="宋体"/>
                <w:color w:val="auto"/>
                <w:sz w:val="21"/>
                <w:szCs w:val="21"/>
                <w:highlight w:val="none"/>
                <w:lang w:eastAsia="zh-CN"/>
              </w:rPr>
              <w:t>自治区、市、县、乡、村五级政务服务</w:t>
            </w:r>
            <w:r>
              <w:rPr>
                <w:rFonts w:hint="eastAsia" w:ascii="宋体" w:hAnsi="宋体" w:eastAsia="宋体" w:cs="宋体"/>
                <w:color w:val="auto"/>
                <w:sz w:val="21"/>
                <w:szCs w:val="21"/>
                <w:highlight w:val="none"/>
                <w:lang w:val="en-US" w:eastAsia="zh-CN"/>
              </w:rPr>
              <w:t>实施规范、办事指南</w:t>
            </w:r>
            <w:r>
              <w:rPr>
                <w:rFonts w:hint="eastAsia" w:ascii="宋体" w:hAnsi="宋体" w:eastAsia="宋体" w:cs="宋体"/>
                <w:color w:val="auto"/>
                <w:sz w:val="21"/>
                <w:szCs w:val="21"/>
                <w:highlight w:val="none"/>
                <w:lang w:eastAsia="zh-CN"/>
              </w:rPr>
              <w:t>。</w:t>
            </w:r>
          </w:p>
          <w:p w14:paraId="1A4F1F0E">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eastAsia="zh-CN"/>
              </w:rPr>
              <w:t>抽查</w:t>
            </w:r>
            <w:r>
              <w:rPr>
                <w:rFonts w:hint="eastAsia" w:ascii="宋体" w:hAnsi="宋体" w:eastAsia="宋体" w:cs="宋体"/>
                <w:b/>
                <w:bCs/>
                <w:color w:val="auto"/>
                <w:sz w:val="21"/>
                <w:szCs w:val="21"/>
                <w:highlight w:val="none"/>
                <w:lang w:val="en-US" w:eastAsia="zh-CN"/>
              </w:rPr>
              <w:t>内容</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val="en-US" w:eastAsia="zh-CN"/>
              </w:rPr>
              <w:t>一是基础抽查。抽查各级各部门在“桂通办”平台录入和公布的政务服务事项（行政许可、行政确认、行政裁决、行政给付、行政奖励、行政备案、其他行政权力事项、公共服务事项等8类）实施规范和办事指南是否符合合法性、真实性、准确性、完整性规范，是否符合当前政务服务事项标准化要求。二是国办问题清单整改情况复查。对国办反馈的广西政务服务网2026年各季度巡检报告反映的问题清单整改情况进行“回头看”抽查，检查是否完成整改要求。三是中介服务抽查。对“桂通办”平台事项库中介服务事项、中介超市、中介服务事项进行抽查，检查是否符合当前标准化要求。</w:t>
            </w:r>
          </w:p>
          <w:p w14:paraId="58D2A130">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3.抽查数量（合计约</w:t>
            </w:r>
            <w:r>
              <w:rPr>
                <w:rFonts w:hint="eastAsia" w:ascii="宋体" w:hAnsi="宋体" w:eastAsia="宋体" w:cs="宋体"/>
                <w:b/>
                <w:bCs/>
                <w:snapToGrid/>
                <w:color w:val="auto"/>
                <w:kern w:val="2"/>
                <w:sz w:val="21"/>
                <w:szCs w:val="21"/>
                <w:highlight w:val="none"/>
                <w:lang w:eastAsia="zh-CN"/>
              </w:rPr>
              <w:t>25</w:t>
            </w:r>
            <w:r>
              <w:rPr>
                <w:rFonts w:hint="eastAsia" w:ascii="宋体" w:hAnsi="宋体" w:eastAsia="宋体" w:cs="宋体"/>
                <w:b/>
                <w:bCs/>
                <w:snapToGrid/>
                <w:color w:val="auto"/>
                <w:kern w:val="2"/>
                <w:sz w:val="21"/>
                <w:szCs w:val="21"/>
                <w:highlight w:val="none"/>
                <w:lang w:val="en-US" w:eastAsia="zh-CN"/>
              </w:rPr>
              <w:t>61</w:t>
            </w:r>
            <w:r>
              <w:rPr>
                <w:rFonts w:hint="eastAsia" w:ascii="宋体" w:hAnsi="宋体" w:eastAsia="宋体" w:cs="宋体"/>
                <w:b/>
                <w:bCs/>
                <w:snapToGrid/>
                <w:color w:val="auto"/>
                <w:kern w:val="2"/>
                <w:sz w:val="21"/>
                <w:szCs w:val="21"/>
                <w:highlight w:val="none"/>
                <w:lang w:eastAsia="zh-CN"/>
              </w:rPr>
              <w:t>0项</w:t>
            </w:r>
            <w:r>
              <w:rPr>
                <w:rFonts w:hint="eastAsia" w:ascii="宋体" w:hAnsi="宋体" w:eastAsia="宋体" w:cs="宋体"/>
                <w:b/>
                <w:bCs/>
                <w:color w:val="auto"/>
                <w:sz w:val="21"/>
                <w:szCs w:val="21"/>
                <w:highlight w:val="none"/>
                <w:lang w:val="en-US" w:eastAsia="zh-CN"/>
              </w:rPr>
              <w:t>）。一是</w:t>
            </w:r>
            <w:r>
              <w:rPr>
                <w:rFonts w:hint="eastAsia" w:ascii="宋体" w:hAnsi="宋体" w:eastAsia="宋体" w:cs="宋体"/>
                <w:color w:val="auto"/>
                <w:sz w:val="21"/>
                <w:szCs w:val="21"/>
                <w:highlight w:val="none"/>
                <w:lang w:val="en-US" w:eastAsia="zh-CN"/>
              </w:rPr>
              <w:t>基础抽查（11473项）。（涉及行政许可、行政确认、行政裁决、行政给付、行政奖励、行政备案、其他行政权力事项、公共服务事项等8类政务服务事项类型）</w:t>
            </w:r>
            <w:r>
              <w:rPr>
                <w:rFonts w:hint="eastAsia" w:ascii="宋体" w:hAnsi="宋体" w:eastAsia="宋体" w:cs="宋体"/>
                <w:b w:val="0"/>
                <w:bCs w:val="0"/>
                <w:color w:val="auto"/>
                <w:sz w:val="21"/>
                <w:szCs w:val="21"/>
                <w:highlight w:val="none"/>
                <w:lang w:val="en-US" w:eastAsia="zh-CN"/>
              </w:rPr>
              <w:t>抽查自治区部门制定的实施规范（4403项）。所有事项全覆盖，全区现有约4403项实施规范。随机抽查全区各级办事指南（</w:t>
            </w:r>
            <w:r>
              <w:rPr>
                <w:rFonts w:hint="eastAsia" w:ascii="宋体" w:hAnsi="宋体" w:eastAsia="宋体" w:cs="宋体"/>
                <w:snapToGrid w:val="0"/>
                <w:color w:val="auto"/>
                <w:kern w:val="0"/>
                <w:sz w:val="21"/>
                <w:szCs w:val="21"/>
                <w:highlight w:val="none"/>
                <w:lang w:eastAsia="zh-CN"/>
              </w:rPr>
              <w:t>7070</w:t>
            </w:r>
            <w:r>
              <w:rPr>
                <w:rFonts w:hint="eastAsia" w:ascii="宋体" w:hAnsi="宋体" w:eastAsia="宋体" w:cs="宋体"/>
                <w:b w:val="0"/>
                <w:bCs w:val="0"/>
                <w:color w:val="auto"/>
                <w:sz w:val="21"/>
                <w:szCs w:val="21"/>
                <w:highlight w:val="none"/>
                <w:lang w:val="en-US" w:eastAsia="zh-CN"/>
              </w:rPr>
              <w:t>项）。抽查自治区、市、县、乡、村认领制定的办事指南，所有类型全覆盖，自治区本级办事指南事项全覆盖，约2450项；市本级+每个设区市抽查两个县两个乡两个村，每个设区市行政许可事项办事指南抽查30个以上，其他类抽查10个以上。每个县（市、区）行政许可事项办事指南抽查20个以上，其他依申请政务服务事项每类办事指南抽查5个以上。乡、村两级各抽查30个事项办事指南。合计抽查约11473项。4403+2450+14*（30+7*10）+14*2（20+7*5）+14*2*2*30=11473项。</w:t>
            </w:r>
          </w:p>
          <w:p w14:paraId="747FA0EA">
            <w:pPr>
              <w:keepNext w:val="0"/>
              <w:keepLines w:val="0"/>
              <w:pageBreakBefore w:val="0"/>
              <w:numPr>
                <w:ilvl w:val="0"/>
                <w:numId w:val="0"/>
              </w:numPr>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二是</w:t>
            </w:r>
            <w:r>
              <w:rPr>
                <w:rFonts w:hint="eastAsia" w:ascii="宋体" w:hAnsi="宋体" w:eastAsia="宋体" w:cs="宋体"/>
                <w:color w:val="auto"/>
                <w:sz w:val="21"/>
                <w:szCs w:val="21"/>
                <w:highlight w:val="none"/>
              </w:rPr>
              <w:t>办事指南复查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约5000项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以绩效评估为目的，对各级办事指南100%复查。（以实际问题事项数量为准）</w:t>
            </w:r>
          </w:p>
          <w:p w14:paraId="26462A69">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三是</w:t>
            </w:r>
            <w:r>
              <w:rPr>
                <w:rFonts w:hint="eastAsia" w:ascii="宋体" w:hAnsi="宋体" w:eastAsia="宋体" w:cs="宋体"/>
                <w:color w:val="auto"/>
                <w:sz w:val="21"/>
                <w:szCs w:val="21"/>
                <w:highlight w:val="none"/>
                <w:lang w:val="en-US" w:eastAsia="zh-CN"/>
              </w:rPr>
              <w:t>中介服务抽查（约</w:t>
            </w:r>
            <w:r>
              <w:rPr>
                <w:rFonts w:hint="eastAsia" w:ascii="宋体" w:hAnsi="宋体" w:eastAsia="宋体" w:cs="宋体"/>
                <w:snapToGrid w:val="0"/>
                <w:color w:val="auto"/>
                <w:kern w:val="0"/>
                <w:sz w:val="21"/>
                <w:szCs w:val="21"/>
                <w:highlight w:val="none"/>
                <w:lang w:eastAsia="zh-CN"/>
              </w:rPr>
              <w:t>1137</w:t>
            </w:r>
            <w:r>
              <w:rPr>
                <w:rFonts w:hint="eastAsia" w:ascii="宋体" w:hAnsi="宋体" w:eastAsia="宋体" w:cs="宋体"/>
                <w:color w:val="auto"/>
                <w:sz w:val="21"/>
                <w:szCs w:val="21"/>
                <w:highlight w:val="none"/>
                <w:lang w:val="en-US" w:eastAsia="zh-CN"/>
              </w:rPr>
              <w:t>项）。</w:t>
            </w:r>
            <w:r>
              <w:rPr>
                <w:rFonts w:hint="eastAsia" w:ascii="宋体" w:hAnsi="宋体" w:eastAsia="宋体" w:cs="宋体"/>
                <w:color w:val="auto"/>
                <w:sz w:val="21"/>
                <w:szCs w:val="21"/>
                <w:highlight w:val="none"/>
                <w:lang w:eastAsia="zh-CN"/>
              </w:rPr>
              <w:t>“桂通办”平台行政审批必要条件的中介服务事项（材料）问题复查。</w:t>
            </w:r>
            <w:r>
              <w:rPr>
                <w:rFonts w:hint="eastAsia" w:ascii="宋体" w:hAnsi="宋体" w:eastAsia="宋体" w:cs="宋体"/>
                <w:color w:val="auto"/>
                <w:sz w:val="21"/>
                <w:szCs w:val="21"/>
                <w:highlight w:val="none"/>
                <w:lang w:val="en-US" w:eastAsia="zh-CN"/>
              </w:rPr>
              <w:t>网上中介服务超市中介服务事项问题复查。行政审批必要条件的中介服务事项（机构）办事指南和进驻中介超市情况抽查。</w:t>
            </w:r>
          </w:p>
          <w:p w14:paraId="57B386BE">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四是</w:t>
            </w:r>
            <w:r>
              <w:rPr>
                <w:rFonts w:hint="eastAsia" w:ascii="宋体" w:hAnsi="宋体" w:eastAsia="宋体" w:cs="宋体"/>
                <w:snapToGrid w:val="0"/>
                <w:color w:val="auto"/>
                <w:kern w:val="0"/>
                <w:sz w:val="21"/>
                <w:szCs w:val="21"/>
                <w:highlight w:val="none"/>
                <w:lang w:eastAsia="zh-CN"/>
              </w:rPr>
              <w:t>国办问题清单复查（</w:t>
            </w:r>
            <w:r>
              <w:rPr>
                <w:rFonts w:hint="eastAsia" w:ascii="宋体" w:hAnsi="宋体" w:eastAsia="宋体" w:cs="宋体"/>
                <w:snapToGrid w:val="0"/>
                <w:color w:val="auto"/>
                <w:kern w:val="0"/>
                <w:sz w:val="21"/>
                <w:szCs w:val="21"/>
                <w:highlight w:val="none"/>
                <w:lang w:val="en-US" w:eastAsia="zh-CN"/>
              </w:rPr>
              <w:t>约8000项</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。根据各季度国办反馈的问题清单数量决定</w:t>
            </w:r>
            <w:r>
              <w:rPr>
                <w:rFonts w:hint="eastAsia" w:ascii="宋体" w:hAnsi="宋体" w:eastAsia="宋体" w:cs="宋体"/>
                <w:snapToGrid w:val="0"/>
                <w:color w:val="auto"/>
                <w:kern w:val="0"/>
                <w:sz w:val="21"/>
                <w:szCs w:val="21"/>
                <w:highlight w:val="none"/>
                <w:lang w:eastAsia="zh-CN"/>
              </w:rPr>
              <w:t>，如没有反馈则不查</w:t>
            </w:r>
            <w:r>
              <w:rPr>
                <w:rFonts w:hint="eastAsia" w:ascii="宋体" w:hAnsi="宋体" w:eastAsia="宋体" w:cs="宋体"/>
                <w:snapToGrid w:val="0"/>
                <w:color w:val="auto"/>
                <w:kern w:val="0"/>
                <w:sz w:val="21"/>
                <w:szCs w:val="21"/>
                <w:highlight w:val="none"/>
                <w:lang w:val="en-US" w:eastAsia="zh-CN"/>
              </w:rPr>
              <w:t>。</w:t>
            </w:r>
          </w:p>
          <w:p w14:paraId="4A08E536">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outlineLvl w:val="3"/>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4.工</w:t>
            </w:r>
            <w:r>
              <w:rPr>
                <w:rFonts w:hint="eastAsia" w:ascii="宋体" w:hAnsi="宋体" w:eastAsia="宋体" w:cs="宋体"/>
                <w:b/>
                <w:bCs/>
                <w:color w:val="auto"/>
                <w:sz w:val="21"/>
                <w:szCs w:val="21"/>
                <w:highlight w:val="none"/>
              </w:rPr>
              <w:t>作要求。</w:t>
            </w:r>
            <w:r>
              <w:rPr>
                <w:rFonts w:hint="eastAsia" w:ascii="宋体" w:hAnsi="宋体" w:eastAsia="宋体" w:cs="宋体"/>
                <w:color w:val="auto"/>
                <w:sz w:val="21"/>
                <w:szCs w:val="21"/>
                <w:highlight w:val="none"/>
              </w:rPr>
              <w:t>本服务期内，国务院和自治区有新要求的，应按最新要求调整抽查工作。成交供应商在抽查时，对发现的问题需详细记录，通过截图等方式留存依据材料。成交供应商提交的成果应包括以下内容（但不限于）：政务服务事项实施清单抽查方案、抽查标准和评分细则、总抽查报告、各受检单位抽查分报告（含问题截图、问题分析和整改要求）、各受检单位问题整改情况反馈报告。</w:t>
            </w:r>
          </w:p>
          <w:p w14:paraId="198AB294">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抽查报告等成果必须至少包括以下几个方面内容：</w:t>
            </w:r>
          </w:p>
          <w:p w14:paraId="37114E40">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一是多维数据分析，客观总结现状。报告必须观点鲜明，有问题截图和照片、有论点有论据、案例说明、数据分析。</w:t>
            </w:r>
          </w:p>
          <w:p w14:paraId="39464EF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二是点评优秀案例，树立发展典范。梳理各级各部门优化实施清单的优秀做法，借此为实施清单优化提质工作树立发展榜样。</w:t>
            </w:r>
          </w:p>
          <w:p w14:paraId="06DF077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三是总结问题不足，分析短板难点。研究分析被抽查单位存在的问题和不足，提出建设性意见和整改建议。</w:t>
            </w:r>
          </w:p>
          <w:p w14:paraId="42DCF6ED">
            <w:pPr>
              <w:pStyle w:val="6"/>
              <w:keepNext w:val="0"/>
              <w:keepLines w:val="0"/>
              <w:pageBreakBefore w:val="0"/>
              <w:kinsoku/>
              <w:wordWrap/>
              <w:overflowPunct/>
              <w:topLinePunct w:val="0"/>
              <w:autoSpaceDE/>
              <w:autoSpaceDN/>
              <w:bidi w:val="0"/>
              <w:adjustRightInd/>
              <w:snapToGrid/>
              <w:spacing w:after="0" w:line="480" w:lineRule="exact"/>
              <w:ind w:leftChars="0" w:firstLine="420" w:firstLineChars="200"/>
              <w:textAlignment w:val="auto"/>
              <w:rPr>
                <w:rFonts w:hint="eastAsia" w:ascii="宋体" w:hAnsi="宋体" w:eastAsia="宋体" w:cs="宋体"/>
                <w:color w:val="auto"/>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179779E">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387000.00</w:t>
            </w:r>
          </w:p>
        </w:tc>
      </w:tr>
      <w:tr w14:paraId="5815BC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828" w:type="dxa"/>
            <w:gridSpan w:val="6"/>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7F28693">
            <w:pPr>
              <w:pStyle w:val="18"/>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商务条款</w:t>
            </w:r>
          </w:p>
        </w:tc>
      </w:tr>
      <w:tr w14:paraId="5F6EA7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10AB527">
            <w:pPr>
              <w:pStyle w:val="3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合同签订期</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B6B2D87">
            <w:pPr>
              <w:pStyle w:val="3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自成交通知书发出之日起 25 日内</w:t>
            </w:r>
          </w:p>
        </w:tc>
      </w:tr>
      <w:tr w14:paraId="7A1B93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CFD79E9">
            <w:pPr>
              <w:pStyle w:val="30"/>
              <w:keepNext w:val="0"/>
              <w:keepLines w:val="0"/>
              <w:pageBreakBefore w:val="0"/>
              <w:kinsoku/>
              <w:wordWrap/>
              <w:overflowPunct/>
              <w:topLinePunct w:val="0"/>
              <w:autoSpaceDE/>
              <w:autoSpaceDN/>
              <w:bidi w:val="0"/>
              <w:adjustRightInd/>
              <w:snapToGrid/>
              <w:spacing w:line="48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服务时间</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565C63F">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1.制定抽查方案和抽查标准（2026年10月底）。</w:t>
            </w:r>
          </w:p>
          <w:p w14:paraId="4F5FC764">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2.开展实施规范检查、国办问题清单复查，反馈抽查结果（2026年10月底）。</w:t>
            </w:r>
          </w:p>
          <w:p w14:paraId="79A93DFF">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3.开展各级办事指南、中介服务事项抽查、国办问题清单复查，反馈抽查结果，指导督促部门整改（2026年11月上旬）。</w:t>
            </w:r>
          </w:p>
          <w:p w14:paraId="758A3EBF">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4.对各级办事指南抽查情况进行回头看检查（2026年12月中旬）。</w:t>
            </w:r>
          </w:p>
          <w:p w14:paraId="0DA5EF00">
            <w:pPr>
              <w:keepNext w:val="0"/>
              <w:keepLines w:val="0"/>
              <w:pageBreakBefore w:val="0"/>
              <w:widowControl/>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5.验收（2026年12月底）。</w:t>
            </w:r>
          </w:p>
        </w:tc>
      </w:tr>
      <w:tr w14:paraId="3CE4EA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980AF6D">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服务地点</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A8710AA">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采购人指定地点</w:t>
            </w:r>
          </w:p>
        </w:tc>
      </w:tr>
      <w:tr w14:paraId="27A70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2517265">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售后服务要求</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9602D91">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处理问题响应时间:接到采购人处理问题通知后2小时内到达采购人指定现场，提供7×24小时服务。</w:t>
            </w:r>
          </w:p>
          <w:p w14:paraId="3748EA9B">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2</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eastAsia="zh-CN"/>
              </w:rPr>
              <w:t>其他：接到紧急事件时30分钟内到达采购人指定现场。</w:t>
            </w:r>
          </w:p>
        </w:tc>
      </w:tr>
      <w:tr w14:paraId="07610C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EDD6B3D">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报价要求</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944EA47">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1.本项目为整体服务包干项目，报价中应包含所有设备集成实施、人员、必要的保险费用、各项税金及服务等费用，成交后采购人不再另行支付额外费用；</w:t>
            </w:r>
          </w:p>
          <w:p w14:paraId="1308D6E9">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2.供应商的报价≤采购预算。</w:t>
            </w:r>
          </w:p>
        </w:tc>
      </w:tr>
      <w:tr w14:paraId="1AA2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7F0CD1C">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付款方式</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2760A0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预付款为合同价的50%，甲方在签订合同后10个工作日内支付乙方；完成第一次基础抽查和专项抽查后20个工作日内，甲方支付合同价的30%；待乙方提交全部工作成果且甲方验收合格后支付剩余的20%。每次付款前乙方应当向甲方提供请款函及合法有效的发票。</w:t>
            </w:r>
          </w:p>
        </w:tc>
      </w:tr>
      <w:tr w14:paraId="268FF9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DBBCF9C">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eastAsia="zh-CN"/>
              </w:rPr>
              <w:t>其他要求</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D21454A">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采购人对成交供应商提交的委托项目工作成果提出质疑或者要求成交供应商答复时，须在收到采购人的质疑后1日内给予书面解释或者答复。</w:t>
            </w:r>
          </w:p>
          <w:p w14:paraId="528300D4">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供应商必须承诺自行完成本项目的服务内容，不得转让或转包；</w:t>
            </w:r>
          </w:p>
          <w:p w14:paraId="5338C27E">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成交供应商提供的服务不满足采购文件要求验收不合格的，采购人有权解除合同并追究成交供应商的法律责任。</w:t>
            </w:r>
          </w:p>
          <w:p w14:paraId="5E1B834C">
            <w:pPr>
              <w:pStyle w:val="30"/>
              <w:keepNext w:val="0"/>
              <w:keepLines w:val="0"/>
              <w:pageBreakBefore w:val="0"/>
              <w:kinsoku/>
              <w:wordWrap/>
              <w:overflowPunct/>
              <w:topLinePunct w:val="0"/>
              <w:autoSpaceDE/>
              <w:autoSpaceDN/>
              <w:bidi w:val="0"/>
              <w:adjustRightInd/>
              <w:snapToGrid/>
              <w:spacing w:line="48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驻场团队应具有职业道德素养，工作勤勉、踏实、细心、负责。如驻场团队不符合要求的，采购人有权要求改派，后果由成交供应商承担</w:t>
            </w:r>
          </w:p>
        </w:tc>
      </w:tr>
    </w:tbl>
    <w:p w14:paraId="65FF0212">
      <w:pPr>
        <w:pStyle w:val="2"/>
        <w:rPr>
          <w:rFonts w:hint="default" w:eastAsia="宋体"/>
          <w:color w:val="auto"/>
          <w:highlight w:val="none"/>
          <w:lang w:val="en-US" w:eastAsia="zh-CN"/>
        </w:rPr>
        <w:sectPr>
          <w:pgSz w:w="11906" w:h="16838"/>
          <w:pgMar w:top="1361" w:right="1474" w:bottom="1304" w:left="1587" w:header="720" w:footer="720" w:gutter="0"/>
          <w:cols w:space="720" w:num="1"/>
          <w:docGrid w:type="lines" w:linePitch="331" w:charSpace="0"/>
        </w:sectPr>
      </w:pPr>
    </w:p>
    <w:p w14:paraId="5CD32D13">
      <w:pPr>
        <w:pStyle w:val="2"/>
        <w:ind w:left="0" w:leftChars="0" w:firstLine="0" w:firstLineChars="0"/>
        <w:jc w:val="both"/>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分标</w:t>
      </w:r>
      <w:r>
        <w:rPr>
          <w:rFonts w:hint="eastAsia" w:ascii="宋体" w:hAnsi="宋体" w:eastAsia="宋体" w:cs="宋体"/>
          <w:b/>
          <w:bCs/>
          <w:color w:val="auto"/>
          <w:sz w:val="32"/>
          <w:szCs w:val="32"/>
          <w:highlight w:val="none"/>
          <w:lang w:val="en-US" w:eastAsia="zh-CN"/>
        </w:rPr>
        <w:t>4：</w:t>
      </w:r>
    </w:p>
    <w:tbl>
      <w:tblPr>
        <w:tblStyle w:val="19"/>
        <w:tblW w:w="9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6"/>
        <w:gridCol w:w="737"/>
        <w:gridCol w:w="488"/>
        <w:gridCol w:w="466"/>
        <w:gridCol w:w="6532"/>
        <w:gridCol w:w="1239"/>
      </w:tblGrid>
      <w:tr w14:paraId="1FA2CD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828" w:type="dxa"/>
            <w:gridSpan w:val="6"/>
            <w:tcBorders>
              <w:top w:val="single" w:color="auto" w:sz="4" w:space="0"/>
              <w:left w:val="single" w:color="auto" w:sz="4" w:space="0"/>
              <w:right w:val="single" w:color="auto" w:sz="4" w:space="0"/>
            </w:tcBorders>
            <w:vAlign w:val="center"/>
          </w:tcPr>
          <w:p w14:paraId="1F785693">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服务需求一览表</w:t>
            </w:r>
          </w:p>
        </w:tc>
      </w:tr>
      <w:tr w14:paraId="59C619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6DAF3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37" w:type="dxa"/>
            <w:tcBorders>
              <w:top w:val="single" w:color="auto" w:sz="4" w:space="0"/>
              <w:left w:val="single" w:color="auto" w:sz="4" w:space="0"/>
              <w:bottom w:val="single" w:color="auto" w:sz="4" w:space="0"/>
              <w:right w:val="single" w:color="auto" w:sz="4" w:space="0"/>
            </w:tcBorders>
            <w:vAlign w:val="center"/>
          </w:tcPr>
          <w:p w14:paraId="36CBD32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488" w:type="dxa"/>
            <w:tcBorders>
              <w:top w:val="single" w:color="auto" w:sz="4" w:space="0"/>
              <w:left w:val="single" w:color="auto" w:sz="4" w:space="0"/>
              <w:bottom w:val="single" w:color="auto" w:sz="4" w:space="0"/>
              <w:right w:val="single" w:color="auto" w:sz="4" w:space="0"/>
            </w:tcBorders>
            <w:vAlign w:val="center"/>
          </w:tcPr>
          <w:p w14:paraId="24698DD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466" w:type="dxa"/>
            <w:tcBorders>
              <w:top w:val="single" w:color="auto" w:sz="4" w:space="0"/>
              <w:left w:val="single" w:color="auto" w:sz="4" w:space="0"/>
              <w:bottom w:val="single" w:color="auto" w:sz="4" w:space="0"/>
              <w:right w:val="single" w:color="auto" w:sz="4" w:space="0"/>
            </w:tcBorders>
            <w:vAlign w:val="center"/>
          </w:tcPr>
          <w:p w14:paraId="19CA543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532" w:type="dxa"/>
            <w:tcBorders>
              <w:top w:val="single" w:color="auto" w:sz="4" w:space="0"/>
              <w:left w:val="single" w:color="auto" w:sz="4" w:space="0"/>
              <w:bottom w:val="single" w:color="auto" w:sz="4" w:space="0"/>
              <w:right w:val="single" w:color="auto" w:sz="4" w:space="0"/>
            </w:tcBorders>
            <w:vAlign w:val="center"/>
          </w:tcPr>
          <w:p w14:paraId="1EC61C9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服务参数</w:t>
            </w:r>
          </w:p>
        </w:tc>
        <w:tc>
          <w:tcPr>
            <w:tcW w:w="1239" w:type="dxa"/>
            <w:tcBorders>
              <w:top w:val="single" w:color="auto" w:sz="4" w:space="0"/>
              <w:left w:val="single" w:color="auto" w:sz="4" w:space="0"/>
              <w:bottom w:val="single" w:color="auto" w:sz="4" w:space="0"/>
              <w:right w:val="single" w:color="auto" w:sz="4" w:space="0"/>
            </w:tcBorders>
            <w:vAlign w:val="center"/>
          </w:tcPr>
          <w:p w14:paraId="0658964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分项预算合计（元）</w:t>
            </w:r>
          </w:p>
        </w:tc>
      </w:tr>
      <w:tr w14:paraId="0131A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9C1A53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737" w:type="dxa"/>
            <w:tcBorders>
              <w:top w:val="single" w:color="auto" w:sz="4" w:space="0"/>
              <w:left w:val="single" w:color="auto" w:sz="4" w:space="0"/>
              <w:bottom w:val="single" w:color="auto" w:sz="4" w:space="0"/>
              <w:right w:val="single" w:color="auto" w:sz="4" w:space="0"/>
            </w:tcBorders>
            <w:vAlign w:val="center"/>
          </w:tcPr>
          <w:p w14:paraId="1FC2F647">
            <w:pPr>
              <w:pStyle w:val="6"/>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2026年全区政府网站与政务新媒体检查评估项目</w:t>
            </w:r>
          </w:p>
        </w:tc>
        <w:tc>
          <w:tcPr>
            <w:tcW w:w="488" w:type="dxa"/>
            <w:tcBorders>
              <w:top w:val="single" w:color="auto" w:sz="4" w:space="0"/>
              <w:left w:val="single" w:color="auto" w:sz="4" w:space="0"/>
              <w:bottom w:val="single" w:color="auto" w:sz="4" w:space="0"/>
              <w:right w:val="single" w:color="auto" w:sz="4" w:space="0"/>
            </w:tcBorders>
            <w:vAlign w:val="center"/>
          </w:tcPr>
          <w:p w14:paraId="206EB56A">
            <w:pPr>
              <w:pStyle w:val="6"/>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66" w:type="dxa"/>
            <w:tcBorders>
              <w:top w:val="single" w:color="auto" w:sz="4" w:space="0"/>
              <w:left w:val="single" w:color="auto" w:sz="4" w:space="0"/>
              <w:bottom w:val="single" w:color="auto" w:sz="4" w:space="0"/>
              <w:right w:val="single" w:color="auto" w:sz="4" w:space="0"/>
            </w:tcBorders>
            <w:vAlign w:val="center"/>
          </w:tcPr>
          <w:p w14:paraId="3E8361F2">
            <w:pPr>
              <w:pStyle w:val="6"/>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w:t>
            </w:r>
          </w:p>
        </w:tc>
        <w:tc>
          <w:tcPr>
            <w:tcW w:w="6532" w:type="dxa"/>
            <w:tcBorders>
              <w:top w:val="single" w:color="auto" w:sz="4" w:space="0"/>
              <w:left w:val="single" w:color="auto" w:sz="4" w:space="0"/>
              <w:bottom w:val="single" w:color="auto" w:sz="4" w:space="0"/>
              <w:right w:val="single" w:color="auto" w:sz="4" w:space="0"/>
            </w:tcBorders>
            <w:vAlign w:val="center"/>
          </w:tcPr>
          <w:p w14:paraId="6908E467">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政府网站与政务新媒体季度普查。</w:t>
            </w:r>
            <w:r>
              <w:rPr>
                <w:rFonts w:hint="eastAsia" w:ascii="宋体" w:hAnsi="宋体" w:eastAsia="宋体" w:cs="宋体"/>
                <w:bCs w:val="0"/>
                <w:color w:val="auto"/>
                <w:sz w:val="21"/>
                <w:szCs w:val="21"/>
                <w:highlight w:val="none"/>
              </w:rPr>
              <w:t>按照国办秘函〔2019〕19号文件确定的《政府网站与政务新媒体检查指标》和国务院、广西壮族自治区的最新要求，对广西正常运行的政府网站500多家和正在运行的2099个政务新媒体进行检查，检查比例为100%，每个网站、每次检测都必须提供详细的完整的问题检测报告。</w:t>
            </w:r>
          </w:p>
          <w:p w14:paraId="1CDF236B">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outlineLvl w:val="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2026年全区政府网站及政务新媒体提质增效重点工作策划和提质增效落实情况调查研究</w:t>
            </w:r>
            <w:r>
              <w:rPr>
                <w:rFonts w:hint="eastAsia" w:ascii="宋体" w:hAnsi="宋体" w:eastAsia="宋体" w:cs="宋体"/>
                <w:bCs w:val="0"/>
                <w:color w:val="auto"/>
                <w:sz w:val="21"/>
                <w:szCs w:val="21"/>
                <w:highlight w:val="none"/>
              </w:rPr>
              <w:t>。落实全区网站和新媒体提质增效目标，完成2026年全区政府网站及政务新媒体提质增效重点工作策划，明确年度目标、重点任务、实施路径与工作要求，并对自治区大数据局印发的工作要点落实情况开展专题调查研究，点评优秀案例、总结问题不足并提出下一步工作建议。</w:t>
            </w:r>
          </w:p>
        </w:tc>
        <w:tc>
          <w:tcPr>
            <w:tcW w:w="1239" w:type="dxa"/>
            <w:tcBorders>
              <w:top w:val="single" w:color="auto" w:sz="4" w:space="0"/>
              <w:left w:val="single" w:color="auto" w:sz="4" w:space="0"/>
              <w:bottom w:val="single" w:color="auto" w:sz="4" w:space="0"/>
              <w:right w:val="single" w:color="auto" w:sz="4" w:space="0"/>
            </w:tcBorders>
            <w:vAlign w:val="center"/>
          </w:tcPr>
          <w:p w14:paraId="206D6E8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602000.00</w:t>
            </w:r>
          </w:p>
        </w:tc>
      </w:tr>
      <w:tr w14:paraId="092B0E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828" w:type="dxa"/>
            <w:gridSpan w:val="6"/>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6A43361">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商务条款</w:t>
            </w:r>
          </w:p>
        </w:tc>
      </w:tr>
      <w:tr w14:paraId="4A21E0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91"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F8FA61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b/>
                <w:bCs/>
                <w:color w:val="auto"/>
                <w:sz w:val="21"/>
                <w:szCs w:val="21"/>
                <w:highlight w:val="none"/>
                <w:lang w:val="en-US" w:eastAsia="zh-CN"/>
              </w:rPr>
            </w:pPr>
            <w:r>
              <w:rPr>
                <w:rFonts w:hint="eastAsia" w:ascii="宋体" w:hAnsi="宋体"/>
                <w:b/>
                <w:bCs/>
                <w:color w:val="auto"/>
                <w:sz w:val="21"/>
                <w:szCs w:val="21"/>
                <w:highlight w:val="none"/>
                <w:lang w:val="en-US" w:eastAsia="zh-CN"/>
              </w:rPr>
              <w:t>签订合同时间</w:t>
            </w:r>
          </w:p>
        </w:tc>
        <w:tc>
          <w:tcPr>
            <w:tcW w:w="8237"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3E790B5">
            <w:pPr>
              <w:pStyle w:val="9"/>
              <w:keepNext w:val="0"/>
              <w:keepLines w:val="0"/>
              <w:pageBreakBefore w:val="0"/>
              <w:widowControl w:val="0"/>
              <w:kinsoku/>
              <w:wordWrap/>
              <w:overflowPunct/>
              <w:topLinePunct w:val="0"/>
              <w:autoSpaceDE/>
              <w:autoSpaceDN/>
              <w:bidi w:val="0"/>
              <w:adjustRightInd/>
              <w:snapToGrid/>
              <w:spacing w:line="480" w:lineRule="exact"/>
              <w:ind w:left="105" w:leftChars="0" w:hanging="105" w:hangingChars="50"/>
              <w:textAlignment w:val="auto"/>
              <w:outlineLvl w:val="0"/>
              <w:rPr>
                <w:rFonts w:hint="eastAsia" w:hAnsi="宋体"/>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自成交通知书发出之日起 25 日内</w:t>
            </w:r>
          </w:p>
        </w:tc>
      </w:tr>
      <w:tr w14:paraId="0123A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91"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1080DC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1"/>
                <w:szCs w:val="21"/>
                <w:highlight w:val="none"/>
              </w:rPr>
            </w:pPr>
            <w:r>
              <w:rPr>
                <w:rFonts w:hint="eastAsia" w:ascii="宋体" w:hAnsi="宋体"/>
                <w:b/>
                <w:bCs/>
                <w:color w:val="auto"/>
                <w:sz w:val="21"/>
                <w:szCs w:val="21"/>
                <w:highlight w:val="none"/>
              </w:rPr>
              <w:t>提交服务成果时间及服务地点：</w:t>
            </w:r>
          </w:p>
        </w:tc>
        <w:tc>
          <w:tcPr>
            <w:tcW w:w="8237"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90C67AE">
            <w:pPr>
              <w:pStyle w:val="9"/>
              <w:keepNext w:val="0"/>
              <w:keepLines w:val="0"/>
              <w:pageBreakBefore w:val="0"/>
              <w:widowControl w:val="0"/>
              <w:kinsoku/>
              <w:wordWrap/>
              <w:overflowPunct/>
              <w:topLinePunct w:val="0"/>
              <w:autoSpaceDE/>
              <w:autoSpaceDN/>
              <w:bidi w:val="0"/>
              <w:adjustRightInd/>
              <w:snapToGrid/>
              <w:spacing w:line="480" w:lineRule="exact"/>
              <w:ind w:left="105" w:hanging="105" w:hangingChars="50"/>
              <w:textAlignment w:val="auto"/>
              <w:outlineLvl w:val="0"/>
              <w:rPr>
                <w:rFonts w:hint="eastAsia" w:hAnsi="宋体"/>
                <w:color w:val="auto"/>
                <w:sz w:val="21"/>
                <w:szCs w:val="21"/>
                <w:highlight w:val="none"/>
                <w:lang w:val="en-US" w:eastAsia="zh-CN"/>
              </w:rPr>
            </w:pPr>
            <w:r>
              <w:rPr>
                <w:rFonts w:hint="eastAsia" w:hAnsi="宋体"/>
                <w:color w:val="auto"/>
                <w:sz w:val="21"/>
                <w:szCs w:val="21"/>
                <w:highlight w:val="none"/>
              </w:rPr>
              <w:t>1</w:t>
            </w:r>
            <w:r>
              <w:rPr>
                <w:rFonts w:hint="eastAsia" w:hAnsi="宋体"/>
                <w:color w:val="auto"/>
                <w:sz w:val="21"/>
                <w:szCs w:val="21"/>
                <w:highlight w:val="none"/>
                <w:lang w:val="en-US" w:eastAsia="zh-CN"/>
              </w:rPr>
              <w:t>.服务开始时间：2026年第三季度。</w:t>
            </w:r>
          </w:p>
          <w:p w14:paraId="56BA09E8">
            <w:pPr>
              <w:pStyle w:val="9"/>
              <w:keepNext w:val="0"/>
              <w:keepLines w:val="0"/>
              <w:pageBreakBefore w:val="0"/>
              <w:widowControl w:val="0"/>
              <w:kinsoku/>
              <w:wordWrap/>
              <w:overflowPunct/>
              <w:topLinePunct w:val="0"/>
              <w:autoSpaceDE/>
              <w:autoSpaceDN/>
              <w:bidi w:val="0"/>
              <w:adjustRightInd/>
              <w:snapToGrid/>
              <w:spacing w:line="480" w:lineRule="exact"/>
              <w:ind w:left="105" w:hanging="105" w:hangingChars="50"/>
              <w:textAlignment w:val="auto"/>
              <w:outlineLvl w:val="0"/>
              <w:rPr>
                <w:rFonts w:hint="eastAsia" w:hAnsi="宋体"/>
                <w:color w:val="auto"/>
                <w:sz w:val="21"/>
                <w:szCs w:val="21"/>
                <w:highlight w:val="none"/>
              </w:rPr>
            </w:pPr>
            <w:r>
              <w:rPr>
                <w:rFonts w:hint="eastAsia" w:hAnsi="宋体"/>
                <w:color w:val="auto"/>
                <w:sz w:val="21"/>
                <w:szCs w:val="21"/>
                <w:highlight w:val="none"/>
                <w:lang w:val="en-US" w:eastAsia="zh-CN"/>
              </w:rPr>
              <w:t>2.服务期限：合同签订之日起至2027年6月30日，实际期限以采购人实际工作进度为准。</w:t>
            </w:r>
          </w:p>
          <w:p w14:paraId="20AE246C">
            <w:pPr>
              <w:pStyle w:val="9"/>
              <w:keepNext w:val="0"/>
              <w:keepLines w:val="0"/>
              <w:pageBreakBefore w:val="0"/>
              <w:widowControl w:val="0"/>
              <w:kinsoku/>
              <w:wordWrap/>
              <w:overflowPunct/>
              <w:topLinePunct w:val="0"/>
              <w:autoSpaceDE/>
              <w:autoSpaceDN/>
              <w:bidi w:val="0"/>
              <w:adjustRightInd/>
              <w:snapToGrid/>
              <w:spacing w:line="480" w:lineRule="exact"/>
              <w:ind w:left="105" w:leftChars="0" w:hanging="105" w:hangingChars="50"/>
              <w:textAlignment w:val="auto"/>
              <w:outlineLvl w:val="0"/>
              <w:rPr>
                <w:rFonts w:hint="eastAsia" w:ascii="宋体" w:hAnsi="宋体" w:eastAsia="宋体" w:cs="宋体"/>
                <w:color w:val="auto"/>
                <w:sz w:val="21"/>
                <w:szCs w:val="21"/>
                <w:highlight w:val="none"/>
              </w:rPr>
            </w:pPr>
            <w:r>
              <w:rPr>
                <w:rFonts w:hint="eastAsia" w:hAnsi="宋体"/>
                <w:color w:val="auto"/>
                <w:sz w:val="21"/>
                <w:szCs w:val="21"/>
                <w:highlight w:val="none"/>
                <w:lang w:val="en-US" w:eastAsia="zh-CN"/>
              </w:rPr>
              <w:t>3.</w:t>
            </w:r>
            <w:r>
              <w:rPr>
                <w:rFonts w:hint="eastAsia" w:hAnsi="宋体"/>
                <w:color w:val="auto"/>
                <w:sz w:val="21"/>
                <w:szCs w:val="21"/>
                <w:highlight w:val="none"/>
              </w:rPr>
              <w:t>服务地点：广西区内采购人指定地点。</w:t>
            </w:r>
          </w:p>
        </w:tc>
      </w:tr>
      <w:tr w14:paraId="4F2D7F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91"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F63646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1"/>
                <w:szCs w:val="21"/>
                <w:highlight w:val="none"/>
              </w:rPr>
            </w:pPr>
            <w:r>
              <w:rPr>
                <w:rFonts w:hint="eastAsia" w:ascii="宋体" w:hAnsi="宋体"/>
                <w:b/>
                <w:bCs/>
                <w:color w:val="auto"/>
                <w:sz w:val="21"/>
                <w:szCs w:val="21"/>
                <w:highlight w:val="none"/>
              </w:rPr>
              <w:t>付款条件</w:t>
            </w:r>
          </w:p>
        </w:tc>
        <w:tc>
          <w:tcPr>
            <w:tcW w:w="8237"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D5DB505">
            <w:pPr>
              <w:pStyle w:val="29"/>
              <w:keepNext w:val="0"/>
              <w:keepLines w:val="0"/>
              <w:pageBreakBefore w:val="0"/>
              <w:widowControl w:val="0"/>
              <w:numPr>
                <w:ilvl w:val="0"/>
                <w:numId w:val="0"/>
              </w:numPr>
              <w:tabs>
                <w:tab w:val="left" w:pos="186"/>
              </w:tabs>
              <w:kinsoku/>
              <w:wordWrap/>
              <w:overflowPunct/>
              <w:topLinePunct w:val="0"/>
              <w:autoSpaceDE/>
              <w:autoSpaceDN/>
              <w:bidi w:val="0"/>
              <w:adjustRightInd/>
              <w:snapToGrid/>
              <w:spacing w:line="480" w:lineRule="exact"/>
              <w:jc w:val="both"/>
              <w:textAlignment w:val="auto"/>
              <w:rPr>
                <w:rFonts w:hint="eastAsia" w:ascii="宋体" w:hAnsi="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1.合同签订后10个工作日内，采购人向成交供应商支付合同总金额的50%作为项目预付款；</w:t>
            </w:r>
          </w:p>
          <w:p w14:paraId="755D8CA1">
            <w:pPr>
              <w:pStyle w:val="29"/>
              <w:keepNext w:val="0"/>
              <w:keepLines w:val="0"/>
              <w:pageBreakBefore w:val="0"/>
              <w:widowControl w:val="0"/>
              <w:numPr>
                <w:ilvl w:val="0"/>
                <w:numId w:val="0"/>
              </w:numPr>
              <w:tabs>
                <w:tab w:val="left" w:pos="186"/>
              </w:tabs>
              <w:kinsoku/>
              <w:wordWrap/>
              <w:overflowPunct/>
              <w:topLinePunct w:val="0"/>
              <w:autoSpaceDE/>
              <w:autoSpaceDN/>
              <w:bidi w:val="0"/>
              <w:adjustRightInd/>
              <w:snapToGrid/>
              <w:spacing w:line="480" w:lineRule="exact"/>
              <w:jc w:val="both"/>
              <w:textAlignment w:val="auto"/>
              <w:rPr>
                <w:rFonts w:hint="eastAsia" w:ascii="宋体" w:hAnsi="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2.成交供应商完成2026年第三季度政府网站与政务新媒体普查工作，并协助采购人完成2026年度全区政府网站及政务新媒体工作要点解读培训，同时向采购人提交2026年第四季度、2027年第一季度及第二季度普查工作计划，经采购人书面确认上述全部服务成果合格后，支付合同金额的40%；</w:t>
            </w:r>
          </w:p>
          <w:p w14:paraId="37FA21DB">
            <w:pPr>
              <w:pStyle w:val="29"/>
              <w:keepNext w:val="0"/>
              <w:keepLines w:val="0"/>
              <w:pageBreakBefore w:val="0"/>
              <w:widowControl w:val="0"/>
              <w:numPr>
                <w:ilvl w:val="0"/>
                <w:numId w:val="0"/>
              </w:numPr>
              <w:tabs>
                <w:tab w:val="left" w:pos="186"/>
              </w:tabs>
              <w:kinsoku/>
              <w:wordWrap/>
              <w:overflowPunct/>
              <w:topLinePunct w:val="0"/>
              <w:autoSpaceDE/>
              <w:autoSpaceDN/>
              <w:bidi w:val="0"/>
              <w:adjustRightInd/>
              <w:snapToGrid/>
              <w:spacing w:line="480" w:lineRule="exact"/>
              <w:jc w:val="both"/>
              <w:textAlignment w:val="auto"/>
              <w:rPr>
                <w:rFonts w:hint="eastAsia" w:ascii="宋体" w:hAnsi="宋体" w:cs="Times New Roman"/>
                <w:color w:val="auto"/>
                <w:kern w:val="2"/>
                <w:sz w:val="21"/>
                <w:szCs w:val="21"/>
                <w:highlight w:val="none"/>
                <w:lang w:val="en-US" w:eastAsia="zh-CN" w:bidi="ar-SA"/>
              </w:rPr>
            </w:pPr>
            <w:r>
              <w:rPr>
                <w:rFonts w:hint="eastAsia" w:ascii="宋体" w:hAnsi="宋体" w:cs="Times New Roman"/>
                <w:color w:val="auto"/>
                <w:kern w:val="2"/>
                <w:sz w:val="21"/>
                <w:szCs w:val="21"/>
                <w:highlight w:val="none"/>
                <w:lang w:val="en-US" w:eastAsia="zh-CN" w:bidi="ar-SA"/>
              </w:rPr>
              <w:t>3.成交供应商完成2026年第四季度、2027年第一季度及第二季度普查等工作并通过验收后，支付合同金额10%给成交供应商；</w:t>
            </w:r>
          </w:p>
          <w:p w14:paraId="604C5B8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cs="Times New Roman"/>
                <w:color w:val="auto"/>
                <w:kern w:val="2"/>
                <w:sz w:val="21"/>
                <w:szCs w:val="21"/>
                <w:highlight w:val="none"/>
                <w:lang w:val="en-US" w:eastAsia="zh-CN" w:bidi="ar-SA"/>
              </w:rPr>
              <w:t>4.每次付款前，成交供应商应向采购人提供请款函和合法有效的发票。</w:t>
            </w:r>
          </w:p>
        </w:tc>
      </w:tr>
      <w:tr w14:paraId="01A603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91"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83FD68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bCs/>
                <w:color w:val="auto"/>
                <w:sz w:val="21"/>
                <w:szCs w:val="21"/>
                <w:highlight w:val="none"/>
              </w:rPr>
            </w:pPr>
            <w:r>
              <w:rPr>
                <w:rFonts w:hint="eastAsia" w:ascii="宋体" w:hAnsi="宋体"/>
                <w:b/>
                <w:bCs/>
                <w:color w:val="auto"/>
                <w:sz w:val="21"/>
                <w:szCs w:val="21"/>
                <w:highlight w:val="none"/>
              </w:rPr>
              <w:t>其他要求</w:t>
            </w:r>
          </w:p>
        </w:tc>
        <w:tc>
          <w:tcPr>
            <w:tcW w:w="8237"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A680FAA">
            <w:pPr>
              <w:pStyle w:val="29"/>
              <w:keepNext w:val="0"/>
              <w:keepLines w:val="0"/>
              <w:pageBreakBefore w:val="0"/>
              <w:widowControl w:val="0"/>
              <w:numPr>
                <w:ilvl w:val="0"/>
                <w:numId w:val="0"/>
              </w:numPr>
              <w:tabs>
                <w:tab w:val="left" w:pos="186"/>
              </w:tabs>
              <w:kinsoku/>
              <w:wordWrap/>
              <w:overflowPunct/>
              <w:topLinePunct w:val="0"/>
              <w:autoSpaceDE/>
              <w:autoSpaceDN/>
              <w:bidi w:val="0"/>
              <w:adjustRightInd/>
              <w:snapToGrid/>
              <w:spacing w:line="480" w:lineRule="exact"/>
              <w:jc w:val="both"/>
              <w:textAlignment w:val="auto"/>
              <w:rPr>
                <w:rFonts w:hint="eastAsia" w:ascii="宋体" w:hAnsi="宋体" w:eastAsia="宋体" w:cs="Times New Roman"/>
                <w:color w:val="auto"/>
                <w:kern w:val="2"/>
                <w:sz w:val="21"/>
                <w:szCs w:val="21"/>
                <w:highlight w:val="none"/>
                <w:lang w:val="zh-CN" w:eastAsia="zh-CN" w:bidi="ar-SA"/>
              </w:rPr>
            </w:pPr>
            <w:r>
              <w:rPr>
                <w:rFonts w:hint="eastAsia" w:ascii="宋体" w:hAnsi="宋体" w:eastAsia="宋体" w:cs="Times New Roman"/>
                <w:color w:val="auto"/>
                <w:kern w:val="2"/>
                <w:sz w:val="21"/>
                <w:szCs w:val="21"/>
                <w:highlight w:val="none"/>
                <w:lang w:val="zh-CN" w:eastAsia="zh-CN" w:bidi="ar-SA"/>
              </w:rPr>
              <w:t>1.本项目工作开展期间，成交方须根据采购人要求，调整并开展全区政府网站与政务新媒体检查评估各项工作。</w:t>
            </w:r>
          </w:p>
          <w:p w14:paraId="3D783106">
            <w:pPr>
              <w:pStyle w:val="29"/>
              <w:keepNext w:val="0"/>
              <w:keepLines w:val="0"/>
              <w:pageBreakBefore w:val="0"/>
              <w:widowControl w:val="0"/>
              <w:numPr>
                <w:ilvl w:val="0"/>
                <w:numId w:val="0"/>
              </w:numPr>
              <w:tabs>
                <w:tab w:val="left" w:pos="186"/>
              </w:tabs>
              <w:kinsoku/>
              <w:wordWrap/>
              <w:overflowPunct/>
              <w:topLinePunct w:val="0"/>
              <w:autoSpaceDE/>
              <w:autoSpaceDN/>
              <w:bidi w:val="0"/>
              <w:adjustRightInd/>
              <w:snapToGrid/>
              <w:spacing w:line="480" w:lineRule="exact"/>
              <w:ind w:left="0" w:lef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Times New Roman"/>
                <w:color w:val="auto"/>
                <w:kern w:val="2"/>
                <w:sz w:val="21"/>
                <w:szCs w:val="21"/>
                <w:highlight w:val="none"/>
                <w:lang w:val="zh-CN" w:eastAsia="zh-CN" w:bidi="ar-SA"/>
              </w:rPr>
              <w:t>2.报价必须含以下部分，包括：（1）服务的价格；（2）必要的保险费用和各项税金；（3）技术支持、售后服务、更新升级等费用。</w:t>
            </w:r>
          </w:p>
        </w:tc>
      </w:tr>
    </w:tbl>
    <w:p w14:paraId="5C3B8AFD">
      <w:pPr>
        <w:pStyle w:val="2"/>
        <w:rPr>
          <w:rFonts w:hint="default" w:eastAsia="宋体"/>
          <w:color w:val="auto"/>
          <w:highlight w:val="none"/>
          <w:lang w:val="en-US" w:eastAsia="zh-CN"/>
        </w:rPr>
        <w:sectPr>
          <w:pgSz w:w="11906" w:h="16838"/>
          <w:pgMar w:top="1361" w:right="1474" w:bottom="1304" w:left="1587" w:header="720" w:footer="720" w:gutter="0"/>
          <w:cols w:space="720" w:num="1"/>
          <w:docGrid w:type="lines" w:linePitch="331" w:charSpace="0"/>
        </w:sectPr>
      </w:pPr>
    </w:p>
    <w:p w14:paraId="77166010">
      <w:pPr>
        <w:pStyle w:val="2"/>
        <w:ind w:left="0" w:leftChars="0" w:firstLine="0" w:firstLineChars="0"/>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分标</w:t>
      </w:r>
      <w:r>
        <w:rPr>
          <w:rFonts w:hint="eastAsia" w:ascii="宋体" w:hAnsi="宋体" w:eastAsia="宋体" w:cs="宋体"/>
          <w:b/>
          <w:bCs/>
          <w:color w:val="auto"/>
          <w:sz w:val="32"/>
          <w:szCs w:val="32"/>
          <w:highlight w:val="none"/>
          <w:lang w:val="en-US" w:eastAsia="zh-CN"/>
        </w:rPr>
        <w:t>5：</w:t>
      </w:r>
    </w:p>
    <w:tbl>
      <w:tblPr>
        <w:tblStyle w:val="19"/>
        <w:tblW w:w="9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6"/>
        <w:gridCol w:w="737"/>
        <w:gridCol w:w="477"/>
        <w:gridCol w:w="477"/>
        <w:gridCol w:w="6532"/>
        <w:gridCol w:w="1239"/>
      </w:tblGrid>
      <w:tr w14:paraId="32A613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828" w:type="dxa"/>
            <w:gridSpan w:val="6"/>
            <w:tcBorders>
              <w:top w:val="single" w:color="auto" w:sz="4" w:space="0"/>
              <w:left w:val="single" w:color="auto" w:sz="4" w:space="0"/>
              <w:right w:val="single" w:color="auto" w:sz="4" w:space="0"/>
            </w:tcBorders>
            <w:vAlign w:val="center"/>
          </w:tcPr>
          <w:p w14:paraId="0318537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服务需求一览表</w:t>
            </w:r>
          </w:p>
        </w:tc>
      </w:tr>
      <w:tr w14:paraId="3C016A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FCEE0C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37" w:type="dxa"/>
            <w:tcBorders>
              <w:top w:val="single" w:color="auto" w:sz="4" w:space="0"/>
              <w:left w:val="single" w:color="auto" w:sz="4" w:space="0"/>
              <w:bottom w:val="single" w:color="auto" w:sz="4" w:space="0"/>
              <w:right w:val="single" w:color="auto" w:sz="4" w:space="0"/>
            </w:tcBorders>
            <w:vAlign w:val="center"/>
          </w:tcPr>
          <w:p w14:paraId="62F4084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477" w:type="dxa"/>
            <w:tcBorders>
              <w:top w:val="single" w:color="auto" w:sz="4" w:space="0"/>
              <w:left w:val="single" w:color="auto" w:sz="4" w:space="0"/>
              <w:bottom w:val="single" w:color="auto" w:sz="4" w:space="0"/>
              <w:right w:val="single" w:color="auto" w:sz="4" w:space="0"/>
            </w:tcBorders>
            <w:vAlign w:val="center"/>
          </w:tcPr>
          <w:p w14:paraId="472039AC">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477" w:type="dxa"/>
            <w:tcBorders>
              <w:top w:val="single" w:color="auto" w:sz="4" w:space="0"/>
              <w:left w:val="single" w:color="auto" w:sz="4" w:space="0"/>
              <w:bottom w:val="single" w:color="auto" w:sz="4" w:space="0"/>
              <w:right w:val="single" w:color="auto" w:sz="4" w:space="0"/>
            </w:tcBorders>
            <w:vAlign w:val="center"/>
          </w:tcPr>
          <w:p w14:paraId="3310B6E9">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532" w:type="dxa"/>
            <w:tcBorders>
              <w:top w:val="single" w:color="auto" w:sz="4" w:space="0"/>
              <w:left w:val="single" w:color="auto" w:sz="4" w:space="0"/>
              <w:bottom w:val="single" w:color="auto" w:sz="4" w:space="0"/>
              <w:right w:val="single" w:color="auto" w:sz="4" w:space="0"/>
            </w:tcBorders>
            <w:vAlign w:val="center"/>
          </w:tcPr>
          <w:p w14:paraId="4104237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服务参数</w:t>
            </w:r>
          </w:p>
        </w:tc>
        <w:tc>
          <w:tcPr>
            <w:tcW w:w="1239" w:type="dxa"/>
            <w:tcBorders>
              <w:top w:val="single" w:color="auto" w:sz="4" w:space="0"/>
              <w:left w:val="single" w:color="auto" w:sz="4" w:space="0"/>
              <w:bottom w:val="single" w:color="auto" w:sz="4" w:space="0"/>
              <w:right w:val="single" w:color="auto" w:sz="4" w:space="0"/>
            </w:tcBorders>
            <w:vAlign w:val="center"/>
          </w:tcPr>
          <w:p w14:paraId="7474EB6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分项预算合计（元）</w:t>
            </w:r>
          </w:p>
        </w:tc>
      </w:tr>
      <w:tr w14:paraId="5F583E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CDDC1D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737" w:type="dxa"/>
            <w:tcBorders>
              <w:top w:val="single" w:color="auto" w:sz="4" w:space="0"/>
              <w:left w:val="single" w:color="auto" w:sz="4" w:space="0"/>
              <w:bottom w:val="single" w:color="auto" w:sz="4" w:space="0"/>
              <w:right w:val="single" w:color="auto" w:sz="4" w:space="0"/>
            </w:tcBorders>
            <w:vAlign w:val="center"/>
          </w:tcPr>
          <w:p w14:paraId="2C097989">
            <w:pPr>
              <w:pStyle w:val="6"/>
              <w:keepNext w:val="0"/>
              <w:keepLines w:val="0"/>
              <w:pageBreakBefore w:val="0"/>
              <w:widowControl w:val="0"/>
              <w:kinsoku/>
              <w:wordWrap/>
              <w:overflowPunct/>
              <w:topLinePunct w:val="0"/>
              <w:autoSpaceDE/>
              <w:autoSpaceDN/>
              <w:bidi w:val="0"/>
              <w:adjustRightInd/>
              <w:snapToGrid/>
              <w:spacing w:after="0"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2026年自治区政务服务好差评评价项目</w:t>
            </w:r>
          </w:p>
        </w:tc>
        <w:tc>
          <w:tcPr>
            <w:tcW w:w="477" w:type="dxa"/>
            <w:tcBorders>
              <w:top w:val="single" w:color="auto" w:sz="4" w:space="0"/>
              <w:left w:val="single" w:color="auto" w:sz="4" w:space="0"/>
              <w:bottom w:val="single" w:color="auto" w:sz="4" w:space="0"/>
              <w:right w:val="single" w:color="auto" w:sz="4" w:space="0"/>
            </w:tcBorders>
            <w:vAlign w:val="center"/>
          </w:tcPr>
          <w:p w14:paraId="0649D52B">
            <w:pPr>
              <w:pStyle w:val="6"/>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77" w:type="dxa"/>
            <w:tcBorders>
              <w:top w:val="single" w:color="auto" w:sz="4" w:space="0"/>
              <w:left w:val="single" w:color="auto" w:sz="4" w:space="0"/>
              <w:bottom w:val="single" w:color="auto" w:sz="4" w:space="0"/>
              <w:right w:val="single" w:color="auto" w:sz="4" w:space="0"/>
            </w:tcBorders>
            <w:vAlign w:val="center"/>
          </w:tcPr>
          <w:p w14:paraId="2DEBEE4B">
            <w:pPr>
              <w:pStyle w:val="6"/>
              <w:keepNext w:val="0"/>
              <w:keepLines w:val="0"/>
              <w:pageBreakBefore w:val="0"/>
              <w:widowControl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w:t>
            </w:r>
          </w:p>
        </w:tc>
        <w:tc>
          <w:tcPr>
            <w:tcW w:w="6532" w:type="dxa"/>
            <w:tcBorders>
              <w:top w:val="single" w:color="auto" w:sz="4" w:space="0"/>
              <w:left w:val="single" w:color="auto" w:sz="4" w:space="0"/>
              <w:bottom w:val="single" w:color="auto" w:sz="4" w:space="0"/>
              <w:right w:val="single" w:color="auto" w:sz="4" w:space="0"/>
            </w:tcBorders>
            <w:vAlign w:val="center"/>
          </w:tcPr>
          <w:p w14:paraId="755A58BA">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根据政务服务“好差评”差评处置操作规范及服务公开质量调查工作要求，提供专业化、规范化、标准化服务，按时高效高质通过电话回访开展差评甄别核实及服务公开质量调查服务，如实记录反馈群众的意见,最终形成好差评核查统计报表、政务服务质量调查分析报告。中标服务商全面负责服务团队人员的招聘、培训、管理及运营工作，其中人员配置总数不少于5人。</w:t>
            </w:r>
          </w:p>
          <w:p w14:paraId="300863C3">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“好差评”甄别</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好差评”分为“非常满意”、“满意”、“基本满意”、“不满意”、“非常不满意”五个等级，后两个等级为差评。差评产生后，中标服务商须在0.5个工作日内对自治区、设区市两级差评进行初步甄别核实。负责初步甄别确认差评是否为服务对象真实意思表示。服务对象根据办事体验自主作出差评评价的，属于有效差评；因系统问题、服务对象误操作等问题产生差评的，属于无效差评。属于有效差评的，应立即通过后台转交相应层级政务服务监督管理部门对差评进行分类，按照分类处置程序转交相关责任主体进行处置。属于不实评价或误评的，评价结果不予采纳，认定为无效差评并记录为“未评”。</w:t>
            </w:r>
          </w:p>
          <w:p w14:paraId="24228FC0">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已整改完成的差评件，由中标服务商进行回访核实。对于经回访对整改结果为满意的差评，可以进行一次追加评价；对于经回访对整改结果为不满意的差评，重点跟踪重新进入差评处置程序。</w:t>
            </w:r>
          </w:p>
          <w:p w14:paraId="7CC8B89E">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2.服务公开质量调查。</w:t>
            </w:r>
            <w:r>
              <w:rPr>
                <w:rFonts w:hint="eastAsia" w:ascii="宋体" w:hAnsi="宋体" w:eastAsia="宋体" w:cs="宋体"/>
                <w:color w:val="auto"/>
                <w:sz w:val="21"/>
                <w:szCs w:val="21"/>
                <w:highlight w:val="none"/>
              </w:rPr>
              <w:t>调查范围：</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rPr>
              <w:t>1月1日-</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rPr>
              <w:t>12月31日自治区、设区市、县（市、区）三级政务服务公开质量调查。调查对象：办事企业或群众。</w:t>
            </w:r>
          </w:p>
          <w:p w14:paraId="76FBEA07">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调查数量：自治区每月抽查500件、市级每市每月抽查150件；县级部分，每月按各市30%的县区（不足整数的进一位取整数）进行抽查，抽中的县区每月抽查100件。以中标日的官方行政区划为基准，自治区，14个设区市及县区年度（</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rPr>
              <w:t>1月1日-</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rPr>
              <w:t>12月31日）共计抽查68280件。调查内容：公开渠道、办事依据、办事条件、办事流程、办理渠道、结果查询等。</w:t>
            </w:r>
          </w:p>
          <w:p w14:paraId="3859F51A">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3.提供服务方案。</w:t>
            </w:r>
            <w:r>
              <w:rPr>
                <w:rFonts w:hint="eastAsia" w:ascii="宋体" w:hAnsi="宋体" w:eastAsia="宋体" w:cs="宋体"/>
                <w:color w:val="auto"/>
                <w:sz w:val="21"/>
                <w:szCs w:val="21"/>
                <w:highlight w:val="none"/>
              </w:rPr>
              <w:t>根据“好差评”差评甄别核实及服务公开质量调查的工作内容，制定服务方案，确保按时、按质、按量100%完成“好差评”差评甄别核实及服务公开质量调查工作任务。服务方案包含但不限于组织架构及职责分工、指标保障措施、人员稳定措施、质量提升措施等。</w:t>
            </w:r>
          </w:p>
          <w:p w14:paraId="26EE9D8B">
            <w:pPr>
              <w:keepNext w:val="0"/>
              <w:keepLines w:val="0"/>
              <w:pageBreakBefore w:val="0"/>
              <w:widowControl w:val="0"/>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4.建立管理体系。</w:t>
            </w:r>
            <w:r>
              <w:rPr>
                <w:rFonts w:hint="eastAsia" w:ascii="宋体" w:hAnsi="宋体" w:eastAsia="宋体" w:cs="宋体"/>
                <w:color w:val="auto"/>
                <w:sz w:val="21"/>
                <w:szCs w:val="21"/>
                <w:highlight w:val="none"/>
              </w:rPr>
              <w:t>以专业呼叫中心运营管理为依据，结合“好差评”差评甄别核实及服务公开质量调查工作的需求及特点，建立科学的管理体系及完善的管理制度，包括但不限于培训管理、质量管理、人员管理、团队建设等。</w:t>
            </w:r>
          </w:p>
          <w:p w14:paraId="2763CC2F">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5.服务成果。</w:t>
            </w:r>
            <w:r>
              <w:rPr>
                <w:rFonts w:hint="eastAsia" w:ascii="宋体" w:hAnsi="宋体" w:eastAsia="宋体" w:cs="宋体"/>
                <w:color w:val="auto"/>
                <w:sz w:val="21"/>
                <w:szCs w:val="21"/>
                <w:highlight w:val="none"/>
              </w:rPr>
              <w:t>提供月度好差评核查统计报表、分析报告。提供好差评年度分析报告。提供半年、年度政务服务质量调查分析报告。</w:t>
            </w:r>
          </w:p>
          <w:p w14:paraId="4D31E0F6">
            <w:pPr>
              <w:pStyle w:val="6"/>
              <w:keepNext w:val="0"/>
              <w:keepLines w:val="0"/>
              <w:pageBreakBefore w:val="0"/>
              <w:widowControl w:val="0"/>
              <w:kinsoku/>
              <w:wordWrap/>
              <w:overflowPunct/>
              <w:topLinePunct w:val="0"/>
              <w:autoSpaceDE/>
              <w:autoSpaceDN/>
              <w:bidi w:val="0"/>
              <w:adjustRightInd/>
              <w:snapToGrid/>
              <w:spacing w:after="0" w:line="480" w:lineRule="exact"/>
              <w:ind w:leftChars="0" w:firstLine="420" w:firstLineChars="200"/>
              <w:textAlignment w:val="auto"/>
              <w:rPr>
                <w:rFonts w:hint="eastAsia" w:ascii="宋体" w:hAnsi="宋体" w:eastAsia="宋体" w:cs="宋体"/>
                <w:color w:val="auto"/>
                <w:sz w:val="21"/>
                <w:szCs w:val="21"/>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3FA7780">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399100.00</w:t>
            </w:r>
          </w:p>
        </w:tc>
      </w:tr>
      <w:tr w14:paraId="2FFB00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828" w:type="dxa"/>
            <w:gridSpan w:val="6"/>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04FA9F3">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商务条款</w:t>
            </w:r>
          </w:p>
        </w:tc>
      </w:tr>
      <w:tr w14:paraId="58A5E5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885008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签订合同时间</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9469E8F">
            <w:pPr>
              <w:pStyle w:val="9"/>
              <w:keepNext w:val="0"/>
              <w:keepLines w:val="0"/>
              <w:pageBreakBefore w:val="0"/>
              <w:widowControl w:val="0"/>
              <w:kinsoku/>
              <w:wordWrap/>
              <w:overflowPunct/>
              <w:topLinePunct w:val="0"/>
              <w:autoSpaceDE/>
              <w:autoSpaceDN/>
              <w:bidi w:val="0"/>
              <w:adjustRightInd/>
              <w:snapToGrid/>
              <w:spacing w:line="480" w:lineRule="exact"/>
              <w:ind w:left="105" w:leftChars="0" w:hanging="105" w:hangingChars="50"/>
              <w:textAlignment w:val="auto"/>
              <w:outlineLvl w:val="0"/>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自成交通知书发出之日起 25 日内</w:t>
            </w:r>
          </w:p>
        </w:tc>
      </w:tr>
      <w:tr w14:paraId="3E58C9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B589739">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项目服务时间及服务地点</w:t>
            </w:r>
          </w:p>
          <w:p w14:paraId="265B0AE3">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237C1E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（1）服务期限：1年。</w:t>
            </w:r>
          </w:p>
          <w:p w14:paraId="1B1F814F">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（2）服务地点：采购人指定地点。</w:t>
            </w:r>
          </w:p>
        </w:tc>
      </w:tr>
      <w:tr w14:paraId="70D419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DFBFF2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服务交付时间及交付地点</w:t>
            </w:r>
          </w:p>
          <w:p w14:paraId="089AFCFE">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6B22D9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（1）交付时间：中标后7天内开始提供服务。</w:t>
            </w:r>
          </w:p>
          <w:p w14:paraId="01261B9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（2）交付地点：采购人指定地点。</w:t>
            </w:r>
          </w:p>
        </w:tc>
      </w:tr>
      <w:tr w14:paraId="33ADE3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B2CDA7">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付款条件</w:t>
            </w:r>
          </w:p>
          <w:p w14:paraId="58FF8470">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59AE31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合同签订之日起7个工作日内支付合同总额的50%；</w:t>
            </w:r>
            <w:r>
              <w:rPr>
                <w:rFonts w:hint="eastAsia" w:ascii="宋体" w:hAnsi="宋体" w:eastAsia="宋体" w:cs="宋体"/>
                <w:color w:val="auto"/>
                <w:sz w:val="21"/>
                <w:szCs w:val="21"/>
                <w:highlight w:val="none"/>
                <w:lang w:eastAsia="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rPr>
              <w:t>11月30日前，达到抽查数量70%（自治区、各设区市）后支付合同总额20%；202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月31日前，达到抽查数量9</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%（自治区、各设区市）后支付合同总额</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年3月1日前，经采购人验收通过后7个工作日内支付项目剩余</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%款项。每次采购人付款前，供应商应开具增值税发票和请款函给采购人。</w:t>
            </w:r>
          </w:p>
        </w:tc>
      </w:tr>
      <w:tr w14:paraId="4B747F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E575E3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报价要求</w:t>
            </w:r>
          </w:p>
          <w:p w14:paraId="2FD4C511">
            <w:pPr>
              <w:pStyle w:val="18"/>
              <w:keepNext w:val="0"/>
              <w:keepLines w:val="0"/>
              <w:pageBreakBefore w:val="0"/>
              <w:widowControl w:val="0"/>
              <w:kinsoku/>
              <w:wordWrap/>
              <w:overflowPunct/>
              <w:topLinePunct w:val="0"/>
              <w:autoSpaceDE/>
              <w:autoSpaceDN/>
              <w:bidi w:val="0"/>
              <w:adjustRightInd/>
              <w:snapToGrid/>
              <w:spacing w:line="480" w:lineRule="exact"/>
              <w:ind w:firstLine="0" w:firstLineChars="0"/>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E7B8C3C">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本项目实行总承包报价，报价为采购人指定服务范围内的全部价格，至少包括：</w:t>
            </w:r>
          </w:p>
          <w:p w14:paraId="02FEB56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（1）服务的价格（包括人工、材料、设备等）。</w:t>
            </w:r>
          </w:p>
          <w:p w14:paraId="717F6E1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1388CDF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（3）验收及专家评估费用等。</w:t>
            </w:r>
          </w:p>
          <w:p w14:paraId="5A30F9BF">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（4）与本项目运营服务工作有关的其他一切费用。</w:t>
            </w:r>
          </w:p>
          <w:p w14:paraId="5D5779BB">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采购人不再支付成交价格以外的任何费用。</w:t>
            </w:r>
          </w:p>
        </w:tc>
      </w:tr>
      <w:tr w14:paraId="3FFF53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1A470865">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违约责任</w:t>
            </w:r>
          </w:p>
          <w:p w14:paraId="1FD4AAF2">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16F2A5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不可抗力原因外，若服务供应商未在规定时间内完成任务，每迟延一天扣合同金额的3‰；经抽查发现在工作人员在回访差评件甄别时记录有错误的，错误率高于1‰，扣合同金额的1‰，每高出一个点千分点同步加扣。</w:t>
            </w:r>
          </w:p>
        </w:tc>
      </w:tr>
      <w:tr w14:paraId="29C7E9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2C0961A">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其他要求</w:t>
            </w:r>
          </w:p>
          <w:p w14:paraId="39A91F3F">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82B8E2D">
            <w:pPr>
              <w:pStyle w:val="18"/>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本项目所有成果以及相关研究数据资料所有权属于采购人。</w:t>
            </w:r>
          </w:p>
        </w:tc>
      </w:tr>
    </w:tbl>
    <w:p w14:paraId="109019B0">
      <w:pPr>
        <w:pStyle w:val="2"/>
        <w:rPr>
          <w:rFonts w:hint="default" w:eastAsia="宋体"/>
          <w:color w:val="auto"/>
          <w:highlight w:val="none"/>
          <w:lang w:val="en-US" w:eastAsia="zh-CN"/>
        </w:rPr>
        <w:sectPr>
          <w:pgSz w:w="11906" w:h="16838"/>
          <w:pgMar w:top="1361" w:right="1474" w:bottom="1304" w:left="1587" w:header="720" w:footer="720" w:gutter="0"/>
          <w:cols w:space="720" w:num="1"/>
          <w:docGrid w:type="lines" w:linePitch="331" w:charSpace="0"/>
        </w:sectPr>
      </w:pPr>
    </w:p>
    <w:p w14:paraId="24530F14">
      <w:pPr>
        <w:pStyle w:val="2"/>
        <w:ind w:left="0" w:leftChars="0" w:firstLine="0" w:firstLineChars="0"/>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分标</w:t>
      </w:r>
      <w:r>
        <w:rPr>
          <w:rFonts w:hint="eastAsia" w:ascii="宋体" w:hAnsi="宋体" w:eastAsia="宋体" w:cs="宋体"/>
          <w:b/>
          <w:bCs/>
          <w:color w:val="auto"/>
          <w:sz w:val="32"/>
          <w:szCs w:val="32"/>
          <w:highlight w:val="none"/>
          <w:lang w:val="en-US" w:eastAsia="zh-CN"/>
        </w:rPr>
        <w:t>6：</w:t>
      </w:r>
    </w:p>
    <w:tbl>
      <w:tblPr>
        <w:tblStyle w:val="19"/>
        <w:tblW w:w="98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6"/>
        <w:gridCol w:w="737"/>
        <w:gridCol w:w="477"/>
        <w:gridCol w:w="477"/>
        <w:gridCol w:w="6532"/>
        <w:gridCol w:w="1239"/>
      </w:tblGrid>
      <w:tr w14:paraId="402C49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9828" w:type="dxa"/>
            <w:gridSpan w:val="6"/>
            <w:tcBorders>
              <w:top w:val="single" w:color="auto" w:sz="4" w:space="0"/>
              <w:left w:val="single" w:color="auto" w:sz="4" w:space="0"/>
              <w:right w:val="single" w:color="auto" w:sz="4" w:space="0"/>
            </w:tcBorders>
            <w:vAlign w:val="center"/>
          </w:tcPr>
          <w:p w14:paraId="4F04659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服务需求一览表</w:t>
            </w:r>
          </w:p>
        </w:tc>
      </w:tr>
      <w:tr w14:paraId="60BF4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1E32AF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737" w:type="dxa"/>
            <w:tcBorders>
              <w:top w:val="single" w:color="auto" w:sz="4" w:space="0"/>
              <w:left w:val="single" w:color="auto" w:sz="4" w:space="0"/>
              <w:bottom w:val="single" w:color="auto" w:sz="4" w:space="0"/>
              <w:right w:val="single" w:color="auto" w:sz="4" w:space="0"/>
            </w:tcBorders>
            <w:vAlign w:val="center"/>
          </w:tcPr>
          <w:p w14:paraId="5E272FF1">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标的名称</w:t>
            </w:r>
          </w:p>
        </w:tc>
        <w:tc>
          <w:tcPr>
            <w:tcW w:w="477" w:type="dxa"/>
            <w:tcBorders>
              <w:top w:val="single" w:color="auto" w:sz="4" w:space="0"/>
              <w:left w:val="single" w:color="auto" w:sz="4" w:space="0"/>
              <w:bottom w:val="single" w:color="auto" w:sz="4" w:space="0"/>
              <w:right w:val="single" w:color="auto" w:sz="4" w:space="0"/>
            </w:tcBorders>
            <w:vAlign w:val="center"/>
          </w:tcPr>
          <w:p w14:paraId="683475C2">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单位</w:t>
            </w:r>
          </w:p>
        </w:tc>
        <w:tc>
          <w:tcPr>
            <w:tcW w:w="477" w:type="dxa"/>
            <w:tcBorders>
              <w:top w:val="single" w:color="auto" w:sz="4" w:space="0"/>
              <w:left w:val="single" w:color="auto" w:sz="4" w:space="0"/>
              <w:bottom w:val="single" w:color="auto" w:sz="4" w:space="0"/>
              <w:right w:val="single" w:color="auto" w:sz="4" w:space="0"/>
            </w:tcBorders>
            <w:vAlign w:val="center"/>
          </w:tcPr>
          <w:p w14:paraId="1A59BB55">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6532" w:type="dxa"/>
            <w:tcBorders>
              <w:top w:val="single" w:color="auto" w:sz="4" w:space="0"/>
              <w:left w:val="single" w:color="auto" w:sz="4" w:space="0"/>
              <w:bottom w:val="single" w:color="auto" w:sz="4" w:space="0"/>
              <w:right w:val="single" w:color="auto" w:sz="4" w:space="0"/>
            </w:tcBorders>
            <w:vAlign w:val="center"/>
          </w:tcPr>
          <w:p w14:paraId="64D9311B">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服务参数</w:t>
            </w:r>
          </w:p>
        </w:tc>
        <w:tc>
          <w:tcPr>
            <w:tcW w:w="1239" w:type="dxa"/>
            <w:tcBorders>
              <w:top w:val="single" w:color="auto" w:sz="4" w:space="0"/>
              <w:left w:val="single" w:color="auto" w:sz="4" w:space="0"/>
              <w:bottom w:val="single" w:color="auto" w:sz="4" w:space="0"/>
              <w:right w:val="single" w:color="auto" w:sz="4" w:space="0"/>
            </w:tcBorders>
            <w:vAlign w:val="center"/>
          </w:tcPr>
          <w:p w14:paraId="25F552E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分项预算合计（元）</w:t>
            </w:r>
          </w:p>
        </w:tc>
      </w:tr>
      <w:tr w14:paraId="14D626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366"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A6D6078">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737" w:type="dxa"/>
            <w:tcBorders>
              <w:top w:val="single" w:color="auto" w:sz="4" w:space="0"/>
              <w:left w:val="single" w:color="auto" w:sz="4" w:space="0"/>
              <w:bottom w:val="single" w:color="auto" w:sz="4" w:space="0"/>
              <w:right w:val="single" w:color="auto" w:sz="4" w:space="0"/>
            </w:tcBorders>
            <w:vAlign w:val="center"/>
          </w:tcPr>
          <w:p w14:paraId="3CA38891">
            <w:pPr>
              <w:pStyle w:val="6"/>
              <w:keepNext w:val="0"/>
              <w:keepLines w:val="0"/>
              <w:pageBreakBefore w:val="0"/>
              <w:kinsoku/>
              <w:wordWrap/>
              <w:overflowPunct/>
              <w:topLinePunct w:val="0"/>
              <w:autoSpaceDE/>
              <w:autoSpaceDN/>
              <w:bidi w:val="0"/>
              <w:adjustRightInd/>
              <w:snapToGrid/>
              <w:spacing w:after="0"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2026年广西政务服务“事好办”成效校验项目</w:t>
            </w:r>
          </w:p>
        </w:tc>
        <w:tc>
          <w:tcPr>
            <w:tcW w:w="477" w:type="dxa"/>
            <w:tcBorders>
              <w:top w:val="single" w:color="auto" w:sz="4" w:space="0"/>
              <w:left w:val="single" w:color="auto" w:sz="4" w:space="0"/>
              <w:bottom w:val="single" w:color="auto" w:sz="4" w:space="0"/>
              <w:right w:val="single" w:color="auto" w:sz="4" w:space="0"/>
            </w:tcBorders>
            <w:vAlign w:val="center"/>
          </w:tcPr>
          <w:p w14:paraId="334BAA03">
            <w:pPr>
              <w:pStyle w:val="6"/>
              <w:keepNext w:val="0"/>
              <w:keepLines w:val="0"/>
              <w:pageBreakBefore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477" w:type="dxa"/>
            <w:tcBorders>
              <w:top w:val="single" w:color="auto" w:sz="4" w:space="0"/>
              <w:left w:val="single" w:color="auto" w:sz="4" w:space="0"/>
              <w:bottom w:val="single" w:color="auto" w:sz="4" w:space="0"/>
              <w:right w:val="single" w:color="auto" w:sz="4" w:space="0"/>
            </w:tcBorders>
            <w:vAlign w:val="center"/>
          </w:tcPr>
          <w:p w14:paraId="717CB4C3">
            <w:pPr>
              <w:pStyle w:val="6"/>
              <w:keepNext w:val="0"/>
              <w:keepLines w:val="0"/>
              <w:pageBreakBefore w:val="0"/>
              <w:kinsoku/>
              <w:wordWrap/>
              <w:overflowPunct/>
              <w:topLinePunct w:val="0"/>
              <w:autoSpaceDE/>
              <w:autoSpaceDN/>
              <w:bidi w:val="0"/>
              <w:adjustRightInd/>
              <w:snapToGrid/>
              <w:spacing w:after="0" w:line="48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w:t>
            </w:r>
          </w:p>
        </w:tc>
        <w:tc>
          <w:tcPr>
            <w:tcW w:w="6532" w:type="dxa"/>
            <w:tcBorders>
              <w:top w:val="single" w:color="auto" w:sz="4" w:space="0"/>
              <w:left w:val="single" w:color="auto" w:sz="4" w:space="0"/>
              <w:bottom w:val="single" w:color="auto" w:sz="4" w:space="0"/>
              <w:right w:val="single" w:color="auto" w:sz="4" w:space="0"/>
            </w:tcBorders>
            <w:vAlign w:val="center"/>
          </w:tcPr>
          <w:p w14:paraId="5DD23869">
            <w:pPr>
              <w:keepNext w:val="0"/>
              <w:keepLines w:val="0"/>
              <w:pageBreakBefore w:val="0"/>
              <w:kinsoku/>
              <w:wordWrap/>
              <w:overflowPunct/>
              <w:topLinePunct w:val="0"/>
              <w:autoSpaceDE/>
              <w:autoSpaceDN/>
              <w:bidi w:val="0"/>
              <w:adjustRightInd/>
              <w:snapToGrid/>
              <w:spacing w:line="480" w:lineRule="exact"/>
              <w:ind w:firstLine="422" w:firstLineChars="200"/>
              <w:textAlignment w:val="auto"/>
              <w:outlineLvl w:val="2"/>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总需求</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val="en-US" w:eastAsia="zh-CN"/>
              </w:rPr>
              <w:t>提供</w:t>
            </w:r>
            <w:r>
              <w:rPr>
                <w:rFonts w:hint="eastAsia" w:ascii="宋体" w:hAnsi="宋体" w:eastAsia="宋体" w:cs="宋体"/>
                <w:color w:val="auto"/>
                <w:sz w:val="21"/>
                <w:szCs w:val="21"/>
                <w:highlight w:val="none"/>
              </w:rPr>
              <w:t>指标体系研究与设计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指标试采集、模型设计与实施指导</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核验规则及范围设计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多端线上渠道模拟体验核验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线下实体大厅办事体验核验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电话咨询与智能问答测试</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整改建议与阶段性复查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2"/>
                <w:sz w:val="21"/>
                <w:szCs w:val="21"/>
                <w:highlight w:val="none"/>
              </w:rPr>
              <w:t>成果输出与应用推广。</w:t>
            </w:r>
          </w:p>
          <w:p w14:paraId="7D5F927E">
            <w:pPr>
              <w:keepNext w:val="0"/>
              <w:keepLines w:val="0"/>
              <w:pageBreakBefore w:val="0"/>
              <w:widowControl/>
              <w:kinsoku/>
              <w:wordWrap/>
              <w:overflowPunct/>
              <w:topLinePunct w:val="0"/>
              <w:autoSpaceDE/>
              <w:autoSpaceDN/>
              <w:bidi w:val="0"/>
              <w:adjustRightInd/>
              <w:snapToGrid/>
              <w:spacing w:line="480" w:lineRule="exact"/>
              <w:ind w:firstLine="422" w:firstLineChars="200"/>
              <w:textAlignment w:val="auto"/>
              <w:rPr>
                <w:rFonts w:hint="eastAsia" w:ascii="宋体" w:hAnsi="宋体" w:eastAsia="宋体" w:cs="宋体"/>
                <w:color w:val="auto"/>
                <w:sz w:val="21"/>
                <w:szCs w:val="21"/>
                <w:highlight w:val="none"/>
                <w:lang w:bidi="ar"/>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具体要求</w:t>
            </w:r>
            <w:r>
              <w:rPr>
                <w:rFonts w:hint="eastAsia" w:ascii="宋体" w:hAnsi="宋体" w:eastAsia="宋体" w:cs="宋体"/>
                <w:b/>
                <w:bCs/>
                <w:color w:val="auto"/>
                <w:sz w:val="21"/>
                <w:szCs w:val="21"/>
                <w:highlight w:val="none"/>
                <w:lang w:eastAsia="zh-CN" w:bidi="ar"/>
              </w:rPr>
              <w:t>。</w:t>
            </w: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val="en-US" w:eastAsia="zh-CN" w:bidi="ar"/>
              </w:rPr>
              <w:t>1</w:t>
            </w:r>
            <w:r>
              <w:rPr>
                <w:rFonts w:hint="eastAsia" w:ascii="宋体" w:hAnsi="宋体" w:eastAsia="宋体" w:cs="宋体"/>
                <w:color w:val="auto"/>
                <w:sz w:val="21"/>
                <w:szCs w:val="21"/>
                <w:highlight w:val="none"/>
                <w:lang w:bidi="ar"/>
              </w:rPr>
              <w:t>）指标设计及报告编制。聚焦“高效办成一件事”重点领域和关键环节，一是按照“回头看”工作部署和年度工作重点，研究提出指标内容。二是对典型案例进行深度剖析，从问题背景、发现方式、整改过程、创新做法、成效体现、经验启示等维度进行系统梳理汇编。三是系统总结“回头看”工作经验，形成相关工作报告，提炼问题发现、整改跟踪、机制优化等方面的创新做法和有效经验。</w:t>
            </w:r>
          </w:p>
          <w:p w14:paraId="4C9B6438">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val="en-US" w:eastAsia="zh-CN" w:bidi="ar"/>
              </w:rPr>
              <w:t>2</w:t>
            </w:r>
            <w:r>
              <w:rPr>
                <w:rFonts w:hint="eastAsia" w:ascii="宋体" w:hAnsi="宋体" w:eastAsia="宋体" w:cs="宋体"/>
                <w:color w:val="auto"/>
                <w:sz w:val="21"/>
                <w:szCs w:val="21"/>
                <w:highlight w:val="none"/>
                <w:lang w:bidi="ar"/>
              </w:rPr>
              <w:t>）数据采集及问题核验。逐项对各级指标以及自查发现的问题进行核验记录，跟踪整改进展，开展动态监测。一是覆盖自治区本级、全区14个地市、111个区县以及28个乡镇（抽样），共计154个单位进行核验。每个单位涵盖105个集成事项（一件事）及所属479个单一事项，共计584个事项。在一体化平台、APP、微信和支付宝小程序等4类渠道进行线上验证测试，并开展实体大厅无感验证（实地走访），核验问题的真实性、准确性和实用性。二是对核验后的问题进行成因分析，区分流程设计、系统支撑、数据共享、服务规范、基层执行等类别，形成问题诊断说明。三是提出整改建议，梳理整改涉及单位、建议时效、整改路径和预期成效，形成整改建议清单并反馈各单位。</w:t>
            </w:r>
          </w:p>
          <w:p w14:paraId="0FDD9868">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val="en-US" w:eastAsia="zh-CN" w:bidi="ar"/>
              </w:rPr>
              <w:t>3</w:t>
            </w:r>
            <w:r>
              <w:rPr>
                <w:rFonts w:hint="eastAsia" w:ascii="宋体" w:hAnsi="宋体" w:eastAsia="宋体" w:cs="宋体"/>
                <w:color w:val="auto"/>
                <w:sz w:val="21"/>
                <w:szCs w:val="21"/>
                <w:highlight w:val="none"/>
                <w:lang w:bidi="ar"/>
              </w:rPr>
              <w:t>）补充自治区50个“一件事”层级分析。在国家发布的55个“一件事”和324个关联单一事项基础上，补充纳入自治区发布的50个“一件事”和155个关联单一事项，形成105个“一件事”、479个关联单一事项的层级分析全覆盖。自治区发布的50个“一件事”占全区总量的47.6%，是广西本地特色事项，其集成逻辑、行使层级和办理流程与国家发布事项存在差异，需单独开展层级分析，不能直接套用国家事项的分析结论。</w:t>
            </w:r>
          </w:p>
          <w:p w14:paraId="38540C08">
            <w:pPr>
              <w:keepNext w:val="0"/>
              <w:keepLines w:val="0"/>
              <w:pageBreakBefore w:val="0"/>
              <w:widowControl/>
              <w:kinsoku/>
              <w:wordWrap/>
              <w:overflowPunct/>
              <w:topLinePunct w:val="0"/>
              <w:autoSpaceDE/>
              <w:autoSpaceDN/>
              <w:bidi w:val="0"/>
              <w:adjustRightInd/>
              <w:snapToGrid/>
              <w:spacing w:line="480" w:lineRule="exact"/>
              <w:ind w:firstLine="420" w:firstLineChars="200"/>
              <w:textAlignment w:val="auto"/>
              <w:rPr>
                <w:rFonts w:hint="eastAsia" w:ascii="宋体" w:hAnsi="宋体" w:eastAsia="宋体" w:cs="宋体"/>
                <w:color w:val="auto"/>
                <w:sz w:val="21"/>
                <w:szCs w:val="21"/>
                <w:highlight w:val="none"/>
                <w:lang w:bidi="ar"/>
              </w:rPr>
            </w:pP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val="en-US" w:eastAsia="zh-CN" w:bidi="ar"/>
              </w:rPr>
              <w:t>4</w:t>
            </w:r>
            <w:r>
              <w:rPr>
                <w:rFonts w:hint="eastAsia" w:ascii="宋体" w:hAnsi="宋体" w:eastAsia="宋体" w:cs="宋体"/>
                <w:color w:val="auto"/>
                <w:sz w:val="21"/>
                <w:szCs w:val="21"/>
                <w:highlight w:val="none"/>
                <w:lang w:bidi="ar"/>
              </w:rPr>
              <w:t>）新增全国代表性地区同类“一件事”业务流程对标分析。选取6个代表性省份，筛选12个同类“一件事”事项，采集72个流程样本，从材料、时限、环节、表单字段、数据共享、部门协同、结果反馈等七个维度开展横向比较，为成效核验指标设计提供外部参照基准。</w:t>
            </w:r>
          </w:p>
          <w:p w14:paraId="35D93BBB">
            <w:pPr>
              <w:pStyle w:val="6"/>
              <w:keepNext w:val="0"/>
              <w:keepLines w:val="0"/>
              <w:pageBreakBefore w:val="0"/>
              <w:kinsoku/>
              <w:wordWrap/>
              <w:overflowPunct/>
              <w:topLinePunct w:val="0"/>
              <w:autoSpaceDE/>
              <w:autoSpaceDN/>
              <w:bidi w:val="0"/>
              <w:adjustRightInd/>
              <w:snapToGrid/>
              <w:spacing w:after="0" w:line="480" w:lineRule="exact"/>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
              </w:rPr>
              <w:t>（5）从成效核验工作中筛选优秀实践，按“问题背景—发现方式—整改举措—创新机制—前后成效对比”的叙事逻辑，汇编形成典型经验案例汇编，配套提出复制推广路径建议。</w:t>
            </w:r>
          </w:p>
        </w:tc>
        <w:tc>
          <w:tcPr>
            <w:tcW w:w="1239" w:type="dxa"/>
            <w:tcBorders>
              <w:top w:val="single" w:color="auto" w:sz="4" w:space="0"/>
              <w:left w:val="single" w:color="auto" w:sz="4" w:space="0"/>
              <w:bottom w:val="single" w:color="auto" w:sz="4" w:space="0"/>
              <w:right w:val="single" w:color="auto" w:sz="4" w:space="0"/>
            </w:tcBorders>
            <w:vAlign w:val="center"/>
          </w:tcPr>
          <w:p w14:paraId="3CDB5109">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1010000.00</w:t>
            </w:r>
          </w:p>
        </w:tc>
      </w:tr>
      <w:tr w14:paraId="356709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9828" w:type="dxa"/>
            <w:gridSpan w:val="6"/>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14F8688">
            <w:pPr>
              <w:pStyle w:val="18"/>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商务条款</w:t>
            </w:r>
          </w:p>
        </w:tc>
      </w:tr>
      <w:tr w14:paraId="6D4337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6F48795">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签订合同时间</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1EC01A1">
            <w:pPr>
              <w:pStyle w:val="9"/>
              <w:keepNext w:val="0"/>
              <w:keepLines w:val="0"/>
              <w:pageBreakBefore w:val="0"/>
              <w:kinsoku/>
              <w:wordWrap/>
              <w:overflowPunct/>
              <w:topLinePunct w:val="0"/>
              <w:autoSpaceDE/>
              <w:autoSpaceDN/>
              <w:bidi w:val="0"/>
              <w:adjustRightInd/>
              <w:snapToGrid/>
              <w:spacing w:line="480" w:lineRule="exact"/>
              <w:ind w:left="105" w:leftChars="0" w:hanging="105" w:hangingChars="50"/>
              <w:textAlignment w:val="auto"/>
              <w:outlineLvl w:val="0"/>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eastAsia="zh-CN"/>
              </w:rPr>
              <w:t>自成交通知书发出之日起 25 日内</w:t>
            </w:r>
          </w:p>
        </w:tc>
      </w:tr>
      <w:tr w14:paraId="659A5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30B38E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项目服务时间及服务地点</w:t>
            </w:r>
          </w:p>
          <w:p w14:paraId="121BAEA3">
            <w:pPr>
              <w:pStyle w:val="18"/>
              <w:keepNext w:val="0"/>
              <w:keepLines w:val="0"/>
              <w:pageBreakBefore w:val="0"/>
              <w:kinsoku/>
              <w:wordWrap/>
              <w:overflowPunct/>
              <w:topLinePunct w:val="0"/>
              <w:autoSpaceDE/>
              <w:autoSpaceDN/>
              <w:bidi w:val="0"/>
              <w:adjustRightInd/>
              <w:snapToGrid/>
              <w:spacing w:line="480" w:lineRule="exact"/>
              <w:ind w:firstLine="0" w:firstLineChars="0"/>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843D22D">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（1）服务期限：1年。</w:t>
            </w:r>
          </w:p>
          <w:p w14:paraId="7725AE5B">
            <w:pPr>
              <w:pStyle w:val="18"/>
              <w:keepNext w:val="0"/>
              <w:keepLines w:val="0"/>
              <w:pageBreakBefore w:val="0"/>
              <w:kinsoku/>
              <w:wordWrap/>
              <w:overflowPunct/>
              <w:topLinePunct w:val="0"/>
              <w:autoSpaceDE/>
              <w:autoSpaceDN/>
              <w:bidi w:val="0"/>
              <w:adjustRightInd/>
              <w:snapToGrid/>
              <w:spacing w:line="48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（2）服务地点：采购人指定地点。</w:t>
            </w:r>
          </w:p>
        </w:tc>
      </w:tr>
      <w:tr w14:paraId="20309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549031CC">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服务交付时间及交付地点</w:t>
            </w: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8B52AB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（1）交付时间：中标后7天内开始提供服务。</w:t>
            </w:r>
          </w:p>
          <w:p w14:paraId="20DCE85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（2）交付地点：采购人指定地点。</w:t>
            </w:r>
          </w:p>
        </w:tc>
      </w:tr>
      <w:tr w14:paraId="537F2B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3D3B369">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付款条件</w:t>
            </w:r>
          </w:p>
          <w:p w14:paraId="7018E686">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376B792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本项目预付款为合同价的50%，甲方在签订合同后10个工作日内支付乙方；完成</w:t>
            </w:r>
            <w:r>
              <w:rPr>
                <w:rFonts w:hint="eastAsia" w:ascii="宋体" w:hAnsi="宋体" w:eastAsia="宋体" w:cs="宋体"/>
                <w:color w:val="auto"/>
                <w:sz w:val="21"/>
                <w:szCs w:val="21"/>
                <w:highlight w:val="none"/>
                <w:lang w:val="en-US" w:eastAsia="zh-CN"/>
              </w:rPr>
              <w:t>所有一件事的分析并出具报告</w:t>
            </w:r>
            <w:r>
              <w:rPr>
                <w:rFonts w:hint="eastAsia" w:ascii="宋体" w:hAnsi="宋体" w:eastAsia="宋体" w:cs="宋体"/>
                <w:color w:val="auto"/>
                <w:sz w:val="21"/>
                <w:szCs w:val="21"/>
                <w:highlight w:val="none"/>
              </w:rPr>
              <w:t>后20个工作日内，甲方支付合同价的30%；待乙方提交全部工作成果且甲方验收合格后支付剩余的20%。每次付款前乙方应当向甲方提供请款函及合法有效的发票。</w:t>
            </w:r>
          </w:p>
        </w:tc>
      </w:tr>
      <w:tr w14:paraId="2EFB3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193118E">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报价要求</w:t>
            </w:r>
          </w:p>
          <w:p w14:paraId="408DCF4A">
            <w:pPr>
              <w:pStyle w:val="18"/>
              <w:keepNext w:val="0"/>
              <w:keepLines w:val="0"/>
              <w:pageBreakBefore w:val="0"/>
              <w:kinsoku/>
              <w:wordWrap/>
              <w:overflowPunct/>
              <w:topLinePunct w:val="0"/>
              <w:autoSpaceDE/>
              <w:autoSpaceDN/>
              <w:bidi w:val="0"/>
              <w:adjustRightInd/>
              <w:snapToGrid/>
              <w:spacing w:line="480" w:lineRule="exact"/>
              <w:ind w:firstLine="0" w:firstLineChars="0"/>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4FB3474">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本项目实行总承包报价，报价为采购人指定服务范围内的全部价格，至少包括：</w:t>
            </w:r>
          </w:p>
          <w:p w14:paraId="44117264">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（1）服务的价格（包括人工、材料、设备等）。</w:t>
            </w:r>
          </w:p>
          <w:p w14:paraId="6A37713B">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（2）必要的保险费用和各项税金。</w:t>
            </w:r>
          </w:p>
          <w:p w14:paraId="2526B53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（3）验收及专家评估费用等。</w:t>
            </w:r>
          </w:p>
          <w:p w14:paraId="771C6C17">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（4）与本项目运营服务工作有关的其他一切费用。</w:t>
            </w:r>
          </w:p>
          <w:p w14:paraId="4C960BAF">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采购人不再支付成交价格以外的任何费用。</w:t>
            </w:r>
          </w:p>
        </w:tc>
      </w:tr>
      <w:tr w14:paraId="5C99D7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580"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ED80548">
            <w:pPr>
              <w:keepNext w:val="0"/>
              <w:keepLines w:val="0"/>
              <w:pageBreakBefore w:val="0"/>
              <w:kinsoku/>
              <w:wordWrap/>
              <w:overflowPunct/>
              <w:topLinePunct w:val="0"/>
              <w:autoSpaceDE/>
              <w:autoSpaceDN/>
              <w:bidi w:val="0"/>
              <w:adjustRightInd/>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其他要求</w:t>
            </w:r>
          </w:p>
          <w:p w14:paraId="1AA91292">
            <w:pPr>
              <w:pStyle w:val="18"/>
              <w:keepNext w:val="0"/>
              <w:keepLines w:val="0"/>
              <w:pageBreakBefore w:val="0"/>
              <w:kinsoku/>
              <w:wordWrap/>
              <w:overflowPunct/>
              <w:topLinePunct w:val="0"/>
              <w:autoSpaceDE/>
              <w:autoSpaceDN/>
              <w:bidi w:val="0"/>
              <w:adjustRightInd/>
              <w:snapToGrid/>
              <w:spacing w:line="480" w:lineRule="exact"/>
              <w:ind w:firstLine="0" w:firstLineChars="0"/>
              <w:textAlignment w:val="auto"/>
              <w:rPr>
                <w:rFonts w:hint="eastAsia" w:ascii="宋体" w:hAnsi="宋体" w:eastAsia="宋体" w:cs="宋体"/>
                <w:color w:val="auto"/>
                <w:sz w:val="21"/>
                <w:szCs w:val="21"/>
                <w:highlight w:val="none"/>
              </w:rPr>
            </w:pPr>
          </w:p>
        </w:tc>
        <w:tc>
          <w:tcPr>
            <w:tcW w:w="8248" w:type="dxa"/>
            <w:gridSpan w:val="3"/>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08B286A">
            <w:pPr>
              <w:pStyle w:val="18"/>
              <w:keepNext w:val="0"/>
              <w:keepLines w:val="0"/>
              <w:pageBreakBefore w:val="0"/>
              <w:kinsoku/>
              <w:wordWrap/>
              <w:overflowPunct/>
              <w:topLinePunct w:val="0"/>
              <w:autoSpaceDE/>
              <w:autoSpaceDN/>
              <w:bidi w:val="0"/>
              <w:adjustRightInd/>
              <w:snapToGrid/>
              <w:spacing w:line="480" w:lineRule="exact"/>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本项目所有成果以及相关研究数据资料所有权属于采购人。</w:t>
            </w:r>
          </w:p>
        </w:tc>
      </w:tr>
    </w:tbl>
    <w:p w14:paraId="00F4A2F9">
      <w:pPr>
        <w:pStyle w:val="2"/>
        <w:rPr>
          <w:rFonts w:hint="default" w:eastAsia="宋体"/>
          <w:color w:val="auto"/>
          <w:highlight w:val="none"/>
          <w:lang w:val="en-US" w:eastAsia="zh-CN"/>
        </w:rPr>
        <w:sectPr>
          <w:pgSz w:w="11906" w:h="16838"/>
          <w:pgMar w:top="1361" w:right="1474" w:bottom="1304" w:left="1587" w:header="720" w:footer="720" w:gutter="0"/>
          <w:cols w:space="720" w:num="1"/>
          <w:docGrid w:type="lines" w:linePitch="331" w:charSpace="0"/>
        </w:sectPr>
      </w:pPr>
    </w:p>
    <w:p w14:paraId="5FDC2FB7">
      <w:pPr>
        <w:keepNext/>
        <w:keepLines/>
        <w:pageBreakBefore/>
        <w:widowControl/>
        <w:spacing w:line="428" w:lineRule="exact"/>
        <w:ind w:left="119"/>
        <w:rPr>
          <w:rFonts w:hint="eastAsia" w:ascii="Arial Unicode MS" w:hAnsi="Arial Unicode MS" w:eastAsia="Arial Unicode MS" w:cs="Arial Unicode MS"/>
          <w:color w:val="auto"/>
          <w:sz w:val="32"/>
          <w:szCs w:val="32"/>
          <w:highlight w:val="none"/>
        </w:rPr>
      </w:pPr>
      <w:r>
        <w:rPr>
          <w:rFonts w:hint="eastAsia" w:ascii="微软雅黑" w:hAnsi="微软雅黑" w:eastAsia="微软雅黑" w:cs="微软雅黑"/>
          <w:color w:val="auto"/>
          <w:sz w:val="32"/>
          <w:szCs w:val="32"/>
          <w:highlight w:val="none"/>
        </w:rPr>
        <w:t>附件</w:t>
      </w:r>
      <w:r>
        <w:rPr>
          <w:rFonts w:ascii="Arial Unicode MS" w:hAnsi="Arial Unicode MS" w:eastAsia="Arial Unicode MS" w:cs="Arial Unicode MS"/>
          <w:color w:val="auto"/>
          <w:sz w:val="32"/>
          <w:szCs w:val="32"/>
          <w:highlight w:val="none"/>
        </w:rPr>
        <w:t>1</w:t>
      </w:r>
      <w:r>
        <w:rPr>
          <w:rFonts w:hint="eastAsia" w:ascii="微软雅黑" w:hAnsi="微软雅黑" w:eastAsia="微软雅黑" w:cs="微软雅黑"/>
          <w:color w:val="auto"/>
          <w:sz w:val="32"/>
          <w:szCs w:val="32"/>
          <w:highlight w:val="none"/>
        </w:rPr>
        <w:t>：</w:t>
      </w:r>
    </w:p>
    <w:p w14:paraId="034B714E">
      <w:pPr>
        <w:spacing w:before="7"/>
        <w:rPr>
          <w:rFonts w:hint="eastAsia" w:ascii="Arial Unicode MS" w:hAnsi="Arial Unicode MS" w:eastAsia="Arial Unicode MS" w:cs="Arial Unicode MS"/>
          <w:color w:val="auto"/>
          <w:sz w:val="17"/>
          <w:szCs w:val="17"/>
          <w:highlight w:val="none"/>
        </w:rPr>
      </w:pPr>
    </w:p>
    <w:p w14:paraId="50FE49BB">
      <w:pPr>
        <w:spacing w:line="528" w:lineRule="exact"/>
        <w:ind w:left="1871"/>
        <w:rPr>
          <w:rFonts w:hint="eastAsia"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19"/>
        <w:tblW w:w="9220" w:type="dxa"/>
        <w:jc w:val="center"/>
        <w:tblLayout w:type="autofit"/>
        <w:tblCellMar>
          <w:top w:w="0" w:type="dxa"/>
          <w:left w:w="108" w:type="dxa"/>
          <w:bottom w:w="0" w:type="dxa"/>
          <w:right w:w="108" w:type="dxa"/>
        </w:tblCellMar>
      </w:tblPr>
      <w:tblGrid>
        <w:gridCol w:w="641"/>
        <w:gridCol w:w="1116"/>
        <w:gridCol w:w="1516"/>
        <w:gridCol w:w="1612"/>
        <w:gridCol w:w="4335"/>
      </w:tblGrid>
      <w:tr w14:paraId="3FA7BCC5">
        <w:tblPrEx>
          <w:tblCellMar>
            <w:top w:w="0" w:type="dxa"/>
            <w:left w:w="108" w:type="dxa"/>
            <w:bottom w:w="0" w:type="dxa"/>
            <w:right w:w="108" w:type="dxa"/>
          </w:tblCellMar>
        </w:tblPrEx>
        <w:trPr>
          <w:trHeight w:val="555" w:hRule="atLeast"/>
          <w:jc w:val="center"/>
        </w:trPr>
        <w:tc>
          <w:tcPr>
            <w:tcW w:w="660" w:type="dxa"/>
            <w:tcBorders>
              <w:top w:val="single" w:color="000000" w:sz="8" w:space="0"/>
              <w:left w:val="single" w:color="000000" w:sz="8" w:space="0"/>
              <w:bottom w:val="single" w:color="000000" w:sz="8" w:space="0"/>
              <w:right w:val="single" w:color="000000" w:sz="8" w:space="0"/>
            </w:tcBorders>
          </w:tcPr>
          <w:p w14:paraId="7196705E">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品目序号</w:t>
            </w:r>
          </w:p>
        </w:tc>
        <w:tc>
          <w:tcPr>
            <w:tcW w:w="4020" w:type="dxa"/>
            <w:gridSpan w:val="3"/>
            <w:tcBorders>
              <w:top w:val="single" w:color="000000" w:sz="8" w:space="0"/>
              <w:left w:val="nil"/>
              <w:bottom w:val="single" w:color="000000" w:sz="8" w:space="0"/>
              <w:right w:val="single" w:color="000000" w:sz="8" w:space="0"/>
            </w:tcBorders>
            <w:vAlign w:val="center"/>
          </w:tcPr>
          <w:p w14:paraId="6BB32E02">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名称</w:t>
            </w:r>
          </w:p>
        </w:tc>
        <w:tc>
          <w:tcPr>
            <w:tcW w:w="4540" w:type="dxa"/>
            <w:tcBorders>
              <w:top w:val="single" w:color="000000" w:sz="8" w:space="0"/>
              <w:left w:val="nil"/>
              <w:bottom w:val="single" w:color="000000" w:sz="8" w:space="0"/>
              <w:right w:val="single" w:color="000000" w:sz="8" w:space="0"/>
            </w:tcBorders>
            <w:vAlign w:val="center"/>
          </w:tcPr>
          <w:p w14:paraId="6C502077">
            <w:pPr>
              <w:widowControl/>
              <w:jc w:val="center"/>
              <w:rPr>
                <w:rFonts w:hint="eastAsia" w:ascii="宋体" w:hAnsi="宋体" w:cs="宋体"/>
                <w:b/>
                <w:bCs/>
                <w:color w:val="auto"/>
                <w:kern w:val="0"/>
                <w:sz w:val="22"/>
                <w:szCs w:val="22"/>
                <w:highlight w:val="none"/>
              </w:rPr>
            </w:pPr>
            <w:r>
              <w:rPr>
                <w:rFonts w:hint="eastAsia" w:ascii="宋体" w:hAnsi="宋体" w:cs="宋体"/>
                <w:b/>
                <w:bCs/>
                <w:color w:val="auto"/>
                <w:kern w:val="0"/>
                <w:sz w:val="22"/>
                <w:szCs w:val="22"/>
                <w:highlight w:val="none"/>
              </w:rPr>
              <w:t>依据的标准</w:t>
            </w:r>
          </w:p>
        </w:tc>
      </w:tr>
      <w:tr w14:paraId="25C2D3E9">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vAlign w:val="center"/>
          </w:tcPr>
          <w:p w14:paraId="6C9E1AB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w:t>
            </w:r>
          </w:p>
        </w:tc>
        <w:tc>
          <w:tcPr>
            <w:tcW w:w="1080" w:type="dxa"/>
            <w:vMerge w:val="restart"/>
            <w:tcBorders>
              <w:top w:val="nil"/>
              <w:left w:val="single" w:color="000000" w:sz="8" w:space="0"/>
              <w:bottom w:val="single" w:color="000000" w:sz="8" w:space="0"/>
              <w:right w:val="single" w:color="000000" w:sz="8" w:space="0"/>
            </w:tcBorders>
            <w:vAlign w:val="center"/>
          </w:tcPr>
          <w:p w14:paraId="47CB4D2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A020101计算机设备</w:t>
            </w:r>
          </w:p>
        </w:tc>
        <w:tc>
          <w:tcPr>
            <w:tcW w:w="1320" w:type="dxa"/>
            <w:tcBorders>
              <w:top w:val="nil"/>
              <w:left w:val="nil"/>
              <w:bottom w:val="single" w:color="000000" w:sz="8" w:space="0"/>
              <w:right w:val="single" w:color="000000" w:sz="8" w:space="0"/>
            </w:tcBorders>
            <w:vAlign w:val="center"/>
          </w:tcPr>
          <w:p w14:paraId="34B1EE0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★A02010104台式计算机</w:t>
            </w:r>
          </w:p>
        </w:tc>
        <w:tc>
          <w:tcPr>
            <w:tcW w:w="1620" w:type="dxa"/>
            <w:tcBorders>
              <w:top w:val="nil"/>
              <w:left w:val="nil"/>
              <w:bottom w:val="single" w:color="000000" w:sz="8" w:space="0"/>
              <w:right w:val="single" w:color="000000" w:sz="8" w:space="0"/>
            </w:tcBorders>
            <w:vAlign w:val="center"/>
          </w:tcPr>
          <w:p w14:paraId="46A3730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1B4DCE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2B2C956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57E6937F">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370983D">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1291450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★A02010105便携式计算机</w:t>
            </w:r>
          </w:p>
        </w:tc>
        <w:tc>
          <w:tcPr>
            <w:tcW w:w="1620" w:type="dxa"/>
            <w:tcBorders>
              <w:top w:val="nil"/>
              <w:left w:val="nil"/>
              <w:bottom w:val="single" w:color="000000" w:sz="8" w:space="0"/>
              <w:right w:val="single" w:color="000000" w:sz="8" w:space="0"/>
            </w:tcBorders>
            <w:vAlign w:val="center"/>
          </w:tcPr>
          <w:p w14:paraId="6A72141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0AFE9C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5C00D19B">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DD2A57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2B5EF77">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366E70F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★A02010107平板式微型计算机</w:t>
            </w:r>
          </w:p>
        </w:tc>
        <w:tc>
          <w:tcPr>
            <w:tcW w:w="1620" w:type="dxa"/>
            <w:tcBorders>
              <w:top w:val="nil"/>
              <w:left w:val="nil"/>
              <w:bottom w:val="single" w:color="000000" w:sz="8" w:space="0"/>
              <w:right w:val="single" w:color="000000" w:sz="8" w:space="0"/>
            </w:tcBorders>
            <w:vAlign w:val="center"/>
          </w:tcPr>
          <w:p w14:paraId="07FDA60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304908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《微型计算机能效限定值及能效等级》（GB28380）</w:t>
            </w:r>
          </w:p>
        </w:tc>
      </w:tr>
      <w:tr w14:paraId="0C4594A6">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vAlign w:val="center"/>
          </w:tcPr>
          <w:p w14:paraId="09279C1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2</w:t>
            </w:r>
          </w:p>
        </w:tc>
        <w:tc>
          <w:tcPr>
            <w:tcW w:w="1080" w:type="dxa"/>
            <w:vMerge w:val="restart"/>
            <w:tcBorders>
              <w:top w:val="nil"/>
              <w:left w:val="single" w:color="000000" w:sz="8" w:space="0"/>
              <w:bottom w:val="single" w:color="000000" w:sz="8" w:space="0"/>
              <w:right w:val="single" w:color="000000" w:sz="8" w:space="0"/>
            </w:tcBorders>
            <w:vAlign w:val="center"/>
          </w:tcPr>
          <w:p w14:paraId="5EC38CB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A020106输入输出设备</w:t>
            </w:r>
          </w:p>
        </w:tc>
        <w:tc>
          <w:tcPr>
            <w:tcW w:w="1320" w:type="dxa"/>
            <w:vMerge w:val="restart"/>
            <w:tcBorders>
              <w:top w:val="nil"/>
              <w:left w:val="single" w:color="000000" w:sz="8" w:space="0"/>
              <w:bottom w:val="single" w:color="000000" w:sz="8" w:space="0"/>
              <w:right w:val="single" w:color="000000" w:sz="8" w:space="0"/>
            </w:tcBorders>
            <w:vAlign w:val="center"/>
          </w:tcPr>
          <w:p w14:paraId="58AA31E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A02010601打印设备</w:t>
            </w:r>
          </w:p>
        </w:tc>
        <w:tc>
          <w:tcPr>
            <w:tcW w:w="1620" w:type="dxa"/>
            <w:tcBorders>
              <w:top w:val="nil"/>
              <w:left w:val="nil"/>
              <w:bottom w:val="single" w:color="000000" w:sz="8" w:space="0"/>
              <w:right w:val="single" w:color="000000" w:sz="8" w:space="0"/>
            </w:tcBorders>
            <w:vAlign w:val="center"/>
          </w:tcPr>
          <w:p w14:paraId="1290617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A0201060101喷墨打印机</w:t>
            </w:r>
          </w:p>
        </w:tc>
        <w:tc>
          <w:tcPr>
            <w:tcW w:w="4540" w:type="dxa"/>
            <w:tcBorders>
              <w:top w:val="nil"/>
              <w:left w:val="nil"/>
              <w:bottom w:val="single" w:color="000000" w:sz="8" w:space="0"/>
              <w:right w:val="single" w:color="000000" w:sz="8" w:space="0"/>
            </w:tcBorders>
            <w:vAlign w:val="center"/>
          </w:tcPr>
          <w:p w14:paraId="5DD4A91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40CF599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A27C0C1">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76045E0">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B5D6670">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10B3A65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★A0201060102激光打印机</w:t>
            </w:r>
          </w:p>
        </w:tc>
        <w:tc>
          <w:tcPr>
            <w:tcW w:w="4540" w:type="dxa"/>
            <w:tcBorders>
              <w:top w:val="nil"/>
              <w:left w:val="nil"/>
              <w:bottom w:val="single" w:color="000000" w:sz="8" w:space="0"/>
              <w:right w:val="single" w:color="000000" w:sz="8" w:space="0"/>
            </w:tcBorders>
            <w:vAlign w:val="center"/>
          </w:tcPr>
          <w:p w14:paraId="198F702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29AF11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781EED8">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023174A">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5F98BE2">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4896584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★A0201060104针式打印机</w:t>
            </w:r>
          </w:p>
        </w:tc>
        <w:tc>
          <w:tcPr>
            <w:tcW w:w="4540" w:type="dxa"/>
            <w:tcBorders>
              <w:top w:val="nil"/>
              <w:left w:val="nil"/>
              <w:bottom w:val="single" w:color="000000" w:sz="8" w:space="0"/>
              <w:right w:val="single" w:color="000000" w:sz="8" w:space="0"/>
            </w:tcBorders>
            <w:vAlign w:val="center"/>
          </w:tcPr>
          <w:p w14:paraId="3F449F0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1047535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59380461">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0FD11E8">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3DBC445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A02010604显示设备</w:t>
            </w:r>
          </w:p>
        </w:tc>
        <w:tc>
          <w:tcPr>
            <w:tcW w:w="1620" w:type="dxa"/>
            <w:tcBorders>
              <w:top w:val="nil"/>
              <w:left w:val="nil"/>
              <w:bottom w:val="single" w:color="000000" w:sz="8" w:space="0"/>
              <w:right w:val="single" w:color="000000" w:sz="8" w:space="0"/>
            </w:tcBorders>
            <w:vAlign w:val="center"/>
          </w:tcPr>
          <w:p w14:paraId="4E4F411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★A0201060401液晶显示器</w:t>
            </w:r>
          </w:p>
        </w:tc>
        <w:tc>
          <w:tcPr>
            <w:tcW w:w="4540" w:type="dxa"/>
            <w:tcBorders>
              <w:top w:val="nil"/>
              <w:left w:val="nil"/>
              <w:bottom w:val="single" w:color="000000" w:sz="8" w:space="0"/>
              <w:right w:val="single" w:color="000000" w:sz="8" w:space="0"/>
            </w:tcBorders>
            <w:vAlign w:val="center"/>
          </w:tcPr>
          <w:p w14:paraId="6428DB7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《计算机显示器能效限定值及能效等级》（GB21520）</w:t>
            </w:r>
          </w:p>
        </w:tc>
      </w:tr>
      <w:tr w14:paraId="4A442D37">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41BEC9E">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DCE01A8">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4B89DBC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A02010609图形图像输入设备</w:t>
            </w:r>
          </w:p>
        </w:tc>
        <w:tc>
          <w:tcPr>
            <w:tcW w:w="1620" w:type="dxa"/>
            <w:tcBorders>
              <w:top w:val="nil"/>
              <w:left w:val="nil"/>
              <w:bottom w:val="single" w:color="000000" w:sz="8" w:space="0"/>
              <w:right w:val="single" w:color="000000" w:sz="8" w:space="0"/>
            </w:tcBorders>
            <w:vAlign w:val="center"/>
          </w:tcPr>
          <w:p w14:paraId="7933256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A0201060901扫描仪</w:t>
            </w:r>
          </w:p>
        </w:tc>
        <w:tc>
          <w:tcPr>
            <w:tcW w:w="4540" w:type="dxa"/>
            <w:tcBorders>
              <w:top w:val="nil"/>
              <w:left w:val="nil"/>
              <w:bottom w:val="single" w:color="000000" w:sz="8" w:space="0"/>
              <w:right w:val="single" w:color="000000" w:sz="8" w:space="0"/>
            </w:tcBorders>
            <w:vAlign w:val="center"/>
          </w:tcPr>
          <w:p w14:paraId="5D91B3B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参照《复印机、打印机和传真机能效限定值及能效等级》（GB21521中打印速度为15页/分的针式打印机相关要求中打印速度为15页/分的针式打印机相关要求</w:t>
            </w:r>
          </w:p>
        </w:tc>
      </w:tr>
      <w:tr w14:paraId="65E3999D">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12BAC54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3</w:t>
            </w:r>
          </w:p>
        </w:tc>
        <w:tc>
          <w:tcPr>
            <w:tcW w:w="1080" w:type="dxa"/>
            <w:tcBorders>
              <w:top w:val="nil"/>
              <w:left w:val="nil"/>
              <w:bottom w:val="single" w:color="000000" w:sz="8" w:space="0"/>
              <w:right w:val="single" w:color="000000" w:sz="8" w:space="0"/>
            </w:tcBorders>
            <w:vAlign w:val="center"/>
          </w:tcPr>
          <w:p w14:paraId="1BDE6E9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A020202投影仪</w:t>
            </w:r>
          </w:p>
        </w:tc>
        <w:tc>
          <w:tcPr>
            <w:tcW w:w="1320" w:type="dxa"/>
            <w:tcBorders>
              <w:top w:val="nil"/>
              <w:left w:val="nil"/>
              <w:bottom w:val="single" w:color="000000" w:sz="8" w:space="0"/>
              <w:right w:val="single" w:color="000000" w:sz="8" w:space="0"/>
            </w:tcBorders>
            <w:vAlign w:val="center"/>
          </w:tcPr>
          <w:p w14:paraId="77D6E7A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210BFC2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BD1E26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《投影机能效限定值及能效等级》（GB32028）</w:t>
            </w:r>
          </w:p>
        </w:tc>
      </w:tr>
      <w:tr w14:paraId="67D41FC9">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1EA847B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4</w:t>
            </w:r>
          </w:p>
        </w:tc>
        <w:tc>
          <w:tcPr>
            <w:tcW w:w="1080" w:type="dxa"/>
            <w:tcBorders>
              <w:top w:val="nil"/>
              <w:left w:val="nil"/>
              <w:bottom w:val="single" w:color="000000" w:sz="8" w:space="0"/>
              <w:right w:val="single" w:color="000000" w:sz="8" w:space="0"/>
            </w:tcBorders>
            <w:vAlign w:val="center"/>
          </w:tcPr>
          <w:p w14:paraId="3414CD5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A020204多功能一体机</w:t>
            </w:r>
          </w:p>
        </w:tc>
        <w:tc>
          <w:tcPr>
            <w:tcW w:w="1320" w:type="dxa"/>
            <w:tcBorders>
              <w:top w:val="nil"/>
              <w:left w:val="nil"/>
              <w:bottom w:val="single" w:color="000000" w:sz="8" w:space="0"/>
              <w:right w:val="single" w:color="000000" w:sz="8" w:space="0"/>
            </w:tcBorders>
            <w:vAlign w:val="center"/>
          </w:tcPr>
          <w:p w14:paraId="03995B4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36B083D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CE97DD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《复印机、打印机和传真机能效限定值及能效等级》（GB21521）</w:t>
            </w:r>
          </w:p>
        </w:tc>
      </w:tr>
      <w:tr w14:paraId="6CAEB30D">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25D709B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5</w:t>
            </w:r>
          </w:p>
        </w:tc>
        <w:tc>
          <w:tcPr>
            <w:tcW w:w="1080" w:type="dxa"/>
            <w:tcBorders>
              <w:top w:val="nil"/>
              <w:left w:val="nil"/>
              <w:bottom w:val="single" w:color="000000" w:sz="8" w:space="0"/>
              <w:right w:val="single" w:color="000000" w:sz="8" w:space="0"/>
            </w:tcBorders>
            <w:vAlign w:val="center"/>
          </w:tcPr>
          <w:p w14:paraId="4CC6D7C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A020519泵</w:t>
            </w:r>
          </w:p>
        </w:tc>
        <w:tc>
          <w:tcPr>
            <w:tcW w:w="1320" w:type="dxa"/>
            <w:tcBorders>
              <w:top w:val="nil"/>
              <w:left w:val="nil"/>
              <w:bottom w:val="single" w:color="000000" w:sz="8" w:space="0"/>
              <w:right w:val="single" w:color="000000" w:sz="8" w:space="0"/>
            </w:tcBorders>
            <w:vAlign w:val="center"/>
          </w:tcPr>
          <w:p w14:paraId="1F73E70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A02051901离心泵</w:t>
            </w:r>
          </w:p>
        </w:tc>
        <w:tc>
          <w:tcPr>
            <w:tcW w:w="1620" w:type="dxa"/>
            <w:tcBorders>
              <w:top w:val="nil"/>
              <w:left w:val="nil"/>
              <w:bottom w:val="single" w:color="000000" w:sz="8" w:space="0"/>
              <w:right w:val="single" w:color="000000" w:sz="8" w:space="0"/>
            </w:tcBorders>
            <w:vAlign w:val="center"/>
          </w:tcPr>
          <w:p w14:paraId="0734FB2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87386C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《清水离心泵能效限定值及节能评价值》（GB19762）</w:t>
            </w:r>
          </w:p>
        </w:tc>
      </w:tr>
      <w:tr w14:paraId="30F74CB5">
        <w:tblPrEx>
          <w:tblCellMar>
            <w:top w:w="0" w:type="dxa"/>
            <w:left w:w="108" w:type="dxa"/>
            <w:bottom w:w="0" w:type="dxa"/>
            <w:right w:w="108" w:type="dxa"/>
          </w:tblCellMar>
        </w:tblPrEx>
        <w:trPr>
          <w:trHeight w:val="735" w:hRule="atLeast"/>
          <w:jc w:val="center"/>
        </w:trPr>
        <w:tc>
          <w:tcPr>
            <w:tcW w:w="660" w:type="dxa"/>
            <w:vMerge w:val="restart"/>
            <w:tcBorders>
              <w:top w:val="nil"/>
              <w:left w:val="single" w:color="000000" w:sz="8" w:space="0"/>
              <w:bottom w:val="single" w:color="000000" w:sz="8" w:space="0"/>
              <w:right w:val="single" w:color="000000" w:sz="8" w:space="0"/>
            </w:tcBorders>
            <w:vAlign w:val="center"/>
          </w:tcPr>
          <w:p w14:paraId="690A9BB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6</w:t>
            </w:r>
          </w:p>
        </w:tc>
        <w:tc>
          <w:tcPr>
            <w:tcW w:w="1080" w:type="dxa"/>
            <w:vMerge w:val="restart"/>
            <w:tcBorders>
              <w:top w:val="nil"/>
              <w:left w:val="single" w:color="000000" w:sz="8" w:space="0"/>
              <w:bottom w:val="single" w:color="000000" w:sz="8" w:space="0"/>
              <w:right w:val="single" w:color="000000" w:sz="8" w:space="0"/>
            </w:tcBorders>
            <w:vAlign w:val="center"/>
          </w:tcPr>
          <w:p w14:paraId="0372997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A020523制冷空调设备</w:t>
            </w:r>
          </w:p>
        </w:tc>
        <w:tc>
          <w:tcPr>
            <w:tcW w:w="1320" w:type="dxa"/>
            <w:vMerge w:val="restart"/>
            <w:tcBorders>
              <w:top w:val="nil"/>
              <w:left w:val="single" w:color="000000" w:sz="8" w:space="0"/>
              <w:bottom w:val="single" w:color="000000" w:sz="8" w:space="0"/>
              <w:right w:val="single" w:color="000000" w:sz="8" w:space="0"/>
            </w:tcBorders>
            <w:vAlign w:val="center"/>
          </w:tcPr>
          <w:p w14:paraId="41C2B7D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★A02052301制冷压缩机</w:t>
            </w:r>
          </w:p>
        </w:tc>
        <w:tc>
          <w:tcPr>
            <w:tcW w:w="1620" w:type="dxa"/>
            <w:tcBorders>
              <w:top w:val="nil"/>
              <w:left w:val="nil"/>
              <w:bottom w:val="single" w:color="000000" w:sz="8" w:space="0"/>
              <w:right w:val="single" w:color="000000" w:sz="8" w:space="0"/>
            </w:tcBorders>
            <w:vAlign w:val="center"/>
          </w:tcPr>
          <w:p w14:paraId="1B46AA5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w:t>
            </w:r>
          </w:p>
        </w:tc>
        <w:tc>
          <w:tcPr>
            <w:tcW w:w="4540" w:type="dxa"/>
            <w:tcBorders>
              <w:top w:val="nil"/>
              <w:left w:val="nil"/>
              <w:bottom w:val="single" w:color="000000" w:sz="8" w:space="0"/>
              <w:right w:val="single" w:color="000000" w:sz="8" w:space="0"/>
            </w:tcBorders>
            <w:vAlign w:val="center"/>
          </w:tcPr>
          <w:p w14:paraId="1658B32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《冷水机组能效限定值及能效等级》（GB19577），《低环境温度空气源热泵（冷水）机组能效限定值及能效等级》（GB37480）</w:t>
            </w:r>
          </w:p>
        </w:tc>
      </w:tr>
      <w:tr w14:paraId="30A90033">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315BC0B">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06E01FE">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B17E9EA">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504571F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水源热泵机组</w:t>
            </w:r>
          </w:p>
        </w:tc>
        <w:tc>
          <w:tcPr>
            <w:tcW w:w="4540" w:type="dxa"/>
            <w:tcBorders>
              <w:top w:val="nil"/>
              <w:left w:val="nil"/>
              <w:bottom w:val="single" w:color="000000" w:sz="8" w:space="0"/>
              <w:right w:val="single" w:color="000000" w:sz="8" w:space="0"/>
            </w:tcBorders>
            <w:vAlign w:val="center"/>
          </w:tcPr>
          <w:p w14:paraId="02182B0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《水（地）源热泵机组能效限定值及能效等级》（GB30721）</w:t>
            </w:r>
          </w:p>
        </w:tc>
      </w:tr>
      <w:tr w14:paraId="18BA8F18">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D918FFA">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1D73FE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4B20EE5">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73F5FB5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w:t>
            </w:r>
          </w:p>
        </w:tc>
        <w:tc>
          <w:tcPr>
            <w:tcW w:w="4540" w:type="dxa"/>
            <w:tcBorders>
              <w:top w:val="nil"/>
              <w:left w:val="nil"/>
              <w:bottom w:val="single" w:color="000000" w:sz="8" w:space="0"/>
              <w:right w:val="single" w:color="000000" w:sz="8" w:space="0"/>
            </w:tcBorders>
            <w:vAlign w:val="center"/>
          </w:tcPr>
          <w:p w14:paraId="0C61F50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《溴化锂吸收式冷水机组能效限定值及能效等级》（GB29540）</w:t>
            </w:r>
          </w:p>
        </w:tc>
      </w:tr>
      <w:tr w14:paraId="541160EC">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737C65B">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5C63A76">
            <w:pPr>
              <w:widowControl/>
              <w:jc w:val="left"/>
              <w:rPr>
                <w:rFonts w:hint="eastAsia"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067989F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★A02052305空调机组</w:t>
            </w:r>
          </w:p>
        </w:tc>
        <w:tc>
          <w:tcPr>
            <w:tcW w:w="1620" w:type="dxa"/>
            <w:tcBorders>
              <w:top w:val="nil"/>
              <w:left w:val="nil"/>
              <w:bottom w:val="single" w:color="000000" w:sz="8" w:space="0"/>
              <w:right w:val="single" w:color="000000" w:sz="8" w:space="0"/>
            </w:tcBorders>
            <w:vAlign w:val="center"/>
          </w:tcPr>
          <w:p w14:paraId="34A3297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多联式空调（热泵）机组(制冷量&gt;14000W)</w:t>
            </w:r>
          </w:p>
        </w:tc>
        <w:tc>
          <w:tcPr>
            <w:tcW w:w="4540" w:type="dxa"/>
            <w:tcBorders>
              <w:top w:val="nil"/>
              <w:left w:val="nil"/>
              <w:bottom w:val="single" w:color="000000" w:sz="8" w:space="0"/>
              <w:right w:val="single" w:color="000000" w:sz="8" w:space="0"/>
            </w:tcBorders>
            <w:vAlign w:val="center"/>
          </w:tcPr>
          <w:p w14:paraId="3D782FD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2864BC18">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225170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5840E53">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79E08DA">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37CE969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单元式空气调节机(制冷量&gt;14000W</w:t>
            </w:r>
          </w:p>
        </w:tc>
        <w:tc>
          <w:tcPr>
            <w:tcW w:w="4540" w:type="dxa"/>
            <w:tcBorders>
              <w:top w:val="nil"/>
              <w:left w:val="nil"/>
              <w:bottom w:val="single" w:color="000000" w:sz="8" w:space="0"/>
              <w:right w:val="single" w:color="000000" w:sz="8" w:space="0"/>
            </w:tcBorders>
            <w:vAlign w:val="center"/>
          </w:tcPr>
          <w:p w14:paraId="37F7F84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《单元式空气调节机能效限定值及能效等级》（GB19576）《风管送风式空调机组能效限定值及能效等级》（GB37479）</w:t>
            </w:r>
          </w:p>
        </w:tc>
      </w:tr>
      <w:tr w14:paraId="68893394">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695FAADF">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BA4D020">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2CA0EAD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★A02052309专用制冷、空调设备</w:t>
            </w:r>
          </w:p>
        </w:tc>
        <w:tc>
          <w:tcPr>
            <w:tcW w:w="1620" w:type="dxa"/>
            <w:tcBorders>
              <w:top w:val="nil"/>
              <w:left w:val="nil"/>
              <w:bottom w:val="single" w:color="000000" w:sz="8" w:space="0"/>
              <w:right w:val="single" w:color="000000" w:sz="8" w:space="0"/>
            </w:tcBorders>
            <w:vAlign w:val="center"/>
          </w:tcPr>
          <w:p w14:paraId="532E1B1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机房空调</w:t>
            </w:r>
          </w:p>
        </w:tc>
        <w:tc>
          <w:tcPr>
            <w:tcW w:w="4540" w:type="dxa"/>
            <w:tcBorders>
              <w:top w:val="nil"/>
              <w:left w:val="nil"/>
              <w:bottom w:val="single" w:color="000000" w:sz="8" w:space="0"/>
              <w:right w:val="single" w:color="000000" w:sz="8" w:space="0"/>
            </w:tcBorders>
            <w:vAlign w:val="center"/>
          </w:tcPr>
          <w:p w14:paraId="307FBDDC">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《单元式空气调节机能效限定值及能效等级》（GB19576）</w:t>
            </w:r>
          </w:p>
        </w:tc>
      </w:tr>
      <w:tr w14:paraId="3CF4E0B0">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F202187">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4BE823D">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2BDAEDA9">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A02052399其他制冷空调设备</w:t>
            </w:r>
          </w:p>
        </w:tc>
        <w:tc>
          <w:tcPr>
            <w:tcW w:w="1620" w:type="dxa"/>
            <w:tcBorders>
              <w:top w:val="nil"/>
              <w:left w:val="nil"/>
              <w:bottom w:val="single" w:color="000000" w:sz="8" w:space="0"/>
              <w:right w:val="single" w:color="000000" w:sz="8" w:space="0"/>
            </w:tcBorders>
            <w:vAlign w:val="center"/>
          </w:tcPr>
          <w:p w14:paraId="6B023D4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冷却塔</w:t>
            </w:r>
          </w:p>
        </w:tc>
        <w:tc>
          <w:tcPr>
            <w:tcW w:w="4540" w:type="dxa"/>
            <w:tcBorders>
              <w:top w:val="nil"/>
              <w:left w:val="nil"/>
              <w:bottom w:val="single" w:color="000000" w:sz="8" w:space="0"/>
              <w:right w:val="single" w:color="000000" w:sz="8" w:space="0"/>
            </w:tcBorders>
            <w:vAlign w:val="center"/>
          </w:tcPr>
          <w:p w14:paraId="0AB5623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《机械通风冷却塔第1部分：中小型开式冷却塔》（GB/T7190.1）；《机械通风冷却塔第2部分：大型开式冷却塔》（GB/T7190.2）</w:t>
            </w:r>
          </w:p>
        </w:tc>
      </w:tr>
      <w:tr w14:paraId="44A03AEC">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0EC80C2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7</w:t>
            </w:r>
          </w:p>
        </w:tc>
        <w:tc>
          <w:tcPr>
            <w:tcW w:w="1080" w:type="dxa"/>
            <w:tcBorders>
              <w:top w:val="nil"/>
              <w:left w:val="nil"/>
              <w:bottom w:val="single" w:color="000000" w:sz="8" w:space="0"/>
              <w:right w:val="single" w:color="000000" w:sz="8" w:space="0"/>
            </w:tcBorders>
            <w:vAlign w:val="center"/>
          </w:tcPr>
          <w:p w14:paraId="4E0115D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A020601电机</w:t>
            </w:r>
          </w:p>
        </w:tc>
        <w:tc>
          <w:tcPr>
            <w:tcW w:w="1320" w:type="dxa"/>
            <w:tcBorders>
              <w:top w:val="nil"/>
              <w:left w:val="nil"/>
              <w:bottom w:val="single" w:color="000000" w:sz="8" w:space="0"/>
              <w:right w:val="single" w:color="000000" w:sz="8" w:space="0"/>
            </w:tcBorders>
            <w:vAlign w:val="center"/>
          </w:tcPr>
          <w:p w14:paraId="38AB35E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578EA34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D73ECEE">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《中小型三相异步电动机能效限定值及能效等级》（GB18613）</w:t>
            </w:r>
          </w:p>
        </w:tc>
      </w:tr>
      <w:tr w14:paraId="09080BFC">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3C0B306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8</w:t>
            </w:r>
          </w:p>
        </w:tc>
        <w:tc>
          <w:tcPr>
            <w:tcW w:w="1080" w:type="dxa"/>
            <w:tcBorders>
              <w:top w:val="nil"/>
              <w:left w:val="nil"/>
              <w:bottom w:val="single" w:color="000000" w:sz="8" w:space="0"/>
              <w:right w:val="single" w:color="000000" w:sz="8" w:space="0"/>
            </w:tcBorders>
            <w:vAlign w:val="center"/>
          </w:tcPr>
          <w:p w14:paraId="6421408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A020602变压器</w:t>
            </w:r>
          </w:p>
        </w:tc>
        <w:tc>
          <w:tcPr>
            <w:tcW w:w="1320" w:type="dxa"/>
            <w:tcBorders>
              <w:top w:val="nil"/>
              <w:left w:val="nil"/>
              <w:bottom w:val="single" w:color="000000" w:sz="8" w:space="0"/>
              <w:right w:val="single" w:color="000000" w:sz="8" w:space="0"/>
            </w:tcBorders>
            <w:vAlign w:val="center"/>
          </w:tcPr>
          <w:p w14:paraId="43F3A79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配电变压器</w:t>
            </w:r>
          </w:p>
        </w:tc>
        <w:tc>
          <w:tcPr>
            <w:tcW w:w="1620" w:type="dxa"/>
            <w:tcBorders>
              <w:top w:val="nil"/>
              <w:left w:val="nil"/>
              <w:bottom w:val="single" w:color="000000" w:sz="8" w:space="0"/>
              <w:right w:val="single" w:color="000000" w:sz="8" w:space="0"/>
            </w:tcBorders>
            <w:vAlign w:val="center"/>
          </w:tcPr>
          <w:p w14:paraId="4EFFFCC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E5CF521">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《三相配电变压器能效限定值及能效等级》（GB20052）</w:t>
            </w:r>
          </w:p>
        </w:tc>
      </w:tr>
      <w:tr w14:paraId="064E88EF">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697570A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9</w:t>
            </w:r>
          </w:p>
        </w:tc>
        <w:tc>
          <w:tcPr>
            <w:tcW w:w="1080" w:type="dxa"/>
            <w:tcBorders>
              <w:top w:val="nil"/>
              <w:left w:val="nil"/>
              <w:bottom w:val="single" w:color="000000" w:sz="8" w:space="0"/>
              <w:right w:val="single" w:color="000000" w:sz="8" w:space="0"/>
            </w:tcBorders>
            <w:vAlign w:val="center"/>
          </w:tcPr>
          <w:p w14:paraId="75C8426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★A020609镇流器</w:t>
            </w:r>
          </w:p>
        </w:tc>
        <w:tc>
          <w:tcPr>
            <w:tcW w:w="1320" w:type="dxa"/>
            <w:tcBorders>
              <w:top w:val="nil"/>
              <w:left w:val="nil"/>
              <w:bottom w:val="single" w:color="000000" w:sz="8" w:space="0"/>
              <w:right w:val="single" w:color="000000" w:sz="8" w:space="0"/>
            </w:tcBorders>
            <w:vAlign w:val="center"/>
          </w:tcPr>
          <w:p w14:paraId="790C5BA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管型荧光灯镇流器</w:t>
            </w:r>
          </w:p>
        </w:tc>
        <w:tc>
          <w:tcPr>
            <w:tcW w:w="1620" w:type="dxa"/>
            <w:tcBorders>
              <w:top w:val="nil"/>
              <w:left w:val="nil"/>
              <w:bottom w:val="single" w:color="000000" w:sz="8" w:space="0"/>
              <w:right w:val="single" w:color="000000" w:sz="8" w:space="0"/>
            </w:tcBorders>
            <w:vAlign w:val="center"/>
          </w:tcPr>
          <w:p w14:paraId="509C7FB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F56E19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《管形荧光灯镇流器能效限定值及能效等级》（GB17896）</w:t>
            </w:r>
          </w:p>
        </w:tc>
      </w:tr>
      <w:tr w14:paraId="09D445A2">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vAlign w:val="center"/>
          </w:tcPr>
          <w:p w14:paraId="668551B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10</w:t>
            </w:r>
          </w:p>
        </w:tc>
        <w:tc>
          <w:tcPr>
            <w:tcW w:w="1080" w:type="dxa"/>
            <w:vMerge w:val="restart"/>
            <w:tcBorders>
              <w:top w:val="nil"/>
              <w:left w:val="single" w:color="000000" w:sz="8" w:space="0"/>
              <w:bottom w:val="single" w:color="000000" w:sz="8" w:space="0"/>
              <w:right w:val="single" w:color="000000" w:sz="8" w:space="0"/>
            </w:tcBorders>
            <w:vAlign w:val="center"/>
          </w:tcPr>
          <w:p w14:paraId="0C07FD4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A020618生活用电器</w:t>
            </w:r>
          </w:p>
        </w:tc>
        <w:tc>
          <w:tcPr>
            <w:tcW w:w="1320" w:type="dxa"/>
            <w:tcBorders>
              <w:top w:val="nil"/>
              <w:left w:val="nil"/>
              <w:bottom w:val="single" w:color="000000" w:sz="8" w:space="0"/>
              <w:right w:val="single" w:color="000000" w:sz="8" w:space="0"/>
            </w:tcBorders>
            <w:vAlign w:val="center"/>
          </w:tcPr>
          <w:p w14:paraId="76B0E2A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A0206180101电冰箱</w:t>
            </w:r>
          </w:p>
        </w:tc>
        <w:tc>
          <w:tcPr>
            <w:tcW w:w="1620" w:type="dxa"/>
            <w:tcBorders>
              <w:top w:val="nil"/>
              <w:left w:val="nil"/>
              <w:bottom w:val="single" w:color="000000" w:sz="8" w:space="0"/>
              <w:right w:val="single" w:color="000000" w:sz="8" w:space="0"/>
            </w:tcBorders>
            <w:vAlign w:val="center"/>
          </w:tcPr>
          <w:p w14:paraId="1E00C62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3BFE831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《家用电冰箱耗电量限定值及能效等级》（GB 12021.2）</w:t>
            </w:r>
          </w:p>
        </w:tc>
      </w:tr>
      <w:tr w14:paraId="3A4BDF0D">
        <w:tblPrEx>
          <w:tblCellMar>
            <w:top w:w="0" w:type="dxa"/>
            <w:left w:w="108" w:type="dxa"/>
            <w:bottom w:w="0" w:type="dxa"/>
            <w:right w:w="108" w:type="dxa"/>
          </w:tblCellMar>
        </w:tblPrEx>
        <w:trPr>
          <w:trHeight w:val="97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350E459B">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5DFB887">
            <w:pPr>
              <w:widowControl/>
              <w:jc w:val="left"/>
              <w:rPr>
                <w:rFonts w:hint="eastAsia"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58624C7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★A0206180203空调机</w:t>
            </w:r>
          </w:p>
        </w:tc>
        <w:tc>
          <w:tcPr>
            <w:tcW w:w="1620" w:type="dxa"/>
            <w:tcBorders>
              <w:top w:val="nil"/>
              <w:left w:val="nil"/>
              <w:bottom w:val="single" w:color="000000" w:sz="8" w:space="0"/>
              <w:right w:val="single" w:color="000000" w:sz="8" w:space="0"/>
            </w:tcBorders>
            <w:vAlign w:val="center"/>
          </w:tcPr>
          <w:p w14:paraId="14B5571D">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房间空气调节器</w:t>
            </w:r>
          </w:p>
        </w:tc>
        <w:tc>
          <w:tcPr>
            <w:tcW w:w="4540" w:type="dxa"/>
            <w:tcBorders>
              <w:top w:val="nil"/>
              <w:left w:val="nil"/>
              <w:bottom w:val="single" w:color="000000" w:sz="8" w:space="0"/>
              <w:right w:val="single" w:color="000000" w:sz="8" w:space="0"/>
            </w:tcBorders>
            <w:vAlign w:val="center"/>
          </w:tcPr>
          <w:p w14:paraId="07EC496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66EEB2F2">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33680E3">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78BE961">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2DCE38C">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7436D79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多联式空调（热泵）机组（制冷量≤ 14000W）</w:t>
            </w:r>
          </w:p>
        </w:tc>
        <w:tc>
          <w:tcPr>
            <w:tcW w:w="4540" w:type="dxa"/>
            <w:tcBorders>
              <w:top w:val="nil"/>
              <w:left w:val="nil"/>
              <w:bottom w:val="single" w:color="000000" w:sz="8" w:space="0"/>
              <w:right w:val="single" w:color="000000" w:sz="8" w:space="0"/>
            </w:tcBorders>
            <w:vAlign w:val="center"/>
          </w:tcPr>
          <w:p w14:paraId="53F8171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《多联式空调（热泵）机组能效限定值及能源效率等级》（GB21454）</w:t>
            </w:r>
          </w:p>
        </w:tc>
      </w:tr>
      <w:tr w14:paraId="79F68CF5">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54E0542A">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8BDB90D">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44B23CB">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40299DC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单元式空气调节机(制冷量≤14000W)</w:t>
            </w:r>
          </w:p>
        </w:tc>
        <w:tc>
          <w:tcPr>
            <w:tcW w:w="4540" w:type="dxa"/>
            <w:tcBorders>
              <w:top w:val="nil"/>
              <w:left w:val="nil"/>
              <w:bottom w:val="single" w:color="000000" w:sz="8" w:space="0"/>
              <w:right w:val="single" w:color="000000" w:sz="8" w:space="0"/>
            </w:tcBorders>
            <w:vAlign w:val="center"/>
          </w:tcPr>
          <w:p w14:paraId="5F4CFBD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《单元式空气调节机能效限定值及能源效率等级》（GB19576）《风管送风式空调机组能效限定值及能效等级》（GB37479）</w:t>
            </w:r>
          </w:p>
        </w:tc>
      </w:tr>
      <w:tr w14:paraId="2519006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783A51A">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E3EC2AC">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43DA01B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A0206180301洗衣机</w:t>
            </w:r>
          </w:p>
        </w:tc>
        <w:tc>
          <w:tcPr>
            <w:tcW w:w="1620" w:type="dxa"/>
            <w:tcBorders>
              <w:top w:val="nil"/>
              <w:left w:val="nil"/>
              <w:bottom w:val="single" w:color="000000" w:sz="8" w:space="0"/>
              <w:right w:val="single" w:color="000000" w:sz="8" w:space="0"/>
            </w:tcBorders>
            <w:vAlign w:val="center"/>
          </w:tcPr>
          <w:p w14:paraId="1E7B3A7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0AC2E8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《电动洗衣机能效水效限定值及等级》（GB12021.4）</w:t>
            </w:r>
          </w:p>
        </w:tc>
      </w:tr>
      <w:tr w14:paraId="5E9C899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612DD4A">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BE02B62">
            <w:pPr>
              <w:widowControl/>
              <w:jc w:val="left"/>
              <w:rPr>
                <w:rFonts w:hint="eastAsia" w:ascii="宋体" w:hAnsi="宋体" w:cs="宋体"/>
                <w:color w:val="auto"/>
                <w:kern w:val="0"/>
                <w:sz w:val="20"/>
                <w:szCs w:val="20"/>
                <w:highlight w:val="none"/>
              </w:rPr>
            </w:pPr>
          </w:p>
        </w:tc>
        <w:tc>
          <w:tcPr>
            <w:tcW w:w="1320" w:type="dxa"/>
            <w:vMerge w:val="restart"/>
            <w:tcBorders>
              <w:top w:val="nil"/>
              <w:left w:val="single" w:color="000000" w:sz="8" w:space="0"/>
              <w:bottom w:val="single" w:color="000000" w:sz="8" w:space="0"/>
              <w:right w:val="single" w:color="000000" w:sz="8" w:space="0"/>
            </w:tcBorders>
            <w:vAlign w:val="center"/>
          </w:tcPr>
          <w:p w14:paraId="118DEB7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A02061808热水器</w:t>
            </w:r>
          </w:p>
        </w:tc>
        <w:tc>
          <w:tcPr>
            <w:tcW w:w="1620" w:type="dxa"/>
            <w:tcBorders>
              <w:top w:val="nil"/>
              <w:left w:val="nil"/>
              <w:bottom w:val="single" w:color="000000" w:sz="8" w:space="0"/>
              <w:right w:val="single" w:color="000000" w:sz="8" w:space="0"/>
            </w:tcBorders>
            <w:vAlign w:val="center"/>
          </w:tcPr>
          <w:p w14:paraId="0745AE5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★电热水器</w:t>
            </w:r>
          </w:p>
        </w:tc>
        <w:tc>
          <w:tcPr>
            <w:tcW w:w="4540" w:type="dxa"/>
            <w:tcBorders>
              <w:top w:val="nil"/>
              <w:left w:val="nil"/>
              <w:bottom w:val="single" w:color="000000" w:sz="8" w:space="0"/>
              <w:right w:val="single" w:color="000000" w:sz="8" w:space="0"/>
            </w:tcBorders>
            <w:vAlign w:val="center"/>
          </w:tcPr>
          <w:p w14:paraId="31C28A76">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《储水式电热水器能效限定值及能效等级》（GB21519）</w:t>
            </w:r>
          </w:p>
        </w:tc>
      </w:tr>
      <w:tr w14:paraId="3FE2ACC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D282CDA">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8E7109C">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72D5F1C0">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360EC41C">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燃气热水器</w:t>
            </w:r>
          </w:p>
        </w:tc>
        <w:tc>
          <w:tcPr>
            <w:tcW w:w="4540" w:type="dxa"/>
            <w:tcBorders>
              <w:top w:val="nil"/>
              <w:left w:val="nil"/>
              <w:bottom w:val="single" w:color="000000" w:sz="8" w:space="0"/>
              <w:right w:val="single" w:color="000000" w:sz="8" w:space="0"/>
            </w:tcBorders>
            <w:vAlign w:val="center"/>
          </w:tcPr>
          <w:p w14:paraId="4C40C2E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《家用燃气快速热水器和燃气采暖热水炉能效限定值及能效等级》（GB20665）</w:t>
            </w:r>
          </w:p>
        </w:tc>
      </w:tr>
      <w:tr w14:paraId="4B4E686A">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7473598">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BBF99C2">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096F77B5">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642EBDE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热泵热水器</w:t>
            </w:r>
          </w:p>
        </w:tc>
        <w:tc>
          <w:tcPr>
            <w:tcW w:w="4540" w:type="dxa"/>
            <w:tcBorders>
              <w:top w:val="nil"/>
              <w:left w:val="nil"/>
              <w:bottom w:val="single" w:color="000000" w:sz="8" w:space="0"/>
              <w:right w:val="single" w:color="000000" w:sz="8" w:space="0"/>
            </w:tcBorders>
            <w:vAlign w:val="center"/>
          </w:tcPr>
          <w:p w14:paraId="1B2BB08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《热泵热水机（器）能效限定值及能效等级》（GB29541）</w:t>
            </w:r>
          </w:p>
        </w:tc>
      </w:tr>
      <w:tr w14:paraId="5B2D0E75">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0D0E8DE9">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BC78034">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5506F709">
            <w:pPr>
              <w:widowControl/>
              <w:jc w:val="left"/>
              <w:rPr>
                <w:rFonts w:hint="eastAsia" w:ascii="宋体" w:hAnsi="宋体" w:cs="宋体"/>
                <w:color w:val="auto"/>
                <w:kern w:val="0"/>
                <w:sz w:val="20"/>
                <w:szCs w:val="20"/>
                <w:highlight w:val="none"/>
              </w:rPr>
            </w:pPr>
          </w:p>
        </w:tc>
        <w:tc>
          <w:tcPr>
            <w:tcW w:w="1620" w:type="dxa"/>
            <w:tcBorders>
              <w:top w:val="nil"/>
              <w:left w:val="nil"/>
              <w:bottom w:val="single" w:color="000000" w:sz="8" w:space="0"/>
              <w:right w:val="single" w:color="000000" w:sz="8" w:space="0"/>
            </w:tcBorders>
            <w:vAlign w:val="center"/>
          </w:tcPr>
          <w:p w14:paraId="7199219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太阳能热水系统</w:t>
            </w:r>
          </w:p>
        </w:tc>
        <w:tc>
          <w:tcPr>
            <w:tcW w:w="4540" w:type="dxa"/>
            <w:tcBorders>
              <w:top w:val="nil"/>
              <w:left w:val="nil"/>
              <w:bottom w:val="single" w:color="000000" w:sz="8" w:space="0"/>
              <w:right w:val="single" w:color="000000" w:sz="8" w:space="0"/>
            </w:tcBorders>
            <w:vAlign w:val="center"/>
          </w:tcPr>
          <w:p w14:paraId="1DE83A38">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《家用太阳能热水系统能效限定值及能效等级》（GB26969）</w:t>
            </w:r>
          </w:p>
        </w:tc>
      </w:tr>
      <w:tr w14:paraId="3E2DFB30">
        <w:tblPrEx>
          <w:tblCellMar>
            <w:top w:w="0" w:type="dxa"/>
            <w:left w:w="108" w:type="dxa"/>
            <w:bottom w:w="0" w:type="dxa"/>
            <w:right w:w="108" w:type="dxa"/>
          </w:tblCellMar>
        </w:tblPrEx>
        <w:trPr>
          <w:trHeight w:val="495" w:hRule="atLeast"/>
          <w:jc w:val="center"/>
        </w:trPr>
        <w:tc>
          <w:tcPr>
            <w:tcW w:w="660" w:type="dxa"/>
            <w:vMerge w:val="restart"/>
            <w:tcBorders>
              <w:top w:val="nil"/>
              <w:left w:val="single" w:color="000000" w:sz="8" w:space="0"/>
              <w:bottom w:val="single" w:color="000000" w:sz="8" w:space="0"/>
              <w:right w:val="single" w:color="000000" w:sz="8" w:space="0"/>
            </w:tcBorders>
            <w:vAlign w:val="center"/>
          </w:tcPr>
          <w:p w14:paraId="6EA9DDB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11</w:t>
            </w:r>
          </w:p>
        </w:tc>
        <w:tc>
          <w:tcPr>
            <w:tcW w:w="1080" w:type="dxa"/>
            <w:vMerge w:val="restart"/>
            <w:tcBorders>
              <w:top w:val="nil"/>
              <w:left w:val="single" w:color="000000" w:sz="8" w:space="0"/>
              <w:bottom w:val="single" w:color="000000" w:sz="8" w:space="0"/>
              <w:right w:val="single" w:color="000000" w:sz="8" w:space="0"/>
            </w:tcBorders>
            <w:vAlign w:val="center"/>
          </w:tcPr>
          <w:p w14:paraId="2163C2F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A020619照明设备</w:t>
            </w:r>
          </w:p>
        </w:tc>
        <w:tc>
          <w:tcPr>
            <w:tcW w:w="1320" w:type="dxa"/>
            <w:tcBorders>
              <w:top w:val="nil"/>
              <w:left w:val="nil"/>
              <w:bottom w:val="single" w:color="000000" w:sz="8" w:space="0"/>
              <w:right w:val="single" w:color="000000" w:sz="8" w:space="0"/>
            </w:tcBorders>
            <w:vAlign w:val="center"/>
          </w:tcPr>
          <w:p w14:paraId="0FD6EF5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w:t>
            </w:r>
          </w:p>
        </w:tc>
        <w:tc>
          <w:tcPr>
            <w:tcW w:w="1620" w:type="dxa"/>
            <w:tcBorders>
              <w:top w:val="nil"/>
              <w:left w:val="nil"/>
              <w:bottom w:val="single" w:color="000000" w:sz="8" w:space="0"/>
              <w:right w:val="single" w:color="000000" w:sz="8" w:space="0"/>
            </w:tcBorders>
            <w:vAlign w:val="center"/>
          </w:tcPr>
          <w:p w14:paraId="6C27F2C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7BCD58B">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《普通照明用双端荧光灯能效限定值及能效等级》（GB19043）</w:t>
            </w:r>
          </w:p>
        </w:tc>
      </w:tr>
      <w:tr w14:paraId="35C39320">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D07FFFF">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3B1C3441">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6EA27DE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LED道路/隧道照明产品</w:t>
            </w:r>
          </w:p>
        </w:tc>
        <w:tc>
          <w:tcPr>
            <w:tcW w:w="1620" w:type="dxa"/>
            <w:tcBorders>
              <w:top w:val="nil"/>
              <w:left w:val="nil"/>
              <w:bottom w:val="single" w:color="000000" w:sz="8" w:space="0"/>
              <w:right w:val="single" w:color="000000" w:sz="8" w:space="0"/>
            </w:tcBorders>
            <w:vAlign w:val="center"/>
          </w:tcPr>
          <w:p w14:paraId="3133077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785822CD">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《道路和隧道照明用LED灯具能效限定值及能效等级》（GB37478）</w:t>
            </w:r>
          </w:p>
        </w:tc>
      </w:tr>
      <w:tr w14:paraId="69B09F4C">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B734B6E">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461F3601">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19F9124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LED筒灯</w:t>
            </w:r>
          </w:p>
        </w:tc>
        <w:tc>
          <w:tcPr>
            <w:tcW w:w="1620" w:type="dxa"/>
            <w:tcBorders>
              <w:top w:val="nil"/>
              <w:left w:val="nil"/>
              <w:bottom w:val="single" w:color="000000" w:sz="8" w:space="0"/>
              <w:right w:val="single" w:color="000000" w:sz="8" w:space="0"/>
            </w:tcBorders>
            <w:vAlign w:val="center"/>
          </w:tcPr>
          <w:p w14:paraId="0FC2FC1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D0C292F">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092BE102">
        <w:tblPrEx>
          <w:tblCellMar>
            <w:top w:w="0" w:type="dxa"/>
            <w:left w:w="108" w:type="dxa"/>
            <w:bottom w:w="0" w:type="dxa"/>
            <w:right w:w="108" w:type="dxa"/>
          </w:tblCellMar>
        </w:tblPrEx>
        <w:trPr>
          <w:trHeight w:val="73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418FC383">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240BBE7A">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0AE8604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普通照明用非定向自镇流LED灯</w:t>
            </w:r>
          </w:p>
        </w:tc>
        <w:tc>
          <w:tcPr>
            <w:tcW w:w="1620" w:type="dxa"/>
            <w:tcBorders>
              <w:top w:val="nil"/>
              <w:left w:val="nil"/>
              <w:bottom w:val="single" w:color="000000" w:sz="8" w:space="0"/>
              <w:right w:val="single" w:color="000000" w:sz="8" w:space="0"/>
            </w:tcBorders>
            <w:vAlign w:val="center"/>
          </w:tcPr>
          <w:p w14:paraId="7567657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50AC1453">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《室内照明用LED产品能效限定值及能效等级》（GB30255）</w:t>
            </w:r>
          </w:p>
        </w:tc>
      </w:tr>
      <w:tr w14:paraId="000BA34F">
        <w:tblPrEx>
          <w:tblCellMar>
            <w:top w:w="0" w:type="dxa"/>
            <w:left w:w="108" w:type="dxa"/>
            <w:bottom w:w="0" w:type="dxa"/>
            <w:right w:w="108" w:type="dxa"/>
          </w:tblCellMar>
        </w:tblPrEx>
        <w:trPr>
          <w:trHeight w:val="735" w:hRule="atLeast"/>
          <w:jc w:val="center"/>
        </w:trPr>
        <w:tc>
          <w:tcPr>
            <w:tcW w:w="660" w:type="dxa"/>
            <w:tcBorders>
              <w:top w:val="nil"/>
              <w:left w:val="single" w:color="000000" w:sz="8" w:space="0"/>
              <w:bottom w:val="single" w:color="000000" w:sz="8" w:space="0"/>
              <w:right w:val="single" w:color="000000" w:sz="8" w:space="0"/>
            </w:tcBorders>
            <w:vAlign w:val="center"/>
          </w:tcPr>
          <w:p w14:paraId="172B474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12</w:t>
            </w:r>
          </w:p>
        </w:tc>
        <w:tc>
          <w:tcPr>
            <w:tcW w:w="1080" w:type="dxa"/>
            <w:tcBorders>
              <w:top w:val="nil"/>
              <w:left w:val="nil"/>
              <w:bottom w:val="single" w:color="000000" w:sz="8" w:space="0"/>
              <w:right w:val="single" w:color="000000" w:sz="8" w:space="0"/>
            </w:tcBorders>
            <w:vAlign w:val="center"/>
          </w:tcPr>
          <w:p w14:paraId="6B0ED93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★A020910电视设备</w:t>
            </w:r>
          </w:p>
        </w:tc>
        <w:tc>
          <w:tcPr>
            <w:tcW w:w="1320" w:type="dxa"/>
            <w:tcBorders>
              <w:top w:val="nil"/>
              <w:left w:val="nil"/>
              <w:bottom w:val="single" w:color="000000" w:sz="8" w:space="0"/>
              <w:right w:val="single" w:color="000000" w:sz="8" w:space="0"/>
            </w:tcBorders>
            <w:vAlign w:val="center"/>
          </w:tcPr>
          <w:p w14:paraId="56DBEB7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A02091001普通电视设备（电视机）</w:t>
            </w:r>
          </w:p>
        </w:tc>
        <w:tc>
          <w:tcPr>
            <w:tcW w:w="1620" w:type="dxa"/>
            <w:tcBorders>
              <w:top w:val="nil"/>
              <w:left w:val="nil"/>
              <w:bottom w:val="single" w:color="000000" w:sz="8" w:space="0"/>
              <w:right w:val="single" w:color="000000" w:sz="8" w:space="0"/>
            </w:tcBorders>
            <w:vAlign w:val="center"/>
          </w:tcPr>
          <w:p w14:paraId="460B042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4347F32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《平板电视能效限定值及能效等级》（GB24850）</w:t>
            </w:r>
          </w:p>
        </w:tc>
      </w:tr>
      <w:tr w14:paraId="288673B5">
        <w:tblPrEx>
          <w:tblCellMar>
            <w:top w:w="0" w:type="dxa"/>
            <w:left w:w="108" w:type="dxa"/>
            <w:bottom w:w="0" w:type="dxa"/>
            <w:right w:w="108" w:type="dxa"/>
          </w:tblCellMar>
        </w:tblPrEx>
        <w:trPr>
          <w:trHeight w:val="975" w:hRule="atLeast"/>
          <w:jc w:val="center"/>
        </w:trPr>
        <w:tc>
          <w:tcPr>
            <w:tcW w:w="660" w:type="dxa"/>
            <w:tcBorders>
              <w:top w:val="nil"/>
              <w:left w:val="single" w:color="000000" w:sz="8" w:space="0"/>
              <w:bottom w:val="single" w:color="000000" w:sz="8" w:space="0"/>
              <w:right w:val="single" w:color="000000" w:sz="8" w:space="0"/>
            </w:tcBorders>
            <w:vAlign w:val="center"/>
          </w:tcPr>
          <w:p w14:paraId="291A0C74">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13</w:t>
            </w:r>
          </w:p>
        </w:tc>
        <w:tc>
          <w:tcPr>
            <w:tcW w:w="1080" w:type="dxa"/>
            <w:tcBorders>
              <w:top w:val="nil"/>
              <w:left w:val="nil"/>
              <w:bottom w:val="single" w:color="000000" w:sz="8" w:space="0"/>
              <w:right w:val="single" w:color="000000" w:sz="8" w:space="0"/>
            </w:tcBorders>
            <w:vAlign w:val="center"/>
          </w:tcPr>
          <w:p w14:paraId="6ACE5C6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★A020911视频设备</w:t>
            </w:r>
          </w:p>
        </w:tc>
        <w:tc>
          <w:tcPr>
            <w:tcW w:w="1320" w:type="dxa"/>
            <w:tcBorders>
              <w:top w:val="nil"/>
              <w:left w:val="nil"/>
              <w:bottom w:val="single" w:color="000000" w:sz="8" w:space="0"/>
              <w:right w:val="single" w:color="000000" w:sz="8" w:space="0"/>
            </w:tcBorders>
            <w:vAlign w:val="center"/>
          </w:tcPr>
          <w:p w14:paraId="5F46914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A02091107视频监控设备</w:t>
            </w:r>
          </w:p>
        </w:tc>
        <w:tc>
          <w:tcPr>
            <w:tcW w:w="1620" w:type="dxa"/>
            <w:tcBorders>
              <w:top w:val="nil"/>
              <w:left w:val="nil"/>
              <w:bottom w:val="single" w:color="000000" w:sz="8" w:space="0"/>
              <w:right w:val="single" w:color="000000" w:sz="8" w:space="0"/>
            </w:tcBorders>
            <w:vAlign w:val="center"/>
          </w:tcPr>
          <w:p w14:paraId="090D492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监视器</w:t>
            </w:r>
          </w:p>
        </w:tc>
        <w:tc>
          <w:tcPr>
            <w:tcW w:w="4540" w:type="dxa"/>
            <w:tcBorders>
              <w:top w:val="nil"/>
              <w:left w:val="nil"/>
              <w:bottom w:val="single" w:color="000000" w:sz="8" w:space="0"/>
              <w:right w:val="single" w:color="000000" w:sz="8" w:space="0"/>
            </w:tcBorders>
            <w:vAlign w:val="center"/>
          </w:tcPr>
          <w:p w14:paraId="5ACA9967">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67605FA6">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45CD47F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14</w:t>
            </w:r>
          </w:p>
        </w:tc>
        <w:tc>
          <w:tcPr>
            <w:tcW w:w="1080" w:type="dxa"/>
            <w:tcBorders>
              <w:top w:val="nil"/>
              <w:left w:val="nil"/>
              <w:bottom w:val="single" w:color="000000" w:sz="8" w:space="0"/>
              <w:right w:val="single" w:color="000000" w:sz="8" w:space="0"/>
            </w:tcBorders>
            <w:vAlign w:val="center"/>
          </w:tcPr>
          <w:p w14:paraId="0E4F53D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A031210饮食炊事机械</w:t>
            </w:r>
          </w:p>
        </w:tc>
        <w:tc>
          <w:tcPr>
            <w:tcW w:w="1320" w:type="dxa"/>
            <w:tcBorders>
              <w:top w:val="nil"/>
              <w:left w:val="nil"/>
              <w:bottom w:val="single" w:color="000000" w:sz="8" w:space="0"/>
              <w:right w:val="single" w:color="000000" w:sz="8" w:space="0"/>
            </w:tcBorders>
            <w:vAlign w:val="center"/>
          </w:tcPr>
          <w:p w14:paraId="1DFB6BE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w:t>
            </w:r>
          </w:p>
        </w:tc>
        <w:tc>
          <w:tcPr>
            <w:tcW w:w="1620" w:type="dxa"/>
            <w:tcBorders>
              <w:top w:val="nil"/>
              <w:left w:val="nil"/>
              <w:bottom w:val="single" w:color="000000" w:sz="8" w:space="0"/>
              <w:right w:val="single" w:color="000000" w:sz="8" w:space="0"/>
            </w:tcBorders>
            <w:vAlign w:val="center"/>
          </w:tcPr>
          <w:p w14:paraId="5683928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6D9A0B5">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《商用燃气灶具能效限定值及能效等级》（GB30531）</w:t>
            </w:r>
          </w:p>
        </w:tc>
      </w:tr>
      <w:tr w14:paraId="5AD94F66">
        <w:tblPrEx>
          <w:tblCellMar>
            <w:top w:w="0" w:type="dxa"/>
            <w:left w:w="108" w:type="dxa"/>
            <w:bottom w:w="0" w:type="dxa"/>
            <w:right w:w="108" w:type="dxa"/>
          </w:tblCellMar>
        </w:tblPrEx>
        <w:trPr>
          <w:trHeight w:val="285" w:hRule="atLeast"/>
          <w:jc w:val="center"/>
        </w:trPr>
        <w:tc>
          <w:tcPr>
            <w:tcW w:w="660" w:type="dxa"/>
            <w:vMerge w:val="restart"/>
            <w:tcBorders>
              <w:top w:val="nil"/>
              <w:left w:val="single" w:color="000000" w:sz="8" w:space="0"/>
              <w:bottom w:val="single" w:color="000000" w:sz="8" w:space="0"/>
              <w:right w:val="single" w:color="000000" w:sz="8" w:space="0"/>
            </w:tcBorders>
            <w:vAlign w:val="center"/>
          </w:tcPr>
          <w:p w14:paraId="511EF37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15</w:t>
            </w:r>
          </w:p>
        </w:tc>
        <w:tc>
          <w:tcPr>
            <w:tcW w:w="1080" w:type="dxa"/>
            <w:vMerge w:val="restart"/>
            <w:tcBorders>
              <w:top w:val="nil"/>
              <w:left w:val="single" w:color="000000" w:sz="8" w:space="0"/>
              <w:bottom w:val="single" w:color="000000" w:sz="8" w:space="0"/>
              <w:right w:val="single" w:color="000000" w:sz="8" w:space="0"/>
            </w:tcBorders>
            <w:vAlign w:val="center"/>
          </w:tcPr>
          <w:p w14:paraId="6103FBA8">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★A060805便器</w:t>
            </w:r>
          </w:p>
        </w:tc>
        <w:tc>
          <w:tcPr>
            <w:tcW w:w="1320" w:type="dxa"/>
            <w:tcBorders>
              <w:top w:val="nil"/>
              <w:left w:val="nil"/>
              <w:bottom w:val="single" w:color="000000" w:sz="8" w:space="0"/>
              <w:right w:val="single" w:color="000000" w:sz="8" w:space="0"/>
            </w:tcBorders>
            <w:vAlign w:val="center"/>
          </w:tcPr>
          <w:p w14:paraId="06D3E9C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w:t>
            </w:r>
          </w:p>
        </w:tc>
        <w:tc>
          <w:tcPr>
            <w:tcW w:w="1620" w:type="dxa"/>
            <w:tcBorders>
              <w:top w:val="nil"/>
              <w:left w:val="nil"/>
              <w:bottom w:val="single" w:color="000000" w:sz="8" w:space="0"/>
              <w:right w:val="single" w:color="000000" w:sz="8" w:space="0"/>
            </w:tcBorders>
            <w:vAlign w:val="center"/>
          </w:tcPr>
          <w:p w14:paraId="45B8972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10FB2732">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《坐便器水效限定值及水效等级》（GB25502）</w:t>
            </w:r>
          </w:p>
        </w:tc>
      </w:tr>
      <w:tr w14:paraId="74FC1C86">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279717A1">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11A892E9">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7289BB82">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w:t>
            </w:r>
          </w:p>
        </w:tc>
        <w:tc>
          <w:tcPr>
            <w:tcW w:w="1620" w:type="dxa"/>
            <w:tcBorders>
              <w:top w:val="nil"/>
              <w:left w:val="nil"/>
              <w:bottom w:val="single" w:color="000000" w:sz="8" w:space="0"/>
              <w:right w:val="single" w:color="000000" w:sz="8" w:space="0"/>
            </w:tcBorders>
            <w:vAlign w:val="center"/>
          </w:tcPr>
          <w:p w14:paraId="6CB37A8F">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7F51817A">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《蹲便器用水效率限定值及用水效率等级》（GB30717）</w:t>
            </w:r>
          </w:p>
        </w:tc>
      </w:tr>
      <w:tr w14:paraId="3C6546F7">
        <w:tblPrEx>
          <w:tblCellMar>
            <w:top w:w="0" w:type="dxa"/>
            <w:left w:w="108" w:type="dxa"/>
            <w:bottom w:w="0" w:type="dxa"/>
            <w:right w:w="108" w:type="dxa"/>
          </w:tblCellMar>
        </w:tblPrEx>
        <w:trPr>
          <w:trHeight w:val="495" w:hRule="atLeast"/>
          <w:jc w:val="center"/>
        </w:trPr>
        <w:tc>
          <w:tcPr>
            <w:tcW w:w="0" w:type="auto"/>
            <w:vMerge w:val="continue"/>
            <w:tcBorders>
              <w:top w:val="nil"/>
              <w:left w:val="single" w:color="000000" w:sz="8" w:space="0"/>
              <w:bottom w:val="single" w:color="000000" w:sz="8" w:space="0"/>
              <w:right w:val="single" w:color="000000" w:sz="8" w:space="0"/>
            </w:tcBorders>
            <w:vAlign w:val="center"/>
          </w:tcPr>
          <w:p w14:paraId="7AE82453">
            <w:pPr>
              <w:widowControl/>
              <w:jc w:val="left"/>
              <w:rPr>
                <w:rFonts w:hint="eastAsia" w:ascii="宋体" w:hAnsi="宋体" w:cs="宋体"/>
                <w:color w:val="auto"/>
                <w:kern w:val="0"/>
                <w:sz w:val="20"/>
                <w:szCs w:val="20"/>
                <w:highlight w:val="none"/>
              </w:rPr>
            </w:pPr>
          </w:p>
        </w:tc>
        <w:tc>
          <w:tcPr>
            <w:tcW w:w="0" w:type="auto"/>
            <w:vMerge w:val="continue"/>
            <w:tcBorders>
              <w:top w:val="nil"/>
              <w:left w:val="single" w:color="000000" w:sz="8" w:space="0"/>
              <w:bottom w:val="single" w:color="000000" w:sz="8" w:space="0"/>
              <w:right w:val="single" w:color="000000" w:sz="8" w:space="0"/>
            </w:tcBorders>
            <w:vAlign w:val="center"/>
          </w:tcPr>
          <w:p w14:paraId="69BC05D6">
            <w:pPr>
              <w:widowControl/>
              <w:jc w:val="left"/>
              <w:rPr>
                <w:rFonts w:hint="eastAsia" w:ascii="宋体" w:hAnsi="宋体" w:cs="宋体"/>
                <w:color w:val="auto"/>
                <w:kern w:val="0"/>
                <w:sz w:val="20"/>
                <w:szCs w:val="20"/>
                <w:highlight w:val="none"/>
              </w:rPr>
            </w:pPr>
          </w:p>
        </w:tc>
        <w:tc>
          <w:tcPr>
            <w:tcW w:w="1320" w:type="dxa"/>
            <w:tcBorders>
              <w:top w:val="nil"/>
              <w:left w:val="nil"/>
              <w:bottom w:val="single" w:color="000000" w:sz="8" w:space="0"/>
              <w:right w:val="single" w:color="000000" w:sz="8" w:space="0"/>
            </w:tcBorders>
            <w:vAlign w:val="center"/>
          </w:tcPr>
          <w:p w14:paraId="51D55827">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w:t>
            </w:r>
          </w:p>
        </w:tc>
        <w:tc>
          <w:tcPr>
            <w:tcW w:w="1620" w:type="dxa"/>
            <w:tcBorders>
              <w:top w:val="nil"/>
              <w:left w:val="nil"/>
              <w:bottom w:val="single" w:color="000000" w:sz="8" w:space="0"/>
              <w:right w:val="single" w:color="000000" w:sz="8" w:space="0"/>
            </w:tcBorders>
            <w:vAlign w:val="center"/>
          </w:tcPr>
          <w:p w14:paraId="68D6E53E">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426454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《小便器用水效率限定值及用水效率等级》（GB28377）</w:t>
            </w:r>
          </w:p>
        </w:tc>
      </w:tr>
      <w:tr w14:paraId="5C833C53">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564DF3B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16</w:t>
            </w:r>
          </w:p>
        </w:tc>
        <w:tc>
          <w:tcPr>
            <w:tcW w:w="1080" w:type="dxa"/>
            <w:tcBorders>
              <w:top w:val="nil"/>
              <w:left w:val="nil"/>
              <w:bottom w:val="single" w:color="000000" w:sz="8" w:space="0"/>
              <w:right w:val="single" w:color="000000" w:sz="8" w:space="0"/>
            </w:tcBorders>
            <w:vAlign w:val="center"/>
          </w:tcPr>
          <w:p w14:paraId="05ED6A2B">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★A060806水嘴</w:t>
            </w:r>
          </w:p>
        </w:tc>
        <w:tc>
          <w:tcPr>
            <w:tcW w:w="1320" w:type="dxa"/>
            <w:tcBorders>
              <w:top w:val="nil"/>
              <w:left w:val="nil"/>
              <w:bottom w:val="single" w:color="000000" w:sz="8" w:space="0"/>
              <w:right w:val="single" w:color="000000" w:sz="8" w:space="0"/>
            </w:tcBorders>
            <w:vAlign w:val="center"/>
          </w:tcPr>
          <w:p w14:paraId="0D5EB0D1">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753A2CB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33C11D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《水嘴用水效率限定值及用水效率等级》（GB 25501）</w:t>
            </w:r>
          </w:p>
        </w:tc>
      </w:tr>
      <w:tr w14:paraId="02AF346D">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40395DC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17</w:t>
            </w:r>
          </w:p>
        </w:tc>
        <w:tc>
          <w:tcPr>
            <w:tcW w:w="1080" w:type="dxa"/>
            <w:tcBorders>
              <w:top w:val="nil"/>
              <w:left w:val="nil"/>
              <w:bottom w:val="single" w:color="000000" w:sz="8" w:space="0"/>
              <w:right w:val="single" w:color="000000" w:sz="8" w:space="0"/>
            </w:tcBorders>
            <w:vAlign w:val="center"/>
          </w:tcPr>
          <w:p w14:paraId="5B087E4A">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A060807便器冲洗阀</w:t>
            </w:r>
          </w:p>
        </w:tc>
        <w:tc>
          <w:tcPr>
            <w:tcW w:w="1320" w:type="dxa"/>
            <w:tcBorders>
              <w:top w:val="nil"/>
              <w:left w:val="nil"/>
              <w:bottom w:val="single" w:color="000000" w:sz="8" w:space="0"/>
              <w:right w:val="single" w:color="000000" w:sz="8" w:space="0"/>
            </w:tcBorders>
            <w:vAlign w:val="center"/>
          </w:tcPr>
          <w:p w14:paraId="5D5BCA5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553F50E3">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64D4519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《便器冲洗阀用水效率限定值及用水效率等级》（GB28379）</w:t>
            </w:r>
          </w:p>
        </w:tc>
      </w:tr>
      <w:tr w14:paraId="171B327E">
        <w:tblPrEx>
          <w:tblCellMar>
            <w:top w:w="0" w:type="dxa"/>
            <w:left w:w="108" w:type="dxa"/>
            <w:bottom w:w="0" w:type="dxa"/>
            <w:right w:w="108" w:type="dxa"/>
          </w:tblCellMar>
        </w:tblPrEx>
        <w:trPr>
          <w:trHeight w:val="495" w:hRule="atLeast"/>
          <w:jc w:val="center"/>
        </w:trPr>
        <w:tc>
          <w:tcPr>
            <w:tcW w:w="660" w:type="dxa"/>
            <w:tcBorders>
              <w:top w:val="nil"/>
              <w:left w:val="single" w:color="000000" w:sz="8" w:space="0"/>
              <w:bottom w:val="single" w:color="000000" w:sz="8" w:space="0"/>
              <w:right w:val="single" w:color="000000" w:sz="8" w:space="0"/>
            </w:tcBorders>
            <w:vAlign w:val="center"/>
          </w:tcPr>
          <w:p w14:paraId="5EEFF1D5">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18</w:t>
            </w:r>
          </w:p>
        </w:tc>
        <w:tc>
          <w:tcPr>
            <w:tcW w:w="1080" w:type="dxa"/>
            <w:tcBorders>
              <w:top w:val="nil"/>
              <w:left w:val="nil"/>
              <w:bottom w:val="single" w:color="000000" w:sz="8" w:space="0"/>
              <w:right w:val="single" w:color="000000" w:sz="8" w:space="0"/>
            </w:tcBorders>
            <w:vAlign w:val="center"/>
          </w:tcPr>
          <w:p w14:paraId="4F56209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A060810淋浴器</w:t>
            </w:r>
          </w:p>
        </w:tc>
        <w:tc>
          <w:tcPr>
            <w:tcW w:w="1320" w:type="dxa"/>
            <w:tcBorders>
              <w:top w:val="nil"/>
              <w:left w:val="nil"/>
              <w:bottom w:val="single" w:color="000000" w:sz="8" w:space="0"/>
              <w:right w:val="single" w:color="000000" w:sz="8" w:space="0"/>
            </w:tcBorders>
            <w:vAlign w:val="center"/>
          </w:tcPr>
          <w:p w14:paraId="522BC2B6">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1620" w:type="dxa"/>
            <w:tcBorders>
              <w:top w:val="nil"/>
              <w:left w:val="nil"/>
              <w:bottom w:val="single" w:color="000000" w:sz="8" w:space="0"/>
              <w:right w:val="single" w:color="000000" w:sz="8" w:space="0"/>
            </w:tcBorders>
            <w:vAlign w:val="center"/>
          </w:tcPr>
          <w:p w14:paraId="4560D180">
            <w:pPr>
              <w:widowControl/>
              <w:jc w:val="center"/>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　</w:t>
            </w:r>
          </w:p>
        </w:tc>
        <w:tc>
          <w:tcPr>
            <w:tcW w:w="4540" w:type="dxa"/>
            <w:tcBorders>
              <w:top w:val="nil"/>
              <w:left w:val="nil"/>
              <w:bottom w:val="single" w:color="000000" w:sz="8" w:space="0"/>
              <w:right w:val="single" w:color="000000" w:sz="8" w:space="0"/>
            </w:tcBorders>
            <w:vAlign w:val="center"/>
          </w:tcPr>
          <w:p w14:paraId="053B1039">
            <w:pPr>
              <w:widowControl/>
              <w:jc w:val="left"/>
              <w:rPr>
                <w:rFonts w:hint="eastAsia" w:ascii="宋体" w:hAnsi="宋体" w:cs="宋体"/>
                <w:color w:val="auto"/>
                <w:kern w:val="0"/>
                <w:sz w:val="20"/>
                <w:szCs w:val="20"/>
                <w:highlight w:val="none"/>
              </w:rPr>
            </w:pPr>
            <w:r>
              <w:rPr>
                <w:rFonts w:hint="eastAsia" w:ascii="宋体" w:hAnsi="宋体" w:cs="宋体"/>
                <w:color w:val="auto"/>
                <w:kern w:val="0"/>
                <w:sz w:val="20"/>
                <w:szCs w:val="20"/>
                <w:highlight w:val="none"/>
              </w:rPr>
              <w:t>《淋浴器用水效率限定值及用水效率等级》（GB28378）</w:t>
            </w:r>
          </w:p>
        </w:tc>
      </w:tr>
    </w:tbl>
    <w:p w14:paraId="5F99E185">
      <w:pPr>
        <w:spacing w:after="120" w:line="360" w:lineRule="auto"/>
        <w:rPr>
          <w:color w:val="auto"/>
          <w:spacing w:val="-3"/>
          <w:kern w:val="0"/>
          <w:sz w:val="20"/>
          <w:szCs w:val="21"/>
          <w:highlight w:val="none"/>
        </w:rPr>
      </w:pPr>
    </w:p>
    <w:p w14:paraId="53E5CBAE">
      <w:pPr>
        <w:spacing w:after="120" w:line="360" w:lineRule="auto"/>
        <w:rPr>
          <w:rFonts w:hint="eastAsia" w:ascii="宋体" w:hAnsi="宋体"/>
          <w:color w:val="auto"/>
          <w:kern w:val="0"/>
          <w:sz w:val="20"/>
          <w:szCs w:val="21"/>
          <w:highlight w:val="none"/>
        </w:rPr>
      </w:pPr>
      <w:r>
        <w:rPr>
          <w:rFonts w:hint="eastAsia"/>
          <w:color w:val="auto"/>
          <w:spacing w:val="-3"/>
          <w:kern w:val="0"/>
          <w:sz w:val="20"/>
          <w:szCs w:val="21"/>
          <w:highlight w:val="none"/>
        </w:rPr>
        <w:t>注：</w:t>
      </w:r>
      <w:r>
        <w:rPr>
          <w:color w:val="auto"/>
          <w:spacing w:val="-3"/>
          <w:kern w:val="0"/>
          <w:sz w:val="20"/>
          <w:szCs w:val="21"/>
          <w:highlight w:val="none"/>
        </w:rPr>
        <w:t>1.</w:t>
      </w:r>
      <w:r>
        <w:rPr>
          <w:rFonts w:hint="eastAsia"/>
          <w:color w:val="auto"/>
          <w:spacing w:val="-3"/>
          <w:kern w:val="0"/>
          <w:sz w:val="20"/>
          <w:szCs w:val="21"/>
          <w:highlight w:val="none"/>
        </w:rPr>
        <w:t>节能产品认证应依据相关国家标准的最新版本，依据国家标准中二级能效（水效）</w:t>
      </w:r>
      <w:r>
        <w:rPr>
          <w:rFonts w:hint="eastAsia"/>
          <w:color w:val="auto"/>
          <w:kern w:val="0"/>
          <w:sz w:val="20"/>
          <w:szCs w:val="21"/>
          <w:highlight w:val="none"/>
        </w:rPr>
        <w:t>指标。</w:t>
      </w:r>
    </w:p>
    <w:p w14:paraId="1C904F15">
      <w:pPr>
        <w:spacing w:after="120" w:line="360" w:lineRule="auto"/>
        <w:rPr>
          <w:b/>
          <w:bCs/>
          <w:color w:val="auto"/>
          <w:kern w:val="0"/>
          <w:sz w:val="20"/>
          <w:szCs w:val="21"/>
          <w:highlight w:val="none"/>
        </w:rPr>
      </w:pPr>
      <w:r>
        <w:rPr>
          <w:rFonts w:hint="eastAsia" w:ascii="宋体" w:hAnsi="宋体"/>
          <w:color w:val="auto"/>
          <w:kern w:val="0"/>
          <w:sz w:val="20"/>
          <w:szCs w:val="21"/>
          <w:highlight w:val="none"/>
        </w:rPr>
        <w:t xml:space="preserve">    </w:t>
      </w:r>
      <w:r>
        <w:rPr>
          <w:color w:val="auto"/>
          <w:kern w:val="0"/>
          <w:sz w:val="20"/>
          <w:szCs w:val="21"/>
          <w:highlight w:val="none"/>
        </w:rPr>
        <w:t>2</w:t>
      </w:r>
      <w:r>
        <w:rPr>
          <w:b/>
          <w:bCs/>
          <w:color w:val="auto"/>
          <w:kern w:val="0"/>
          <w:sz w:val="20"/>
          <w:szCs w:val="21"/>
          <w:highlight w:val="none"/>
        </w:rPr>
        <w:t>.</w:t>
      </w:r>
      <w:r>
        <w:rPr>
          <w:rFonts w:hint="eastAsia"/>
          <w:b/>
          <w:bCs/>
          <w:color w:val="auto"/>
          <w:kern w:val="0"/>
          <w:sz w:val="20"/>
          <w:szCs w:val="21"/>
          <w:highlight w:val="none"/>
        </w:rPr>
        <w:t>以</w:t>
      </w:r>
      <w:r>
        <w:rPr>
          <w:b/>
          <w:bCs/>
          <w:color w:val="auto"/>
          <w:kern w:val="0"/>
          <w:sz w:val="20"/>
          <w:szCs w:val="21"/>
          <w:highlight w:val="none"/>
        </w:rPr>
        <w:t>“</w:t>
      </w:r>
      <w:r>
        <w:rPr>
          <w:rFonts w:hint="eastAsia"/>
          <w:b/>
          <w:bCs/>
          <w:color w:val="auto"/>
          <w:kern w:val="0"/>
          <w:sz w:val="20"/>
          <w:szCs w:val="21"/>
          <w:highlight w:val="none"/>
        </w:rPr>
        <w:t>★</w:t>
      </w:r>
      <w:r>
        <w:rPr>
          <w:b/>
          <w:bCs/>
          <w:color w:val="auto"/>
          <w:kern w:val="0"/>
          <w:sz w:val="20"/>
          <w:szCs w:val="21"/>
          <w:highlight w:val="none"/>
        </w:rPr>
        <w:t>”</w:t>
      </w:r>
      <w:r>
        <w:rPr>
          <w:rFonts w:hint="eastAsia"/>
          <w:b/>
          <w:bCs/>
          <w:color w:val="auto"/>
          <w:kern w:val="0"/>
          <w:sz w:val="20"/>
          <w:szCs w:val="21"/>
          <w:highlight w:val="none"/>
        </w:rPr>
        <w:t>标注的为政府强制采购产品。</w:t>
      </w:r>
    </w:p>
    <w:p w14:paraId="1D809A2F">
      <w:pPr>
        <w:jc w:val="left"/>
        <w:rPr>
          <w:rFonts w:hint="eastAsia" w:ascii="Arial Unicode MS" w:hAnsi="Arial Unicode MS" w:eastAsia="Arial Unicode MS" w:cs="Arial Unicode MS"/>
          <w:color w:val="auto"/>
          <w:kern w:val="0"/>
          <w:sz w:val="32"/>
          <w:szCs w:val="32"/>
          <w:highlight w:val="none"/>
        </w:rPr>
      </w:pPr>
      <w:r>
        <w:rPr>
          <w:rFonts w:hint="eastAsia" w:ascii="宋体" w:hAnsi="宋体"/>
          <w:color w:val="auto"/>
          <w:kern w:val="0"/>
          <w:sz w:val="20"/>
          <w:szCs w:val="20"/>
          <w:highlight w:val="none"/>
        </w:rPr>
        <w:br w:type="page"/>
      </w:r>
      <w:r>
        <w:rPr>
          <w:rFonts w:hint="eastAsia" w:ascii="微软雅黑" w:hAnsi="微软雅黑" w:eastAsia="微软雅黑" w:cs="微软雅黑"/>
          <w:color w:val="auto"/>
          <w:kern w:val="0"/>
          <w:sz w:val="32"/>
          <w:szCs w:val="32"/>
          <w:highlight w:val="none"/>
        </w:rPr>
        <w:t>附件</w:t>
      </w:r>
      <w:r>
        <w:rPr>
          <w:rFonts w:ascii="Arial Unicode MS" w:hAnsi="Arial Unicode MS" w:eastAsia="Arial Unicode MS" w:cs="Arial Unicode MS"/>
          <w:color w:val="auto"/>
          <w:kern w:val="0"/>
          <w:sz w:val="32"/>
          <w:szCs w:val="32"/>
          <w:highlight w:val="none"/>
        </w:rPr>
        <w:t>2</w:t>
      </w:r>
      <w:r>
        <w:rPr>
          <w:rFonts w:hint="eastAsia" w:ascii="微软雅黑" w:hAnsi="微软雅黑" w:eastAsia="微软雅黑" w:cs="微软雅黑"/>
          <w:color w:val="auto"/>
          <w:kern w:val="0"/>
          <w:sz w:val="32"/>
          <w:szCs w:val="32"/>
          <w:highlight w:val="none"/>
        </w:rPr>
        <w:t>：</w:t>
      </w:r>
    </w:p>
    <w:p w14:paraId="32DE5737">
      <w:pPr>
        <w:spacing w:line="528" w:lineRule="exact"/>
        <w:ind w:left="1871" w:firstLine="1200" w:firstLineChars="300"/>
        <w:rPr>
          <w:rFonts w:hint="eastAsia" w:ascii="Arial Unicode MS" w:hAnsi="Arial Unicode MS" w:eastAsia="Arial Unicode MS"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19"/>
        <w:tblW w:w="9197" w:type="dxa"/>
        <w:tblInd w:w="250" w:type="dxa"/>
        <w:tblLayout w:type="fixed"/>
        <w:tblCellMar>
          <w:top w:w="0" w:type="dxa"/>
          <w:left w:w="108" w:type="dxa"/>
          <w:bottom w:w="0" w:type="dxa"/>
          <w:right w:w="108" w:type="dxa"/>
        </w:tblCellMar>
      </w:tblPr>
      <w:tblGrid>
        <w:gridCol w:w="1961"/>
        <w:gridCol w:w="1594"/>
        <w:gridCol w:w="1052"/>
        <w:gridCol w:w="1866"/>
        <w:gridCol w:w="1658"/>
        <w:gridCol w:w="1066"/>
      </w:tblGrid>
      <w:tr w14:paraId="01C2FBF3">
        <w:tblPrEx>
          <w:tblCellMar>
            <w:top w:w="0" w:type="dxa"/>
            <w:left w:w="108" w:type="dxa"/>
            <w:bottom w:w="0" w:type="dxa"/>
            <w:right w:w="108" w:type="dxa"/>
          </w:tblCellMar>
        </w:tblPrEx>
        <w:trPr>
          <w:trHeight w:val="667" w:hRule="atLeast"/>
        </w:trPr>
        <w:tc>
          <w:tcPr>
            <w:tcW w:w="1961" w:type="dxa"/>
            <w:tcBorders>
              <w:top w:val="single" w:color="auto" w:sz="4" w:space="0"/>
              <w:left w:val="single" w:color="auto" w:sz="4" w:space="0"/>
              <w:bottom w:val="single" w:color="auto" w:sz="4" w:space="0"/>
              <w:right w:val="single" w:color="auto" w:sz="4" w:space="0"/>
            </w:tcBorders>
            <w:vAlign w:val="center"/>
          </w:tcPr>
          <w:p w14:paraId="624DE588">
            <w:pPr>
              <w:widowControl/>
              <w:jc w:val="left"/>
              <w:rPr>
                <w:rFonts w:hint="eastAsia" w:ascii="方正仿宋_GB2312" w:hAnsi="仿宋" w:eastAsia="方正仿宋_GB2312" w:cs="宋体"/>
                <w:b/>
                <w:color w:val="auto"/>
                <w:kern w:val="0"/>
                <w:sz w:val="24"/>
                <w:highlight w:val="none"/>
              </w:rPr>
            </w:pPr>
            <w:r>
              <w:rPr>
                <w:rFonts w:hint="eastAsia" w:ascii="方正仿宋_GB2312" w:hAnsi="仿宋" w:eastAsia="方正仿宋_GB2312" w:cs="宋体"/>
                <w:b/>
                <w:color w:val="auto"/>
                <w:kern w:val="0"/>
                <w:sz w:val="24"/>
                <w:highlight w:val="none"/>
              </w:rPr>
              <w:t>行业名称</w:t>
            </w:r>
          </w:p>
        </w:tc>
        <w:tc>
          <w:tcPr>
            <w:tcW w:w="1594" w:type="dxa"/>
            <w:tcBorders>
              <w:top w:val="single" w:color="auto" w:sz="4" w:space="0"/>
              <w:left w:val="nil"/>
              <w:bottom w:val="single" w:color="auto" w:sz="4" w:space="0"/>
              <w:right w:val="single" w:color="auto" w:sz="4" w:space="0"/>
            </w:tcBorders>
            <w:vAlign w:val="center"/>
          </w:tcPr>
          <w:p w14:paraId="26F39105">
            <w:pPr>
              <w:widowControl/>
              <w:jc w:val="left"/>
              <w:rPr>
                <w:rFonts w:hint="eastAsia" w:ascii="方正仿宋_GB2312" w:hAnsi="仿宋" w:eastAsia="方正仿宋_GB2312" w:cs="宋体"/>
                <w:b/>
                <w:color w:val="auto"/>
                <w:kern w:val="0"/>
                <w:sz w:val="24"/>
                <w:highlight w:val="none"/>
              </w:rPr>
            </w:pPr>
            <w:r>
              <w:rPr>
                <w:rFonts w:hint="eastAsia" w:ascii="方正仿宋_GB2312" w:hAnsi="仿宋" w:eastAsia="方正仿宋_GB2312" w:cs="宋体"/>
                <w:b/>
                <w:color w:val="auto"/>
                <w:kern w:val="0"/>
                <w:sz w:val="24"/>
                <w:highlight w:val="none"/>
              </w:rPr>
              <w:t>指标名称</w:t>
            </w:r>
          </w:p>
        </w:tc>
        <w:tc>
          <w:tcPr>
            <w:tcW w:w="1052" w:type="dxa"/>
            <w:tcBorders>
              <w:top w:val="single" w:color="auto" w:sz="4" w:space="0"/>
              <w:left w:val="nil"/>
              <w:bottom w:val="single" w:color="auto" w:sz="4" w:space="0"/>
              <w:right w:val="single" w:color="auto" w:sz="4" w:space="0"/>
            </w:tcBorders>
            <w:vAlign w:val="center"/>
          </w:tcPr>
          <w:p w14:paraId="720FA232">
            <w:pPr>
              <w:widowControl/>
              <w:jc w:val="left"/>
              <w:rPr>
                <w:rFonts w:hint="eastAsia" w:ascii="方正仿宋_GB2312" w:hAnsi="仿宋" w:eastAsia="方正仿宋_GB2312" w:cs="宋体"/>
                <w:b/>
                <w:color w:val="auto"/>
                <w:kern w:val="0"/>
                <w:sz w:val="24"/>
                <w:highlight w:val="none"/>
              </w:rPr>
            </w:pPr>
            <w:r>
              <w:rPr>
                <w:rFonts w:hint="eastAsia" w:ascii="方正仿宋_GB2312" w:hAnsi="仿宋" w:eastAsia="方正仿宋_GB2312" w:cs="宋体"/>
                <w:b/>
                <w:color w:val="auto"/>
                <w:kern w:val="0"/>
                <w:sz w:val="24"/>
                <w:highlight w:val="none"/>
              </w:rPr>
              <w:t>计量单位</w:t>
            </w:r>
          </w:p>
        </w:tc>
        <w:tc>
          <w:tcPr>
            <w:tcW w:w="1866" w:type="dxa"/>
            <w:tcBorders>
              <w:top w:val="single" w:color="auto" w:sz="4" w:space="0"/>
              <w:left w:val="nil"/>
              <w:bottom w:val="single" w:color="auto" w:sz="4" w:space="0"/>
              <w:right w:val="single" w:color="auto" w:sz="4" w:space="0"/>
            </w:tcBorders>
            <w:vAlign w:val="center"/>
          </w:tcPr>
          <w:p w14:paraId="57211F52">
            <w:pPr>
              <w:widowControl/>
              <w:jc w:val="left"/>
              <w:rPr>
                <w:rFonts w:hint="eastAsia" w:ascii="方正仿宋_GB2312" w:hAnsi="仿宋" w:eastAsia="方正仿宋_GB2312" w:cs="宋体"/>
                <w:b/>
                <w:color w:val="auto"/>
                <w:kern w:val="0"/>
                <w:sz w:val="24"/>
                <w:highlight w:val="none"/>
              </w:rPr>
            </w:pPr>
            <w:r>
              <w:rPr>
                <w:rFonts w:hint="eastAsia" w:ascii="方正仿宋_GB2312" w:hAnsi="仿宋" w:eastAsia="方正仿宋_GB2312" w:cs="宋体"/>
                <w:b/>
                <w:color w:val="auto"/>
                <w:kern w:val="0"/>
                <w:sz w:val="24"/>
                <w:highlight w:val="none"/>
              </w:rPr>
              <w:t>中型</w:t>
            </w:r>
          </w:p>
        </w:tc>
        <w:tc>
          <w:tcPr>
            <w:tcW w:w="1658" w:type="dxa"/>
            <w:tcBorders>
              <w:top w:val="single" w:color="auto" w:sz="4" w:space="0"/>
              <w:left w:val="nil"/>
              <w:bottom w:val="single" w:color="auto" w:sz="4" w:space="0"/>
              <w:right w:val="single" w:color="auto" w:sz="4" w:space="0"/>
            </w:tcBorders>
            <w:vAlign w:val="center"/>
          </w:tcPr>
          <w:p w14:paraId="4C5ADE3E">
            <w:pPr>
              <w:widowControl/>
              <w:jc w:val="left"/>
              <w:rPr>
                <w:rFonts w:hint="eastAsia" w:ascii="方正仿宋_GB2312" w:hAnsi="仿宋" w:eastAsia="方正仿宋_GB2312" w:cs="宋体"/>
                <w:b/>
                <w:color w:val="auto"/>
                <w:kern w:val="0"/>
                <w:sz w:val="24"/>
                <w:highlight w:val="none"/>
              </w:rPr>
            </w:pPr>
            <w:r>
              <w:rPr>
                <w:rFonts w:hint="eastAsia" w:ascii="方正仿宋_GB2312" w:hAnsi="仿宋" w:eastAsia="方正仿宋_GB2312" w:cs="宋体"/>
                <w:b/>
                <w:color w:val="auto"/>
                <w:kern w:val="0"/>
                <w:sz w:val="24"/>
                <w:highlight w:val="none"/>
              </w:rPr>
              <w:t>小型</w:t>
            </w:r>
          </w:p>
        </w:tc>
        <w:tc>
          <w:tcPr>
            <w:tcW w:w="1066" w:type="dxa"/>
            <w:tcBorders>
              <w:top w:val="single" w:color="auto" w:sz="4" w:space="0"/>
              <w:left w:val="nil"/>
              <w:bottom w:val="single" w:color="auto" w:sz="4" w:space="0"/>
              <w:right w:val="single" w:color="auto" w:sz="4" w:space="0"/>
            </w:tcBorders>
            <w:vAlign w:val="center"/>
          </w:tcPr>
          <w:p w14:paraId="55577042">
            <w:pPr>
              <w:widowControl/>
              <w:jc w:val="left"/>
              <w:rPr>
                <w:rFonts w:hint="eastAsia" w:ascii="方正仿宋_GB2312" w:hAnsi="仿宋" w:eastAsia="方正仿宋_GB2312" w:cs="宋体"/>
                <w:b/>
                <w:color w:val="auto"/>
                <w:kern w:val="0"/>
                <w:sz w:val="24"/>
                <w:highlight w:val="none"/>
              </w:rPr>
            </w:pPr>
            <w:r>
              <w:rPr>
                <w:rFonts w:hint="eastAsia" w:ascii="方正仿宋_GB2312" w:hAnsi="仿宋" w:eastAsia="方正仿宋_GB2312" w:cs="宋体"/>
                <w:b/>
                <w:color w:val="auto"/>
                <w:kern w:val="0"/>
                <w:sz w:val="24"/>
                <w:highlight w:val="none"/>
              </w:rPr>
              <w:t>微型</w:t>
            </w:r>
          </w:p>
        </w:tc>
      </w:tr>
      <w:tr w14:paraId="203FD0DA">
        <w:tblPrEx>
          <w:tblCellMar>
            <w:top w:w="0" w:type="dxa"/>
            <w:left w:w="108" w:type="dxa"/>
            <w:bottom w:w="0" w:type="dxa"/>
            <w:right w:w="108" w:type="dxa"/>
          </w:tblCellMar>
        </w:tblPrEx>
        <w:trPr>
          <w:trHeight w:val="339" w:hRule="atLeast"/>
        </w:trPr>
        <w:tc>
          <w:tcPr>
            <w:tcW w:w="1961" w:type="dxa"/>
            <w:tcBorders>
              <w:top w:val="nil"/>
              <w:left w:val="single" w:color="auto" w:sz="4" w:space="0"/>
              <w:bottom w:val="single" w:color="auto" w:sz="4" w:space="0"/>
              <w:right w:val="single" w:color="auto" w:sz="4" w:space="0"/>
            </w:tcBorders>
            <w:vAlign w:val="bottom"/>
          </w:tcPr>
          <w:p w14:paraId="5D3BCA5E">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农、林、牧、渔</w:t>
            </w:r>
          </w:p>
        </w:tc>
        <w:tc>
          <w:tcPr>
            <w:tcW w:w="1594" w:type="dxa"/>
            <w:tcBorders>
              <w:top w:val="nil"/>
              <w:left w:val="nil"/>
              <w:bottom w:val="single" w:color="auto" w:sz="4" w:space="0"/>
              <w:right w:val="single" w:color="auto" w:sz="4" w:space="0"/>
            </w:tcBorders>
            <w:vAlign w:val="center"/>
          </w:tcPr>
          <w:p w14:paraId="30ECF5B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0D0E07C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40D08B7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500≤Y＜20000</w:t>
            </w:r>
          </w:p>
        </w:tc>
        <w:tc>
          <w:tcPr>
            <w:tcW w:w="1658" w:type="dxa"/>
            <w:tcBorders>
              <w:top w:val="nil"/>
              <w:left w:val="nil"/>
              <w:bottom w:val="single" w:color="auto" w:sz="4" w:space="0"/>
              <w:right w:val="single" w:color="auto" w:sz="4" w:space="0"/>
            </w:tcBorders>
            <w:vAlign w:val="center"/>
          </w:tcPr>
          <w:p w14:paraId="33C1CCF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50≤Y＜500</w:t>
            </w:r>
          </w:p>
        </w:tc>
        <w:tc>
          <w:tcPr>
            <w:tcW w:w="1066" w:type="dxa"/>
            <w:tcBorders>
              <w:top w:val="nil"/>
              <w:left w:val="nil"/>
              <w:bottom w:val="single" w:color="auto" w:sz="4" w:space="0"/>
              <w:right w:val="single" w:color="auto" w:sz="4" w:space="0"/>
            </w:tcBorders>
            <w:vAlign w:val="center"/>
          </w:tcPr>
          <w:p w14:paraId="69E0989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Y＜50</w:t>
            </w:r>
          </w:p>
        </w:tc>
      </w:tr>
      <w:tr w14:paraId="13FCA70D">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5519EDBB">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工业</w:t>
            </w:r>
          </w:p>
        </w:tc>
        <w:tc>
          <w:tcPr>
            <w:tcW w:w="1594" w:type="dxa"/>
            <w:tcBorders>
              <w:top w:val="nil"/>
              <w:left w:val="nil"/>
              <w:bottom w:val="single" w:color="auto" w:sz="4" w:space="0"/>
              <w:right w:val="single" w:color="auto" w:sz="4" w:space="0"/>
            </w:tcBorders>
            <w:vAlign w:val="center"/>
          </w:tcPr>
          <w:p w14:paraId="5169C8E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57F814E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5F56ED7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300≤X＜1000</w:t>
            </w:r>
          </w:p>
        </w:tc>
        <w:tc>
          <w:tcPr>
            <w:tcW w:w="1658" w:type="dxa"/>
            <w:tcBorders>
              <w:top w:val="nil"/>
              <w:left w:val="nil"/>
              <w:bottom w:val="single" w:color="auto" w:sz="4" w:space="0"/>
              <w:right w:val="single" w:color="auto" w:sz="4" w:space="0"/>
            </w:tcBorders>
            <w:vAlign w:val="center"/>
          </w:tcPr>
          <w:p w14:paraId="0720110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20≤X＜300</w:t>
            </w:r>
          </w:p>
        </w:tc>
        <w:tc>
          <w:tcPr>
            <w:tcW w:w="1066" w:type="dxa"/>
            <w:tcBorders>
              <w:top w:val="nil"/>
              <w:left w:val="nil"/>
              <w:bottom w:val="single" w:color="auto" w:sz="4" w:space="0"/>
              <w:right w:val="single" w:color="auto" w:sz="4" w:space="0"/>
            </w:tcBorders>
            <w:vAlign w:val="center"/>
          </w:tcPr>
          <w:p w14:paraId="2DC7291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X＜20</w:t>
            </w:r>
          </w:p>
        </w:tc>
      </w:tr>
      <w:tr w14:paraId="5E8F0C14">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1E11F15B">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3E7AEE5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0D127A5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73E81201">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2000≤Y＜40000</w:t>
            </w:r>
          </w:p>
        </w:tc>
        <w:tc>
          <w:tcPr>
            <w:tcW w:w="1658" w:type="dxa"/>
            <w:tcBorders>
              <w:top w:val="nil"/>
              <w:left w:val="nil"/>
              <w:bottom w:val="single" w:color="auto" w:sz="4" w:space="0"/>
              <w:right w:val="single" w:color="auto" w:sz="4" w:space="0"/>
            </w:tcBorders>
            <w:vAlign w:val="center"/>
          </w:tcPr>
          <w:p w14:paraId="6E6CD38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300≤Y＜2000</w:t>
            </w:r>
          </w:p>
        </w:tc>
        <w:tc>
          <w:tcPr>
            <w:tcW w:w="1066" w:type="dxa"/>
            <w:tcBorders>
              <w:top w:val="nil"/>
              <w:left w:val="nil"/>
              <w:bottom w:val="single" w:color="auto" w:sz="4" w:space="0"/>
              <w:right w:val="single" w:color="auto" w:sz="4" w:space="0"/>
            </w:tcBorders>
            <w:vAlign w:val="center"/>
          </w:tcPr>
          <w:p w14:paraId="668D560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Y＜300</w:t>
            </w:r>
          </w:p>
        </w:tc>
      </w:tr>
      <w:tr w14:paraId="587F12C8">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0E0B9662">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建筑业</w:t>
            </w:r>
          </w:p>
        </w:tc>
        <w:tc>
          <w:tcPr>
            <w:tcW w:w="1594" w:type="dxa"/>
            <w:tcBorders>
              <w:top w:val="nil"/>
              <w:left w:val="nil"/>
              <w:bottom w:val="single" w:color="auto" w:sz="4" w:space="0"/>
              <w:right w:val="single" w:color="auto" w:sz="4" w:space="0"/>
            </w:tcBorders>
            <w:vAlign w:val="center"/>
          </w:tcPr>
          <w:p w14:paraId="4FCD7D3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0C8F6C4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3FEB13D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6000≤Y＜80000</w:t>
            </w:r>
          </w:p>
        </w:tc>
        <w:tc>
          <w:tcPr>
            <w:tcW w:w="1658" w:type="dxa"/>
            <w:tcBorders>
              <w:top w:val="nil"/>
              <w:left w:val="nil"/>
              <w:bottom w:val="single" w:color="auto" w:sz="4" w:space="0"/>
              <w:right w:val="single" w:color="auto" w:sz="4" w:space="0"/>
            </w:tcBorders>
            <w:vAlign w:val="center"/>
          </w:tcPr>
          <w:p w14:paraId="1391F4D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300≤Y＜6000</w:t>
            </w:r>
          </w:p>
        </w:tc>
        <w:tc>
          <w:tcPr>
            <w:tcW w:w="1066" w:type="dxa"/>
            <w:tcBorders>
              <w:top w:val="nil"/>
              <w:left w:val="nil"/>
              <w:bottom w:val="single" w:color="auto" w:sz="4" w:space="0"/>
              <w:right w:val="single" w:color="auto" w:sz="4" w:space="0"/>
            </w:tcBorders>
            <w:vAlign w:val="center"/>
          </w:tcPr>
          <w:p w14:paraId="78335FF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Y＜300</w:t>
            </w:r>
          </w:p>
        </w:tc>
      </w:tr>
      <w:tr w14:paraId="192F4C4E">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2A8A945E">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7779A05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资产总额（Z）</w:t>
            </w:r>
          </w:p>
        </w:tc>
        <w:tc>
          <w:tcPr>
            <w:tcW w:w="1052" w:type="dxa"/>
            <w:tcBorders>
              <w:top w:val="nil"/>
              <w:left w:val="nil"/>
              <w:bottom w:val="single" w:color="auto" w:sz="4" w:space="0"/>
              <w:right w:val="single" w:color="auto" w:sz="4" w:space="0"/>
            </w:tcBorders>
            <w:vAlign w:val="center"/>
          </w:tcPr>
          <w:p w14:paraId="40ED7C2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67B5E10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5000≤Z＜80000</w:t>
            </w:r>
          </w:p>
        </w:tc>
        <w:tc>
          <w:tcPr>
            <w:tcW w:w="1658" w:type="dxa"/>
            <w:tcBorders>
              <w:top w:val="nil"/>
              <w:left w:val="nil"/>
              <w:bottom w:val="single" w:color="auto" w:sz="4" w:space="0"/>
              <w:right w:val="single" w:color="auto" w:sz="4" w:space="0"/>
            </w:tcBorders>
            <w:vAlign w:val="center"/>
          </w:tcPr>
          <w:p w14:paraId="03CF321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300≤Z＜5000</w:t>
            </w:r>
          </w:p>
        </w:tc>
        <w:tc>
          <w:tcPr>
            <w:tcW w:w="1066" w:type="dxa"/>
            <w:tcBorders>
              <w:top w:val="nil"/>
              <w:left w:val="nil"/>
              <w:bottom w:val="single" w:color="auto" w:sz="4" w:space="0"/>
              <w:right w:val="single" w:color="auto" w:sz="4" w:space="0"/>
            </w:tcBorders>
            <w:vAlign w:val="center"/>
          </w:tcPr>
          <w:p w14:paraId="285030C3">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Z＜300</w:t>
            </w:r>
          </w:p>
        </w:tc>
      </w:tr>
      <w:tr w14:paraId="7DC009FE">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001F7812">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批发业</w:t>
            </w:r>
          </w:p>
        </w:tc>
        <w:tc>
          <w:tcPr>
            <w:tcW w:w="1594" w:type="dxa"/>
            <w:tcBorders>
              <w:top w:val="nil"/>
              <w:left w:val="nil"/>
              <w:bottom w:val="single" w:color="auto" w:sz="4" w:space="0"/>
              <w:right w:val="single" w:color="auto" w:sz="4" w:space="0"/>
            </w:tcBorders>
            <w:vAlign w:val="center"/>
          </w:tcPr>
          <w:p w14:paraId="6829EED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59B9A5D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770ADA9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20≤X＜200</w:t>
            </w:r>
          </w:p>
        </w:tc>
        <w:tc>
          <w:tcPr>
            <w:tcW w:w="1658" w:type="dxa"/>
            <w:tcBorders>
              <w:top w:val="nil"/>
              <w:left w:val="nil"/>
              <w:bottom w:val="single" w:color="auto" w:sz="4" w:space="0"/>
              <w:right w:val="single" w:color="auto" w:sz="4" w:space="0"/>
            </w:tcBorders>
            <w:vAlign w:val="center"/>
          </w:tcPr>
          <w:p w14:paraId="409A969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5≤X＜20</w:t>
            </w:r>
          </w:p>
        </w:tc>
        <w:tc>
          <w:tcPr>
            <w:tcW w:w="1066" w:type="dxa"/>
            <w:tcBorders>
              <w:top w:val="nil"/>
              <w:left w:val="nil"/>
              <w:bottom w:val="single" w:color="auto" w:sz="4" w:space="0"/>
              <w:right w:val="single" w:color="auto" w:sz="4" w:space="0"/>
            </w:tcBorders>
            <w:vAlign w:val="center"/>
          </w:tcPr>
          <w:p w14:paraId="184261D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X＜5</w:t>
            </w:r>
          </w:p>
        </w:tc>
      </w:tr>
      <w:tr w14:paraId="059A7D20">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0F13BD14">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4CAB0761">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79F88D7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3EAED63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5000≤Y＜40000</w:t>
            </w:r>
          </w:p>
        </w:tc>
        <w:tc>
          <w:tcPr>
            <w:tcW w:w="1658" w:type="dxa"/>
            <w:tcBorders>
              <w:top w:val="nil"/>
              <w:left w:val="nil"/>
              <w:bottom w:val="single" w:color="auto" w:sz="4" w:space="0"/>
              <w:right w:val="single" w:color="auto" w:sz="4" w:space="0"/>
            </w:tcBorders>
            <w:vAlign w:val="center"/>
          </w:tcPr>
          <w:p w14:paraId="4A5D486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1000≤Y＜5000</w:t>
            </w:r>
          </w:p>
        </w:tc>
        <w:tc>
          <w:tcPr>
            <w:tcW w:w="1066" w:type="dxa"/>
            <w:tcBorders>
              <w:top w:val="nil"/>
              <w:left w:val="nil"/>
              <w:bottom w:val="single" w:color="auto" w:sz="4" w:space="0"/>
              <w:right w:val="single" w:color="auto" w:sz="4" w:space="0"/>
            </w:tcBorders>
            <w:vAlign w:val="center"/>
          </w:tcPr>
          <w:p w14:paraId="0B11654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Y＜1000</w:t>
            </w:r>
          </w:p>
        </w:tc>
      </w:tr>
      <w:tr w14:paraId="5F5F4C99">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06ED913F">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零售业</w:t>
            </w:r>
          </w:p>
        </w:tc>
        <w:tc>
          <w:tcPr>
            <w:tcW w:w="1594" w:type="dxa"/>
            <w:tcBorders>
              <w:top w:val="nil"/>
              <w:left w:val="nil"/>
              <w:bottom w:val="single" w:color="auto" w:sz="4" w:space="0"/>
              <w:right w:val="single" w:color="auto" w:sz="4" w:space="0"/>
            </w:tcBorders>
            <w:vAlign w:val="center"/>
          </w:tcPr>
          <w:p w14:paraId="12DA131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2A5224B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3A0100C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50≤X＜300</w:t>
            </w:r>
          </w:p>
        </w:tc>
        <w:tc>
          <w:tcPr>
            <w:tcW w:w="1658" w:type="dxa"/>
            <w:tcBorders>
              <w:top w:val="nil"/>
              <w:left w:val="nil"/>
              <w:bottom w:val="single" w:color="auto" w:sz="4" w:space="0"/>
              <w:right w:val="single" w:color="auto" w:sz="4" w:space="0"/>
            </w:tcBorders>
            <w:vAlign w:val="center"/>
          </w:tcPr>
          <w:p w14:paraId="083C4F9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10≤X＜50</w:t>
            </w:r>
          </w:p>
        </w:tc>
        <w:tc>
          <w:tcPr>
            <w:tcW w:w="1066" w:type="dxa"/>
            <w:tcBorders>
              <w:top w:val="nil"/>
              <w:left w:val="nil"/>
              <w:bottom w:val="single" w:color="auto" w:sz="4" w:space="0"/>
              <w:right w:val="single" w:color="auto" w:sz="4" w:space="0"/>
            </w:tcBorders>
            <w:vAlign w:val="center"/>
          </w:tcPr>
          <w:p w14:paraId="35CFAA0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r w14:paraId="1ECC3E7D">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26E18557">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74C8391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5917D8F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54210D7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500≤Y＜20000</w:t>
            </w:r>
          </w:p>
        </w:tc>
        <w:tc>
          <w:tcPr>
            <w:tcW w:w="1658" w:type="dxa"/>
            <w:tcBorders>
              <w:top w:val="nil"/>
              <w:left w:val="nil"/>
              <w:bottom w:val="single" w:color="auto" w:sz="4" w:space="0"/>
              <w:right w:val="single" w:color="auto" w:sz="4" w:space="0"/>
            </w:tcBorders>
            <w:vAlign w:val="center"/>
          </w:tcPr>
          <w:p w14:paraId="01B73DC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100≤Y＜500</w:t>
            </w:r>
          </w:p>
        </w:tc>
        <w:tc>
          <w:tcPr>
            <w:tcW w:w="1066" w:type="dxa"/>
            <w:tcBorders>
              <w:top w:val="nil"/>
              <w:left w:val="nil"/>
              <w:bottom w:val="single" w:color="auto" w:sz="4" w:space="0"/>
              <w:right w:val="single" w:color="auto" w:sz="4" w:space="0"/>
            </w:tcBorders>
            <w:vAlign w:val="center"/>
          </w:tcPr>
          <w:p w14:paraId="25FA6B8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6A1FD100">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7E95BE5C">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交通运输业</w:t>
            </w:r>
          </w:p>
        </w:tc>
        <w:tc>
          <w:tcPr>
            <w:tcW w:w="1594" w:type="dxa"/>
            <w:tcBorders>
              <w:top w:val="nil"/>
              <w:left w:val="nil"/>
              <w:bottom w:val="single" w:color="auto" w:sz="4" w:space="0"/>
              <w:right w:val="single" w:color="auto" w:sz="4" w:space="0"/>
            </w:tcBorders>
            <w:vAlign w:val="center"/>
          </w:tcPr>
          <w:p w14:paraId="1B08AE6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38E8C513">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7B20EB3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300≤X＜1000</w:t>
            </w:r>
          </w:p>
        </w:tc>
        <w:tc>
          <w:tcPr>
            <w:tcW w:w="1658" w:type="dxa"/>
            <w:tcBorders>
              <w:top w:val="nil"/>
              <w:left w:val="nil"/>
              <w:bottom w:val="single" w:color="auto" w:sz="4" w:space="0"/>
              <w:right w:val="single" w:color="auto" w:sz="4" w:space="0"/>
            </w:tcBorders>
            <w:vAlign w:val="center"/>
          </w:tcPr>
          <w:p w14:paraId="182F8DA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20≤X＜300</w:t>
            </w:r>
          </w:p>
        </w:tc>
        <w:tc>
          <w:tcPr>
            <w:tcW w:w="1066" w:type="dxa"/>
            <w:tcBorders>
              <w:top w:val="nil"/>
              <w:left w:val="nil"/>
              <w:bottom w:val="single" w:color="auto" w:sz="4" w:space="0"/>
              <w:right w:val="single" w:color="auto" w:sz="4" w:space="0"/>
            </w:tcBorders>
            <w:vAlign w:val="center"/>
          </w:tcPr>
          <w:p w14:paraId="0882848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X＜20</w:t>
            </w:r>
          </w:p>
        </w:tc>
      </w:tr>
      <w:tr w14:paraId="4F227F05">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2285F08B">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3710B2E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536045A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213507E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3000≤Y＜30000</w:t>
            </w:r>
          </w:p>
        </w:tc>
        <w:tc>
          <w:tcPr>
            <w:tcW w:w="1658" w:type="dxa"/>
            <w:tcBorders>
              <w:top w:val="nil"/>
              <w:left w:val="nil"/>
              <w:bottom w:val="single" w:color="auto" w:sz="4" w:space="0"/>
              <w:right w:val="single" w:color="auto" w:sz="4" w:space="0"/>
            </w:tcBorders>
            <w:vAlign w:val="center"/>
          </w:tcPr>
          <w:p w14:paraId="3194706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200≤Y＜3000</w:t>
            </w:r>
          </w:p>
        </w:tc>
        <w:tc>
          <w:tcPr>
            <w:tcW w:w="1066" w:type="dxa"/>
            <w:tcBorders>
              <w:top w:val="nil"/>
              <w:left w:val="nil"/>
              <w:bottom w:val="single" w:color="auto" w:sz="4" w:space="0"/>
              <w:right w:val="single" w:color="auto" w:sz="4" w:space="0"/>
            </w:tcBorders>
            <w:vAlign w:val="center"/>
          </w:tcPr>
          <w:p w14:paraId="4E01A54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Y＜200</w:t>
            </w:r>
          </w:p>
        </w:tc>
      </w:tr>
      <w:tr w14:paraId="017A0A91">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3694D286">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仓储业</w:t>
            </w:r>
          </w:p>
        </w:tc>
        <w:tc>
          <w:tcPr>
            <w:tcW w:w="1594" w:type="dxa"/>
            <w:tcBorders>
              <w:top w:val="nil"/>
              <w:left w:val="nil"/>
              <w:bottom w:val="single" w:color="auto" w:sz="4" w:space="0"/>
              <w:right w:val="single" w:color="auto" w:sz="4" w:space="0"/>
            </w:tcBorders>
            <w:vAlign w:val="center"/>
          </w:tcPr>
          <w:p w14:paraId="67BC6DD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63BCB67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1667C34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100≤X＜200</w:t>
            </w:r>
          </w:p>
        </w:tc>
        <w:tc>
          <w:tcPr>
            <w:tcW w:w="1658" w:type="dxa"/>
            <w:tcBorders>
              <w:top w:val="nil"/>
              <w:left w:val="nil"/>
              <w:bottom w:val="single" w:color="auto" w:sz="4" w:space="0"/>
              <w:right w:val="single" w:color="auto" w:sz="4" w:space="0"/>
            </w:tcBorders>
            <w:vAlign w:val="center"/>
          </w:tcPr>
          <w:p w14:paraId="0F329A8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20≤X＜100</w:t>
            </w:r>
          </w:p>
        </w:tc>
        <w:tc>
          <w:tcPr>
            <w:tcW w:w="1066" w:type="dxa"/>
            <w:tcBorders>
              <w:top w:val="nil"/>
              <w:left w:val="nil"/>
              <w:bottom w:val="single" w:color="auto" w:sz="4" w:space="0"/>
              <w:right w:val="single" w:color="auto" w:sz="4" w:space="0"/>
            </w:tcBorders>
            <w:vAlign w:val="center"/>
          </w:tcPr>
          <w:p w14:paraId="17C8FBD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X＜20</w:t>
            </w:r>
          </w:p>
        </w:tc>
      </w:tr>
      <w:tr w14:paraId="251E2F66">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7C2578BA">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1D3FAB5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01C581B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52BF81A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1000≤Y＜30000</w:t>
            </w:r>
          </w:p>
        </w:tc>
        <w:tc>
          <w:tcPr>
            <w:tcW w:w="1658" w:type="dxa"/>
            <w:tcBorders>
              <w:top w:val="nil"/>
              <w:left w:val="nil"/>
              <w:bottom w:val="single" w:color="auto" w:sz="4" w:space="0"/>
              <w:right w:val="single" w:color="auto" w:sz="4" w:space="0"/>
            </w:tcBorders>
            <w:vAlign w:val="center"/>
          </w:tcPr>
          <w:p w14:paraId="70491A8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100≤Y＜1000</w:t>
            </w:r>
          </w:p>
        </w:tc>
        <w:tc>
          <w:tcPr>
            <w:tcW w:w="1066" w:type="dxa"/>
            <w:tcBorders>
              <w:top w:val="nil"/>
              <w:left w:val="nil"/>
              <w:bottom w:val="single" w:color="auto" w:sz="4" w:space="0"/>
              <w:right w:val="single" w:color="auto" w:sz="4" w:space="0"/>
            </w:tcBorders>
            <w:vAlign w:val="center"/>
          </w:tcPr>
          <w:p w14:paraId="5300F8A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19BC4CEF">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0CD8B98F">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邮政业</w:t>
            </w:r>
          </w:p>
        </w:tc>
        <w:tc>
          <w:tcPr>
            <w:tcW w:w="1594" w:type="dxa"/>
            <w:tcBorders>
              <w:top w:val="nil"/>
              <w:left w:val="nil"/>
              <w:bottom w:val="single" w:color="auto" w:sz="4" w:space="0"/>
              <w:right w:val="single" w:color="auto" w:sz="4" w:space="0"/>
            </w:tcBorders>
            <w:vAlign w:val="center"/>
          </w:tcPr>
          <w:p w14:paraId="6B7DF02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6F563AD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18EF6C7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300≤X＜1000</w:t>
            </w:r>
          </w:p>
        </w:tc>
        <w:tc>
          <w:tcPr>
            <w:tcW w:w="1658" w:type="dxa"/>
            <w:tcBorders>
              <w:top w:val="nil"/>
              <w:left w:val="nil"/>
              <w:bottom w:val="single" w:color="auto" w:sz="4" w:space="0"/>
              <w:right w:val="single" w:color="auto" w:sz="4" w:space="0"/>
            </w:tcBorders>
            <w:vAlign w:val="center"/>
          </w:tcPr>
          <w:p w14:paraId="64C8116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20≤X＜300</w:t>
            </w:r>
          </w:p>
        </w:tc>
        <w:tc>
          <w:tcPr>
            <w:tcW w:w="1066" w:type="dxa"/>
            <w:tcBorders>
              <w:top w:val="nil"/>
              <w:left w:val="nil"/>
              <w:bottom w:val="single" w:color="auto" w:sz="4" w:space="0"/>
              <w:right w:val="single" w:color="auto" w:sz="4" w:space="0"/>
            </w:tcBorders>
            <w:vAlign w:val="center"/>
          </w:tcPr>
          <w:p w14:paraId="51AB704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X＜20</w:t>
            </w:r>
          </w:p>
        </w:tc>
      </w:tr>
      <w:tr w14:paraId="4A01FB29">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73CCF99C">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74BF01F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0BC7FFC1">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1356225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2000≤Y＜30000</w:t>
            </w:r>
          </w:p>
        </w:tc>
        <w:tc>
          <w:tcPr>
            <w:tcW w:w="1658" w:type="dxa"/>
            <w:tcBorders>
              <w:top w:val="nil"/>
              <w:left w:val="nil"/>
              <w:bottom w:val="single" w:color="auto" w:sz="4" w:space="0"/>
              <w:right w:val="single" w:color="auto" w:sz="4" w:space="0"/>
            </w:tcBorders>
            <w:vAlign w:val="center"/>
          </w:tcPr>
          <w:p w14:paraId="051A5EC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100≤Y＜2000</w:t>
            </w:r>
          </w:p>
        </w:tc>
        <w:tc>
          <w:tcPr>
            <w:tcW w:w="1066" w:type="dxa"/>
            <w:tcBorders>
              <w:top w:val="nil"/>
              <w:left w:val="nil"/>
              <w:bottom w:val="single" w:color="auto" w:sz="4" w:space="0"/>
              <w:right w:val="single" w:color="auto" w:sz="4" w:space="0"/>
            </w:tcBorders>
            <w:vAlign w:val="center"/>
          </w:tcPr>
          <w:p w14:paraId="702E124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605CB01B">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5CBD9DB5">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住宿业</w:t>
            </w:r>
          </w:p>
        </w:tc>
        <w:tc>
          <w:tcPr>
            <w:tcW w:w="1594" w:type="dxa"/>
            <w:tcBorders>
              <w:top w:val="nil"/>
              <w:left w:val="nil"/>
              <w:bottom w:val="single" w:color="auto" w:sz="4" w:space="0"/>
              <w:right w:val="single" w:color="auto" w:sz="4" w:space="0"/>
            </w:tcBorders>
            <w:vAlign w:val="center"/>
          </w:tcPr>
          <w:p w14:paraId="39A09CF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08C4D04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76F55D6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100≤X＜300</w:t>
            </w:r>
          </w:p>
        </w:tc>
        <w:tc>
          <w:tcPr>
            <w:tcW w:w="1658" w:type="dxa"/>
            <w:tcBorders>
              <w:top w:val="nil"/>
              <w:left w:val="nil"/>
              <w:bottom w:val="single" w:color="auto" w:sz="4" w:space="0"/>
              <w:right w:val="single" w:color="auto" w:sz="4" w:space="0"/>
            </w:tcBorders>
            <w:vAlign w:val="center"/>
          </w:tcPr>
          <w:p w14:paraId="26640CB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10≤X＜100</w:t>
            </w:r>
          </w:p>
        </w:tc>
        <w:tc>
          <w:tcPr>
            <w:tcW w:w="1066" w:type="dxa"/>
            <w:tcBorders>
              <w:top w:val="nil"/>
              <w:left w:val="nil"/>
              <w:bottom w:val="single" w:color="auto" w:sz="4" w:space="0"/>
              <w:right w:val="single" w:color="auto" w:sz="4" w:space="0"/>
            </w:tcBorders>
            <w:vAlign w:val="center"/>
          </w:tcPr>
          <w:p w14:paraId="5A9D024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r w14:paraId="4FD90408">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607F502A">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465FF54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6FC6E3F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1BC83183">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2000≤Y＜10000</w:t>
            </w:r>
          </w:p>
        </w:tc>
        <w:tc>
          <w:tcPr>
            <w:tcW w:w="1658" w:type="dxa"/>
            <w:tcBorders>
              <w:top w:val="nil"/>
              <w:left w:val="nil"/>
              <w:bottom w:val="single" w:color="auto" w:sz="4" w:space="0"/>
              <w:right w:val="single" w:color="auto" w:sz="4" w:space="0"/>
            </w:tcBorders>
            <w:vAlign w:val="center"/>
          </w:tcPr>
          <w:p w14:paraId="5B9C45B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100≤Y＜2000</w:t>
            </w:r>
          </w:p>
        </w:tc>
        <w:tc>
          <w:tcPr>
            <w:tcW w:w="1066" w:type="dxa"/>
            <w:tcBorders>
              <w:top w:val="nil"/>
              <w:left w:val="nil"/>
              <w:bottom w:val="single" w:color="auto" w:sz="4" w:space="0"/>
              <w:right w:val="single" w:color="auto" w:sz="4" w:space="0"/>
            </w:tcBorders>
            <w:vAlign w:val="center"/>
          </w:tcPr>
          <w:p w14:paraId="608380B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5B452AE1">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143E765A">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餐饮业</w:t>
            </w:r>
          </w:p>
        </w:tc>
        <w:tc>
          <w:tcPr>
            <w:tcW w:w="1594" w:type="dxa"/>
            <w:tcBorders>
              <w:top w:val="nil"/>
              <w:left w:val="nil"/>
              <w:bottom w:val="single" w:color="auto" w:sz="4" w:space="0"/>
              <w:right w:val="single" w:color="auto" w:sz="4" w:space="0"/>
            </w:tcBorders>
            <w:vAlign w:val="center"/>
          </w:tcPr>
          <w:p w14:paraId="251EB05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760CD85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68170C03">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100≤X＜300</w:t>
            </w:r>
          </w:p>
        </w:tc>
        <w:tc>
          <w:tcPr>
            <w:tcW w:w="1658" w:type="dxa"/>
            <w:tcBorders>
              <w:top w:val="nil"/>
              <w:left w:val="nil"/>
              <w:bottom w:val="single" w:color="auto" w:sz="4" w:space="0"/>
              <w:right w:val="single" w:color="auto" w:sz="4" w:space="0"/>
            </w:tcBorders>
            <w:vAlign w:val="center"/>
          </w:tcPr>
          <w:p w14:paraId="742EFD7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10≤X＜100</w:t>
            </w:r>
          </w:p>
        </w:tc>
        <w:tc>
          <w:tcPr>
            <w:tcW w:w="1066" w:type="dxa"/>
            <w:tcBorders>
              <w:top w:val="nil"/>
              <w:left w:val="nil"/>
              <w:bottom w:val="single" w:color="auto" w:sz="4" w:space="0"/>
              <w:right w:val="single" w:color="auto" w:sz="4" w:space="0"/>
            </w:tcBorders>
            <w:vAlign w:val="center"/>
          </w:tcPr>
          <w:p w14:paraId="64431C8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r w14:paraId="41C95CC3">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40D472CB">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630E5A7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0AEC0E7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33EF9A3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2000≤Y＜10000</w:t>
            </w:r>
          </w:p>
        </w:tc>
        <w:tc>
          <w:tcPr>
            <w:tcW w:w="1658" w:type="dxa"/>
            <w:tcBorders>
              <w:top w:val="nil"/>
              <w:left w:val="nil"/>
              <w:bottom w:val="single" w:color="auto" w:sz="4" w:space="0"/>
              <w:right w:val="single" w:color="auto" w:sz="4" w:space="0"/>
            </w:tcBorders>
            <w:vAlign w:val="center"/>
          </w:tcPr>
          <w:p w14:paraId="50B61FF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100≤Y＜2000</w:t>
            </w:r>
          </w:p>
        </w:tc>
        <w:tc>
          <w:tcPr>
            <w:tcW w:w="1066" w:type="dxa"/>
            <w:tcBorders>
              <w:top w:val="nil"/>
              <w:left w:val="nil"/>
              <w:bottom w:val="single" w:color="auto" w:sz="4" w:space="0"/>
              <w:right w:val="single" w:color="auto" w:sz="4" w:space="0"/>
            </w:tcBorders>
            <w:vAlign w:val="center"/>
          </w:tcPr>
          <w:p w14:paraId="3911D23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7306D4EA">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00B5B614">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信息传输业</w:t>
            </w:r>
          </w:p>
        </w:tc>
        <w:tc>
          <w:tcPr>
            <w:tcW w:w="1594" w:type="dxa"/>
            <w:tcBorders>
              <w:top w:val="nil"/>
              <w:left w:val="nil"/>
              <w:bottom w:val="single" w:color="auto" w:sz="4" w:space="0"/>
              <w:right w:val="single" w:color="auto" w:sz="4" w:space="0"/>
            </w:tcBorders>
            <w:vAlign w:val="center"/>
          </w:tcPr>
          <w:p w14:paraId="596CB6B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77820E1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306A193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100≤X＜2000</w:t>
            </w:r>
          </w:p>
        </w:tc>
        <w:tc>
          <w:tcPr>
            <w:tcW w:w="1658" w:type="dxa"/>
            <w:tcBorders>
              <w:top w:val="nil"/>
              <w:left w:val="nil"/>
              <w:bottom w:val="single" w:color="auto" w:sz="4" w:space="0"/>
              <w:right w:val="single" w:color="auto" w:sz="4" w:space="0"/>
            </w:tcBorders>
            <w:vAlign w:val="center"/>
          </w:tcPr>
          <w:p w14:paraId="065EF4F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10≤X＜100</w:t>
            </w:r>
          </w:p>
        </w:tc>
        <w:tc>
          <w:tcPr>
            <w:tcW w:w="1066" w:type="dxa"/>
            <w:tcBorders>
              <w:top w:val="nil"/>
              <w:left w:val="nil"/>
              <w:bottom w:val="single" w:color="auto" w:sz="4" w:space="0"/>
              <w:right w:val="single" w:color="auto" w:sz="4" w:space="0"/>
            </w:tcBorders>
            <w:vAlign w:val="center"/>
          </w:tcPr>
          <w:p w14:paraId="48C6DAA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r w14:paraId="312581A7">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270768B2">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3436C9D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5A74D3C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58DCA59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1000≤Y＜100000</w:t>
            </w:r>
          </w:p>
        </w:tc>
        <w:tc>
          <w:tcPr>
            <w:tcW w:w="1658" w:type="dxa"/>
            <w:tcBorders>
              <w:top w:val="nil"/>
              <w:left w:val="nil"/>
              <w:bottom w:val="single" w:color="auto" w:sz="4" w:space="0"/>
              <w:right w:val="single" w:color="auto" w:sz="4" w:space="0"/>
            </w:tcBorders>
            <w:vAlign w:val="center"/>
          </w:tcPr>
          <w:p w14:paraId="06E4199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100≤Y＜1000</w:t>
            </w:r>
          </w:p>
        </w:tc>
        <w:tc>
          <w:tcPr>
            <w:tcW w:w="1066" w:type="dxa"/>
            <w:tcBorders>
              <w:top w:val="nil"/>
              <w:left w:val="nil"/>
              <w:bottom w:val="single" w:color="auto" w:sz="4" w:space="0"/>
              <w:right w:val="single" w:color="auto" w:sz="4" w:space="0"/>
            </w:tcBorders>
            <w:vAlign w:val="center"/>
          </w:tcPr>
          <w:p w14:paraId="2AD391C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44F60BB4">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2583361A">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软件和信息技术服务业</w:t>
            </w:r>
          </w:p>
        </w:tc>
        <w:tc>
          <w:tcPr>
            <w:tcW w:w="1594" w:type="dxa"/>
            <w:tcBorders>
              <w:top w:val="nil"/>
              <w:left w:val="nil"/>
              <w:bottom w:val="single" w:color="auto" w:sz="4" w:space="0"/>
              <w:right w:val="single" w:color="auto" w:sz="4" w:space="0"/>
            </w:tcBorders>
            <w:vAlign w:val="center"/>
          </w:tcPr>
          <w:p w14:paraId="698E29C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38CCBEE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6C8696A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100≤X＜300</w:t>
            </w:r>
          </w:p>
        </w:tc>
        <w:tc>
          <w:tcPr>
            <w:tcW w:w="1658" w:type="dxa"/>
            <w:tcBorders>
              <w:top w:val="nil"/>
              <w:left w:val="nil"/>
              <w:bottom w:val="single" w:color="auto" w:sz="4" w:space="0"/>
              <w:right w:val="single" w:color="auto" w:sz="4" w:space="0"/>
            </w:tcBorders>
            <w:vAlign w:val="center"/>
          </w:tcPr>
          <w:p w14:paraId="18F227C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10≤X＜100</w:t>
            </w:r>
          </w:p>
        </w:tc>
        <w:tc>
          <w:tcPr>
            <w:tcW w:w="1066" w:type="dxa"/>
            <w:tcBorders>
              <w:top w:val="nil"/>
              <w:left w:val="nil"/>
              <w:bottom w:val="single" w:color="auto" w:sz="4" w:space="0"/>
              <w:right w:val="single" w:color="auto" w:sz="4" w:space="0"/>
            </w:tcBorders>
            <w:vAlign w:val="center"/>
          </w:tcPr>
          <w:p w14:paraId="3FF28CE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r w14:paraId="3A134F2B">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1DD4A1C4">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650B791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63E0540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08573A2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1000≤Y＜10000</w:t>
            </w:r>
          </w:p>
        </w:tc>
        <w:tc>
          <w:tcPr>
            <w:tcW w:w="1658" w:type="dxa"/>
            <w:tcBorders>
              <w:top w:val="nil"/>
              <w:left w:val="nil"/>
              <w:bottom w:val="single" w:color="auto" w:sz="4" w:space="0"/>
              <w:right w:val="single" w:color="auto" w:sz="4" w:space="0"/>
            </w:tcBorders>
            <w:vAlign w:val="center"/>
          </w:tcPr>
          <w:p w14:paraId="47341A3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50≤Y＜1000</w:t>
            </w:r>
          </w:p>
        </w:tc>
        <w:tc>
          <w:tcPr>
            <w:tcW w:w="1066" w:type="dxa"/>
            <w:tcBorders>
              <w:top w:val="nil"/>
              <w:left w:val="nil"/>
              <w:bottom w:val="single" w:color="auto" w:sz="4" w:space="0"/>
              <w:right w:val="single" w:color="auto" w:sz="4" w:space="0"/>
            </w:tcBorders>
            <w:vAlign w:val="center"/>
          </w:tcPr>
          <w:p w14:paraId="2CF3376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Y＜50</w:t>
            </w:r>
          </w:p>
        </w:tc>
      </w:tr>
      <w:tr w14:paraId="3686864F">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1C9535EF">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房地产开发经营</w:t>
            </w:r>
          </w:p>
        </w:tc>
        <w:tc>
          <w:tcPr>
            <w:tcW w:w="1594" w:type="dxa"/>
            <w:tcBorders>
              <w:top w:val="nil"/>
              <w:left w:val="nil"/>
              <w:bottom w:val="single" w:color="auto" w:sz="4" w:space="0"/>
              <w:right w:val="single" w:color="auto" w:sz="4" w:space="0"/>
            </w:tcBorders>
            <w:vAlign w:val="center"/>
          </w:tcPr>
          <w:p w14:paraId="707CCD8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153D2BA4">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13125521">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1000≤Y＜200000</w:t>
            </w:r>
          </w:p>
        </w:tc>
        <w:tc>
          <w:tcPr>
            <w:tcW w:w="1658" w:type="dxa"/>
            <w:tcBorders>
              <w:top w:val="nil"/>
              <w:left w:val="nil"/>
              <w:bottom w:val="single" w:color="auto" w:sz="4" w:space="0"/>
              <w:right w:val="single" w:color="auto" w:sz="4" w:space="0"/>
            </w:tcBorders>
            <w:vAlign w:val="center"/>
          </w:tcPr>
          <w:p w14:paraId="7BE4CDB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100≤X＜1000</w:t>
            </w:r>
          </w:p>
        </w:tc>
        <w:tc>
          <w:tcPr>
            <w:tcW w:w="1066" w:type="dxa"/>
            <w:tcBorders>
              <w:top w:val="nil"/>
              <w:left w:val="nil"/>
              <w:bottom w:val="single" w:color="auto" w:sz="4" w:space="0"/>
              <w:right w:val="single" w:color="auto" w:sz="4" w:space="0"/>
            </w:tcBorders>
            <w:vAlign w:val="center"/>
          </w:tcPr>
          <w:p w14:paraId="0A39E3E1">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X＜100</w:t>
            </w:r>
          </w:p>
        </w:tc>
      </w:tr>
      <w:tr w14:paraId="200ABAE1">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2518C5A7">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1B174E9E">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资产总额（Z）</w:t>
            </w:r>
          </w:p>
        </w:tc>
        <w:tc>
          <w:tcPr>
            <w:tcW w:w="1052" w:type="dxa"/>
            <w:tcBorders>
              <w:top w:val="nil"/>
              <w:left w:val="nil"/>
              <w:bottom w:val="single" w:color="auto" w:sz="4" w:space="0"/>
              <w:right w:val="single" w:color="auto" w:sz="4" w:space="0"/>
            </w:tcBorders>
            <w:vAlign w:val="center"/>
          </w:tcPr>
          <w:p w14:paraId="768C3A1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6D39D48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5000≤Z＜10000</w:t>
            </w:r>
          </w:p>
        </w:tc>
        <w:tc>
          <w:tcPr>
            <w:tcW w:w="1658" w:type="dxa"/>
            <w:tcBorders>
              <w:top w:val="nil"/>
              <w:left w:val="nil"/>
              <w:bottom w:val="single" w:color="auto" w:sz="4" w:space="0"/>
              <w:right w:val="single" w:color="auto" w:sz="4" w:space="0"/>
            </w:tcBorders>
            <w:vAlign w:val="center"/>
          </w:tcPr>
          <w:p w14:paraId="62AA73C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2000≤Y＜5000</w:t>
            </w:r>
          </w:p>
        </w:tc>
        <w:tc>
          <w:tcPr>
            <w:tcW w:w="1066" w:type="dxa"/>
            <w:tcBorders>
              <w:top w:val="nil"/>
              <w:left w:val="nil"/>
              <w:bottom w:val="single" w:color="auto" w:sz="4" w:space="0"/>
              <w:right w:val="single" w:color="auto" w:sz="4" w:space="0"/>
            </w:tcBorders>
            <w:vAlign w:val="center"/>
          </w:tcPr>
          <w:p w14:paraId="650E6DC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Y＜2000</w:t>
            </w:r>
          </w:p>
        </w:tc>
      </w:tr>
      <w:tr w14:paraId="6C559CE8">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5F7FA997">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物业管理</w:t>
            </w:r>
          </w:p>
        </w:tc>
        <w:tc>
          <w:tcPr>
            <w:tcW w:w="1594" w:type="dxa"/>
            <w:tcBorders>
              <w:top w:val="nil"/>
              <w:left w:val="nil"/>
              <w:bottom w:val="single" w:color="auto" w:sz="4" w:space="0"/>
              <w:right w:val="single" w:color="auto" w:sz="4" w:space="0"/>
            </w:tcBorders>
            <w:vAlign w:val="center"/>
          </w:tcPr>
          <w:p w14:paraId="195616D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24638821">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687BB4D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300≤X＜1000</w:t>
            </w:r>
          </w:p>
        </w:tc>
        <w:tc>
          <w:tcPr>
            <w:tcW w:w="1658" w:type="dxa"/>
            <w:tcBorders>
              <w:top w:val="nil"/>
              <w:left w:val="nil"/>
              <w:bottom w:val="single" w:color="auto" w:sz="4" w:space="0"/>
              <w:right w:val="single" w:color="auto" w:sz="4" w:space="0"/>
            </w:tcBorders>
            <w:vAlign w:val="center"/>
          </w:tcPr>
          <w:p w14:paraId="7A7A17F8">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100≤X＜300</w:t>
            </w:r>
          </w:p>
        </w:tc>
        <w:tc>
          <w:tcPr>
            <w:tcW w:w="1066" w:type="dxa"/>
            <w:tcBorders>
              <w:top w:val="nil"/>
              <w:left w:val="nil"/>
              <w:bottom w:val="single" w:color="auto" w:sz="4" w:space="0"/>
              <w:right w:val="single" w:color="auto" w:sz="4" w:space="0"/>
            </w:tcBorders>
            <w:vAlign w:val="center"/>
          </w:tcPr>
          <w:p w14:paraId="6141D40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X＜100</w:t>
            </w:r>
          </w:p>
        </w:tc>
      </w:tr>
      <w:tr w14:paraId="6D37EC9F">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25FBFC22">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76E3E3E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营业收入（Y）</w:t>
            </w:r>
          </w:p>
        </w:tc>
        <w:tc>
          <w:tcPr>
            <w:tcW w:w="1052" w:type="dxa"/>
            <w:tcBorders>
              <w:top w:val="nil"/>
              <w:left w:val="nil"/>
              <w:bottom w:val="single" w:color="auto" w:sz="4" w:space="0"/>
              <w:right w:val="single" w:color="auto" w:sz="4" w:space="0"/>
            </w:tcBorders>
            <w:vAlign w:val="center"/>
          </w:tcPr>
          <w:p w14:paraId="6F668B3C">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59DCA52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1000≤Y＜5000</w:t>
            </w:r>
          </w:p>
        </w:tc>
        <w:tc>
          <w:tcPr>
            <w:tcW w:w="1658" w:type="dxa"/>
            <w:tcBorders>
              <w:top w:val="nil"/>
              <w:left w:val="nil"/>
              <w:bottom w:val="single" w:color="auto" w:sz="4" w:space="0"/>
              <w:right w:val="single" w:color="auto" w:sz="4" w:space="0"/>
            </w:tcBorders>
            <w:vAlign w:val="center"/>
          </w:tcPr>
          <w:p w14:paraId="66DB55E7">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500≤Y＜1000</w:t>
            </w:r>
          </w:p>
        </w:tc>
        <w:tc>
          <w:tcPr>
            <w:tcW w:w="1066" w:type="dxa"/>
            <w:tcBorders>
              <w:top w:val="nil"/>
              <w:left w:val="nil"/>
              <w:bottom w:val="single" w:color="auto" w:sz="4" w:space="0"/>
              <w:right w:val="single" w:color="auto" w:sz="4" w:space="0"/>
            </w:tcBorders>
            <w:vAlign w:val="center"/>
          </w:tcPr>
          <w:p w14:paraId="0E0D420B">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Y＜500</w:t>
            </w:r>
          </w:p>
        </w:tc>
      </w:tr>
      <w:tr w14:paraId="628C59F0">
        <w:tblPrEx>
          <w:tblCellMar>
            <w:top w:w="0" w:type="dxa"/>
            <w:left w:w="108" w:type="dxa"/>
            <w:bottom w:w="0" w:type="dxa"/>
            <w:right w:w="108" w:type="dxa"/>
          </w:tblCellMar>
        </w:tblPrEx>
        <w:trPr>
          <w:trHeight w:val="339" w:hRule="atLeast"/>
        </w:trPr>
        <w:tc>
          <w:tcPr>
            <w:tcW w:w="1961" w:type="dxa"/>
            <w:vMerge w:val="restart"/>
            <w:tcBorders>
              <w:top w:val="nil"/>
              <w:left w:val="single" w:color="auto" w:sz="4" w:space="0"/>
              <w:bottom w:val="single" w:color="auto" w:sz="4" w:space="0"/>
              <w:right w:val="single" w:color="auto" w:sz="4" w:space="0"/>
            </w:tcBorders>
            <w:vAlign w:val="bottom"/>
          </w:tcPr>
          <w:p w14:paraId="27DBEA4F">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租赁和商务服务业</w:t>
            </w:r>
          </w:p>
        </w:tc>
        <w:tc>
          <w:tcPr>
            <w:tcW w:w="1594" w:type="dxa"/>
            <w:tcBorders>
              <w:top w:val="nil"/>
              <w:left w:val="nil"/>
              <w:bottom w:val="single" w:color="auto" w:sz="4" w:space="0"/>
              <w:right w:val="single" w:color="auto" w:sz="4" w:space="0"/>
            </w:tcBorders>
            <w:vAlign w:val="center"/>
          </w:tcPr>
          <w:p w14:paraId="595AC3E6">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679C0885">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23D335C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100≤X＜300</w:t>
            </w:r>
          </w:p>
        </w:tc>
        <w:tc>
          <w:tcPr>
            <w:tcW w:w="1658" w:type="dxa"/>
            <w:tcBorders>
              <w:top w:val="nil"/>
              <w:left w:val="nil"/>
              <w:bottom w:val="single" w:color="auto" w:sz="4" w:space="0"/>
              <w:right w:val="single" w:color="auto" w:sz="4" w:space="0"/>
            </w:tcBorders>
            <w:vAlign w:val="center"/>
          </w:tcPr>
          <w:p w14:paraId="28B989A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10≤X＜100</w:t>
            </w:r>
          </w:p>
        </w:tc>
        <w:tc>
          <w:tcPr>
            <w:tcW w:w="1066" w:type="dxa"/>
            <w:tcBorders>
              <w:top w:val="nil"/>
              <w:left w:val="nil"/>
              <w:bottom w:val="single" w:color="auto" w:sz="4" w:space="0"/>
              <w:right w:val="single" w:color="auto" w:sz="4" w:space="0"/>
            </w:tcBorders>
            <w:vAlign w:val="center"/>
          </w:tcPr>
          <w:p w14:paraId="4FA580B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r w14:paraId="330EDEF4">
        <w:tblPrEx>
          <w:tblCellMar>
            <w:top w:w="0" w:type="dxa"/>
            <w:left w:w="108" w:type="dxa"/>
            <w:bottom w:w="0" w:type="dxa"/>
            <w:right w:w="108" w:type="dxa"/>
          </w:tblCellMar>
        </w:tblPrEx>
        <w:trPr>
          <w:trHeight w:val="339" w:hRule="atLeast"/>
        </w:trPr>
        <w:tc>
          <w:tcPr>
            <w:tcW w:w="1961" w:type="dxa"/>
            <w:vMerge w:val="continue"/>
            <w:tcBorders>
              <w:top w:val="nil"/>
              <w:left w:val="single" w:color="auto" w:sz="4" w:space="0"/>
              <w:bottom w:val="single" w:color="auto" w:sz="4" w:space="0"/>
              <w:right w:val="single" w:color="auto" w:sz="4" w:space="0"/>
            </w:tcBorders>
            <w:vAlign w:val="center"/>
          </w:tcPr>
          <w:p w14:paraId="6FCC64B2">
            <w:pPr>
              <w:widowControl/>
              <w:jc w:val="left"/>
              <w:rPr>
                <w:rFonts w:hint="eastAsia" w:ascii="方正仿宋_GB2312" w:hAnsi="仿宋" w:eastAsia="方正仿宋_GB2312" w:cs="宋体"/>
                <w:b/>
                <w:bCs/>
                <w:color w:val="auto"/>
                <w:kern w:val="0"/>
                <w:sz w:val="18"/>
                <w:szCs w:val="18"/>
                <w:highlight w:val="none"/>
              </w:rPr>
            </w:pPr>
          </w:p>
        </w:tc>
        <w:tc>
          <w:tcPr>
            <w:tcW w:w="1594" w:type="dxa"/>
            <w:tcBorders>
              <w:top w:val="nil"/>
              <w:left w:val="nil"/>
              <w:bottom w:val="single" w:color="auto" w:sz="4" w:space="0"/>
              <w:right w:val="single" w:color="auto" w:sz="4" w:space="0"/>
            </w:tcBorders>
            <w:vAlign w:val="center"/>
          </w:tcPr>
          <w:p w14:paraId="578F0C3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资产总额（Z）</w:t>
            </w:r>
          </w:p>
        </w:tc>
        <w:tc>
          <w:tcPr>
            <w:tcW w:w="1052" w:type="dxa"/>
            <w:tcBorders>
              <w:top w:val="nil"/>
              <w:left w:val="nil"/>
              <w:bottom w:val="single" w:color="auto" w:sz="4" w:space="0"/>
              <w:right w:val="single" w:color="auto" w:sz="4" w:space="0"/>
            </w:tcBorders>
            <w:vAlign w:val="center"/>
          </w:tcPr>
          <w:p w14:paraId="3F8AA82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万元</w:t>
            </w:r>
          </w:p>
        </w:tc>
        <w:tc>
          <w:tcPr>
            <w:tcW w:w="1866" w:type="dxa"/>
            <w:tcBorders>
              <w:top w:val="nil"/>
              <w:left w:val="nil"/>
              <w:bottom w:val="single" w:color="auto" w:sz="4" w:space="0"/>
              <w:right w:val="single" w:color="auto" w:sz="4" w:space="0"/>
            </w:tcBorders>
            <w:vAlign w:val="center"/>
          </w:tcPr>
          <w:p w14:paraId="148BDC99">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8000≤Z＜120000</w:t>
            </w:r>
          </w:p>
        </w:tc>
        <w:tc>
          <w:tcPr>
            <w:tcW w:w="1658" w:type="dxa"/>
            <w:tcBorders>
              <w:top w:val="nil"/>
              <w:left w:val="nil"/>
              <w:bottom w:val="single" w:color="auto" w:sz="4" w:space="0"/>
              <w:right w:val="single" w:color="auto" w:sz="4" w:space="0"/>
            </w:tcBorders>
            <w:vAlign w:val="center"/>
          </w:tcPr>
          <w:p w14:paraId="26B3A8E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100≤Z＜8000</w:t>
            </w:r>
          </w:p>
        </w:tc>
        <w:tc>
          <w:tcPr>
            <w:tcW w:w="1066" w:type="dxa"/>
            <w:tcBorders>
              <w:top w:val="nil"/>
              <w:left w:val="nil"/>
              <w:bottom w:val="single" w:color="auto" w:sz="4" w:space="0"/>
              <w:right w:val="single" w:color="auto" w:sz="4" w:space="0"/>
            </w:tcBorders>
            <w:vAlign w:val="center"/>
          </w:tcPr>
          <w:p w14:paraId="484E40BA">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Y＜100</w:t>
            </w:r>
          </w:p>
        </w:tc>
      </w:tr>
      <w:tr w14:paraId="114B0F63">
        <w:tblPrEx>
          <w:tblCellMar>
            <w:top w:w="0" w:type="dxa"/>
            <w:left w:w="108" w:type="dxa"/>
            <w:bottom w:w="0" w:type="dxa"/>
            <w:right w:w="108" w:type="dxa"/>
          </w:tblCellMar>
        </w:tblPrEx>
        <w:trPr>
          <w:trHeight w:val="349" w:hRule="atLeast"/>
        </w:trPr>
        <w:tc>
          <w:tcPr>
            <w:tcW w:w="1961" w:type="dxa"/>
            <w:tcBorders>
              <w:top w:val="nil"/>
              <w:left w:val="single" w:color="auto" w:sz="4" w:space="0"/>
              <w:bottom w:val="single" w:color="auto" w:sz="4" w:space="0"/>
              <w:right w:val="single" w:color="auto" w:sz="4" w:space="0"/>
            </w:tcBorders>
            <w:vAlign w:val="bottom"/>
          </w:tcPr>
          <w:p w14:paraId="39225700">
            <w:pPr>
              <w:widowControl/>
              <w:jc w:val="center"/>
              <w:rPr>
                <w:rFonts w:hint="eastAsia" w:ascii="方正仿宋_GB2312" w:hAnsi="仿宋" w:eastAsia="方正仿宋_GB2312" w:cs="宋体"/>
                <w:b/>
                <w:bCs/>
                <w:color w:val="auto"/>
                <w:kern w:val="0"/>
                <w:sz w:val="18"/>
                <w:szCs w:val="18"/>
                <w:highlight w:val="none"/>
              </w:rPr>
            </w:pPr>
            <w:r>
              <w:rPr>
                <w:rFonts w:hint="eastAsia" w:ascii="方正仿宋_GB2312" w:hAnsi="仿宋" w:eastAsia="方正仿宋_GB2312" w:cs="宋体"/>
                <w:b/>
                <w:bCs/>
                <w:color w:val="auto"/>
                <w:kern w:val="0"/>
                <w:sz w:val="18"/>
                <w:szCs w:val="18"/>
                <w:highlight w:val="none"/>
              </w:rPr>
              <w:t>其他未列明行业</w:t>
            </w:r>
          </w:p>
        </w:tc>
        <w:tc>
          <w:tcPr>
            <w:tcW w:w="1594" w:type="dxa"/>
            <w:tcBorders>
              <w:top w:val="nil"/>
              <w:left w:val="nil"/>
              <w:bottom w:val="single" w:color="auto" w:sz="4" w:space="0"/>
              <w:right w:val="single" w:color="auto" w:sz="4" w:space="0"/>
            </w:tcBorders>
            <w:vAlign w:val="center"/>
          </w:tcPr>
          <w:p w14:paraId="7784596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从业人员（X）</w:t>
            </w:r>
          </w:p>
        </w:tc>
        <w:tc>
          <w:tcPr>
            <w:tcW w:w="1052" w:type="dxa"/>
            <w:tcBorders>
              <w:top w:val="nil"/>
              <w:left w:val="nil"/>
              <w:bottom w:val="single" w:color="auto" w:sz="4" w:space="0"/>
              <w:right w:val="single" w:color="auto" w:sz="4" w:space="0"/>
            </w:tcBorders>
            <w:vAlign w:val="center"/>
          </w:tcPr>
          <w:p w14:paraId="0D77B44D">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人</w:t>
            </w:r>
          </w:p>
        </w:tc>
        <w:tc>
          <w:tcPr>
            <w:tcW w:w="1866" w:type="dxa"/>
            <w:tcBorders>
              <w:top w:val="nil"/>
              <w:left w:val="nil"/>
              <w:bottom w:val="single" w:color="auto" w:sz="4" w:space="0"/>
              <w:right w:val="single" w:color="auto" w:sz="4" w:space="0"/>
            </w:tcBorders>
            <w:vAlign w:val="center"/>
          </w:tcPr>
          <w:p w14:paraId="64FCBD6F">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100≤X＜300</w:t>
            </w:r>
          </w:p>
        </w:tc>
        <w:tc>
          <w:tcPr>
            <w:tcW w:w="1658" w:type="dxa"/>
            <w:tcBorders>
              <w:top w:val="nil"/>
              <w:left w:val="nil"/>
              <w:bottom w:val="single" w:color="auto" w:sz="4" w:space="0"/>
              <w:right w:val="single" w:color="auto" w:sz="4" w:space="0"/>
            </w:tcBorders>
            <w:vAlign w:val="center"/>
          </w:tcPr>
          <w:p w14:paraId="522BB4B2">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10≤X＜100</w:t>
            </w:r>
          </w:p>
        </w:tc>
        <w:tc>
          <w:tcPr>
            <w:tcW w:w="1066" w:type="dxa"/>
            <w:tcBorders>
              <w:top w:val="nil"/>
              <w:left w:val="nil"/>
              <w:bottom w:val="single" w:color="auto" w:sz="4" w:space="0"/>
              <w:right w:val="single" w:color="auto" w:sz="4" w:space="0"/>
            </w:tcBorders>
            <w:vAlign w:val="center"/>
          </w:tcPr>
          <w:p w14:paraId="31661CE0">
            <w:pPr>
              <w:widowControl/>
              <w:jc w:val="left"/>
              <w:rPr>
                <w:rFonts w:hint="eastAsia" w:ascii="方正仿宋_GB2312" w:hAnsi="仿宋" w:eastAsia="方正仿宋_GB2312" w:cs="宋体"/>
                <w:color w:val="auto"/>
                <w:kern w:val="0"/>
                <w:sz w:val="18"/>
                <w:szCs w:val="18"/>
                <w:highlight w:val="none"/>
              </w:rPr>
            </w:pPr>
            <w:r>
              <w:rPr>
                <w:rFonts w:hint="eastAsia" w:ascii="方正仿宋_GB2312" w:hAnsi="仿宋" w:eastAsia="方正仿宋_GB2312" w:cs="宋体"/>
                <w:color w:val="auto"/>
                <w:kern w:val="0"/>
                <w:sz w:val="18"/>
                <w:szCs w:val="18"/>
                <w:highlight w:val="none"/>
              </w:rPr>
              <w:t>X＜10</w:t>
            </w:r>
          </w:p>
        </w:tc>
      </w:tr>
    </w:tbl>
    <w:p w14:paraId="509AA800">
      <w:pPr>
        <w:keepNext w:val="0"/>
        <w:keepLines w:val="0"/>
        <w:pageBreakBefore w:val="0"/>
        <w:widowControl w:val="0"/>
        <w:kinsoku/>
        <w:wordWrap/>
        <w:overflowPunct/>
        <w:topLinePunct w:val="0"/>
        <w:autoSpaceDE/>
        <w:autoSpaceDN/>
        <w:bidi w:val="0"/>
        <w:adjustRightInd/>
        <w:snapToGrid/>
        <w:spacing w:line="240" w:lineRule="auto"/>
        <w:ind w:firstLine="525" w:firstLineChars="250"/>
        <w:textAlignment w:val="auto"/>
        <w:rPr>
          <w:rFonts w:hint="eastAsia" w:ascii="宋体" w:hAnsi="宋体" w:cs="宋体"/>
          <w:color w:val="auto"/>
          <w:sz w:val="28"/>
          <w:szCs w:val="28"/>
          <w:highlight w:val="none"/>
        </w:rPr>
      </w:pPr>
      <w:r>
        <w:rPr>
          <w:rFonts w:hint="eastAsia" w:ascii="方正仿宋_GB2312" w:hAnsi="仿宋" w:eastAsia="方正仿宋_GB2312"/>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6B7657F6">
      <w:pPr>
        <w:jc w:val="center"/>
        <w:outlineLvl w:val="0"/>
        <w:rPr>
          <w:rFonts w:hint="eastAsia" w:ascii="宋体" w:hAnsi="宋体"/>
          <w:b/>
          <w:color w:val="auto"/>
          <w:kern w:val="0"/>
          <w:sz w:val="36"/>
          <w:szCs w:val="36"/>
          <w:highlight w:val="none"/>
        </w:rPr>
      </w:pPr>
      <w:bookmarkStart w:id="4" w:name="_Toc4443"/>
      <w:r>
        <w:rPr>
          <w:rFonts w:hint="eastAsia"/>
          <w:b/>
          <w:color w:val="auto"/>
          <w:kern w:val="0"/>
          <w:sz w:val="36"/>
          <w:szCs w:val="20"/>
          <w:highlight w:val="none"/>
        </w:rPr>
        <w:t>第三章</w:t>
      </w:r>
      <w:r>
        <w:rPr>
          <w:b/>
          <w:color w:val="auto"/>
          <w:kern w:val="0"/>
          <w:sz w:val="36"/>
          <w:szCs w:val="20"/>
          <w:highlight w:val="none"/>
        </w:rPr>
        <w:t xml:space="preserve">  </w:t>
      </w:r>
      <w:r>
        <w:rPr>
          <w:rFonts w:hint="eastAsia"/>
          <w:b/>
          <w:color w:val="auto"/>
          <w:kern w:val="0"/>
          <w:sz w:val="36"/>
          <w:szCs w:val="20"/>
          <w:highlight w:val="none"/>
        </w:rPr>
        <w:t>投标人须知</w:t>
      </w:r>
      <w:bookmarkEnd w:id="4"/>
    </w:p>
    <w:p w14:paraId="0EAF4937">
      <w:pPr>
        <w:spacing w:line="720" w:lineRule="auto"/>
        <w:jc w:val="center"/>
        <w:outlineLvl w:val="1"/>
        <w:rPr>
          <w:b/>
          <w:color w:val="auto"/>
          <w:kern w:val="0"/>
          <w:sz w:val="30"/>
          <w:szCs w:val="30"/>
          <w:highlight w:val="none"/>
        </w:rPr>
      </w:pPr>
      <w:bookmarkStart w:id="5" w:name="_Toc11048"/>
      <w:r>
        <w:rPr>
          <w:rFonts w:hint="eastAsia"/>
          <w:b/>
          <w:color w:val="auto"/>
          <w:kern w:val="0"/>
          <w:sz w:val="30"/>
          <w:szCs w:val="30"/>
          <w:highlight w:val="none"/>
        </w:rPr>
        <w:t>第一节</w:t>
      </w:r>
      <w:r>
        <w:rPr>
          <w:b/>
          <w:color w:val="auto"/>
          <w:kern w:val="0"/>
          <w:sz w:val="30"/>
          <w:szCs w:val="30"/>
          <w:highlight w:val="none"/>
        </w:rPr>
        <w:t xml:space="preserve"> </w:t>
      </w:r>
      <w:r>
        <w:rPr>
          <w:rFonts w:hint="eastAsia"/>
          <w:b/>
          <w:color w:val="auto"/>
          <w:kern w:val="0"/>
          <w:sz w:val="30"/>
          <w:szCs w:val="30"/>
          <w:highlight w:val="none"/>
        </w:rPr>
        <w:t>投标人须知前附表</w:t>
      </w:r>
      <w:bookmarkEnd w:id="5"/>
    </w:p>
    <w:tbl>
      <w:tblPr>
        <w:tblStyle w:val="19"/>
        <w:tblW w:w="9662" w:type="dxa"/>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2"/>
        <w:gridCol w:w="2071"/>
        <w:gridCol w:w="6719"/>
      </w:tblGrid>
      <w:tr w14:paraId="22648B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29935716">
            <w:pPr>
              <w:snapToGrid w:val="0"/>
              <w:spacing w:line="440" w:lineRule="exact"/>
              <w:jc w:val="left"/>
              <w:rPr>
                <w:rFonts w:hint="eastAsia" w:ascii="宋体" w:hAnsi="宋体"/>
                <w:b/>
                <w:bCs/>
                <w:color w:val="auto"/>
                <w:szCs w:val="21"/>
                <w:highlight w:val="none"/>
              </w:rPr>
            </w:pPr>
            <w:r>
              <w:rPr>
                <w:rFonts w:hint="eastAsia" w:ascii="宋体" w:hAnsi="宋体"/>
                <w:b/>
                <w:bCs/>
                <w:color w:val="auto"/>
                <w:szCs w:val="21"/>
                <w:highlight w:val="none"/>
              </w:rPr>
              <w:t>条款号</w:t>
            </w:r>
          </w:p>
        </w:tc>
        <w:tc>
          <w:tcPr>
            <w:tcW w:w="2071" w:type="dxa"/>
            <w:tcBorders>
              <w:top w:val="single" w:color="auto" w:sz="4" w:space="0"/>
              <w:left w:val="single" w:color="auto" w:sz="4" w:space="0"/>
              <w:bottom w:val="single" w:color="auto" w:sz="4" w:space="0"/>
              <w:right w:val="single" w:color="auto" w:sz="4" w:space="0"/>
            </w:tcBorders>
            <w:vAlign w:val="center"/>
          </w:tcPr>
          <w:p w14:paraId="3B2E19CC">
            <w:pPr>
              <w:snapToGrid w:val="0"/>
              <w:spacing w:line="440" w:lineRule="exact"/>
              <w:jc w:val="left"/>
              <w:rPr>
                <w:rFonts w:hint="eastAsia" w:ascii="宋体" w:hAnsi="宋体"/>
                <w:b/>
                <w:bCs/>
                <w:color w:val="auto"/>
                <w:szCs w:val="21"/>
                <w:highlight w:val="none"/>
              </w:rPr>
            </w:pPr>
            <w:r>
              <w:rPr>
                <w:rFonts w:hint="eastAsia" w:ascii="宋体" w:hAnsi="宋体"/>
                <w:b/>
                <w:bCs/>
                <w:color w:val="auto"/>
                <w:szCs w:val="21"/>
                <w:highlight w:val="none"/>
              </w:rPr>
              <w:t>项目内容</w:t>
            </w:r>
          </w:p>
        </w:tc>
        <w:tc>
          <w:tcPr>
            <w:tcW w:w="6719" w:type="dxa"/>
            <w:tcBorders>
              <w:top w:val="single" w:color="auto" w:sz="4" w:space="0"/>
              <w:left w:val="single" w:color="auto" w:sz="4" w:space="0"/>
              <w:bottom w:val="single" w:color="auto" w:sz="4" w:space="0"/>
              <w:right w:val="single" w:color="auto" w:sz="4" w:space="0"/>
            </w:tcBorders>
            <w:vAlign w:val="center"/>
          </w:tcPr>
          <w:p w14:paraId="2B8E2498">
            <w:pPr>
              <w:snapToGrid w:val="0"/>
              <w:spacing w:line="440" w:lineRule="exact"/>
              <w:jc w:val="center"/>
              <w:rPr>
                <w:rFonts w:hint="eastAsia" w:ascii="宋体" w:hAnsi="宋体"/>
                <w:b/>
                <w:bCs/>
                <w:color w:val="auto"/>
                <w:szCs w:val="21"/>
                <w:highlight w:val="none"/>
              </w:rPr>
            </w:pPr>
            <w:r>
              <w:rPr>
                <w:rFonts w:hint="eastAsia" w:ascii="宋体" w:hAnsi="宋体"/>
                <w:b/>
                <w:bCs/>
                <w:color w:val="auto"/>
                <w:szCs w:val="21"/>
                <w:highlight w:val="none"/>
              </w:rPr>
              <w:t>编列内容</w:t>
            </w:r>
          </w:p>
        </w:tc>
      </w:tr>
      <w:tr w14:paraId="7EFE22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24955C8E">
            <w:pPr>
              <w:spacing w:line="440" w:lineRule="exact"/>
              <w:rPr>
                <w:rFonts w:hint="eastAsia" w:ascii="宋体" w:hAnsi="宋体"/>
                <w:color w:val="auto"/>
                <w:szCs w:val="21"/>
                <w:highlight w:val="none"/>
              </w:rPr>
            </w:pPr>
            <w:r>
              <w:rPr>
                <w:rFonts w:hint="eastAsia" w:ascii="宋体" w:hAnsi="宋体"/>
                <w:color w:val="auto"/>
                <w:szCs w:val="21"/>
                <w:highlight w:val="none"/>
              </w:rPr>
              <w:t>6.1</w:t>
            </w:r>
          </w:p>
        </w:tc>
        <w:tc>
          <w:tcPr>
            <w:tcW w:w="2071" w:type="dxa"/>
            <w:tcBorders>
              <w:top w:val="single" w:color="auto" w:sz="4" w:space="0"/>
              <w:left w:val="single" w:color="auto" w:sz="4" w:space="0"/>
              <w:bottom w:val="single" w:color="auto" w:sz="4" w:space="0"/>
              <w:right w:val="single" w:color="auto" w:sz="4" w:space="0"/>
            </w:tcBorders>
            <w:vAlign w:val="center"/>
          </w:tcPr>
          <w:p w14:paraId="2AEFCB6F">
            <w:pPr>
              <w:spacing w:line="440" w:lineRule="exact"/>
              <w:rPr>
                <w:rFonts w:hint="eastAsia" w:ascii="宋体" w:hAnsi="宋体"/>
                <w:color w:val="auto"/>
                <w:szCs w:val="21"/>
                <w:highlight w:val="none"/>
              </w:rPr>
            </w:pPr>
            <w:r>
              <w:rPr>
                <w:rFonts w:hint="eastAsia" w:ascii="宋体" w:hAnsi="宋体"/>
                <w:color w:val="auto"/>
                <w:szCs w:val="21"/>
                <w:highlight w:val="none"/>
              </w:rPr>
              <w:t>是否接受联合体投标</w:t>
            </w:r>
          </w:p>
        </w:tc>
        <w:tc>
          <w:tcPr>
            <w:tcW w:w="6719" w:type="dxa"/>
            <w:tcBorders>
              <w:top w:val="single" w:color="auto" w:sz="4" w:space="0"/>
              <w:left w:val="single" w:color="auto" w:sz="4" w:space="0"/>
              <w:bottom w:val="single" w:color="auto" w:sz="4" w:space="0"/>
              <w:right w:val="single" w:color="auto" w:sz="4" w:space="0"/>
            </w:tcBorders>
            <w:vAlign w:val="center"/>
          </w:tcPr>
          <w:p w14:paraId="0315871F">
            <w:pPr>
              <w:spacing w:line="440" w:lineRule="exact"/>
              <w:jc w:val="left"/>
              <w:rPr>
                <w:rFonts w:hint="eastAsia" w:ascii="宋体" w:hAnsi="宋体"/>
                <w:color w:val="auto"/>
                <w:szCs w:val="21"/>
                <w:highlight w:val="none"/>
              </w:rPr>
            </w:pPr>
            <w:bookmarkStart w:id="6" w:name="PO_3000001866_PM007"/>
            <w:r>
              <w:rPr>
                <w:rFonts w:ascii="宋体" w:hAnsi="宋体"/>
                <w:color w:val="auto"/>
                <w:szCs w:val="21"/>
                <w:highlight w:val="none"/>
              </w:rPr>
              <w:t>不允许联合体投标</w:t>
            </w:r>
            <w:bookmarkEnd w:id="6"/>
          </w:p>
        </w:tc>
      </w:tr>
      <w:tr w14:paraId="54CDC6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5FE7ED78">
            <w:pPr>
              <w:spacing w:line="440" w:lineRule="exact"/>
              <w:rPr>
                <w:rFonts w:hint="eastAsia" w:ascii="宋体" w:hAnsi="宋体"/>
                <w:color w:val="auto"/>
                <w:szCs w:val="21"/>
                <w:highlight w:val="none"/>
              </w:rPr>
            </w:pPr>
            <w:r>
              <w:rPr>
                <w:rFonts w:hint="eastAsia" w:ascii="宋体" w:hAnsi="宋体"/>
                <w:color w:val="auto"/>
                <w:szCs w:val="21"/>
                <w:highlight w:val="none"/>
              </w:rPr>
              <w:t>6.2</w:t>
            </w:r>
          </w:p>
        </w:tc>
        <w:tc>
          <w:tcPr>
            <w:tcW w:w="2071" w:type="dxa"/>
            <w:tcBorders>
              <w:top w:val="single" w:color="auto" w:sz="4" w:space="0"/>
              <w:left w:val="single" w:color="auto" w:sz="4" w:space="0"/>
              <w:bottom w:val="single" w:color="auto" w:sz="4" w:space="0"/>
              <w:right w:val="single" w:color="auto" w:sz="4" w:space="0"/>
            </w:tcBorders>
            <w:vAlign w:val="center"/>
          </w:tcPr>
          <w:p w14:paraId="50ECF611">
            <w:pPr>
              <w:spacing w:line="440" w:lineRule="exact"/>
              <w:rPr>
                <w:rFonts w:hint="eastAsia" w:ascii="宋体" w:hAnsi="宋体"/>
                <w:color w:val="auto"/>
                <w:szCs w:val="21"/>
                <w:highlight w:val="none"/>
              </w:rPr>
            </w:pPr>
            <w:r>
              <w:rPr>
                <w:rFonts w:hint="eastAsia" w:ascii="宋体" w:hAnsi="宋体"/>
                <w:color w:val="auto"/>
                <w:szCs w:val="21"/>
                <w:highlight w:val="none"/>
              </w:rPr>
              <w:t>联合体投标要求</w:t>
            </w:r>
          </w:p>
        </w:tc>
        <w:tc>
          <w:tcPr>
            <w:tcW w:w="6719" w:type="dxa"/>
            <w:tcBorders>
              <w:top w:val="single" w:color="auto" w:sz="4" w:space="0"/>
              <w:left w:val="single" w:color="auto" w:sz="4" w:space="0"/>
              <w:bottom w:val="single" w:color="auto" w:sz="4" w:space="0"/>
              <w:right w:val="single" w:color="auto" w:sz="4" w:space="0"/>
            </w:tcBorders>
            <w:vAlign w:val="center"/>
          </w:tcPr>
          <w:p w14:paraId="33E1B8C0">
            <w:pPr>
              <w:spacing w:line="440" w:lineRule="exact"/>
              <w:jc w:val="left"/>
              <w:rPr>
                <w:rFonts w:hint="eastAsia" w:ascii="宋体" w:hAnsi="宋体"/>
                <w:color w:val="auto"/>
                <w:szCs w:val="21"/>
                <w:highlight w:val="none"/>
              </w:rPr>
            </w:pPr>
            <w:r>
              <w:rPr>
                <w:rFonts w:hint="eastAsia" w:ascii="宋体" w:hAnsi="宋体"/>
                <w:color w:val="auto"/>
                <w:szCs w:val="21"/>
                <w:highlight w:val="none"/>
              </w:rPr>
              <w:t>无</w:t>
            </w:r>
          </w:p>
        </w:tc>
      </w:tr>
      <w:tr w14:paraId="6B93B5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7FE5E0D3">
            <w:pPr>
              <w:spacing w:line="440" w:lineRule="exact"/>
              <w:rPr>
                <w:rFonts w:hint="eastAsia" w:ascii="宋体" w:hAnsi="宋体"/>
                <w:color w:val="auto"/>
                <w:szCs w:val="21"/>
                <w:highlight w:val="none"/>
              </w:rPr>
            </w:pPr>
            <w:r>
              <w:rPr>
                <w:rFonts w:hint="eastAsia" w:ascii="宋体" w:hAnsi="宋体"/>
                <w:color w:val="auto"/>
                <w:szCs w:val="21"/>
                <w:highlight w:val="none"/>
              </w:rPr>
              <w:t>7.2</w:t>
            </w:r>
          </w:p>
        </w:tc>
        <w:tc>
          <w:tcPr>
            <w:tcW w:w="2071" w:type="dxa"/>
            <w:tcBorders>
              <w:top w:val="single" w:color="auto" w:sz="4" w:space="0"/>
              <w:left w:val="single" w:color="auto" w:sz="4" w:space="0"/>
              <w:bottom w:val="single" w:color="auto" w:sz="4" w:space="0"/>
              <w:right w:val="single" w:color="auto" w:sz="4" w:space="0"/>
            </w:tcBorders>
            <w:vAlign w:val="center"/>
          </w:tcPr>
          <w:p w14:paraId="6148FACA">
            <w:pPr>
              <w:spacing w:line="440" w:lineRule="exact"/>
              <w:rPr>
                <w:rFonts w:hint="eastAsia" w:ascii="宋体" w:hAnsi="宋体"/>
                <w:color w:val="auto"/>
                <w:szCs w:val="21"/>
                <w:highlight w:val="none"/>
              </w:rPr>
            </w:pPr>
            <w:r>
              <w:rPr>
                <w:rFonts w:hint="eastAsia" w:ascii="宋体" w:hAnsi="宋体"/>
                <w:color w:val="auto"/>
                <w:szCs w:val="21"/>
                <w:highlight w:val="none"/>
              </w:rPr>
              <w:t>是否允许转包/分包</w:t>
            </w:r>
          </w:p>
        </w:tc>
        <w:tc>
          <w:tcPr>
            <w:tcW w:w="6719" w:type="dxa"/>
            <w:tcBorders>
              <w:top w:val="single" w:color="auto" w:sz="4" w:space="0"/>
              <w:left w:val="single" w:color="auto" w:sz="4" w:space="0"/>
              <w:bottom w:val="single" w:color="auto" w:sz="4" w:space="0"/>
              <w:right w:val="single" w:color="auto" w:sz="4" w:space="0"/>
            </w:tcBorders>
            <w:vAlign w:val="center"/>
          </w:tcPr>
          <w:p w14:paraId="66163723">
            <w:pPr>
              <w:spacing w:line="440" w:lineRule="exact"/>
              <w:jc w:val="left"/>
              <w:rPr>
                <w:rFonts w:hint="eastAsia" w:ascii="宋体" w:hAnsi="宋体"/>
                <w:color w:val="auto"/>
                <w:szCs w:val="21"/>
                <w:highlight w:val="none"/>
              </w:rPr>
            </w:pPr>
            <w:bookmarkStart w:id="7" w:name="PO_3000001866_PM044"/>
            <w:r>
              <w:rPr>
                <w:rFonts w:hint="eastAsia" w:ascii="宋体" w:hAnsi="宋体"/>
                <w:color w:val="auto"/>
                <w:szCs w:val="21"/>
                <w:highlight w:val="none"/>
              </w:rPr>
              <w:t>不允许分包</w:t>
            </w:r>
            <w:bookmarkEnd w:id="7"/>
          </w:p>
        </w:tc>
      </w:tr>
      <w:tr w14:paraId="77A418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7ACF775E">
            <w:pPr>
              <w:spacing w:line="440" w:lineRule="exact"/>
              <w:rPr>
                <w:rFonts w:hint="eastAsia" w:ascii="宋体" w:hAnsi="宋体"/>
                <w:color w:val="auto"/>
                <w:szCs w:val="21"/>
                <w:highlight w:val="none"/>
              </w:rPr>
            </w:pPr>
            <w:r>
              <w:rPr>
                <w:rFonts w:hint="eastAsia" w:ascii="宋体" w:hAnsi="宋体"/>
                <w:color w:val="auto"/>
                <w:szCs w:val="21"/>
                <w:highlight w:val="none"/>
              </w:rPr>
              <w:t>11.4</w:t>
            </w:r>
          </w:p>
        </w:tc>
        <w:tc>
          <w:tcPr>
            <w:tcW w:w="2071" w:type="dxa"/>
            <w:tcBorders>
              <w:top w:val="single" w:color="auto" w:sz="4" w:space="0"/>
              <w:left w:val="single" w:color="auto" w:sz="4" w:space="0"/>
              <w:bottom w:val="single" w:color="auto" w:sz="4" w:space="0"/>
              <w:right w:val="single" w:color="auto" w:sz="4" w:space="0"/>
            </w:tcBorders>
            <w:vAlign w:val="center"/>
          </w:tcPr>
          <w:p w14:paraId="45DCC6CF">
            <w:pPr>
              <w:spacing w:line="440" w:lineRule="exact"/>
              <w:rPr>
                <w:rFonts w:hint="eastAsia" w:ascii="宋体" w:hAnsi="宋体"/>
                <w:color w:val="auto"/>
                <w:szCs w:val="21"/>
                <w:highlight w:val="none"/>
              </w:rPr>
            </w:pPr>
            <w:r>
              <w:rPr>
                <w:rFonts w:hint="eastAsia" w:ascii="宋体" w:hAnsi="宋体"/>
                <w:color w:val="auto"/>
                <w:szCs w:val="21"/>
                <w:highlight w:val="none"/>
              </w:rPr>
              <w:t>媒体发布渠道</w:t>
            </w:r>
          </w:p>
        </w:tc>
        <w:tc>
          <w:tcPr>
            <w:tcW w:w="6719" w:type="dxa"/>
            <w:tcBorders>
              <w:top w:val="single" w:color="auto" w:sz="4" w:space="0"/>
              <w:left w:val="single" w:color="auto" w:sz="4" w:space="0"/>
              <w:bottom w:val="single" w:color="auto" w:sz="4" w:space="0"/>
              <w:right w:val="single" w:color="auto" w:sz="4" w:space="0"/>
            </w:tcBorders>
            <w:vAlign w:val="center"/>
          </w:tcPr>
          <w:p w14:paraId="5D578051">
            <w:pPr>
              <w:spacing w:line="440" w:lineRule="exact"/>
              <w:rPr>
                <w:color w:val="auto"/>
                <w:sz w:val="28"/>
                <w:szCs w:val="18"/>
                <w:highlight w:val="none"/>
              </w:rPr>
            </w:pPr>
            <w:r>
              <w:rPr>
                <w:rFonts w:hint="eastAsia" w:ascii="宋体" w:hAnsi="宋体" w:cs="宋体"/>
                <w:color w:val="auto"/>
                <w:szCs w:val="21"/>
                <w:highlight w:val="none"/>
              </w:rPr>
              <w:t>与本项目相关的政府采购业务澄清、更正及与之相关的事项将在采购公告中“</w:t>
            </w:r>
            <w:r>
              <w:rPr>
                <w:rFonts w:hint="eastAsia" w:ascii="宋体" w:hAnsi="宋体"/>
                <w:color w:val="auto"/>
                <w:szCs w:val="21"/>
                <w:highlight w:val="none"/>
              </w:rPr>
              <w:t>六、其他补充事宜”中网上查询地址</w:t>
            </w:r>
            <w:r>
              <w:rPr>
                <w:rFonts w:hint="eastAsia" w:ascii="宋体" w:hAnsi="宋体" w:cs="宋体"/>
                <w:color w:val="auto"/>
                <w:szCs w:val="21"/>
                <w:highlight w:val="none"/>
              </w:rPr>
              <w:t>上发布</w:t>
            </w:r>
            <w:r>
              <w:rPr>
                <w:rFonts w:hint="eastAsia" w:ascii="宋体" w:hAnsi="宋体" w:cs="宋体"/>
                <w:color w:val="auto"/>
                <w:kern w:val="0"/>
                <w:szCs w:val="21"/>
                <w:highlight w:val="none"/>
              </w:rPr>
              <w:t>。</w:t>
            </w:r>
          </w:p>
        </w:tc>
      </w:tr>
      <w:tr w14:paraId="60AEFC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31860EDB">
            <w:pPr>
              <w:spacing w:line="440" w:lineRule="exact"/>
              <w:rPr>
                <w:rFonts w:hint="eastAsia" w:ascii="宋体" w:hAnsi="宋体"/>
                <w:color w:val="auto"/>
                <w:szCs w:val="21"/>
                <w:highlight w:val="none"/>
              </w:rPr>
            </w:pPr>
            <w:r>
              <w:rPr>
                <w:rFonts w:hint="eastAsia" w:ascii="宋体" w:hAnsi="宋体"/>
                <w:color w:val="auto"/>
                <w:szCs w:val="21"/>
                <w:highlight w:val="none"/>
              </w:rPr>
              <w:t>11.6</w:t>
            </w:r>
          </w:p>
        </w:tc>
        <w:tc>
          <w:tcPr>
            <w:tcW w:w="2071" w:type="dxa"/>
            <w:tcBorders>
              <w:top w:val="single" w:color="auto" w:sz="4" w:space="0"/>
              <w:left w:val="single" w:color="auto" w:sz="4" w:space="0"/>
              <w:bottom w:val="single" w:color="auto" w:sz="4" w:space="0"/>
              <w:right w:val="single" w:color="auto" w:sz="4" w:space="0"/>
            </w:tcBorders>
            <w:vAlign w:val="center"/>
          </w:tcPr>
          <w:p w14:paraId="3488F7A8">
            <w:pPr>
              <w:spacing w:line="440" w:lineRule="exact"/>
              <w:rPr>
                <w:rFonts w:hint="eastAsia" w:ascii="宋体" w:hAnsi="宋体"/>
                <w:color w:val="auto"/>
                <w:szCs w:val="21"/>
                <w:highlight w:val="none"/>
              </w:rPr>
            </w:pPr>
            <w:r>
              <w:rPr>
                <w:rFonts w:hint="eastAsia" w:ascii="宋体" w:hAnsi="宋体"/>
                <w:color w:val="auto"/>
                <w:szCs w:val="21"/>
                <w:highlight w:val="none"/>
              </w:rPr>
              <w:t>是否组织标前答疑会</w:t>
            </w:r>
          </w:p>
        </w:tc>
        <w:tc>
          <w:tcPr>
            <w:tcW w:w="6719" w:type="dxa"/>
            <w:tcBorders>
              <w:top w:val="single" w:color="auto" w:sz="4" w:space="0"/>
              <w:left w:val="single" w:color="auto" w:sz="4" w:space="0"/>
              <w:bottom w:val="single" w:color="auto" w:sz="4" w:space="0"/>
              <w:right w:val="single" w:color="auto" w:sz="4" w:space="0"/>
            </w:tcBorders>
            <w:vAlign w:val="center"/>
          </w:tcPr>
          <w:p w14:paraId="03F99677">
            <w:pPr>
              <w:snapToGrid w:val="0"/>
              <w:spacing w:line="440" w:lineRule="exact"/>
              <w:rPr>
                <w:rFonts w:hint="eastAsia" w:ascii="宋体" w:hAnsi="宋体"/>
                <w:color w:val="auto"/>
                <w:szCs w:val="21"/>
                <w:highlight w:val="none"/>
                <w:u w:val="single"/>
              </w:rPr>
            </w:pPr>
            <w:r>
              <w:rPr>
                <w:rFonts w:hint="eastAsia" w:ascii="宋体" w:hAnsi="宋体"/>
                <w:color w:val="auto"/>
                <w:szCs w:val="21"/>
                <w:highlight w:val="none"/>
              </w:rPr>
              <w:t>不组织召开开标前答疑会</w:t>
            </w:r>
          </w:p>
        </w:tc>
      </w:tr>
      <w:tr w14:paraId="34D0A3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nil"/>
              <w:left w:val="single" w:color="auto" w:sz="4" w:space="0"/>
              <w:bottom w:val="nil"/>
              <w:right w:val="single" w:color="auto" w:sz="4" w:space="0"/>
            </w:tcBorders>
            <w:vAlign w:val="center"/>
          </w:tcPr>
          <w:p w14:paraId="7F0DBADC">
            <w:pPr>
              <w:spacing w:line="440" w:lineRule="exact"/>
              <w:rPr>
                <w:rFonts w:hint="eastAsia" w:ascii="宋体" w:hAnsi="宋体"/>
                <w:color w:val="auto"/>
                <w:szCs w:val="21"/>
                <w:highlight w:val="none"/>
              </w:rPr>
            </w:pPr>
            <w:r>
              <w:rPr>
                <w:rFonts w:hint="eastAsia" w:ascii="宋体" w:hAnsi="宋体"/>
                <w:color w:val="auto"/>
                <w:szCs w:val="21"/>
                <w:highlight w:val="none"/>
              </w:rPr>
              <w:t>13.1</w:t>
            </w:r>
          </w:p>
        </w:tc>
        <w:tc>
          <w:tcPr>
            <w:tcW w:w="2071" w:type="dxa"/>
            <w:tcBorders>
              <w:top w:val="single" w:color="auto" w:sz="4" w:space="0"/>
              <w:left w:val="single" w:color="auto" w:sz="4" w:space="0"/>
              <w:bottom w:val="single" w:color="auto" w:sz="4" w:space="0"/>
              <w:right w:val="single" w:color="auto" w:sz="4" w:space="0"/>
            </w:tcBorders>
            <w:vAlign w:val="center"/>
          </w:tcPr>
          <w:p w14:paraId="10087838">
            <w:pPr>
              <w:snapToGrid w:val="0"/>
              <w:spacing w:line="440" w:lineRule="exact"/>
              <w:jc w:val="left"/>
              <w:rPr>
                <w:rFonts w:hint="eastAsia" w:ascii="宋体" w:hAnsi="宋体" w:cs="Courier New"/>
                <w:color w:val="auto"/>
                <w:szCs w:val="21"/>
                <w:highlight w:val="none"/>
              </w:rPr>
            </w:pPr>
            <w:r>
              <w:rPr>
                <w:rFonts w:hint="eastAsia" w:ascii="宋体" w:hAnsi="宋体" w:cs="Courier New"/>
                <w:color w:val="auto"/>
                <w:szCs w:val="21"/>
                <w:highlight w:val="none"/>
              </w:rPr>
              <w:t>资格证明文件组成</w:t>
            </w:r>
          </w:p>
        </w:tc>
        <w:tc>
          <w:tcPr>
            <w:tcW w:w="6719" w:type="dxa"/>
            <w:tcBorders>
              <w:top w:val="single" w:color="auto" w:sz="4" w:space="0"/>
              <w:left w:val="single" w:color="auto" w:sz="4" w:space="0"/>
              <w:bottom w:val="single" w:color="auto" w:sz="4" w:space="0"/>
              <w:right w:val="single" w:color="auto" w:sz="4" w:space="0"/>
            </w:tcBorders>
            <w:vAlign w:val="center"/>
          </w:tcPr>
          <w:p w14:paraId="2E5D3B16">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1、投标人为法人或者其他组织的，提供营业执照等证明文件</w:t>
            </w:r>
            <w:r>
              <w:rPr>
                <w:rFonts w:hint="eastAsia" w:ascii="宋体" w:hAnsi="宋体" w:cs="宋体"/>
                <w:color w:val="auto"/>
                <w:szCs w:val="21"/>
                <w:highlight w:val="none"/>
              </w:rPr>
              <w:t>（如营业执照或者事业单位法人证书或者</w:t>
            </w:r>
            <w:r>
              <w:rPr>
                <w:rFonts w:ascii="宋体" w:hAnsi="宋体" w:cs="宋体"/>
                <w:color w:val="auto"/>
                <w:sz w:val="22"/>
                <w:highlight w:val="none"/>
                <w:lang w:val="zh-CN" w:bidi="zh-CN"/>
              </w:rPr>
              <w:t>执业许可证</w:t>
            </w:r>
            <w:r>
              <w:rPr>
                <w:rFonts w:hint="eastAsia" w:ascii="宋体" w:hAnsi="宋体" w:cs="宋体"/>
                <w:color w:val="auto"/>
                <w:szCs w:val="21"/>
                <w:highlight w:val="none"/>
              </w:rPr>
              <w:t>等）</w:t>
            </w:r>
            <w:r>
              <w:rPr>
                <w:rFonts w:hint="eastAsia" w:ascii="宋体" w:hAnsi="宋体"/>
                <w:color w:val="auto"/>
                <w:szCs w:val="21"/>
                <w:highlight w:val="none"/>
              </w:rPr>
              <w:t>，投标人为自然人的，提供身份证</w:t>
            </w:r>
            <w:r>
              <w:rPr>
                <w:rFonts w:hint="eastAsia" w:ascii="宋体" w:hAnsi="宋体" w:cs="宋体"/>
                <w:color w:val="auto"/>
                <w:szCs w:val="21"/>
                <w:highlight w:val="none"/>
              </w:rPr>
              <w:t>复印件</w:t>
            </w:r>
            <w:r>
              <w:rPr>
                <w:rFonts w:hint="eastAsia" w:ascii="宋体" w:hAnsi="宋体"/>
                <w:color w:val="auto"/>
                <w:szCs w:val="21"/>
                <w:highlight w:val="none"/>
              </w:rPr>
              <w:t>。（</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1C3022C2">
            <w:pPr>
              <w:snapToGrid w:val="0"/>
              <w:spacing w:line="440" w:lineRule="exact"/>
              <w:jc w:val="left"/>
              <w:rPr>
                <w:rFonts w:hint="eastAsia" w:ascii="宋体" w:hAnsi="宋体"/>
                <w:color w:val="auto"/>
                <w:szCs w:val="21"/>
                <w:highlight w:val="none"/>
              </w:rPr>
            </w:pPr>
            <w:r>
              <w:rPr>
                <w:rFonts w:hint="eastAsia" w:ascii="宋体" w:hAnsi="宋体" w:cs="宋体"/>
                <w:color w:val="auto"/>
                <w:szCs w:val="21"/>
                <w:highlight w:val="none"/>
              </w:rPr>
              <w:t>2、投标人依法缴纳税收的相关材料：（</w:t>
            </w:r>
            <w:r>
              <w:rPr>
                <w:rFonts w:hint="eastAsia" w:ascii="宋体" w:hAnsi="宋体" w:cs="宋体"/>
                <w:b/>
                <w:bCs/>
                <w:color w:val="auto"/>
                <w:szCs w:val="21"/>
                <w:highlight w:val="none"/>
                <w:u w:val="single"/>
              </w:rPr>
              <w:t>202</w:t>
            </w:r>
            <w:r>
              <w:rPr>
                <w:rFonts w:hint="eastAsia" w:ascii="宋体" w:hAnsi="宋体" w:cs="宋体"/>
                <w:b/>
                <w:bCs/>
                <w:color w:val="auto"/>
                <w:szCs w:val="21"/>
                <w:highlight w:val="none"/>
                <w:u w:val="single"/>
                <w:lang w:val="en-US" w:eastAsia="zh-CN"/>
              </w:rPr>
              <w:t>6</w:t>
            </w:r>
            <w:r>
              <w:rPr>
                <w:rFonts w:hint="eastAsia" w:ascii="宋体" w:hAnsi="宋体" w:cs="宋体"/>
                <w:b/>
                <w:bCs/>
                <w:color w:val="auto"/>
                <w:szCs w:val="21"/>
                <w:highlight w:val="none"/>
                <w:u w:val="single"/>
              </w:rPr>
              <w:t>年</w:t>
            </w:r>
            <w:r>
              <w:rPr>
                <w:rFonts w:hint="eastAsia" w:ascii="宋体" w:hAnsi="宋体" w:cs="宋体"/>
                <w:b/>
                <w:bCs/>
                <w:color w:val="auto"/>
                <w:szCs w:val="21"/>
                <w:highlight w:val="none"/>
                <w:u w:val="single"/>
                <w:lang w:val="en-US" w:eastAsia="zh-CN"/>
              </w:rPr>
              <w:t>3</w:t>
            </w:r>
            <w:r>
              <w:rPr>
                <w:rFonts w:hint="eastAsia" w:ascii="宋体" w:hAnsi="宋体" w:cs="宋体"/>
                <w:b/>
                <w:bCs/>
                <w:color w:val="auto"/>
                <w:szCs w:val="21"/>
                <w:highlight w:val="none"/>
                <w:u w:val="single"/>
              </w:rPr>
              <w:t>月至202</w:t>
            </w:r>
            <w:r>
              <w:rPr>
                <w:rFonts w:hint="eastAsia" w:ascii="宋体" w:hAnsi="宋体" w:cs="宋体"/>
                <w:b/>
                <w:bCs/>
                <w:color w:val="auto"/>
                <w:szCs w:val="21"/>
                <w:highlight w:val="none"/>
                <w:u w:val="single"/>
                <w:lang w:val="en-US" w:eastAsia="zh-CN"/>
              </w:rPr>
              <w:t>6</w:t>
            </w:r>
            <w:r>
              <w:rPr>
                <w:rFonts w:hint="eastAsia" w:ascii="宋体" w:hAnsi="宋体" w:cs="宋体"/>
                <w:b/>
                <w:bCs/>
                <w:color w:val="auto"/>
                <w:szCs w:val="21"/>
                <w:highlight w:val="none"/>
                <w:u w:val="single"/>
              </w:rPr>
              <w:t>年</w:t>
            </w:r>
            <w:r>
              <w:rPr>
                <w:rFonts w:hint="eastAsia" w:ascii="宋体" w:hAnsi="宋体" w:cs="宋体"/>
                <w:b/>
                <w:bCs/>
                <w:color w:val="auto"/>
                <w:szCs w:val="21"/>
                <w:highlight w:val="none"/>
                <w:u w:val="single"/>
                <w:lang w:val="en-US" w:eastAsia="zh-CN"/>
              </w:rPr>
              <w:t>8</w:t>
            </w:r>
            <w:r>
              <w:rPr>
                <w:rFonts w:hint="eastAsia" w:ascii="宋体" w:hAnsi="宋体" w:cs="宋体"/>
                <w:b/>
                <w:bCs/>
                <w:color w:val="auto"/>
                <w:szCs w:val="21"/>
                <w:highlight w:val="none"/>
                <w:u w:val="single"/>
              </w:rPr>
              <w:t xml:space="preserve"> 月</w:t>
            </w:r>
            <w:r>
              <w:rPr>
                <w:rFonts w:hint="eastAsia" w:ascii="宋体" w:hAnsi="宋体" w:cs="宋体"/>
                <w:color w:val="auto"/>
                <w:szCs w:val="21"/>
                <w:highlight w:val="none"/>
              </w:rPr>
              <w:t>中任意连续</w:t>
            </w:r>
            <w:r>
              <w:rPr>
                <w:rFonts w:hint="eastAsia" w:ascii="宋体" w:hAnsi="宋体" w:cs="宋体"/>
                <w:b/>
                <w:bCs/>
                <w:color w:val="auto"/>
                <w:szCs w:val="21"/>
                <w:highlight w:val="none"/>
                <w:u w:val="single"/>
              </w:rPr>
              <w:t>3</w:t>
            </w:r>
            <w:r>
              <w:rPr>
                <w:rFonts w:hint="eastAsia" w:ascii="宋体" w:hAnsi="宋体" w:cs="宋体"/>
                <w:b/>
                <w:bCs/>
                <w:color w:val="auto"/>
                <w:szCs w:val="21"/>
                <w:highlight w:val="none"/>
              </w:rPr>
              <w:t>个月</w:t>
            </w:r>
            <w:r>
              <w:rPr>
                <w:rFonts w:hint="eastAsia" w:ascii="宋体" w:hAnsi="宋体" w:cs="宋体"/>
                <w:color w:val="auto"/>
                <w:szCs w:val="21"/>
                <w:highlight w:val="none"/>
              </w:rPr>
              <w:t>的依法缴纳税收的凭据复印件；依</w:t>
            </w:r>
            <w:r>
              <w:rPr>
                <w:rFonts w:hint="eastAsia" w:ascii="宋体" w:hAnsi="宋体"/>
                <w:color w:val="auto"/>
                <w:szCs w:val="21"/>
                <w:highlight w:val="none"/>
              </w:rPr>
              <w:t>法免税的供应商，必须提供相应文件证明其依法免税。</w:t>
            </w:r>
            <w:r>
              <w:rPr>
                <w:rFonts w:hint="eastAsia" w:ascii="宋体" w:hAnsi="宋体" w:cs="宋体"/>
                <w:color w:val="auto"/>
                <w:szCs w:val="21"/>
                <w:highlight w:val="none"/>
              </w:rPr>
              <w:t>从取得营业执照时间起到投标文件提交截止时间为止不足要求月数的，只需提供从取得营业执照起的依法缴纳税收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olor w:val="auto"/>
                <w:szCs w:val="21"/>
                <w:highlight w:val="none"/>
              </w:rPr>
              <w:t>。（</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53CF8EF9">
            <w:pPr>
              <w:snapToGrid w:val="0"/>
              <w:spacing w:line="440" w:lineRule="exact"/>
              <w:jc w:val="left"/>
              <w:rPr>
                <w:rFonts w:hint="eastAsia" w:ascii="宋体" w:hAnsi="宋体"/>
                <w:color w:val="auto"/>
                <w:szCs w:val="21"/>
                <w:highlight w:val="none"/>
              </w:rPr>
            </w:pPr>
            <w:r>
              <w:rPr>
                <w:rFonts w:hint="eastAsia" w:ascii="宋体" w:hAnsi="宋体" w:cs="宋体"/>
                <w:color w:val="auto"/>
                <w:szCs w:val="21"/>
                <w:highlight w:val="none"/>
              </w:rPr>
              <w:t>3、投标人依法缴纳社会保障资金的相关材料：（</w:t>
            </w:r>
            <w:r>
              <w:rPr>
                <w:rFonts w:hint="eastAsia" w:ascii="宋体" w:hAnsi="宋体" w:cs="宋体"/>
                <w:b/>
                <w:bCs/>
                <w:color w:val="auto"/>
                <w:szCs w:val="21"/>
                <w:highlight w:val="none"/>
                <w:u w:val="single"/>
              </w:rPr>
              <w:t>202</w:t>
            </w:r>
            <w:r>
              <w:rPr>
                <w:rFonts w:hint="eastAsia" w:ascii="宋体" w:hAnsi="宋体" w:cs="宋体"/>
                <w:b/>
                <w:bCs/>
                <w:color w:val="auto"/>
                <w:szCs w:val="21"/>
                <w:highlight w:val="none"/>
                <w:u w:val="single"/>
                <w:lang w:val="en-US" w:eastAsia="zh-CN"/>
              </w:rPr>
              <w:t>6</w:t>
            </w:r>
            <w:r>
              <w:rPr>
                <w:rFonts w:hint="eastAsia" w:ascii="宋体" w:hAnsi="宋体" w:cs="宋体"/>
                <w:b/>
                <w:bCs/>
                <w:color w:val="auto"/>
                <w:szCs w:val="21"/>
                <w:highlight w:val="none"/>
                <w:u w:val="single"/>
              </w:rPr>
              <w:t>年</w:t>
            </w:r>
            <w:r>
              <w:rPr>
                <w:rFonts w:hint="eastAsia" w:ascii="宋体" w:hAnsi="宋体" w:cs="宋体"/>
                <w:b/>
                <w:bCs/>
                <w:color w:val="auto"/>
                <w:szCs w:val="21"/>
                <w:highlight w:val="none"/>
                <w:u w:val="single"/>
                <w:lang w:val="en-US" w:eastAsia="zh-CN"/>
              </w:rPr>
              <w:t>3</w:t>
            </w:r>
            <w:r>
              <w:rPr>
                <w:rFonts w:hint="eastAsia" w:ascii="宋体" w:hAnsi="宋体" w:cs="宋体"/>
                <w:b/>
                <w:bCs/>
                <w:color w:val="auto"/>
                <w:szCs w:val="21"/>
                <w:highlight w:val="none"/>
                <w:u w:val="single"/>
              </w:rPr>
              <w:t>月至202</w:t>
            </w:r>
            <w:r>
              <w:rPr>
                <w:rFonts w:hint="eastAsia" w:ascii="宋体" w:hAnsi="宋体" w:cs="宋体"/>
                <w:b/>
                <w:bCs/>
                <w:color w:val="auto"/>
                <w:szCs w:val="21"/>
                <w:highlight w:val="none"/>
                <w:u w:val="single"/>
                <w:lang w:val="en-US" w:eastAsia="zh-CN"/>
              </w:rPr>
              <w:t>6</w:t>
            </w:r>
            <w:r>
              <w:rPr>
                <w:rFonts w:hint="eastAsia" w:ascii="宋体" w:hAnsi="宋体" w:cs="宋体"/>
                <w:b/>
                <w:bCs/>
                <w:color w:val="auto"/>
                <w:szCs w:val="21"/>
                <w:highlight w:val="none"/>
                <w:u w:val="single"/>
              </w:rPr>
              <w:t xml:space="preserve">年  </w:t>
            </w:r>
            <w:r>
              <w:rPr>
                <w:rFonts w:hint="eastAsia" w:ascii="宋体" w:hAnsi="宋体" w:cs="宋体"/>
                <w:b/>
                <w:bCs/>
                <w:color w:val="auto"/>
                <w:szCs w:val="21"/>
                <w:highlight w:val="none"/>
                <w:u w:val="single"/>
                <w:lang w:val="en-US" w:eastAsia="zh-CN"/>
              </w:rPr>
              <w:t>8</w:t>
            </w:r>
            <w:r>
              <w:rPr>
                <w:rFonts w:hint="eastAsia" w:ascii="宋体" w:hAnsi="宋体" w:cs="宋体"/>
                <w:b/>
                <w:bCs/>
                <w:color w:val="auto"/>
                <w:szCs w:val="21"/>
                <w:highlight w:val="none"/>
                <w:u w:val="single"/>
              </w:rPr>
              <w:t>月</w:t>
            </w:r>
            <w:r>
              <w:rPr>
                <w:rFonts w:hint="eastAsia" w:ascii="宋体" w:hAnsi="宋体" w:cs="宋体"/>
                <w:color w:val="auto"/>
                <w:szCs w:val="21"/>
                <w:highlight w:val="none"/>
              </w:rPr>
              <w:t>中任意连续</w:t>
            </w:r>
            <w:r>
              <w:rPr>
                <w:rFonts w:hint="eastAsia" w:ascii="宋体" w:hAnsi="宋体" w:cs="宋体"/>
                <w:b/>
                <w:bCs/>
                <w:color w:val="auto"/>
                <w:szCs w:val="21"/>
                <w:highlight w:val="none"/>
                <w:u w:val="single"/>
              </w:rPr>
              <w:t>3</w:t>
            </w:r>
            <w:r>
              <w:rPr>
                <w:rFonts w:hint="eastAsia" w:ascii="宋体" w:hAnsi="宋体" w:cs="宋体"/>
                <w:b/>
                <w:bCs/>
                <w:color w:val="auto"/>
                <w:szCs w:val="21"/>
                <w:highlight w:val="none"/>
              </w:rPr>
              <w:t>个月</w:t>
            </w:r>
            <w:r>
              <w:rPr>
                <w:rFonts w:hint="eastAsia" w:ascii="宋体" w:hAnsi="宋体" w:cs="宋体"/>
                <w:color w:val="auto"/>
                <w:szCs w:val="21"/>
                <w:highlight w:val="none"/>
              </w:rPr>
              <w:t>的依法缴纳社会保障资金的缴费凭证（专用收据或者社会保险缴纳清单）复印件；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从取得营业执照时间起到投标文件提交截止时间为止不足要求月数的只需提供从取得营业执照起的依法缴纳社会保障资金的</w:t>
            </w:r>
            <w:r>
              <w:rPr>
                <w:rFonts w:hint="eastAsia" w:ascii="宋体" w:hAnsi="宋体"/>
                <w:color w:val="auto"/>
                <w:szCs w:val="21"/>
                <w:highlight w:val="none"/>
              </w:rPr>
              <w:t>相应证明文件。（</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055AE1AC">
            <w:pPr>
              <w:snapToGrid w:val="0"/>
              <w:spacing w:line="440" w:lineRule="exact"/>
              <w:jc w:val="left"/>
              <w:rPr>
                <w:rFonts w:hint="eastAsia" w:ascii="宋体" w:hAnsi="宋体"/>
                <w:color w:val="auto"/>
                <w:szCs w:val="21"/>
                <w:highlight w:val="none"/>
              </w:rPr>
            </w:pPr>
            <w:r>
              <w:rPr>
                <w:rFonts w:hint="eastAsia" w:ascii="宋体" w:hAnsi="宋体" w:cs="宋体"/>
                <w:color w:val="auto"/>
                <w:szCs w:val="21"/>
                <w:highlight w:val="none"/>
              </w:rPr>
              <w:t>4、投标人财务状况报告：</w:t>
            </w:r>
            <w:r>
              <w:rPr>
                <w:rFonts w:hint="eastAsia" w:ascii="宋体" w:hAnsi="宋体"/>
                <w:b/>
                <w:bCs/>
                <w:color w:val="auto"/>
                <w:szCs w:val="21"/>
                <w:highlight w:val="none"/>
              </w:rPr>
              <w:t>[2025年]</w:t>
            </w:r>
            <w:r>
              <w:rPr>
                <w:rFonts w:hint="eastAsia" w:ascii="宋体" w:hAnsi="宋体"/>
                <w:color w:val="auto"/>
                <w:szCs w:val="21"/>
                <w:highlight w:val="none"/>
              </w:rPr>
              <w:t>财务状况报告复印件;供应商成立不满一年的应按提供上一个月的财务状况报告复印件。年度财务报表复印件或者银行出具的资信证明;供应商属于成立时间在规定年度之后的法人或其他组织，需提供成立之日起至投标文件提交截止时间前的月报表或银行出具的资信证明</w:t>
            </w:r>
            <w:r>
              <w:rPr>
                <w:rFonts w:hint="eastAsia" w:ascii="宋体" w:hAnsi="宋体"/>
                <w:color w:val="auto"/>
                <w:szCs w:val="21"/>
                <w:highlight w:val="none"/>
                <w:lang w:eastAsia="zh-CN"/>
              </w:rPr>
              <w:t>；</w:t>
            </w:r>
            <w:r>
              <w:rPr>
                <w:rFonts w:hint="eastAsia" w:ascii="宋体" w:hAnsi="宋体"/>
                <w:color w:val="auto"/>
                <w:szCs w:val="21"/>
                <w:highlight w:val="none"/>
              </w:rPr>
              <w:t>资信证明应在有效期内，未注明有效期的，银行出具时间至投标文件提交截止时间不超过一年)</w:t>
            </w:r>
            <w:r>
              <w:rPr>
                <w:rFonts w:hint="eastAsia" w:ascii="宋体" w:hAnsi="宋体"/>
                <w:color w:val="auto"/>
                <w:szCs w:val="21"/>
                <w:highlight w:val="none"/>
                <w:lang w:eastAsia="zh-CN"/>
              </w:rPr>
              <w:t>；</w:t>
            </w:r>
            <w:r>
              <w:rPr>
                <w:rFonts w:hint="eastAsia" w:ascii="宋体" w:hAnsi="宋体"/>
                <w:color w:val="auto"/>
                <w:szCs w:val="21"/>
                <w:highlight w:val="none"/>
              </w:rPr>
              <w:t>（</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3EED969C">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5、投标人直接控股、管理关系信息表。（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76531738">
            <w:pPr>
              <w:numPr>
                <w:ilvl w:val="0"/>
                <w:numId w:val="1"/>
              </w:num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投标资格声明。（</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02EDB230">
            <w:pPr>
              <w:numPr>
                <w:ilvl w:val="0"/>
                <w:numId w:val="1"/>
              </w:numPr>
              <w:snapToGrid w:val="0"/>
              <w:spacing w:line="440" w:lineRule="exact"/>
              <w:ind w:left="360" w:leftChars="0" w:hanging="360" w:firstLineChars="0"/>
              <w:jc w:val="left"/>
              <w:rPr>
                <w:rFonts w:hint="eastAsia" w:ascii="宋体" w:hAnsi="宋体"/>
                <w:color w:val="auto"/>
                <w:szCs w:val="21"/>
                <w:highlight w:val="none"/>
              </w:rPr>
            </w:pPr>
            <w:r>
              <w:rPr>
                <w:rFonts w:hint="eastAsia" w:ascii="宋体" w:hAnsi="宋体"/>
                <w:color w:val="auto"/>
                <w:szCs w:val="21"/>
                <w:highlight w:val="none"/>
              </w:rPr>
              <w:t>联合体协议书。（</w:t>
            </w:r>
            <w:r>
              <w:rPr>
                <w:rFonts w:hint="eastAsia" w:ascii="宋体" w:hAnsi="宋体"/>
                <w:b/>
                <w:color w:val="auto"/>
                <w:szCs w:val="21"/>
                <w:highlight w:val="none"/>
              </w:rPr>
              <w:t>联合体投标时必须提供，否则作无效投标处理</w:t>
            </w:r>
            <w:r>
              <w:rPr>
                <w:rFonts w:hint="eastAsia" w:ascii="宋体" w:hAnsi="宋体"/>
                <w:color w:val="auto"/>
                <w:szCs w:val="21"/>
                <w:highlight w:val="none"/>
              </w:rPr>
              <w:t>）</w:t>
            </w:r>
          </w:p>
          <w:p w14:paraId="5DC0B91C">
            <w:pPr>
              <w:numPr>
                <w:ilvl w:val="0"/>
                <w:numId w:val="1"/>
              </w:numPr>
              <w:snapToGrid w:val="0"/>
              <w:spacing w:line="440" w:lineRule="exact"/>
              <w:ind w:left="360" w:leftChars="0" w:hanging="360" w:firstLineChars="0"/>
              <w:jc w:val="left"/>
              <w:rPr>
                <w:rFonts w:hint="eastAsia" w:ascii="宋体" w:hAnsi="宋体"/>
                <w:b/>
                <w:bCs/>
                <w:color w:val="auto"/>
                <w:szCs w:val="21"/>
                <w:highlight w:val="none"/>
              </w:rPr>
            </w:pPr>
            <w:r>
              <w:rPr>
                <w:rFonts w:hint="eastAsia" w:ascii="宋体" w:hAnsi="宋体"/>
                <w:color w:val="auto"/>
                <w:szCs w:val="21"/>
                <w:highlight w:val="none"/>
              </w:rPr>
              <w:t>中小企业声明函或残疾人福利性单位声明函或监狱企业证明；</w:t>
            </w:r>
            <w:r>
              <w:rPr>
                <w:rFonts w:hint="eastAsia" w:ascii="宋体" w:hAnsi="宋体"/>
                <w:b/>
                <w:bCs/>
                <w:color w:val="auto"/>
                <w:szCs w:val="21"/>
                <w:highlight w:val="none"/>
              </w:rPr>
              <w:t>（必须提供，否则响应文件按无效响应处理）</w:t>
            </w:r>
          </w:p>
          <w:p w14:paraId="45B3C23E">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lang w:val="en-US" w:eastAsia="zh-CN"/>
              </w:rPr>
              <w:t>10</w:t>
            </w:r>
            <w:r>
              <w:rPr>
                <w:rFonts w:hint="eastAsia" w:ascii="宋体" w:hAnsi="宋体"/>
                <w:color w:val="auto"/>
                <w:szCs w:val="21"/>
                <w:highlight w:val="none"/>
              </w:rPr>
              <w:t>、除招标文件规定必须提供以外，投标人认为需要提供的其他证明材料。</w:t>
            </w:r>
            <w:r>
              <w:rPr>
                <w:rFonts w:hint="eastAsia" w:ascii="宋体" w:hAnsi="宋体"/>
                <w:b/>
                <w:color w:val="auto"/>
                <w:szCs w:val="21"/>
                <w:highlight w:val="none"/>
              </w:rPr>
              <w:t>（</w:t>
            </w:r>
            <w:r>
              <w:rPr>
                <w:rFonts w:hint="eastAsia" w:ascii="宋体" w:hAnsi="宋体"/>
                <w:b/>
                <w:color w:val="auto"/>
                <w:szCs w:val="21"/>
                <w:highlight w:val="none"/>
                <w:lang w:eastAsia="zh-CN"/>
              </w:rPr>
              <w:t>如有，请提供</w:t>
            </w:r>
            <w:r>
              <w:rPr>
                <w:rFonts w:hint="eastAsia" w:ascii="宋体" w:hAnsi="宋体"/>
                <w:b/>
                <w:color w:val="auto"/>
                <w:szCs w:val="21"/>
                <w:highlight w:val="none"/>
              </w:rPr>
              <w:t>）</w:t>
            </w:r>
          </w:p>
          <w:p w14:paraId="5202040A">
            <w:pPr>
              <w:snapToGrid w:val="0"/>
              <w:spacing w:line="440" w:lineRule="exact"/>
              <w:jc w:val="left"/>
              <w:rPr>
                <w:rFonts w:hint="eastAsia" w:ascii="宋体" w:hAnsi="宋体" w:cs="Courier New"/>
                <w:b/>
                <w:color w:val="auto"/>
                <w:szCs w:val="21"/>
                <w:highlight w:val="none"/>
              </w:rPr>
            </w:pPr>
            <w:r>
              <w:rPr>
                <w:rFonts w:hint="eastAsia" w:ascii="宋体" w:hAnsi="宋体"/>
                <w:b/>
                <w:bCs/>
                <w:color w:val="auto"/>
                <w:szCs w:val="21"/>
                <w:highlight w:val="none"/>
              </w:rPr>
              <w:t>注：1.</w:t>
            </w:r>
            <w:r>
              <w:rPr>
                <w:rFonts w:hint="eastAsia" w:ascii="宋体" w:hAnsi="宋体"/>
                <w:color w:val="auto"/>
                <w:szCs w:val="21"/>
                <w:highlight w:val="none"/>
              </w:rPr>
              <w:t xml:space="preserve"> </w:t>
            </w:r>
            <w:r>
              <w:rPr>
                <w:rFonts w:hint="eastAsia" w:ascii="宋体" w:hAnsi="宋体"/>
                <w:b/>
                <w:bCs/>
                <w:color w:val="auto"/>
                <w:szCs w:val="21"/>
                <w:highlight w:val="none"/>
              </w:rPr>
              <w:t>以上标明“必须提供”的材料</w:t>
            </w:r>
            <w:r>
              <w:rPr>
                <w:rFonts w:hint="eastAsia" w:ascii="宋体" w:hAnsi="宋体" w:cs="宋体"/>
                <w:b/>
                <w:color w:val="auto"/>
                <w:szCs w:val="21"/>
                <w:highlight w:val="none"/>
              </w:rPr>
              <w:t>属于复印件的扫描件的</w:t>
            </w:r>
            <w:r>
              <w:rPr>
                <w:rFonts w:hint="eastAsia" w:ascii="宋体" w:hAnsi="宋体"/>
                <w:b/>
                <w:bCs/>
                <w:color w:val="auto"/>
                <w:szCs w:val="21"/>
                <w:highlight w:val="none"/>
              </w:rPr>
              <w:t>，必须加盖投标人电子公章，否则</w:t>
            </w:r>
            <w:r>
              <w:rPr>
                <w:rFonts w:hint="eastAsia" w:ascii="宋体" w:hAnsi="宋体" w:cs="Courier New"/>
                <w:b/>
                <w:color w:val="auto"/>
                <w:szCs w:val="21"/>
                <w:highlight w:val="none"/>
              </w:rPr>
              <w:t>作无效投标处理。</w:t>
            </w:r>
          </w:p>
          <w:p w14:paraId="2C11DCCB">
            <w:pPr>
              <w:snapToGrid w:val="0"/>
              <w:spacing w:line="440" w:lineRule="exact"/>
              <w:ind w:firstLine="422" w:firstLineChars="200"/>
              <w:jc w:val="left"/>
              <w:rPr>
                <w:rFonts w:hint="eastAsia" w:ascii="宋体" w:hAnsi="宋体"/>
                <w:b/>
                <w:bCs/>
                <w:color w:val="auto"/>
                <w:szCs w:val="21"/>
                <w:highlight w:val="none"/>
              </w:rPr>
            </w:pPr>
            <w:r>
              <w:rPr>
                <w:rFonts w:hint="eastAsia" w:ascii="宋体" w:hAnsi="宋体" w:cs="Courier New"/>
                <w:b/>
                <w:color w:val="auto"/>
                <w:szCs w:val="21"/>
                <w:highlight w:val="none"/>
              </w:rPr>
              <w:t>2</w:t>
            </w:r>
            <w:r>
              <w:rPr>
                <w:rFonts w:hint="eastAsia" w:ascii="宋体" w:hAnsi="宋体"/>
                <w:b/>
                <w:bCs/>
                <w:color w:val="auto"/>
                <w:szCs w:val="21"/>
                <w:highlight w:val="none"/>
              </w:rPr>
              <w:t>.联合体投标时，第1-5项资格证明文件联合体各方均必须分别提供，联合体各方分别盖章和签字，否则投标文件按无效响应处理。</w:t>
            </w:r>
          </w:p>
        </w:tc>
      </w:tr>
      <w:tr w14:paraId="0FDDB8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nil"/>
              <w:left w:val="single" w:color="auto" w:sz="4" w:space="0"/>
              <w:bottom w:val="nil"/>
              <w:right w:val="single" w:color="auto" w:sz="4" w:space="0"/>
            </w:tcBorders>
            <w:vAlign w:val="center"/>
          </w:tcPr>
          <w:p w14:paraId="63B9A5C0">
            <w:pPr>
              <w:spacing w:line="440" w:lineRule="exac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6DCCAF2">
            <w:pPr>
              <w:snapToGrid w:val="0"/>
              <w:spacing w:line="440" w:lineRule="exact"/>
              <w:jc w:val="left"/>
              <w:rPr>
                <w:rFonts w:hint="eastAsia" w:ascii="宋体" w:hAnsi="宋体" w:cs="Courier New"/>
                <w:color w:val="auto"/>
                <w:szCs w:val="21"/>
                <w:highlight w:val="none"/>
              </w:rPr>
            </w:pPr>
            <w:r>
              <w:rPr>
                <w:rFonts w:hint="eastAsia" w:ascii="宋体" w:hAnsi="宋体" w:cs="Courier New"/>
                <w:color w:val="auto"/>
                <w:szCs w:val="21"/>
                <w:highlight w:val="none"/>
              </w:rPr>
              <w:t>商务文件组成</w:t>
            </w:r>
          </w:p>
          <w:p w14:paraId="393681E0">
            <w:pPr>
              <w:spacing w:line="440" w:lineRule="exact"/>
              <w:rPr>
                <w:rFonts w:hint="eastAsia" w:ascii="宋体" w:hAnsi="宋体"/>
                <w:color w:val="auto"/>
                <w:szCs w:val="21"/>
                <w:highlight w:val="none"/>
              </w:rPr>
            </w:pPr>
          </w:p>
        </w:tc>
        <w:tc>
          <w:tcPr>
            <w:tcW w:w="6719" w:type="dxa"/>
            <w:tcBorders>
              <w:top w:val="single" w:color="auto" w:sz="4" w:space="0"/>
              <w:left w:val="single" w:color="auto" w:sz="4" w:space="0"/>
              <w:bottom w:val="single" w:color="auto" w:sz="4" w:space="0"/>
              <w:right w:val="single" w:color="auto" w:sz="4" w:space="0"/>
            </w:tcBorders>
            <w:vAlign w:val="center"/>
          </w:tcPr>
          <w:p w14:paraId="6E6D6460">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1、无串通投标行为的承诺函；（</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310FA2AD">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2、法定代表人身份证明及法定代表人有效身份证正反面复印件；（</w:t>
            </w:r>
            <w:r>
              <w:rPr>
                <w:rFonts w:hint="eastAsia" w:ascii="宋体" w:hAnsi="宋体" w:cs="宋体"/>
                <w:b/>
                <w:bCs/>
                <w:color w:val="auto"/>
                <w:szCs w:val="21"/>
                <w:highlight w:val="none"/>
              </w:rPr>
              <w:t>除自然人投标外</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1A8A1359">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3、法定代表人授权委托书及委托代理人有效身份证正反面复印件；（</w:t>
            </w:r>
            <w:r>
              <w:rPr>
                <w:rFonts w:hint="eastAsia" w:ascii="宋体" w:hAnsi="宋体"/>
                <w:b/>
                <w:color w:val="auto"/>
                <w:szCs w:val="21"/>
                <w:highlight w:val="none"/>
              </w:rPr>
              <w:t>委托时必须提供，否则作无效投标处理</w:t>
            </w:r>
            <w:r>
              <w:rPr>
                <w:rFonts w:hint="eastAsia" w:ascii="宋体" w:hAnsi="宋体"/>
                <w:color w:val="auto"/>
                <w:szCs w:val="21"/>
                <w:highlight w:val="none"/>
              </w:rPr>
              <w:t>）</w:t>
            </w:r>
          </w:p>
          <w:p w14:paraId="58159F94">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4、商务条款偏离表；（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0563A8B7">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5、投标人情况介绍；（</w:t>
            </w:r>
            <w:r>
              <w:rPr>
                <w:rFonts w:hint="eastAsia" w:ascii="宋体" w:hAnsi="宋体"/>
                <w:b/>
                <w:color w:val="auto"/>
                <w:szCs w:val="21"/>
                <w:highlight w:val="none"/>
              </w:rPr>
              <w:t>如有请提供</w:t>
            </w:r>
            <w:r>
              <w:rPr>
                <w:rFonts w:hint="eastAsia" w:ascii="宋体" w:hAnsi="宋体"/>
                <w:color w:val="auto"/>
                <w:szCs w:val="21"/>
                <w:highlight w:val="none"/>
              </w:rPr>
              <w:t>）</w:t>
            </w:r>
          </w:p>
          <w:p w14:paraId="26DA7987">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6、除招标文件规定必须提供以外，投标人认为需要提供的其他证明材料。（投标人根据“第二章 采购需求”及“第四章 评标方法及评标标准”提供有关证明材料）。</w:t>
            </w:r>
          </w:p>
          <w:p w14:paraId="58852004">
            <w:pPr>
              <w:snapToGrid w:val="0"/>
              <w:spacing w:line="440" w:lineRule="exact"/>
              <w:jc w:val="left"/>
              <w:rPr>
                <w:rFonts w:hint="eastAsia" w:ascii="宋体" w:hAnsi="宋体"/>
                <w:b/>
                <w:bCs/>
                <w:color w:val="auto"/>
                <w:szCs w:val="21"/>
                <w:highlight w:val="none"/>
              </w:rPr>
            </w:pPr>
            <w:r>
              <w:rPr>
                <w:rFonts w:hint="eastAsia" w:ascii="宋体" w:hAnsi="宋体"/>
                <w:b/>
                <w:bCs/>
                <w:color w:val="auto"/>
                <w:szCs w:val="21"/>
                <w:highlight w:val="none"/>
              </w:rPr>
              <w:t>注： 1.法定代表人授权委托书必须由法定代表人及委托代理人签字，并加盖投标人公章，否则作无效投标处理。</w:t>
            </w:r>
          </w:p>
          <w:p w14:paraId="3833A8DE">
            <w:pPr>
              <w:snapToGrid w:val="0"/>
              <w:spacing w:line="440" w:lineRule="exact"/>
              <w:ind w:firstLine="422" w:firstLineChars="200"/>
              <w:jc w:val="left"/>
              <w:rPr>
                <w:rFonts w:hint="eastAsia" w:ascii="宋体" w:hAnsi="宋体" w:cs="Courier New"/>
                <w:b/>
                <w:color w:val="auto"/>
                <w:szCs w:val="21"/>
                <w:highlight w:val="none"/>
              </w:rPr>
            </w:pPr>
            <w:r>
              <w:rPr>
                <w:rFonts w:hint="eastAsia" w:ascii="宋体" w:hAnsi="宋体"/>
                <w:b/>
                <w:bCs/>
                <w:color w:val="auto"/>
                <w:szCs w:val="21"/>
                <w:highlight w:val="none"/>
              </w:rPr>
              <w:t>2.</w:t>
            </w:r>
            <w:r>
              <w:rPr>
                <w:rFonts w:hint="eastAsia" w:ascii="宋体" w:hAnsi="宋体"/>
                <w:color w:val="auto"/>
                <w:szCs w:val="21"/>
                <w:highlight w:val="none"/>
              </w:rPr>
              <w:t xml:space="preserve"> </w:t>
            </w:r>
            <w:r>
              <w:rPr>
                <w:rFonts w:hint="eastAsia" w:ascii="宋体" w:hAnsi="宋体"/>
                <w:b/>
                <w:bCs/>
                <w:color w:val="auto"/>
                <w:szCs w:val="21"/>
                <w:highlight w:val="none"/>
              </w:rPr>
              <w:t>以上标明“必须提供”的材料</w:t>
            </w:r>
            <w:r>
              <w:rPr>
                <w:rFonts w:hint="eastAsia" w:ascii="宋体" w:hAnsi="宋体" w:cs="宋体"/>
                <w:b/>
                <w:color w:val="auto"/>
                <w:szCs w:val="21"/>
                <w:highlight w:val="none"/>
              </w:rPr>
              <w:t>属于复印件的扫描件的</w:t>
            </w:r>
            <w:r>
              <w:rPr>
                <w:rFonts w:hint="eastAsia" w:ascii="宋体" w:hAnsi="宋体"/>
                <w:b/>
                <w:bCs/>
                <w:color w:val="auto"/>
                <w:szCs w:val="21"/>
                <w:highlight w:val="none"/>
              </w:rPr>
              <w:t>，必须加盖投标人电子公章，否则</w:t>
            </w:r>
            <w:r>
              <w:rPr>
                <w:rFonts w:hint="eastAsia" w:ascii="宋体" w:hAnsi="宋体" w:cs="Courier New"/>
                <w:b/>
                <w:color w:val="auto"/>
                <w:szCs w:val="21"/>
                <w:highlight w:val="none"/>
              </w:rPr>
              <w:t>作无效投标处理</w:t>
            </w:r>
            <w:r>
              <w:rPr>
                <w:rFonts w:hint="eastAsia" w:ascii="宋体" w:hAnsi="宋体"/>
                <w:b/>
                <w:bCs/>
                <w:color w:val="auto"/>
                <w:szCs w:val="21"/>
                <w:highlight w:val="none"/>
              </w:rPr>
              <w:t>。</w:t>
            </w:r>
          </w:p>
        </w:tc>
      </w:tr>
      <w:tr w14:paraId="089915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vMerge w:val="restart"/>
            <w:tcBorders>
              <w:top w:val="nil"/>
              <w:left w:val="single" w:color="auto" w:sz="4" w:space="0"/>
              <w:bottom w:val="single" w:color="auto" w:sz="4" w:space="0"/>
              <w:right w:val="single" w:color="auto" w:sz="4" w:space="0"/>
            </w:tcBorders>
            <w:vAlign w:val="center"/>
          </w:tcPr>
          <w:p w14:paraId="60886D5F">
            <w:pPr>
              <w:spacing w:line="440" w:lineRule="exac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21C92B5C">
            <w:pPr>
              <w:snapToGrid w:val="0"/>
              <w:spacing w:line="440" w:lineRule="exact"/>
              <w:jc w:val="left"/>
              <w:rPr>
                <w:rFonts w:hint="eastAsia" w:ascii="宋体" w:hAnsi="宋体" w:cs="Courier New"/>
                <w:color w:val="auto"/>
                <w:szCs w:val="21"/>
                <w:highlight w:val="none"/>
              </w:rPr>
            </w:pPr>
            <w:r>
              <w:rPr>
                <w:rFonts w:hint="eastAsia" w:ascii="宋体" w:hAnsi="宋体" w:cs="Courier New"/>
                <w:color w:val="auto"/>
                <w:szCs w:val="21"/>
                <w:highlight w:val="none"/>
              </w:rPr>
              <w:t>技术文件组成</w:t>
            </w:r>
          </w:p>
          <w:p w14:paraId="27BAF2C0">
            <w:pPr>
              <w:spacing w:line="440" w:lineRule="exact"/>
              <w:rPr>
                <w:rFonts w:hint="eastAsia" w:ascii="宋体" w:hAnsi="宋体"/>
                <w:color w:val="auto"/>
                <w:szCs w:val="21"/>
                <w:highlight w:val="none"/>
              </w:rPr>
            </w:pPr>
          </w:p>
        </w:tc>
        <w:tc>
          <w:tcPr>
            <w:tcW w:w="6719" w:type="dxa"/>
            <w:tcBorders>
              <w:top w:val="single" w:color="auto" w:sz="4" w:space="0"/>
              <w:left w:val="single" w:color="auto" w:sz="4" w:space="0"/>
              <w:bottom w:val="single" w:color="auto" w:sz="4" w:space="0"/>
              <w:right w:val="single" w:color="auto" w:sz="4" w:space="0"/>
            </w:tcBorders>
            <w:vAlign w:val="center"/>
          </w:tcPr>
          <w:p w14:paraId="7A5B436A">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1、技术需求偏离表；（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32367255">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2、服务方案（由投标人自行结合“采购需求”及“评标办法”编制，格式自拟）；（</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20BD1206">
            <w:pPr>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3、售后服务方案</w:t>
            </w:r>
            <w:r>
              <w:rPr>
                <w:rFonts w:hint="eastAsia" w:ascii="宋体" w:hAnsi="宋体"/>
                <w:color w:val="auto"/>
                <w:highlight w:val="none"/>
              </w:rPr>
              <w:t>；</w:t>
            </w:r>
            <w:r>
              <w:rPr>
                <w:rFonts w:hint="eastAsia" w:ascii="宋体" w:hAnsi="宋体"/>
                <w:color w:val="auto"/>
                <w:szCs w:val="21"/>
                <w:highlight w:val="none"/>
              </w:rPr>
              <w:t>（如有，请提供）</w:t>
            </w:r>
          </w:p>
          <w:p w14:paraId="5A4FCA79">
            <w:pPr>
              <w:snapToGrid w:val="0"/>
              <w:spacing w:line="440" w:lineRule="exact"/>
              <w:jc w:val="left"/>
              <w:rPr>
                <w:rFonts w:hint="eastAsia"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hint="eastAsia" w:ascii="宋体" w:hAnsi="宋体"/>
                <w:color w:val="auto"/>
                <w:szCs w:val="21"/>
                <w:highlight w:val="none"/>
                <w:lang w:val="zh-CN"/>
              </w:rPr>
              <w:t>项目实施人员一览表</w:t>
            </w:r>
            <w:r>
              <w:rPr>
                <w:rFonts w:hint="eastAsia" w:ascii="宋体" w:hAnsi="宋体"/>
                <w:color w:val="auto"/>
                <w:szCs w:val="21"/>
                <w:highlight w:val="none"/>
              </w:rPr>
              <w:t>；（如</w:t>
            </w:r>
            <w:r>
              <w:rPr>
                <w:rFonts w:hint="eastAsia" w:ascii="宋体" w:hAnsi="宋体"/>
                <w:color w:val="auto"/>
                <w:highlight w:val="none"/>
              </w:rPr>
              <w:t>有，请提供）</w:t>
            </w:r>
          </w:p>
          <w:p w14:paraId="21F0405C">
            <w:pPr>
              <w:snapToGrid w:val="0"/>
              <w:spacing w:line="440" w:lineRule="exact"/>
              <w:jc w:val="left"/>
              <w:rPr>
                <w:rFonts w:hint="eastAsia" w:ascii="宋体" w:hAnsi="宋体"/>
                <w:color w:val="auto"/>
                <w:szCs w:val="21"/>
                <w:highlight w:val="none"/>
              </w:rPr>
            </w:pPr>
            <w:r>
              <w:rPr>
                <w:rFonts w:ascii="宋体" w:hAnsi="宋体"/>
                <w:color w:val="auto"/>
                <w:szCs w:val="21"/>
                <w:highlight w:val="none"/>
              </w:rPr>
              <w:t>5</w:t>
            </w:r>
            <w:r>
              <w:rPr>
                <w:rFonts w:hint="eastAsia" w:ascii="宋体" w:hAnsi="宋体"/>
                <w:color w:val="auto"/>
                <w:szCs w:val="21"/>
                <w:highlight w:val="none"/>
              </w:rPr>
              <w:t>、投标人对本项目的合理化建议和改进措施；</w:t>
            </w:r>
            <w:r>
              <w:rPr>
                <w:rFonts w:hint="eastAsia" w:ascii="宋体" w:hAnsi="宋体"/>
                <w:color w:val="auto"/>
                <w:highlight w:val="none"/>
              </w:rPr>
              <w:t>（如有，请提供）</w:t>
            </w:r>
          </w:p>
          <w:p w14:paraId="1341AF34">
            <w:pPr>
              <w:snapToGrid w:val="0"/>
              <w:spacing w:line="440" w:lineRule="exact"/>
              <w:jc w:val="left"/>
              <w:rPr>
                <w:rFonts w:hint="eastAsia" w:ascii="宋体" w:hAnsi="宋体"/>
                <w:bCs/>
                <w:color w:val="auto"/>
                <w:szCs w:val="21"/>
                <w:highlight w:val="none"/>
              </w:rPr>
            </w:pPr>
            <w:r>
              <w:rPr>
                <w:rFonts w:ascii="宋体" w:hAnsi="宋体"/>
                <w:color w:val="auto"/>
                <w:szCs w:val="21"/>
                <w:highlight w:val="none"/>
              </w:rPr>
              <w:t>6</w:t>
            </w:r>
            <w:r>
              <w:rPr>
                <w:rFonts w:hint="eastAsia" w:ascii="宋体" w:hAnsi="宋体"/>
                <w:color w:val="auto"/>
                <w:szCs w:val="21"/>
                <w:highlight w:val="none"/>
              </w:rPr>
              <w:t>、除招标文件规定必须提供以外，投标人需要说明的其他文件和说明。</w:t>
            </w:r>
          </w:p>
          <w:p w14:paraId="2903506C">
            <w:pPr>
              <w:snapToGrid w:val="0"/>
              <w:spacing w:line="440" w:lineRule="exact"/>
              <w:jc w:val="left"/>
              <w:rPr>
                <w:rFonts w:hint="eastAsia" w:ascii="宋体" w:hAnsi="宋体"/>
                <w:b/>
                <w:bCs/>
                <w:color w:val="auto"/>
                <w:szCs w:val="21"/>
                <w:highlight w:val="none"/>
              </w:rPr>
            </w:pPr>
            <w:r>
              <w:rPr>
                <w:rFonts w:hint="eastAsia" w:ascii="宋体" w:hAnsi="宋体"/>
                <w:b/>
                <w:bCs/>
                <w:color w:val="auto"/>
                <w:szCs w:val="21"/>
                <w:highlight w:val="none"/>
              </w:rPr>
              <w:t>注：以上标明“必须提供”的材料</w:t>
            </w:r>
            <w:r>
              <w:rPr>
                <w:rFonts w:hint="eastAsia" w:ascii="宋体" w:hAnsi="宋体" w:cs="宋体"/>
                <w:b/>
                <w:color w:val="auto"/>
                <w:szCs w:val="21"/>
                <w:highlight w:val="none"/>
              </w:rPr>
              <w:t>属于复印件的扫描件的</w:t>
            </w:r>
            <w:r>
              <w:rPr>
                <w:rFonts w:hint="eastAsia" w:ascii="宋体" w:hAnsi="宋体"/>
                <w:b/>
                <w:bCs/>
                <w:color w:val="auto"/>
                <w:szCs w:val="21"/>
                <w:highlight w:val="none"/>
              </w:rPr>
              <w:t>，必须加盖投标人电子公章，否则</w:t>
            </w:r>
            <w:r>
              <w:rPr>
                <w:rFonts w:hint="eastAsia" w:ascii="宋体" w:hAnsi="宋体" w:cs="Courier New"/>
                <w:b/>
                <w:color w:val="auto"/>
                <w:szCs w:val="21"/>
                <w:highlight w:val="none"/>
              </w:rPr>
              <w:t>作无效投标处理</w:t>
            </w:r>
            <w:r>
              <w:rPr>
                <w:rFonts w:hint="eastAsia" w:ascii="宋体" w:hAnsi="宋体"/>
                <w:b/>
                <w:bCs/>
                <w:color w:val="auto"/>
                <w:szCs w:val="21"/>
                <w:highlight w:val="none"/>
              </w:rPr>
              <w:t>。</w:t>
            </w:r>
          </w:p>
        </w:tc>
      </w:tr>
      <w:tr w14:paraId="223330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vMerge w:val="continue"/>
            <w:tcBorders>
              <w:top w:val="nil"/>
              <w:left w:val="single" w:color="auto" w:sz="4" w:space="0"/>
              <w:bottom w:val="single" w:color="auto" w:sz="4" w:space="0"/>
              <w:right w:val="single" w:color="auto" w:sz="4" w:space="0"/>
            </w:tcBorders>
            <w:vAlign w:val="center"/>
          </w:tcPr>
          <w:p w14:paraId="0FC1FE67">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24982E31">
            <w:pPr>
              <w:snapToGrid w:val="0"/>
              <w:spacing w:line="440" w:lineRule="exact"/>
              <w:jc w:val="left"/>
              <w:rPr>
                <w:rFonts w:hint="eastAsia" w:ascii="宋体" w:hAnsi="宋体" w:cs="Courier New"/>
                <w:color w:val="auto"/>
                <w:szCs w:val="21"/>
                <w:highlight w:val="none"/>
              </w:rPr>
            </w:pPr>
            <w:r>
              <w:rPr>
                <w:rFonts w:hint="eastAsia" w:ascii="宋体" w:hAnsi="宋体" w:cs="Courier New"/>
                <w:color w:val="auto"/>
                <w:szCs w:val="21"/>
                <w:highlight w:val="none"/>
              </w:rPr>
              <w:t>报价文件</w:t>
            </w:r>
            <w:r>
              <w:rPr>
                <w:rFonts w:hint="eastAsia" w:ascii="宋体" w:hAnsi="宋体"/>
                <w:color w:val="auto"/>
                <w:szCs w:val="21"/>
                <w:highlight w:val="none"/>
              </w:rPr>
              <w:t>组成</w:t>
            </w:r>
          </w:p>
        </w:tc>
        <w:tc>
          <w:tcPr>
            <w:tcW w:w="6719" w:type="dxa"/>
            <w:tcBorders>
              <w:top w:val="single" w:color="auto" w:sz="4" w:space="0"/>
              <w:left w:val="single" w:color="auto" w:sz="4" w:space="0"/>
              <w:bottom w:val="single" w:color="auto" w:sz="4" w:space="0"/>
              <w:right w:val="single" w:color="auto" w:sz="4" w:space="0"/>
            </w:tcBorders>
            <w:vAlign w:val="center"/>
          </w:tcPr>
          <w:p w14:paraId="6A294DFE">
            <w:pPr>
              <w:tabs>
                <w:tab w:val="left" w:pos="459"/>
              </w:tabs>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1、投标函；</w:t>
            </w:r>
            <w:r>
              <w:rPr>
                <w:rFonts w:hint="eastAsia" w:ascii="宋体" w:hAnsi="宋体"/>
                <w:b/>
                <w:color w:val="auto"/>
                <w:szCs w:val="21"/>
                <w:highlight w:val="none"/>
              </w:rPr>
              <w:t>（必须提供，否则作无效投标处理）</w:t>
            </w:r>
          </w:p>
          <w:p w14:paraId="2F8FF403">
            <w:pPr>
              <w:tabs>
                <w:tab w:val="left" w:pos="459"/>
              </w:tabs>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2、开标一览表；（</w:t>
            </w:r>
            <w:r>
              <w:rPr>
                <w:rFonts w:hint="eastAsia" w:ascii="宋体" w:hAnsi="宋体"/>
                <w:b/>
                <w:color w:val="auto"/>
                <w:szCs w:val="21"/>
                <w:highlight w:val="none"/>
              </w:rPr>
              <w:t>必须提供，否则作无效投标处理</w:t>
            </w:r>
            <w:r>
              <w:rPr>
                <w:rFonts w:hint="eastAsia" w:ascii="宋体" w:hAnsi="宋体"/>
                <w:color w:val="auto"/>
                <w:szCs w:val="21"/>
                <w:highlight w:val="none"/>
              </w:rPr>
              <w:t>）</w:t>
            </w:r>
          </w:p>
          <w:p w14:paraId="7D2146CA">
            <w:pPr>
              <w:tabs>
                <w:tab w:val="left" w:pos="459"/>
              </w:tabs>
              <w:snapToGrid w:val="0"/>
              <w:spacing w:line="440" w:lineRule="exact"/>
              <w:jc w:val="left"/>
              <w:rPr>
                <w:rFonts w:hint="eastAsia" w:ascii="宋体" w:hAnsi="宋体"/>
                <w:color w:val="auto"/>
                <w:szCs w:val="21"/>
                <w:highlight w:val="none"/>
              </w:rPr>
            </w:pPr>
            <w:r>
              <w:rPr>
                <w:rFonts w:hint="eastAsia" w:ascii="宋体" w:hAnsi="宋体"/>
                <w:color w:val="auto"/>
                <w:szCs w:val="21"/>
                <w:highlight w:val="none"/>
              </w:rPr>
              <w:t>3、投标人针对报价需要说明的其他文件和说明。（</w:t>
            </w:r>
            <w:r>
              <w:rPr>
                <w:rFonts w:hint="eastAsia" w:ascii="宋体" w:hAnsi="宋体"/>
                <w:color w:val="auto"/>
                <w:highlight w:val="none"/>
              </w:rPr>
              <w:t>如有，请提供）</w:t>
            </w:r>
          </w:p>
          <w:p w14:paraId="0F897997">
            <w:pPr>
              <w:snapToGrid w:val="0"/>
              <w:spacing w:line="440" w:lineRule="exact"/>
              <w:jc w:val="left"/>
              <w:rPr>
                <w:rFonts w:hint="eastAsia" w:ascii="宋体" w:hAnsi="宋体"/>
                <w:color w:val="auto"/>
                <w:szCs w:val="21"/>
                <w:highlight w:val="none"/>
              </w:rPr>
            </w:pPr>
            <w:r>
              <w:rPr>
                <w:rFonts w:hint="eastAsia" w:ascii="宋体" w:hAnsi="宋体"/>
                <w:b/>
                <w:bCs/>
                <w:color w:val="auto"/>
                <w:szCs w:val="21"/>
                <w:highlight w:val="none"/>
              </w:rPr>
              <w:t>注：以上标明“必须提供”的材料必须加盖投标人电子公章，否则</w:t>
            </w:r>
            <w:r>
              <w:rPr>
                <w:rFonts w:hint="eastAsia" w:ascii="宋体" w:hAnsi="宋体" w:cs="Courier New"/>
                <w:b/>
                <w:color w:val="auto"/>
                <w:szCs w:val="21"/>
                <w:highlight w:val="none"/>
              </w:rPr>
              <w:t>作无效投标处理</w:t>
            </w:r>
            <w:r>
              <w:rPr>
                <w:rFonts w:hint="eastAsia" w:ascii="宋体" w:hAnsi="宋体"/>
                <w:b/>
                <w:bCs/>
                <w:color w:val="auto"/>
                <w:szCs w:val="21"/>
                <w:highlight w:val="none"/>
              </w:rPr>
              <w:t>。</w:t>
            </w:r>
          </w:p>
        </w:tc>
      </w:tr>
      <w:tr w14:paraId="62F879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512CF6A9">
            <w:pPr>
              <w:spacing w:line="440" w:lineRule="exact"/>
              <w:rPr>
                <w:rFonts w:hint="eastAsia" w:ascii="宋体" w:hAnsi="宋体"/>
                <w:color w:val="auto"/>
                <w:szCs w:val="21"/>
                <w:highlight w:val="none"/>
              </w:rPr>
            </w:pPr>
            <w:r>
              <w:rPr>
                <w:rFonts w:hint="eastAsia" w:ascii="宋体" w:hAnsi="宋体"/>
                <w:color w:val="auto"/>
                <w:szCs w:val="21"/>
                <w:highlight w:val="none"/>
              </w:rPr>
              <w:t>16.2</w:t>
            </w:r>
          </w:p>
        </w:tc>
        <w:tc>
          <w:tcPr>
            <w:tcW w:w="2071" w:type="dxa"/>
            <w:tcBorders>
              <w:top w:val="single" w:color="auto" w:sz="4" w:space="0"/>
              <w:left w:val="single" w:color="auto" w:sz="4" w:space="0"/>
              <w:bottom w:val="single" w:color="auto" w:sz="4" w:space="0"/>
              <w:right w:val="single" w:color="auto" w:sz="4" w:space="0"/>
            </w:tcBorders>
            <w:vAlign w:val="center"/>
          </w:tcPr>
          <w:p w14:paraId="6A4CCD27">
            <w:pPr>
              <w:spacing w:line="440" w:lineRule="exact"/>
              <w:rPr>
                <w:rFonts w:hint="eastAsia" w:ascii="宋体" w:hAnsi="宋体"/>
                <w:color w:val="auto"/>
                <w:szCs w:val="21"/>
                <w:highlight w:val="none"/>
              </w:rPr>
            </w:pPr>
            <w:r>
              <w:rPr>
                <w:rFonts w:hint="eastAsia" w:ascii="宋体" w:hAnsi="宋体"/>
                <w:color w:val="auto"/>
                <w:szCs w:val="21"/>
                <w:highlight w:val="none"/>
              </w:rPr>
              <w:t>投标报价要求</w:t>
            </w:r>
          </w:p>
        </w:tc>
        <w:tc>
          <w:tcPr>
            <w:tcW w:w="6719" w:type="dxa"/>
            <w:tcBorders>
              <w:top w:val="single" w:color="auto" w:sz="4" w:space="0"/>
              <w:left w:val="single" w:color="auto" w:sz="4" w:space="0"/>
              <w:bottom w:val="single" w:color="auto" w:sz="4" w:space="0"/>
              <w:right w:val="single" w:color="auto" w:sz="4" w:space="0"/>
            </w:tcBorders>
            <w:vAlign w:val="center"/>
          </w:tcPr>
          <w:p w14:paraId="5D0097E3">
            <w:pPr>
              <w:snapToGrid w:val="0"/>
              <w:spacing w:line="440" w:lineRule="exact"/>
              <w:rPr>
                <w:rFonts w:hint="eastAsia" w:ascii="宋体" w:hAnsi="宋体"/>
                <w:b/>
                <w:color w:val="auto"/>
                <w:szCs w:val="21"/>
                <w:highlight w:val="none"/>
              </w:rPr>
            </w:pPr>
            <w:r>
              <w:rPr>
                <w:rFonts w:hint="eastAsia" w:ascii="宋体" w:hAnsi="宋体"/>
                <w:color w:val="auto"/>
                <w:szCs w:val="21"/>
                <w:highlight w:val="none"/>
              </w:rPr>
              <w:t>投标报价是履行合同的最终价格，</w:t>
            </w:r>
            <w:r>
              <w:rPr>
                <w:rFonts w:hint="eastAsia" w:ascii="宋体" w:hAnsi="宋体" w:cs="宋体"/>
                <w:color w:val="auto"/>
                <w:szCs w:val="21"/>
                <w:highlight w:val="none"/>
              </w:rPr>
              <w:t>必须包含满足本次投标全部采购需求所应提供的服务，以及伴随的货物和工程（如有）的价格（采购需求另有约定的，从其约定）</w:t>
            </w:r>
          </w:p>
        </w:tc>
      </w:tr>
      <w:tr w14:paraId="2DA473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3688CD71">
            <w:pPr>
              <w:spacing w:line="440" w:lineRule="exact"/>
              <w:rPr>
                <w:rFonts w:hint="eastAsia" w:ascii="宋体" w:hAnsi="宋体"/>
                <w:color w:val="auto"/>
                <w:szCs w:val="21"/>
                <w:highlight w:val="none"/>
              </w:rPr>
            </w:pPr>
            <w:r>
              <w:rPr>
                <w:rFonts w:hint="eastAsia" w:ascii="宋体" w:hAnsi="宋体"/>
                <w:color w:val="auto"/>
                <w:szCs w:val="21"/>
                <w:highlight w:val="none"/>
              </w:rPr>
              <w:t>17.2</w:t>
            </w:r>
          </w:p>
        </w:tc>
        <w:tc>
          <w:tcPr>
            <w:tcW w:w="2071" w:type="dxa"/>
            <w:tcBorders>
              <w:top w:val="single" w:color="auto" w:sz="4" w:space="0"/>
              <w:left w:val="single" w:color="auto" w:sz="4" w:space="0"/>
              <w:bottom w:val="single" w:color="auto" w:sz="4" w:space="0"/>
              <w:right w:val="single" w:color="auto" w:sz="4" w:space="0"/>
            </w:tcBorders>
            <w:vAlign w:val="center"/>
          </w:tcPr>
          <w:p w14:paraId="3CEC948E">
            <w:pPr>
              <w:spacing w:line="440" w:lineRule="exact"/>
              <w:rPr>
                <w:rFonts w:hint="eastAsia" w:ascii="宋体" w:hAnsi="宋体"/>
                <w:color w:val="auto"/>
                <w:szCs w:val="21"/>
                <w:highlight w:val="none"/>
              </w:rPr>
            </w:pPr>
            <w:r>
              <w:rPr>
                <w:rFonts w:hint="eastAsia" w:ascii="宋体" w:hAnsi="宋体"/>
                <w:color w:val="auto"/>
                <w:szCs w:val="21"/>
                <w:highlight w:val="none"/>
              </w:rPr>
              <w:t>投标有效期</w:t>
            </w:r>
          </w:p>
        </w:tc>
        <w:tc>
          <w:tcPr>
            <w:tcW w:w="6719" w:type="dxa"/>
            <w:tcBorders>
              <w:top w:val="single" w:color="auto" w:sz="4" w:space="0"/>
              <w:left w:val="single" w:color="auto" w:sz="4" w:space="0"/>
              <w:bottom w:val="single" w:color="auto" w:sz="4" w:space="0"/>
              <w:right w:val="single" w:color="auto" w:sz="4" w:space="0"/>
            </w:tcBorders>
            <w:vAlign w:val="center"/>
          </w:tcPr>
          <w:p w14:paraId="4A795BDB">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自投标截止之日起</w:t>
            </w:r>
            <w:bookmarkStart w:id="8" w:name="PO_3000001866_PM046"/>
            <w:r>
              <w:rPr>
                <w:rFonts w:hint="eastAsia" w:ascii="宋体" w:hAnsi="宋体"/>
                <w:color w:val="auto"/>
                <w:szCs w:val="21"/>
                <w:highlight w:val="none"/>
                <w:u w:val="single"/>
              </w:rPr>
              <w:t>90</w:t>
            </w:r>
            <w:r>
              <w:rPr>
                <w:rFonts w:ascii="宋体" w:hAnsi="宋体"/>
                <w:color w:val="auto"/>
                <w:szCs w:val="21"/>
                <w:highlight w:val="none"/>
                <w:u w:val="single"/>
              </w:rPr>
              <w:t>日历天</w:t>
            </w:r>
            <w:bookmarkEnd w:id="8"/>
            <w:r>
              <w:rPr>
                <w:rFonts w:hint="eastAsia" w:ascii="宋体" w:hAnsi="宋体"/>
                <w:color w:val="auto"/>
                <w:szCs w:val="21"/>
                <w:highlight w:val="none"/>
              </w:rPr>
              <w:t>。</w:t>
            </w:r>
          </w:p>
        </w:tc>
      </w:tr>
      <w:tr w14:paraId="019F82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02BBD8FA">
            <w:pPr>
              <w:spacing w:line="440" w:lineRule="exact"/>
              <w:rPr>
                <w:rFonts w:hint="eastAsia" w:ascii="宋体" w:hAnsi="宋体"/>
                <w:color w:val="auto"/>
                <w:szCs w:val="21"/>
                <w:highlight w:val="none"/>
              </w:rPr>
            </w:pPr>
            <w:r>
              <w:rPr>
                <w:rFonts w:hint="eastAsia" w:ascii="宋体" w:hAnsi="宋体"/>
                <w:color w:val="auto"/>
                <w:szCs w:val="21"/>
                <w:highlight w:val="none"/>
              </w:rPr>
              <w:t>18</w:t>
            </w:r>
          </w:p>
        </w:tc>
        <w:tc>
          <w:tcPr>
            <w:tcW w:w="2071" w:type="dxa"/>
            <w:tcBorders>
              <w:top w:val="single" w:color="auto" w:sz="4" w:space="0"/>
              <w:left w:val="single" w:color="auto" w:sz="4" w:space="0"/>
              <w:bottom w:val="single" w:color="auto" w:sz="4" w:space="0"/>
              <w:right w:val="single" w:color="auto" w:sz="4" w:space="0"/>
            </w:tcBorders>
            <w:vAlign w:val="center"/>
          </w:tcPr>
          <w:p w14:paraId="15F63A82">
            <w:pPr>
              <w:spacing w:line="440" w:lineRule="exact"/>
              <w:rPr>
                <w:rFonts w:hint="eastAsia" w:ascii="宋体" w:hAnsi="宋体"/>
                <w:color w:val="auto"/>
                <w:szCs w:val="21"/>
                <w:highlight w:val="none"/>
              </w:rPr>
            </w:pPr>
            <w:r>
              <w:rPr>
                <w:rFonts w:hint="eastAsia" w:ascii="宋体" w:hAnsi="宋体"/>
                <w:color w:val="auto"/>
                <w:szCs w:val="21"/>
                <w:highlight w:val="none"/>
              </w:rPr>
              <w:t>投标保证金金额</w:t>
            </w:r>
          </w:p>
        </w:tc>
        <w:tc>
          <w:tcPr>
            <w:tcW w:w="6719" w:type="dxa"/>
            <w:tcBorders>
              <w:top w:val="single" w:color="auto" w:sz="4" w:space="0"/>
              <w:left w:val="single" w:color="auto" w:sz="4" w:space="0"/>
              <w:bottom w:val="single" w:color="auto" w:sz="4" w:space="0"/>
              <w:right w:val="single" w:color="auto" w:sz="4" w:space="0"/>
            </w:tcBorders>
            <w:vAlign w:val="center"/>
          </w:tcPr>
          <w:p w14:paraId="57A67F5F">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本项目不收取投标保证金。</w:t>
            </w:r>
          </w:p>
        </w:tc>
      </w:tr>
      <w:tr w14:paraId="444415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7B65B02C">
            <w:pPr>
              <w:spacing w:line="440" w:lineRule="exact"/>
              <w:rPr>
                <w:rFonts w:hint="eastAsia" w:ascii="宋体" w:hAnsi="宋体"/>
                <w:color w:val="auto"/>
                <w:szCs w:val="21"/>
                <w:highlight w:val="none"/>
              </w:rPr>
            </w:pPr>
            <w:r>
              <w:rPr>
                <w:rFonts w:hint="eastAsia" w:ascii="宋体" w:hAnsi="宋体"/>
                <w:color w:val="auto"/>
                <w:szCs w:val="21"/>
                <w:highlight w:val="none"/>
              </w:rPr>
              <w:t>19.1</w:t>
            </w:r>
          </w:p>
        </w:tc>
        <w:tc>
          <w:tcPr>
            <w:tcW w:w="2071" w:type="dxa"/>
            <w:tcBorders>
              <w:top w:val="single" w:color="auto" w:sz="4" w:space="0"/>
              <w:left w:val="single" w:color="auto" w:sz="4" w:space="0"/>
              <w:bottom w:val="single" w:color="auto" w:sz="4" w:space="0"/>
              <w:right w:val="single" w:color="auto" w:sz="4" w:space="0"/>
            </w:tcBorders>
            <w:vAlign w:val="center"/>
          </w:tcPr>
          <w:p w14:paraId="7E108B6D">
            <w:pPr>
              <w:spacing w:line="440" w:lineRule="exact"/>
              <w:rPr>
                <w:rFonts w:hint="eastAsia" w:ascii="宋体" w:hAnsi="宋体"/>
                <w:color w:val="auto"/>
                <w:szCs w:val="21"/>
                <w:highlight w:val="none"/>
              </w:rPr>
            </w:pPr>
            <w:r>
              <w:rPr>
                <w:rFonts w:hint="eastAsia" w:ascii="宋体" w:hAnsi="宋体"/>
                <w:color w:val="auto"/>
                <w:szCs w:val="21"/>
                <w:highlight w:val="none"/>
              </w:rPr>
              <w:t>投标文件编制要求</w:t>
            </w:r>
          </w:p>
        </w:tc>
        <w:tc>
          <w:tcPr>
            <w:tcW w:w="6719" w:type="dxa"/>
            <w:tcBorders>
              <w:top w:val="single" w:color="auto" w:sz="4" w:space="0"/>
              <w:left w:val="single" w:color="auto" w:sz="4" w:space="0"/>
              <w:bottom w:val="single" w:color="auto" w:sz="4" w:space="0"/>
              <w:right w:val="single" w:color="auto" w:sz="4" w:space="0"/>
            </w:tcBorders>
            <w:vAlign w:val="center"/>
          </w:tcPr>
          <w:p w14:paraId="294D4588">
            <w:pPr>
              <w:spacing w:line="440" w:lineRule="exact"/>
              <w:rPr>
                <w:rFonts w:hint="eastAsia" w:ascii="宋体" w:hAnsi="宋体"/>
                <w:b/>
                <w:color w:val="auto"/>
                <w:szCs w:val="21"/>
                <w:highlight w:val="none"/>
                <w:u w:val="single"/>
              </w:rPr>
            </w:pPr>
            <w:r>
              <w:rPr>
                <w:rFonts w:hint="eastAsia" w:hAnsi="宋体"/>
                <w:color w:val="auto"/>
                <w:szCs w:val="21"/>
                <w:highlight w:val="none"/>
              </w:rPr>
              <w:t>投标文件应按报价文件、资格证明文件、商务文件、技术文件分别编制，报价文件、资格证明文件分别生产电子文件，商务文件和技术文件按顺序合并生成电子文件。</w:t>
            </w:r>
            <w:r>
              <w:rPr>
                <w:rFonts w:hint="eastAsia" w:ascii="宋体" w:hAnsi="宋体"/>
                <w:b/>
                <w:color w:val="auto"/>
                <w:szCs w:val="21"/>
                <w:highlight w:val="none"/>
                <w:u w:val="single"/>
              </w:rPr>
              <w:t>电子版投标文件制作方式见招标公告附件。</w:t>
            </w:r>
          </w:p>
        </w:tc>
      </w:tr>
      <w:tr w14:paraId="4FB323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516662F6">
            <w:pPr>
              <w:spacing w:line="440" w:lineRule="exact"/>
              <w:rPr>
                <w:rFonts w:hint="eastAsia" w:ascii="宋体" w:hAnsi="宋体"/>
                <w:color w:val="auto"/>
                <w:szCs w:val="21"/>
                <w:highlight w:val="none"/>
              </w:rPr>
            </w:pPr>
            <w:r>
              <w:rPr>
                <w:rFonts w:hint="eastAsia" w:ascii="宋体" w:hAnsi="宋体"/>
                <w:color w:val="auto"/>
                <w:szCs w:val="21"/>
                <w:highlight w:val="none"/>
              </w:rPr>
              <w:t>20</w:t>
            </w:r>
          </w:p>
        </w:tc>
        <w:tc>
          <w:tcPr>
            <w:tcW w:w="2071" w:type="dxa"/>
            <w:tcBorders>
              <w:top w:val="single" w:color="auto" w:sz="4" w:space="0"/>
              <w:left w:val="single" w:color="auto" w:sz="4" w:space="0"/>
              <w:bottom w:val="single" w:color="auto" w:sz="4" w:space="0"/>
              <w:right w:val="single" w:color="auto" w:sz="4" w:space="0"/>
            </w:tcBorders>
            <w:vAlign w:val="center"/>
          </w:tcPr>
          <w:p w14:paraId="52EFF947">
            <w:pPr>
              <w:spacing w:line="440" w:lineRule="exact"/>
              <w:rPr>
                <w:rFonts w:hint="eastAsia" w:ascii="宋体" w:hAnsi="宋体"/>
                <w:color w:val="auto"/>
                <w:szCs w:val="21"/>
                <w:highlight w:val="none"/>
              </w:rPr>
            </w:pPr>
            <w:r>
              <w:rPr>
                <w:rFonts w:hint="eastAsia" w:ascii="宋体" w:hAnsi="宋体"/>
                <w:color w:val="auto"/>
                <w:szCs w:val="21"/>
                <w:highlight w:val="none"/>
              </w:rPr>
              <w:t>备份投标文件</w:t>
            </w:r>
          </w:p>
        </w:tc>
        <w:tc>
          <w:tcPr>
            <w:tcW w:w="6719" w:type="dxa"/>
            <w:tcBorders>
              <w:top w:val="single" w:color="auto" w:sz="4" w:space="0"/>
              <w:left w:val="single" w:color="auto" w:sz="4" w:space="0"/>
              <w:bottom w:val="single" w:color="auto" w:sz="4" w:space="0"/>
              <w:right w:val="single" w:color="auto" w:sz="4" w:space="0"/>
            </w:tcBorders>
            <w:vAlign w:val="center"/>
          </w:tcPr>
          <w:p w14:paraId="36B7C900">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本项目不接受备份投标文件。</w:t>
            </w:r>
          </w:p>
        </w:tc>
      </w:tr>
      <w:tr w14:paraId="5E6CE8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872" w:type="dxa"/>
            <w:vMerge w:val="restart"/>
            <w:tcBorders>
              <w:top w:val="single" w:color="auto" w:sz="4" w:space="0"/>
              <w:left w:val="single" w:color="auto" w:sz="4" w:space="0"/>
              <w:bottom w:val="nil"/>
              <w:right w:val="single" w:color="auto" w:sz="4" w:space="0"/>
            </w:tcBorders>
            <w:vAlign w:val="center"/>
          </w:tcPr>
          <w:p w14:paraId="2A15AD73">
            <w:pPr>
              <w:spacing w:line="440" w:lineRule="exact"/>
              <w:rPr>
                <w:rFonts w:hint="eastAsia" w:ascii="宋体" w:hAnsi="宋体"/>
                <w:color w:val="auto"/>
                <w:szCs w:val="21"/>
                <w:highlight w:val="none"/>
              </w:rPr>
            </w:pPr>
            <w:r>
              <w:rPr>
                <w:rFonts w:hint="eastAsia" w:ascii="宋体" w:hAnsi="宋体"/>
                <w:color w:val="auto"/>
                <w:szCs w:val="21"/>
                <w:highlight w:val="none"/>
              </w:rPr>
              <w:t>21.1</w:t>
            </w:r>
          </w:p>
        </w:tc>
        <w:tc>
          <w:tcPr>
            <w:tcW w:w="2071" w:type="dxa"/>
            <w:tcBorders>
              <w:top w:val="single" w:color="auto" w:sz="4" w:space="0"/>
              <w:left w:val="single" w:color="auto" w:sz="4" w:space="0"/>
              <w:bottom w:val="single" w:color="auto" w:sz="4" w:space="0"/>
              <w:right w:val="single" w:color="auto" w:sz="4" w:space="0"/>
            </w:tcBorders>
            <w:vAlign w:val="center"/>
          </w:tcPr>
          <w:p w14:paraId="22C0E40A">
            <w:pPr>
              <w:spacing w:line="440" w:lineRule="exact"/>
              <w:rPr>
                <w:rFonts w:hint="eastAsia" w:ascii="宋体" w:hAnsi="宋体"/>
                <w:color w:val="auto"/>
                <w:szCs w:val="21"/>
                <w:highlight w:val="none"/>
              </w:rPr>
            </w:pPr>
            <w:r>
              <w:rPr>
                <w:rFonts w:hint="eastAsia" w:ascii="宋体" w:hAnsi="宋体"/>
                <w:color w:val="auto"/>
                <w:szCs w:val="21"/>
                <w:highlight w:val="none"/>
              </w:rPr>
              <w:t>投标截止时间</w:t>
            </w:r>
          </w:p>
        </w:tc>
        <w:tc>
          <w:tcPr>
            <w:tcW w:w="6719" w:type="dxa"/>
            <w:tcBorders>
              <w:top w:val="single" w:color="auto" w:sz="4" w:space="0"/>
              <w:left w:val="single" w:color="auto" w:sz="4" w:space="0"/>
              <w:bottom w:val="single" w:color="auto" w:sz="4" w:space="0"/>
              <w:right w:val="single" w:color="auto" w:sz="4" w:space="0"/>
            </w:tcBorders>
            <w:vAlign w:val="center"/>
          </w:tcPr>
          <w:p w14:paraId="33CEDAB6">
            <w:pPr>
              <w:snapToGrid w:val="0"/>
              <w:spacing w:line="440" w:lineRule="exact"/>
              <w:rPr>
                <w:rFonts w:hint="eastAsia" w:ascii="宋体" w:hAnsi="宋体"/>
                <w:color w:val="auto"/>
                <w:szCs w:val="21"/>
                <w:highlight w:val="none"/>
                <w:u w:val="single"/>
              </w:rPr>
            </w:pPr>
            <w:r>
              <w:rPr>
                <w:rFonts w:hint="eastAsia" w:ascii="宋体" w:hAnsi="宋体"/>
                <w:color w:val="auto"/>
                <w:szCs w:val="21"/>
                <w:highlight w:val="none"/>
              </w:rPr>
              <w:t>详见招标公告</w:t>
            </w:r>
          </w:p>
        </w:tc>
      </w:tr>
      <w:tr w14:paraId="2018F5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72" w:type="dxa"/>
            <w:vMerge w:val="continue"/>
            <w:tcBorders>
              <w:top w:val="single" w:color="auto" w:sz="4" w:space="0"/>
              <w:left w:val="single" w:color="auto" w:sz="4" w:space="0"/>
              <w:bottom w:val="nil"/>
              <w:right w:val="single" w:color="auto" w:sz="4" w:space="0"/>
            </w:tcBorders>
            <w:vAlign w:val="center"/>
          </w:tcPr>
          <w:p w14:paraId="22D070EA">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C2E0062">
            <w:pPr>
              <w:spacing w:line="440" w:lineRule="exact"/>
              <w:rPr>
                <w:rFonts w:hint="eastAsia" w:ascii="宋体" w:hAnsi="宋体"/>
                <w:color w:val="auto"/>
                <w:szCs w:val="21"/>
                <w:highlight w:val="none"/>
              </w:rPr>
            </w:pPr>
            <w:r>
              <w:rPr>
                <w:rFonts w:hint="eastAsia" w:ascii="宋体" w:hAnsi="宋体"/>
                <w:color w:val="auto"/>
                <w:szCs w:val="21"/>
                <w:highlight w:val="none"/>
              </w:rPr>
              <w:t>投标文件提交起止时间</w:t>
            </w:r>
          </w:p>
        </w:tc>
        <w:tc>
          <w:tcPr>
            <w:tcW w:w="6719" w:type="dxa"/>
            <w:tcBorders>
              <w:top w:val="single" w:color="auto" w:sz="4" w:space="0"/>
              <w:left w:val="single" w:color="auto" w:sz="4" w:space="0"/>
              <w:bottom w:val="single" w:color="auto" w:sz="4" w:space="0"/>
              <w:right w:val="single" w:color="auto" w:sz="4" w:space="0"/>
            </w:tcBorders>
            <w:vAlign w:val="center"/>
          </w:tcPr>
          <w:p w14:paraId="27D4F625">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详见招标公告</w:t>
            </w:r>
          </w:p>
        </w:tc>
      </w:tr>
      <w:tr w14:paraId="431D4E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72" w:type="dxa"/>
            <w:vMerge w:val="continue"/>
            <w:tcBorders>
              <w:top w:val="single" w:color="auto" w:sz="4" w:space="0"/>
              <w:left w:val="single" w:color="auto" w:sz="4" w:space="0"/>
              <w:bottom w:val="nil"/>
              <w:right w:val="single" w:color="auto" w:sz="4" w:space="0"/>
            </w:tcBorders>
            <w:vAlign w:val="center"/>
          </w:tcPr>
          <w:p w14:paraId="0629D451">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7495A428">
            <w:pPr>
              <w:spacing w:line="440" w:lineRule="exact"/>
              <w:rPr>
                <w:rFonts w:hint="eastAsia" w:ascii="宋体" w:hAnsi="宋体"/>
                <w:color w:val="auto"/>
                <w:szCs w:val="21"/>
                <w:highlight w:val="none"/>
              </w:rPr>
            </w:pPr>
            <w:r>
              <w:rPr>
                <w:rFonts w:hint="eastAsia" w:ascii="宋体" w:hAnsi="宋体"/>
                <w:color w:val="auto"/>
                <w:szCs w:val="21"/>
                <w:highlight w:val="none"/>
              </w:rPr>
              <w:t>投标地点</w:t>
            </w:r>
          </w:p>
        </w:tc>
        <w:tc>
          <w:tcPr>
            <w:tcW w:w="6719" w:type="dxa"/>
            <w:tcBorders>
              <w:top w:val="single" w:color="auto" w:sz="4" w:space="0"/>
              <w:left w:val="single" w:color="auto" w:sz="4" w:space="0"/>
              <w:bottom w:val="single" w:color="auto" w:sz="4" w:space="0"/>
              <w:right w:val="single" w:color="auto" w:sz="4" w:space="0"/>
            </w:tcBorders>
            <w:vAlign w:val="center"/>
          </w:tcPr>
          <w:p w14:paraId="3A016175">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详见招标公告</w:t>
            </w:r>
          </w:p>
        </w:tc>
      </w:tr>
      <w:tr w14:paraId="777070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872" w:type="dxa"/>
            <w:vMerge w:val="continue"/>
            <w:tcBorders>
              <w:top w:val="single" w:color="auto" w:sz="4" w:space="0"/>
              <w:left w:val="single" w:color="auto" w:sz="4" w:space="0"/>
              <w:bottom w:val="nil"/>
              <w:right w:val="single" w:color="auto" w:sz="4" w:space="0"/>
            </w:tcBorders>
            <w:vAlign w:val="center"/>
          </w:tcPr>
          <w:p w14:paraId="6A8E3281">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62609D24">
            <w:pPr>
              <w:spacing w:line="440" w:lineRule="exact"/>
              <w:rPr>
                <w:rFonts w:hint="eastAsia" w:ascii="宋体" w:hAnsi="宋体"/>
                <w:color w:val="auto"/>
                <w:szCs w:val="21"/>
                <w:highlight w:val="none"/>
              </w:rPr>
            </w:pPr>
            <w:r>
              <w:rPr>
                <w:rFonts w:hint="eastAsia" w:ascii="宋体" w:hAnsi="宋体"/>
                <w:color w:val="auto"/>
                <w:szCs w:val="21"/>
                <w:highlight w:val="none"/>
              </w:rPr>
              <w:t>投标人递交投标样品截止时间及地点</w:t>
            </w:r>
          </w:p>
        </w:tc>
        <w:tc>
          <w:tcPr>
            <w:tcW w:w="6719" w:type="dxa"/>
            <w:tcBorders>
              <w:top w:val="single" w:color="auto" w:sz="4" w:space="0"/>
              <w:left w:val="single" w:color="auto" w:sz="4" w:space="0"/>
              <w:bottom w:val="single" w:color="auto" w:sz="4" w:space="0"/>
              <w:right w:val="single" w:color="auto" w:sz="4" w:space="0"/>
            </w:tcBorders>
            <w:vAlign w:val="center"/>
          </w:tcPr>
          <w:p w14:paraId="6EBB25FC">
            <w:pPr>
              <w:snapToGrid w:val="0"/>
              <w:spacing w:line="440" w:lineRule="exact"/>
              <w:rPr>
                <w:rFonts w:hint="eastAsia" w:ascii="宋体" w:hAnsi="宋体"/>
                <w:color w:val="auto"/>
                <w:szCs w:val="21"/>
                <w:highlight w:val="none"/>
              </w:rPr>
            </w:pPr>
            <w:r>
              <w:rPr>
                <w:rFonts w:hint="eastAsia" w:ascii="宋体" w:hAnsi="宋体"/>
                <w:bCs/>
                <w:color w:val="auto"/>
                <w:szCs w:val="21"/>
                <w:highlight w:val="none"/>
              </w:rPr>
              <w:t>无</w:t>
            </w:r>
          </w:p>
        </w:tc>
      </w:tr>
      <w:tr w14:paraId="658EE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7B0495AB">
            <w:pPr>
              <w:spacing w:line="440" w:lineRule="exact"/>
              <w:rPr>
                <w:rFonts w:hint="eastAsia" w:ascii="宋体" w:hAnsi="宋体"/>
                <w:color w:val="auto"/>
                <w:szCs w:val="21"/>
                <w:highlight w:val="none"/>
              </w:rPr>
            </w:pPr>
            <w:r>
              <w:rPr>
                <w:rFonts w:hint="eastAsia" w:ascii="宋体" w:hAnsi="宋体"/>
                <w:color w:val="auto"/>
                <w:szCs w:val="21"/>
                <w:highlight w:val="none"/>
              </w:rPr>
              <w:t>23</w:t>
            </w:r>
          </w:p>
        </w:tc>
        <w:tc>
          <w:tcPr>
            <w:tcW w:w="2071" w:type="dxa"/>
            <w:tcBorders>
              <w:top w:val="single" w:color="auto" w:sz="4" w:space="0"/>
              <w:left w:val="single" w:color="auto" w:sz="4" w:space="0"/>
              <w:bottom w:val="single" w:color="auto" w:sz="4" w:space="0"/>
              <w:right w:val="single" w:color="auto" w:sz="4" w:space="0"/>
            </w:tcBorders>
            <w:vAlign w:val="center"/>
          </w:tcPr>
          <w:p w14:paraId="1EC423E0">
            <w:pPr>
              <w:spacing w:line="440" w:lineRule="exact"/>
              <w:rPr>
                <w:rFonts w:hint="eastAsia" w:ascii="宋体" w:hAnsi="宋体"/>
                <w:color w:val="auto"/>
                <w:szCs w:val="21"/>
                <w:highlight w:val="none"/>
              </w:rPr>
            </w:pPr>
            <w:r>
              <w:rPr>
                <w:rFonts w:hint="eastAsia" w:ascii="宋体" w:hAnsi="宋体"/>
                <w:color w:val="auto"/>
                <w:szCs w:val="21"/>
                <w:highlight w:val="none"/>
              </w:rPr>
              <w:t>开标时间、地点</w:t>
            </w:r>
          </w:p>
        </w:tc>
        <w:tc>
          <w:tcPr>
            <w:tcW w:w="6719" w:type="dxa"/>
            <w:tcBorders>
              <w:top w:val="single" w:color="auto" w:sz="4" w:space="0"/>
              <w:left w:val="single" w:color="auto" w:sz="4" w:space="0"/>
              <w:bottom w:val="single" w:color="auto" w:sz="4" w:space="0"/>
              <w:right w:val="single" w:color="auto" w:sz="4" w:space="0"/>
            </w:tcBorders>
            <w:vAlign w:val="center"/>
          </w:tcPr>
          <w:p w14:paraId="0CD2CD93">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 xml:space="preserve">详见招标公告 </w:t>
            </w:r>
          </w:p>
        </w:tc>
      </w:tr>
      <w:tr w14:paraId="7991F0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872" w:type="dxa"/>
            <w:vMerge w:val="restart"/>
            <w:tcBorders>
              <w:top w:val="single" w:color="auto" w:sz="4" w:space="0"/>
              <w:left w:val="single" w:color="auto" w:sz="4" w:space="0"/>
              <w:bottom w:val="single" w:color="auto" w:sz="4" w:space="0"/>
              <w:right w:val="single" w:color="auto" w:sz="4" w:space="0"/>
            </w:tcBorders>
            <w:vAlign w:val="center"/>
          </w:tcPr>
          <w:p w14:paraId="76469AB2">
            <w:pPr>
              <w:spacing w:line="440" w:lineRule="exact"/>
              <w:rPr>
                <w:rFonts w:hint="eastAsia" w:ascii="宋体" w:hAnsi="宋体"/>
                <w:color w:val="auto"/>
                <w:szCs w:val="21"/>
                <w:highlight w:val="none"/>
              </w:rPr>
            </w:pPr>
            <w:r>
              <w:rPr>
                <w:rFonts w:hint="eastAsia" w:ascii="宋体" w:hAnsi="宋体"/>
                <w:color w:val="auto"/>
                <w:szCs w:val="21"/>
                <w:highlight w:val="none"/>
              </w:rPr>
              <w:t>25.3（2）</w:t>
            </w:r>
          </w:p>
        </w:tc>
        <w:tc>
          <w:tcPr>
            <w:tcW w:w="2071" w:type="dxa"/>
            <w:tcBorders>
              <w:top w:val="single" w:color="auto" w:sz="4" w:space="0"/>
              <w:left w:val="single" w:color="auto" w:sz="4" w:space="0"/>
              <w:bottom w:val="single" w:color="auto" w:sz="4" w:space="0"/>
              <w:right w:val="single" w:color="auto" w:sz="4" w:space="0"/>
            </w:tcBorders>
            <w:vAlign w:val="center"/>
          </w:tcPr>
          <w:p w14:paraId="2D63A8F4">
            <w:pPr>
              <w:spacing w:line="440" w:lineRule="exact"/>
              <w:rPr>
                <w:rFonts w:hint="eastAsia" w:ascii="宋体" w:hAnsi="宋体"/>
                <w:color w:val="auto"/>
                <w:szCs w:val="21"/>
                <w:highlight w:val="none"/>
              </w:rPr>
            </w:pPr>
            <w:r>
              <w:rPr>
                <w:rFonts w:hint="eastAsia" w:ascii="宋体" w:hAnsi="宋体"/>
                <w:color w:val="auto"/>
                <w:szCs w:val="21"/>
                <w:highlight w:val="none"/>
              </w:rPr>
              <w:t>投标人信用查询渠道</w:t>
            </w:r>
          </w:p>
        </w:tc>
        <w:tc>
          <w:tcPr>
            <w:tcW w:w="6719" w:type="dxa"/>
            <w:tcBorders>
              <w:top w:val="single" w:color="auto" w:sz="4" w:space="0"/>
              <w:left w:val="single" w:color="auto" w:sz="4" w:space="0"/>
              <w:bottom w:val="single" w:color="auto" w:sz="4" w:space="0"/>
              <w:right w:val="single" w:color="auto" w:sz="4" w:space="0"/>
            </w:tcBorders>
            <w:vAlign w:val="center"/>
          </w:tcPr>
          <w:p w14:paraId="1B482ECE">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采购人或者采购代理机构在资格审查结束前，对投标人进行信用查询。</w:t>
            </w:r>
          </w:p>
          <w:p w14:paraId="61268634">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查询渠道：“信用中国”网站(www.creditchina.gov.cn) 、中国政府采购网(www.ccgp.gov.cn)。</w:t>
            </w:r>
          </w:p>
        </w:tc>
      </w:tr>
      <w:tr w14:paraId="248BB6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1FC82E7F">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2D539022">
            <w:pPr>
              <w:spacing w:line="440" w:lineRule="exact"/>
              <w:rPr>
                <w:rFonts w:hint="eastAsia" w:ascii="宋体" w:hAnsi="宋体"/>
                <w:color w:val="auto"/>
                <w:szCs w:val="21"/>
                <w:highlight w:val="none"/>
              </w:rPr>
            </w:pPr>
            <w:r>
              <w:rPr>
                <w:rFonts w:hint="eastAsia" w:ascii="宋体" w:hAnsi="宋体"/>
                <w:color w:val="auto"/>
                <w:szCs w:val="21"/>
                <w:highlight w:val="none"/>
              </w:rPr>
              <w:t>信用查询截止时点</w:t>
            </w:r>
          </w:p>
        </w:tc>
        <w:tc>
          <w:tcPr>
            <w:tcW w:w="6719" w:type="dxa"/>
            <w:tcBorders>
              <w:top w:val="single" w:color="auto" w:sz="4" w:space="0"/>
              <w:left w:val="single" w:color="auto" w:sz="4" w:space="0"/>
              <w:bottom w:val="single" w:color="auto" w:sz="4" w:space="0"/>
              <w:right w:val="single" w:color="auto" w:sz="4" w:space="0"/>
            </w:tcBorders>
            <w:vAlign w:val="center"/>
          </w:tcPr>
          <w:p w14:paraId="43955718">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资格审查结束前</w:t>
            </w:r>
          </w:p>
        </w:tc>
      </w:tr>
      <w:tr w14:paraId="1F89A8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42895B2B">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964C361">
            <w:pPr>
              <w:spacing w:line="440" w:lineRule="exact"/>
              <w:rPr>
                <w:rFonts w:hint="eastAsia" w:ascii="宋体" w:hAnsi="宋体"/>
                <w:color w:val="auto"/>
                <w:szCs w:val="21"/>
                <w:highlight w:val="none"/>
              </w:rPr>
            </w:pPr>
            <w:r>
              <w:rPr>
                <w:rFonts w:hint="eastAsia" w:ascii="宋体" w:hAnsi="宋体"/>
                <w:color w:val="auto"/>
                <w:szCs w:val="21"/>
                <w:highlight w:val="none"/>
              </w:rPr>
              <w:t>查询记录和证据留存方式</w:t>
            </w:r>
          </w:p>
        </w:tc>
        <w:tc>
          <w:tcPr>
            <w:tcW w:w="6719" w:type="dxa"/>
            <w:tcBorders>
              <w:top w:val="single" w:color="auto" w:sz="4" w:space="0"/>
              <w:left w:val="single" w:color="auto" w:sz="4" w:space="0"/>
              <w:bottom w:val="single" w:color="auto" w:sz="4" w:space="0"/>
              <w:right w:val="single" w:color="auto" w:sz="4" w:space="0"/>
            </w:tcBorders>
            <w:vAlign w:val="center"/>
          </w:tcPr>
          <w:p w14:paraId="43940814">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在查询网站中直接截图查询记录，截图作为在“广西政府采购云”平台作为附件上传保存。</w:t>
            </w:r>
          </w:p>
        </w:tc>
      </w:tr>
      <w:tr w14:paraId="1E1FE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32FD1BCE">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7953B34A">
            <w:pPr>
              <w:spacing w:line="440" w:lineRule="exact"/>
              <w:rPr>
                <w:rFonts w:hint="eastAsia" w:ascii="宋体" w:hAnsi="宋体"/>
                <w:color w:val="auto"/>
                <w:szCs w:val="21"/>
                <w:highlight w:val="none"/>
              </w:rPr>
            </w:pPr>
            <w:r>
              <w:rPr>
                <w:rFonts w:hint="eastAsia" w:ascii="宋体" w:hAnsi="宋体"/>
                <w:color w:val="auto"/>
                <w:szCs w:val="21"/>
                <w:highlight w:val="none"/>
              </w:rPr>
              <w:t>信用信息使用规则</w:t>
            </w:r>
          </w:p>
        </w:tc>
        <w:tc>
          <w:tcPr>
            <w:tcW w:w="6719" w:type="dxa"/>
            <w:tcBorders>
              <w:top w:val="single" w:color="auto" w:sz="4" w:space="0"/>
              <w:left w:val="single" w:color="auto" w:sz="4" w:space="0"/>
              <w:bottom w:val="single" w:color="auto" w:sz="4" w:space="0"/>
              <w:right w:val="single" w:color="auto" w:sz="4" w:space="0"/>
            </w:tcBorders>
            <w:vAlign w:val="center"/>
          </w:tcPr>
          <w:p w14:paraId="650221AA">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w:t>
            </w:r>
            <w:r>
              <w:rPr>
                <w:rFonts w:hint="eastAsia"/>
                <w:color w:val="auto"/>
                <w:sz w:val="22"/>
                <w:szCs w:val="22"/>
                <w:highlight w:val="none"/>
              </w:rPr>
              <w:t>应当拒绝其参与政府采购活动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220C3E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0D9740D7">
            <w:pPr>
              <w:spacing w:line="440" w:lineRule="exact"/>
              <w:rPr>
                <w:rFonts w:hint="eastAsia" w:ascii="宋体" w:hAnsi="宋体"/>
                <w:color w:val="auto"/>
                <w:szCs w:val="21"/>
                <w:highlight w:val="none"/>
              </w:rPr>
            </w:pPr>
            <w:r>
              <w:rPr>
                <w:rFonts w:hint="eastAsia" w:ascii="宋体" w:hAnsi="宋体"/>
                <w:color w:val="auto"/>
                <w:szCs w:val="21"/>
                <w:highlight w:val="none"/>
              </w:rPr>
              <w:t>29.1</w:t>
            </w:r>
          </w:p>
        </w:tc>
        <w:tc>
          <w:tcPr>
            <w:tcW w:w="2071" w:type="dxa"/>
            <w:tcBorders>
              <w:top w:val="single" w:color="auto" w:sz="4" w:space="0"/>
              <w:left w:val="single" w:color="auto" w:sz="4" w:space="0"/>
              <w:bottom w:val="single" w:color="auto" w:sz="4" w:space="0"/>
              <w:right w:val="single" w:color="auto" w:sz="4" w:space="0"/>
            </w:tcBorders>
            <w:vAlign w:val="center"/>
          </w:tcPr>
          <w:p w14:paraId="49C4EEF5">
            <w:pPr>
              <w:spacing w:line="440" w:lineRule="exact"/>
              <w:rPr>
                <w:rFonts w:hint="eastAsia" w:ascii="宋体" w:hAnsi="宋体"/>
                <w:color w:val="auto"/>
                <w:szCs w:val="21"/>
                <w:highlight w:val="none"/>
              </w:rPr>
            </w:pPr>
            <w:r>
              <w:rPr>
                <w:rFonts w:hint="eastAsia" w:ascii="宋体" w:hAnsi="宋体"/>
                <w:color w:val="auto"/>
                <w:szCs w:val="21"/>
                <w:highlight w:val="none"/>
              </w:rPr>
              <w:t>评标方法</w:t>
            </w:r>
          </w:p>
        </w:tc>
        <w:tc>
          <w:tcPr>
            <w:tcW w:w="6719" w:type="dxa"/>
            <w:tcBorders>
              <w:top w:val="single" w:color="auto" w:sz="4" w:space="0"/>
              <w:left w:val="single" w:color="auto" w:sz="4" w:space="0"/>
              <w:bottom w:val="single" w:color="auto" w:sz="4" w:space="0"/>
              <w:right w:val="single" w:color="auto" w:sz="4" w:space="0"/>
            </w:tcBorders>
            <w:vAlign w:val="center"/>
          </w:tcPr>
          <w:p w14:paraId="161A0EE8">
            <w:pPr>
              <w:autoSpaceDE w:val="0"/>
              <w:autoSpaceDN w:val="0"/>
              <w:snapToGrid w:val="0"/>
              <w:spacing w:line="440" w:lineRule="exact"/>
              <w:textAlignment w:val="bottom"/>
              <w:rPr>
                <w:rFonts w:hint="eastAsia" w:ascii="宋体" w:hAnsi="宋体"/>
                <w:color w:val="auto"/>
                <w:szCs w:val="21"/>
                <w:highlight w:val="none"/>
              </w:rPr>
            </w:pPr>
            <w:r>
              <w:rPr>
                <w:rFonts w:hint="eastAsia" w:ascii="Ms" w:hAnsi="Ms" w:eastAsia="Ms" w:cs="Ms"/>
                <w:color w:val="auto"/>
                <w:szCs w:val="21"/>
                <w:highlight w:val="none"/>
              </w:rPr>
              <w:t>☑</w:t>
            </w:r>
            <w:r>
              <w:rPr>
                <w:rFonts w:hint="eastAsia" w:ascii="宋体" w:hAnsi="宋体"/>
                <w:color w:val="auto"/>
                <w:szCs w:val="21"/>
                <w:highlight w:val="none"/>
              </w:rPr>
              <w:t>综合评分法</w:t>
            </w:r>
          </w:p>
          <w:p w14:paraId="29802F34">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□最低评标价法</w:t>
            </w:r>
          </w:p>
        </w:tc>
      </w:tr>
      <w:tr w14:paraId="079C1B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03EFE2E8">
            <w:pPr>
              <w:spacing w:line="400" w:lineRule="exact"/>
              <w:rPr>
                <w:rFonts w:hint="eastAsia" w:ascii="宋体" w:hAnsi="宋体"/>
                <w:color w:val="auto"/>
                <w:szCs w:val="21"/>
                <w:highlight w:val="none"/>
              </w:rPr>
            </w:pPr>
            <w:r>
              <w:rPr>
                <w:rFonts w:hint="eastAsia" w:ascii="宋体" w:hAnsi="宋体"/>
                <w:color w:val="auto"/>
                <w:szCs w:val="21"/>
                <w:highlight w:val="none"/>
              </w:rPr>
              <w:t>29</w:t>
            </w:r>
            <w:r>
              <w:rPr>
                <w:rFonts w:ascii="宋体" w:hAnsi="宋体"/>
                <w:color w:val="auto"/>
                <w:szCs w:val="21"/>
                <w:highlight w:val="none"/>
              </w:rPr>
              <w:t>.2</w:t>
            </w:r>
          </w:p>
        </w:tc>
        <w:tc>
          <w:tcPr>
            <w:tcW w:w="2071" w:type="dxa"/>
            <w:tcBorders>
              <w:top w:val="single" w:color="auto" w:sz="4" w:space="0"/>
              <w:left w:val="single" w:color="auto" w:sz="4" w:space="0"/>
              <w:bottom w:val="single" w:color="auto" w:sz="4" w:space="0"/>
              <w:right w:val="single" w:color="auto" w:sz="4" w:space="0"/>
            </w:tcBorders>
            <w:vAlign w:val="center"/>
          </w:tcPr>
          <w:p w14:paraId="60AF96DD">
            <w:pPr>
              <w:spacing w:line="400" w:lineRule="exact"/>
              <w:rPr>
                <w:rFonts w:hint="eastAsia" w:ascii="宋体" w:hAnsi="宋体"/>
                <w:color w:val="auto"/>
                <w:szCs w:val="21"/>
                <w:highlight w:val="none"/>
              </w:rPr>
            </w:pPr>
            <w:r>
              <w:rPr>
                <w:rFonts w:hint="eastAsia" w:ascii="宋体" w:hAnsi="宋体"/>
                <w:color w:val="auto"/>
                <w:szCs w:val="21"/>
                <w:highlight w:val="none"/>
              </w:rPr>
              <w:t>允许负偏离项</w:t>
            </w:r>
          </w:p>
        </w:tc>
        <w:tc>
          <w:tcPr>
            <w:tcW w:w="6719" w:type="dxa"/>
            <w:tcBorders>
              <w:top w:val="single" w:color="auto" w:sz="4" w:space="0"/>
              <w:left w:val="single" w:color="auto" w:sz="4" w:space="0"/>
              <w:bottom w:val="single" w:color="auto" w:sz="4" w:space="0"/>
              <w:right w:val="single" w:color="auto" w:sz="4" w:space="0"/>
            </w:tcBorders>
            <w:vAlign w:val="center"/>
          </w:tcPr>
          <w:p w14:paraId="378A01BE">
            <w:pPr>
              <w:snapToGrid w:val="0"/>
              <w:spacing w:line="380" w:lineRule="exact"/>
              <w:rPr>
                <w:rFonts w:hint="eastAsia" w:ascii="宋体" w:hAnsi="宋体"/>
                <w:color w:val="auto"/>
                <w:szCs w:val="21"/>
                <w:highlight w:val="none"/>
              </w:rPr>
            </w:pPr>
            <w:r>
              <w:rPr>
                <w:rFonts w:hint="eastAsia" w:ascii="宋体" w:hAnsi="宋体" w:cs="宋体"/>
                <w:color w:val="auto"/>
                <w:szCs w:val="21"/>
                <w:highlight w:val="none"/>
              </w:rPr>
              <w:t>商务条款</w:t>
            </w:r>
            <w:r>
              <w:rPr>
                <w:rFonts w:hint="eastAsia" w:ascii="宋体" w:hAnsi="宋体"/>
                <w:color w:val="auto"/>
                <w:szCs w:val="21"/>
                <w:highlight w:val="none"/>
              </w:rPr>
              <w:t>评审中允许负偏离的条款数为</w:t>
            </w:r>
            <w:r>
              <w:rPr>
                <w:rFonts w:hint="eastAsia" w:ascii="宋体" w:hAnsi="宋体"/>
                <w:color w:val="auto"/>
                <w:szCs w:val="21"/>
                <w:highlight w:val="none"/>
                <w:u w:val="single"/>
              </w:rPr>
              <w:t xml:space="preserve"> 0</w:t>
            </w:r>
            <w:r>
              <w:rPr>
                <w:rFonts w:hint="eastAsia" w:ascii="宋体" w:hAnsi="宋体"/>
                <w:color w:val="auto"/>
                <w:szCs w:val="21"/>
                <w:highlight w:val="none"/>
              </w:rPr>
              <w:t>项。</w:t>
            </w:r>
          </w:p>
          <w:p w14:paraId="162F298D">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s="宋体"/>
                <w:color w:val="auto"/>
                <w:szCs w:val="21"/>
                <w:highlight w:val="none"/>
              </w:rPr>
              <w:t>技术需求</w:t>
            </w:r>
            <w:r>
              <w:rPr>
                <w:rFonts w:hint="eastAsia" w:ascii="宋体" w:hAnsi="宋体"/>
                <w:color w:val="auto"/>
                <w:szCs w:val="21"/>
                <w:highlight w:val="none"/>
              </w:rPr>
              <w:t>评审中允许负偏离的条款数为</w:t>
            </w:r>
            <w:r>
              <w:rPr>
                <w:rFonts w:hint="eastAsia" w:ascii="宋体" w:hAnsi="宋体"/>
                <w:color w:val="auto"/>
                <w:szCs w:val="21"/>
                <w:highlight w:val="none"/>
                <w:u w:val="single"/>
              </w:rPr>
              <w:t xml:space="preserve"> 0</w:t>
            </w:r>
            <w:r>
              <w:rPr>
                <w:rFonts w:hint="eastAsia" w:ascii="宋体" w:hAnsi="宋体"/>
                <w:color w:val="auto"/>
                <w:szCs w:val="21"/>
                <w:highlight w:val="none"/>
              </w:rPr>
              <w:t>项。</w:t>
            </w:r>
          </w:p>
        </w:tc>
      </w:tr>
      <w:tr w14:paraId="59943C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4B7725E5">
            <w:pPr>
              <w:spacing w:line="440" w:lineRule="exact"/>
              <w:rPr>
                <w:rFonts w:hint="eastAsia" w:ascii="宋体" w:hAnsi="宋体"/>
                <w:color w:val="auto"/>
                <w:szCs w:val="21"/>
                <w:highlight w:val="none"/>
              </w:rPr>
            </w:pPr>
            <w:r>
              <w:rPr>
                <w:rFonts w:hint="eastAsia" w:ascii="宋体" w:hAnsi="宋体"/>
                <w:color w:val="auto"/>
                <w:szCs w:val="21"/>
                <w:highlight w:val="none"/>
              </w:rPr>
              <w:t>30.1</w:t>
            </w:r>
          </w:p>
        </w:tc>
        <w:tc>
          <w:tcPr>
            <w:tcW w:w="2071" w:type="dxa"/>
            <w:tcBorders>
              <w:top w:val="single" w:color="auto" w:sz="4" w:space="0"/>
              <w:left w:val="single" w:color="auto" w:sz="4" w:space="0"/>
              <w:bottom w:val="single" w:color="auto" w:sz="4" w:space="0"/>
              <w:right w:val="single" w:color="auto" w:sz="4" w:space="0"/>
            </w:tcBorders>
            <w:vAlign w:val="center"/>
          </w:tcPr>
          <w:p w14:paraId="3E8A2CE4">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 xml:space="preserve">确定中标人时，出现中标候选人分数并列的情形，确定中标人方式 </w:t>
            </w:r>
          </w:p>
        </w:tc>
        <w:tc>
          <w:tcPr>
            <w:tcW w:w="6719" w:type="dxa"/>
            <w:tcBorders>
              <w:top w:val="single" w:color="auto" w:sz="4" w:space="0"/>
              <w:left w:val="single" w:color="auto" w:sz="4" w:space="0"/>
              <w:bottom w:val="single" w:color="auto" w:sz="4" w:space="0"/>
              <w:right w:val="single" w:color="auto" w:sz="4" w:space="0"/>
            </w:tcBorders>
            <w:vAlign w:val="center"/>
          </w:tcPr>
          <w:p w14:paraId="30284DAB">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 xml:space="preserve">□采用最低评标价法的，投标文件满足招标文件全部实质性要求且投标报价最低的投标人为排名第一的中标候选人； </w:t>
            </w:r>
          </w:p>
          <w:p w14:paraId="1DF9151A">
            <w:pPr>
              <w:autoSpaceDE w:val="0"/>
              <w:autoSpaceDN w:val="0"/>
              <w:snapToGrid w:val="0"/>
              <w:spacing w:line="440" w:lineRule="exact"/>
              <w:textAlignment w:val="bottom"/>
              <w:rPr>
                <w:rFonts w:hint="eastAsia" w:ascii="宋体" w:hAnsi="宋体"/>
                <w:b/>
                <w:color w:val="auto"/>
                <w:szCs w:val="21"/>
                <w:highlight w:val="none"/>
              </w:rPr>
            </w:pPr>
            <w:r>
              <w:rPr>
                <w:rFonts w:hint="eastAsia" w:ascii="Ms" w:hAnsi="Ms" w:eastAsia="Ms" w:cs="Ms"/>
                <w:color w:val="auto"/>
                <w:szCs w:val="21"/>
                <w:highlight w:val="none"/>
              </w:rPr>
              <w:t>☑</w:t>
            </w:r>
            <w:r>
              <w:rPr>
                <w:rFonts w:hint="eastAsia" w:ascii="宋体" w:hAnsi="宋体"/>
                <w:color w:val="auto"/>
                <w:szCs w:val="21"/>
                <w:highlight w:val="none"/>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517FD0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72" w:type="dxa"/>
            <w:tcBorders>
              <w:top w:val="single" w:color="auto" w:sz="4" w:space="0"/>
              <w:left w:val="single" w:color="auto" w:sz="4" w:space="0"/>
              <w:bottom w:val="single" w:color="auto" w:sz="4" w:space="0"/>
              <w:right w:val="single" w:color="auto" w:sz="4" w:space="0"/>
            </w:tcBorders>
            <w:vAlign w:val="center"/>
          </w:tcPr>
          <w:p w14:paraId="367894EA">
            <w:pPr>
              <w:spacing w:line="440" w:lineRule="exact"/>
              <w:rPr>
                <w:rFonts w:hint="eastAsia" w:ascii="宋体" w:hAnsi="宋体"/>
                <w:color w:val="auto"/>
                <w:szCs w:val="21"/>
                <w:highlight w:val="none"/>
              </w:rPr>
            </w:pPr>
            <w:r>
              <w:rPr>
                <w:rFonts w:hint="eastAsia" w:ascii="宋体" w:hAnsi="宋体"/>
                <w:color w:val="auto"/>
                <w:szCs w:val="21"/>
                <w:highlight w:val="none"/>
              </w:rPr>
              <w:t>35</w:t>
            </w:r>
          </w:p>
        </w:tc>
        <w:tc>
          <w:tcPr>
            <w:tcW w:w="2071" w:type="dxa"/>
            <w:tcBorders>
              <w:top w:val="single" w:color="auto" w:sz="4" w:space="0"/>
              <w:left w:val="single" w:color="auto" w:sz="4" w:space="0"/>
              <w:bottom w:val="single" w:color="auto" w:sz="4" w:space="0"/>
              <w:right w:val="single" w:color="auto" w:sz="4" w:space="0"/>
            </w:tcBorders>
            <w:vAlign w:val="center"/>
          </w:tcPr>
          <w:p w14:paraId="2C9585E0">
            <w:pPr>
              <w:spacing w:line="440" w:lineRule="exact"/>
              <w:rPr>
                <w:rFonts w:hint="eastAsia" w:ascii="宋体" w:hAnsi="宋体"/>
                <w:color w:val="auto"/>
                <w:szCs w:val="21"/>
                <w:highlight w:val="none"/>
              </w:rPr>
            </w:pPr>
            <w:r>
              <w:rPr>
                <w:rFonts w:hint="eastAsia" w:ascii="宋体" w:hAnsi="宋体"/>
                <w:color w:val="auto"/>
                <w:szCs w:val="21"/>
                <w:highlight w:val="none"/>
              </w:rPr>
              <w:t>履约保证金金额</w:t>
            </w:r>
          </w:p>
        </w:tc>
        <w:tc>
          <w:tcPr>
            <w:tcW w:w="6719" w:type="dxa"/>
            <w:tcBorders>
              <w:top w:val="single" w:color="auto" w:sz="4" w:space="0"/>
              <w:left w:val="single" w:color="auto" w:sz="4" w:space="0"/>
              <w:bottom w:val="single" w:color="auto" w:sz="4" w:space="0"/>
              <w:right w:val="single" w:color="auto" w:sz="4" w:space="0"/>
            </w:tcBorders>
            <w:vAlign w:val="bottom"/>
          </w:tcPr>
          <w:p w14:paraId="781EAB60">
            <w:pPr>
              <w:autoSpaceDE w:val="0"/>
              <w:autoSpaceDN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本项目收取履约保证金，具体规定如下：</w:t>
            </w:r>
          </w:p>
          <w:p w14:paraId="7C17B218">
            <w:pPr>
              <w:keepNext/>
              <w:keepLines/>
              <w:autoSpaceDE w:val="0"/>
              <w:autoSpaceDN w:val="0"/>
              <w:spacing w:line="360" w:lineRule="auto"/>
              <w:textAlignment w:val="bottom"/>
              <w:rPr>
                <w:rFonts w:hint="eastAsia" w:ascii="宋体" w:hAnsi="宋体" w:cs="宋体"/>
                <w:color w:val="auto"/>
                <w:szCs w:val="21"/>
                <w:highlight w:val="none"/>
                <w:u w:val="single"/>
              </w:rPr>
            </w:pPr>
            <w:r>
              <w:rPr>
                <w:rFonts w:hint="eastAsia" w:ascii="宋体" w:hAnsi="宋体" w:cs="宋体"/>
                <w:color w:val="auto"/>
                <w:szCs w:val="21"/>
                <w:highlight w:val="none"/>
              </w:rPr>
              <w:t>履约保证金金额：</w:t>
            </w:r>
            <w:r>
              <w:rPr>
                <w:rFonts w:hint="eastAsia" w:ascii="宋体" w:hAnsi="宋体" w:cs="宋体"/>
                <w:b/>
                <w:bCs/>
                <w:color w:val="auto"/>
                <w:szCs w:val="21"/>
                <w:highlight w:val="none"/>
                <w:u w:val="single"/>
                <w:lang w:eastAsia="zh-CN"/>
              </w:rPr>
              <w:t>无</w:t>
            </w:r>
            <w:r>
              <w:rPr>
                <w:rFonts w:hint="eastAsia" w:ascii="宋体" w:hAnsi="宋体" w:cs="宋体"/>
                <w:b/>
                <w:bCs/>
                <w:color w:val="auto"/>
                <w:szCs w:val="21"/>
                <w:highlight w:val="none"/>
                <w:u w:val="single"/>
              </w:rPr>
              <w:t>（</w:t>
            </w:r>
            <w:r>
              <w:rPr>
                <w:rFonts w:hint="eastAsia" w:ascii="仿宋" w:hAnsi="仿宋" w:eastAsia="仿宋" w:cs="仿宋"/>
                <w:b/>
                <w:bCs/>
                <w:color w:val="auto"/>
                <w:szCs w:val="21"/>
                <w:highlight w:val="none"/>
                <w:u w:val="single"/>
              </w:rPr>
              <w:t>若中标人为中型企业则收取2%保证金，若中标人为小微企业则免于收取履约保证金</w:t>
            </w:r>
            <w:r>
              <w:rPr>
                <w:rFonts w:hint="eastAsia" w:ascii="宋体" w:hAnsi="宋体" w:cs="宋体"/>
                <w:b/>
                <w:bCs/>
                <w:color w:val="auto"/>
                <w:szCs w:val="21"/>
                <w:highlight w:val="none"/>
                <w:u w:val="single"/>
              </w:rPr>
              <w:t>）</w:t>
            </w:r>
            <w:r>
              <w:rPr>
                <w:rFonts w:hint="eastAsia" w:ascii="宋体" w:hAnsi="宋体" w:cs="宋体"/>
                <w:b/>
                <w:bCs/>
                <w:color w:val="auto"/>
                <w:szCs w:val="21"/>
                <w:highlight w:val="none"/>
              </w:rPr>
              <w:t>。</w:t>
            </w:r>
          </w:p>
          <w:p w14:paraId="2C47D15A">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履约保证金提交方式：银行转账、支票、汇票、本票或者银行、保险机构出具的保函等非现金方式（参照竞标保证金）。</w:t>
            </w:r>
          </w:p>
          <w:p w14:paraId="493CCA31">
            <w:pPr>
              <w:spacing w:line="440" w:lineRule="exact"/>
              <w:contextualSpacing/>
              <w:rPr>
                <w:rFonts w:hint="eastAsia" w:ascii="宋体" w:hAnsi="宋体" w:cs="宋体"/>
                <w:color w:val="auto"/>
                <w:szCs w:val="21"/>
                <w:highlight w:val="none"/>
                <w:u w:val="single"/>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u w:val="single"/>
              </w:rPr>
              <w:t>项目履约完成后15个工作日内，采购人根据中标人提交的退还申请材料，将履约保证金无息返还中标人。</w:t>
            </w:r>
          </w:p>
          <w:p w14:paraId="1BC4A870">
            <w:pPr>
              <w:spacing w:line="440" w:lineRule="exact"/>
              <w:contextualSpacing/>
              <w:rPr>
                <w:rFonts w:hint="eastAsia" w:ascii="宋体" w:hAnsi="宋体" w:cs="宋体"/>
                <w:color w:val="auto"/>
                <w:szCs w:val="21"/>
                <w:highlight w:val="none"/>
                <w:u w:val="single"/>
              </w:rPr>
            </w:pPr>
            <w:r>
              <w:rPr>
                <w:rFonts w:hint="eastAsia" w:ascii="宋体" w:hAnsi="宋体" w:cs="宋体"/>
                <w:color w:val="auto"/>
                <w:szCs w:val="21"/>
                <w:highlight w:val="none"/>
              </w:rPr>
              <w:t>履约保证金指定账户：中标后采购人提供。</w:t>
            </w:r>
          </w:p>
          <w:p w14:paraId="41C4DD26">
            <w:pPr>
              <w:spacing w:line="440" w:lineRule="exact"/>
              <w:contextualSpacing/>
              <w:rPr>
                <w:rFonts w:hint="eastAsia" w:ascii="宋体" w:hAnsi="宋体" w:cs="宋体"/>
                <w:color w:val="auto"/>
                <w:szCs w:val="21"/>
                <w:highlight w:val="none"/>
              </w:rPr>
            </w:pPr>
            <w:r>
              <w:rPr>
                <w:rFonts w:hint="eastAsia" w:ascii="宋体" w:hAnsi="宋体" w:cs="宋体"/>
                <w:color w:val="auto"/>
                <w:szCs w:val="21"/>
                <w:highlight w:val="none"/>
              </w:rPr>
              <w:t>备注：</w:t>
            </w:r>
          </w:p>
          <w:p w14:paraId="174CD03A">
            <w:pPr>
              <w:spacing w:line="44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1</w:t>
            </w:r>
            <w:r>
              <w:rPr>
                <w:rFonts w:ascii="宋体" w:hAnsi="宋体" w:cs="宋体"/>
                <w:b/>
                <w:color w:val="auto"/>
                <w:szCs w:val="21"/>
                <w:highlight w:val="none"/>
              </w:rPr>
              <w:t>.</w:t>
            </w:r>
            <w:r>
              <w:rPr>
                <w:rFonts w:hint="eastAsia" w:ascii="宋体" w:hAnsi="宋体"/>
                <w:b/>
                <w:color w:val="auto"/>
                <w:szCs w:val="21"/>
                <w:highlight w:val="none"/>
              </w:rPr>
              <w:t xml:space="preserve"> </w:t>
            </w:r>
            <w:bookmarkStart w:id="9" w:name="_Hlk54170335"/>
            <w:r>
              <w:rPr>
                <w:rFonts w:hint="eastAsia" w:ascii="宋体" w:hAnsi="宋体"/>
                <w:b/>
                <w:color w:val="auto"/>
                <w:szCs w:val="21"/>
                <w:highlight w:val="none"/>
              </w:rPr>
              <w:t>根据《广西壮族自治区财政厅关于进一步发挥政府采购政策功能促进企业发展的通知》（桂财采〔2022〕30号）规定，采购文件要求中标或者成交供应商提交履约保证金的，履约保证金数额不得超过政府采购合同金额的5%，对中小企业收取的履约保证金数额不得超过政府采购合同金额的2%。</w:t>
            </w:r>
            <w:bookmarkEnd w:id="9"/>
          </w:p>
          <w:p w14:paraId="3DA28636">
            <w:pPr>
              <w:spacing w:line="440" w:lineRule="exact"/>
              <w:contextualSpacing/>
              <w:rPr>
                <w:rFonts w:hint="eastAsia" w:ascii="宋体" w:hAnsi="宋体" w:cs="宋体"/>
                <w:b/>
                <w:color w:val="auto"/>
                <w:szCs w:val="21"/>
                <w:highlight w:val="none"/>
              </w:rPr>
            </w:pPr>
            <w:r>
              <w:rPr>
                <w:rFonts w:hint="eastAsia" w:ascii="宋体" w:hAnsi="宋体" w:cs="宋体"/>
                <w:b/>
                <w:color w:val="auto"/>
                <w:szCs w:val="21"/>
                <w:highlight w:val="none"/>
              </w:rPr>
              <w:t>2</w:t>
            </w:r>
            <w:r>
              <w:rPr>
                <w:rFonts w:ascii="宋体" w:hAnsi="宋体" w:cs="宋体"/>
                <w:b/>
                <w:color w:val="auto"/>
                <w:szCs w:val="21"/>
                <w:highlight w:val="none"/>
              </w:rPr>
              <w:t>.</w:t>
            </w:r>
            <w:r>
              <w:rPr>
                <w:rFonts w:hint="eastAsia" w:ascii="宋体" w:hAnsi="宋体" w:cs="宋体"/>
                <w:b/>
                <w:color w:val="auto"/>
                <w:szCs w:val="21"/>
                <w:highlight w:val="none"/>
              </w:rPr>
              <w:t>履约保证金不足额缴纳的，或者银行、保险机构出具的保函额度不足的或者保函有效期低于合同履行期限（即签订采购合同之日起至履行完合同约定的权利及义务之日止）的，不予签订合同。</w:t>
            </w:r>
          </w:p>
          <w:p w14:paraId="62187847">
            <w:pPr>
              <w:spacing w:line="440" w:lineRule="exact"/>
              <w:contextualSpacing/>
              <w:rPr>
                <w:rFonts w:hint="eastAsia" w:ascii="宋体" w:hAnsi="宋体" w:cs="宋体"/>
                <w:b/>
                <w:color w:val="auto"/>
                <w:szCs w:val="21"/>
                <w:highlight w:val="none"/>
              </w:rPr>
            </w:pPr>
            <w:r>
              <w:rPr>
                <w:rFonts w:ascii="宋体" w:hAnsi="宋体" w:cs="宋体"/>
                <w:b/>
                <w:color w:val="auto"/>
                <w:szCs w:val="21"/>
                <w:highlight w:val="none"/>
              </w:rPr>
              <w:t>3.</w:t>
            </w:r>
            <w:r>
              <w:rPr>
                <w:rFonts w:hint="eastAsia" w:ascii="宋体" w:hAnsi="宋体" w:cs="宋体"/>
                <w:b/>
                <w:color w:val="auto"/>
                <w:szCs w:val="21"/>
                <w:highlight w:val="none"/>
              </w:rPr>
              <w:t>采用银行、保险机构出具的保函的，必须为无条件保函，否则不予签订合同。</w:t>
            </w:r>
          </w:p>
          <w:p w14:paraId="662EAC47">
            <w:pPr>
              <w:autoSpaceDE w:val="0"/>
              <w:autoSpaceDN w:val="0"/>
              <w:snapToGrid w:val="0"/>
              <w:spacing w:line="440" w:lineRule="exact"/>
              <w:jc w:val="left"/>
              <w:textAlignment w:val="bottom"/>
              <w:rPr>
                <w:rFonts w:hint="eastAsia" w:ascii="宋体" w:hAnsi="宋体"/>
                <w:color w:val="auto"/>
                <w:szCs w:val="21"/>
                <w:highlight w:val="none"/>
              </w:rPr>
            </w:pPr>
            <w:r>
              <w:rPr>
                <w:rFonts w:ascii="宋体" w:hAnsi="宋体" w:cs="宋体"/>
                <w:b/>
                <w:color w:val="auto"/>
                <w:szCs w:val="21"/>
                <w:highlight w:val="none"/>
              </w:rPr>
              <w:t>4.</w:t>
            </w:r>
            <w:r>
              <w:rPr>
                <w:rFonts w:hint="eastAsia" w:ascii="宋体" w:hAnsi="宋体" w:cs="宋体"/>
                <w:b/>
                <w:color w:val="auto"/>
                <w:szCs w:val="21"/>
                <w:highlight w:val="none"/>
              </w:rPr>
              <w:t>供应商为联合体的，由联合体任意一方按规定提交的履约保证金，视为有效履约保证金。</w:t>
            </w:r>
          </w:p>
        </w:tc>
      </w:tr>
      <w:tr w14:paraId="1DCA37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60B5AE45">
            <w:pPr>
              <w:spacing w:line="440" w:lineRule="exact"/>
              <w:rPr>
                <w:rFonts w:hint="eastAsia" w:ascii="宋体" w:hAnsi="宋体"/>
                <w:color w:val="auto"/>
                <w:szCs w:val="21"/>
                <w:highlight w:val="none"/>
              </w:rPr>
            </w:pPr>
            <w:r>
              <w:rPr>
                <w:rFonts w:hint="eastAsia" w:ascii="宋体" w:hAnsi="宋体"/>
                <w:color w:val="auto"/>
                <w:szCs w:val="21"/>
                <w:highlight w:val="none"/>
              </w:rPr>
              <w:t>36.1</w:t>
            </w:r>
          </w:p>
        </w:tc>
        <w:tc>
          <w:tcPr>
            <w:tcW w:w="2071" w:type="dxa"/>
            <w:tcBorders>
              <w:top w:val="single" w:color="auto" w:sz="4" w:space="0"/>
              <w:left w:val="single" w:color="auto" w:sz="4" w:space="0"/>
              <w:bottom w:val="single" w:color="auto" w:sz="4" w:space="0"/>
              <w:right w:val="single" w:color="auto" w:sz="4" w:space="0"/>
            </w:tcBorders>
            <w:vAlign w:val="center"/>
          </w:tcPr>
          <w:p w14:paraId="2283ACA8">
            <w:pPr>
              <w:spacing w:line="440" w:lineRule="exact"/>
              <w:rPr>
                <w:rFonts w:hint="eastAsia" w:ascii="宋体" w:hAnsi="宋体"/>
                <w:color w:val="auto"/>
                <w:szCs w:val="21"/>
                <w:highlight w:val="none"/>
              </w:rPr>
            </w:pPr>
            <w:r>
              <w:rPr>
                <w:rFonts w:hint="eastAsia" w:ascii="宋体" w:hAnsi="宋体"/>
                <w:color w:val="auto"/>
                <w:szCs w:val="21"/>
                <w:highlight w:val="none"/>
              </w:rPr>
              <w:t>签订电子合同携带的材料</w:t>
            </w:r>
          </w:p>
        </w:tc>
        <w:tc>
          <w:tcPr>
            <w:tcW w:w="6719" w:type="dxa"/>
            <w:tcBorders>
              <w:top w:val="single" w:color="auto" w:sz="4" w:space="0"/>
              <w:left w:val="single" w:color="auto" w:sz="4" w:space="0"/>
              <w:bottom w:val="single" w:color="auto" w:sz="4" w:space="0"/>
              <w:right w:val="single" w:color="auto" w:sz="4" w:space="0"/>
            </w:tcBorders>
            <w:vAlign w:val="center"/>
          </w:tcPr>
          <w:p w14:paraId="6697423A">
            <w:pPr>
              <w:autoSpaceDE w:val="0"/>
              <w:autoSpaceDN w:val="0"/>
              <w:snapToGrid w:val="0"/>
              <w:spacing w:line="440" w:lineRule="exact"/>
              <w:textAlignment w:val="bottom"/>
              <w:rPr>
                <w:rFonts w:hint="eastAsia" w:ascii="宋体" w:hAnsi="宋体"/>
                <w:color w:val="auto"/>
                <w:szCs w:val="21"/>
                <w:highlight w:val="none"/>
              </w:rPr>
            </w:pPr>
            <w:r>
              <w:rPr>
                <w:rFonts w:hint="eastAsia" w:ascii="宋体" w:hAnsi="宋体"/>
                <w:color w:val="auto"/>
                <w:szCs w:val="21"/>
                <w:highlight w:val="none"/>
              </w:rPr>
              <w:t>电子采购合同需要供应商通过有效CA证书进行电子签署</w:t>
            </w:r>
          </w:p>
        </w:tc>
      </w:tr>
      <w:tr w14:paraId="1DF6C7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872" w:type="dxa"/>
            <w:vMerge w:val="restart"/>
            <w:tcBorders>
              <w:top w:val="single" w:color="auto" w:sz="4" w:space="0"/>
              <w:left w:val="single" w:color="auto" w:sz="4" w:space="0"/>
              <w:bottom w:val="single" w:color="auto" w:sz="4" w:space="0"/>
              <w:right w:val="single" w:color="auto" w:sz="4" w:space="0"/>
            </w:tcBorders>
            <w:vAlign w:val="center"/>
          </w:tcPr>
          <w:p w14:paraId="5495FC4E">
            <w:pPr>
              <w:spacing w:line="440" w:lineRule="exact"/>
              <w:rPr>
                <w:rFonts w:hint="eastAsia" w:ascii="宋体" w:hAnsi="宋体"/>
                <w:color w:val="auto"/>
                <w:szCs w:val="21"/>
                <w:highlight w:val="none"/>
              </w:rPr>
            </w:pPr>
            <w:r>
              <w:rPr>
                <w:rFonts w:hint="eastAsia" w:ascii="宋体" w:hAnsi="宋体"/>
                <w:color w:val="auto"/>
                <w:szCs w:val="21"/>
                <w:highlight w:val="none"/>
              </w:rPr>
              <w:t>38.2.1</w:t>
            </w:r>
          </w:p>
        </w:tc>
        <w:tc>
          <w:tcPr>
            <w:tcW w:w="2071" w:type="dxa"/>
            <w:tcBorders>
              <w:top w:val="single" w:color="auto" w:sz="4" w:space="0"/>
              <w:left w:val="single" w:color="auto" w:sz="4" w:space="0"/>
              <w:bottom w:val="single" w:color="auto" w:sz="4" w:space="0"/>
              <w:right w:val="single" w:color="auto" w:sz="4" w:space="0"/>
            </w:tcBorders>
            <w:vAlign w:val="center"/>
          </w:tcPr>
          <w:p w14:paraId="3348C377">
            <w:pPr>
              <w:spacing w:line="440" w:lineRule="exact"/>
              <w:rPr>
                <w:rFonts w:hint="eastAsia" w:ascii="宋体" w:hAnsi="宋体"/>
                <w:color w:val="auto"/>
                <w:szCs w:val="21"/>
                <w:highlight w:val="none"/>
              </w:rPr>
            </w:pPr>
            <w:r>
              <w:rPr>
                <w:rFonts w:hint="eastAsia" w:ascii="宋体" w:hAnsi="宋体"/>
                <w:color w:val="auto"/>
                <w:szCs w:val="21"/>
                <w:highlight w:val="none"/>
              </w:rPr>
              <w:t>接收质疑函方式</w:t>
            </w:r>
          </w:p>
        </w:tc>
        <w:tc>
          <w:tcPr>
            <w:tcW w:w="6719" w:type="dxa"/>
            <w:tcBorders>
              <w:top w:val="single" w:color="auto" w:sz="4" w:space="0"/>
              <w:left w:val="single" w:color="auto" w:sz="4" w:space="0"/>
              <w:bottom w:val="single" w:color="auto" w:sz="4" w:space="0"/>
              <w:right w:val="single" w:color="auto" w:sz="4" w:space="0"/>
            </w:tcBorders>
            <w:vAlign w:val="center"/>
          </w:tcPr>
          <w:p w14:paraId="54394D96">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以书面形式</w:t>
            </w:r>
          </w:p>
        </w:tc>
      </w:tr>
      <w:tr w14:paraId="36FDA7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6556AA07">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6FC6F31C">
            <w:pPr>
              <w:spacing w:line="440" w:lineRule="exact"/>
              <w:rPr>
                <w:rFonts w:hint="eastAsia" w:ascii="宋体" w:hAnsi="宋体"/>
                <w:color w:val="auto"/>
                <w:szCs w:val="21"/>
                <w:highlight w:val="none"/>
              </w:rPr>
            </w:pPr>
            <w:r>
              <w:rPr>
                <w:rFonts w:hint="eastAsia" w:ascii="宋体" w:hAnsi="宋体"/>
                <w:color w:val="auto"/>
                <w:szCs w:val="21"/>
                <w:highlight w:val="none"/>
              </w:rPr>
              <w:t>质疑联系部门及联系方式</w:t>
            </w:r>
          </w:p>
        </w:tc>
        <w:tc>
          <w:tcPr>
            <w:tcW w:w="6719" w:type="dxa"/>
            <w:tcBorders>
              <w:top w:val="single" w:color="auto" w:sz="4" w:space="0"/>
              <w:left w:val="single" w:color="auto" w:sz="4" w:space="0"/>
              <w:bottom w:val="single" w:color="auto" w:sz="4" w:space="0"/>
              <w:right w:val="single" w:color="auto" w:sz="4" w:space="0"/>
            </w:tcBorders>
            <w:vAlign w:val="center"/>
          </w:tcPr>
          <w:p w14:paraId="16C7E891">
            <w:pPr>
              <w:snapToGrid w:val="0"/>
              <w:spacing w:line="440" w:lineRule="exact"/>
              <w:rPr>
                <w:rFonts w:hint="eastAsia" w:ascii="宋体" w:hAnsi="宋体"/>
                <w:color w:val="auto"/>
                <w:szCs w:val="21"/>
                <w:highlight w:val="none"/>
              </w:rPr>
            </w:pPr>
            <w:r>
              <w:rPr>
                <w:rFonts w:hint="eastAsia" w:ascii="宋体" w:hAnsi="宋体"/>
                <w:color w:val="auto"/>
                <w:szCs w:val="21"/>
                <w:highlight w:val="none"/>
                <w:u w:val="single"/>
              </w:rPr>
              <w:t xml:space="preserve">（1）广西翔正项目管理有限公司 </w:t>
            </w:r>
            <w:r>
              <w:rPr>
                <w:rFonts w:hint="eastAsia" w:ascii="宋体" w:hAnsi="宋体"/>
                <w:color w:val="auto"/>
                <w:szCs w:val="21"/>
                <w:highlight w:val="none"/>
              </w:rPr>
              <w:t>；</w:t>
            </w:r>
          </w:p>
          <w:p w14:paraId="24981828">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single"/>
              </w:rPr>
              <w:t>0771-</w:t>
            </w:r>
            <w:r>
              <w:rPr>
                <w:rFonts w:hint="eastAsia" w:ascii="宋体" w:hAnsi="宋体"/>
                <w:color w:val="auto"/>
                <w:szCs w:val="21"/>
                <w:highlight w:val="none"/>
                <w:u w:val="single"/>
                <w:lang w:val="en-US" w:eastAsia="zh-CN"/>
              </w:rPr>
              <w:t>5660405</w:t>
            </w:r>
            <w:r>
              <w:rPr>
                <w:rFonts w:hint="eastAsia" w:ascii="宋体" w:hAnsi="宋体"/>
                <w:color w:val="auto"/>
                <w:szCs w:val="21"/>
                <w:highlight w:val="none"/>
              </w:rPr>
              <w:t>，</w:t>
            </w:r>
          </w:p>
          <w:p w14:paraId="4CC2BC72">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通讯地址</w:t>
            </w:r>
            <w:r>
              <w:rPr>
                <w:rFonts w:hint="eastAsia" w:ascii="宋体" w:hAnsi="宋体" w:cs="Miss Sweetie"/>
                <w:color w:val="auto"/>
                <w:szCs w:val="21"/>
                <w:highlight w:val="none"/>
              </w:rPr>
              <w:t>：</w:t>
            </w:r>
            <w:r>
              <w:rPr>
                <w:rFonts w:hint="eastAsia" w:ascii="宋体" w:hAnsi="宋体"/>
                <w:color w:val="auto"/>
                <w:szCs w:val="21"/>
                <w:highlight w:val="none"/>
                <w:u w:val="single"/>
              </w:rPr>
              <w:t>南宁市兴宁区秀厢大道199号金源城（建兴路）金源CBD东城25楼</w:t>
            </w:r>
          </w:p>
          <w:p w14:paraId="561A21F5">
            <w:pPr>
              <w:snapToGrid w:val="0"/>
              <w:spacing w:line="440" w:lineRule="exact"/>
              <w:rPr>
                <w:rFonts w:hint="eastAsia" w:ascii="宋体" w:hAnsi="宋体"/>
                <w:color w:val="auto"/>
                <w:szCs w:val="21"/>
                <w:highlight w:val="none"/>
              </w:rPr>
            </w:pPr>
            <w:r>
              <w:rPr>
                <w:rFonts w:hint="eastAsia" w:ascii="宋体" w:hAnsi="宋体"/>
                <w:color w:val="auto"/>
                <w:szCs w:val="21"/>
                <w:highlight w:val="none"/>
                <w:u w:val="single"/>
              </w:rPr>
              <w:t>（2）</w:t>
            </w:r>
            <w:r>
              <w:rPr>
                <w:rFonts w:hint="eastAsia" w:ascii="宋体" w:hAnsi="宋体"/>
                <w:color w:val="auto"/>
                <w:szCs w:val="21"/>
                <w:highlight w:val="none"/>
                <w:u w:val="single"/>
                <w:lang w:eastAsia="zh-CN"/>
              </w:rPr>
              <w:t xml:space="preserve">广西壮族自治区大数据发展局  </w:t>
            </w:r>
            <w:r>
              <w:rPr>
                <w:rFonts w:hint="eastAsia" w:ascii="宋体" w:hAnsi="宋体"/>
                <w:color w:val="auto"/>
                <w:szCs w:val="21"/>
                <w:highlight w:val="none"/>
              </w:rPr>
              <w:t>；</w:t>
            </w:r>
          </w:p>
          <w:p w14:paraId="4808E293">
            <w:pPr>
              <w:snapToGrid w:val="0"/>
              <w:spacing w:line="440" w:lineRule="exact"/>
              <w:rPr>
                <w:rFonts w:hint="default" w:ascii="宋体" w:hAnsi="宋体" w:eastAsia="宋体"/>
                <w:color w:val="auto"/>
                <w:szCs w:val="21"/>
                <w:highlight w:val="none"/>
                <w:lang w:val="en-US" w:eastAsia="zh-CN"/>
              </w:rPr>
            </w:pPr>
            <w:r>
              <w:rPr>
                <w:rFonts w:hint="eastAsia" w:ascii="宋体" w:hAnsi="宋体"/>
                <w:color w:val="auto"/>
                <w:szCs w:val="21"/>
                <w:highlight w:val="none"/>
              </w:rPr>
              <w:t>联系电话：</w:t>
            </w:r>
            <w:r>
              <w:rPr>
                <w:rFonts w:hint="eastAsia" w:ascii="宋体" w:hAnsi="宋体" w:cs="宋体"/>
                <w:color w:val="auto"/>
                <w:szCs w:val="21"/>
                <w:highlight w:val="none"/>
                <w:u w:val="single"/>
              </w:rPr>
              <w:t>0771-</w:t>
            </w:r>
            <w:r>
              <w:rPr>
                <w:rFonts w:hint="eastAsia" w:ascii="宋体" w:hAnsi="宋体" w:cs="宋体"/>
                <w:color w:val="auto"/>
                <w:szCs w:val="21"/>
                <w:highlight w:val="none"/>
                <w:u w:val="single"/>
                <w:lang w:val="en-US" w:eastAsia="zh-CN"/>
              </w:rPr>
              <w:t>6116961</w:t>
            </w:r>
          </w:p>
          <w:p w14:paraId="463BB4B0">
            <w:pPr>
              <w:spacing w:line="360" w:lineRule="auto"/>
              <w:rPr>
                <w:rFonts w:hint="eastAsia" w:ascii="宋体" w:hAnsi="宋体"/>
                <w:color w:val="auto"/>
                <w:szCs w:val="21"/>
                <w:highlight w:val="none"/>
              </w:rPr>
            </w:pPr>
            <w:r>
              <w:rPr>
                <w:rFonts w:hint="eastAsia" w:ascii="宋体" w:hAnsi="宋体"/>
                <w:color w:val="auto"/>
                <w:szCs w:val="21"/>
                <w:highlight w:val="none"/>
              </w:rPr>
              <w:t>通讯地址</w:t>
            </w:r>
            <w:r>
              <w:rPr>
                <w:rFonts w:hint="eastAsia" w:ascii="宋体" w:hAnsi="宋体" w:cs="Miss Sweetie"/>
                <w:color w:val="auto"/>
                <w:szCs w:val="21"/>
                <w:highlight w:val="none"/>
              </w:rPr>
              <w:t>：</w:t>
            </w:r>
            <w:r>
              <w:rPr>
                <w:rFonts w:hint="eastAsia" w:ascii="宋体" w:hAnsi="宋体" w:eastAsia="宋体" w:cs="宋体"/>
                <w:color w:val="auto"/>
                <w:szCs w:val="21"/>
                <w:highlight w:val="none"/>
                <w:u w:val="single"/>
              </w:rPr>
              <w:t>南宁市良庆区体强路18号</w:t>
            </w:r>
            <w:r>
              <w:rPr>
                <w:rFonts w:hint="eastAsia" w:ascii="宋体" w:hAnsi="宋体" w:cs="宋体"/>
                <w:color w:val="auto"/>
                <w:szCs w:val="21"/>
                <w:highlight w:val="none"/>
              </w:rPr>
              <w:t>。</w:t>
            </w:r>
          </w:p>
        </w:tc>
      </w:tr>
      <w:tr w14:paraId="54AD0A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0DAD704E">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89B5890">
            <w:pPr>
              <w:spacing w:line="440" w:lineRule="exact"/>
              <w:rPr>
                <w:rFonts w:hint="eastAsia" w:ascii="宋体" w:hAnsi="宋体"/>
                <w:color w:val="auto"/>
                <w:szCs w:val="21"/>
                <w:highlight w:val="none"/>
              </w:rPr>
            </w:pPr>
            <w:r>
              <w:rPr>
                <w:rFonts w:hint="eastAsia" w:hAnsi="宋体"/>
                <w:color w:val="auto"/>
                <w:highlight w:val="none"/>
              </w:rPr>
              <w:t>现场提交质疑办理业务时间</w:t>
            </w:r>
          </w:p>
        </w:tc>
        <w:tc>
          <w:tcPr>
            <w:tcW w:w="6719" w:type="dxa"/>
            <w:tcBorders>
              <w:top w:val="single" w:color="auto" w:sz="4" w:space="0"/>
              <w:left w:val="single" w:color="auto" w:sz="4" w:space="0"/>
              <w:bottom w:val="single" w:color="auto" w:sz="4" w:space="0"/>
              <w:right w:val="single" w:color="auto" w:sz="4" w:space="0"/>
            </w:tcBorders>
            <w:vAlign w:val="center"/>
          </w:tcPr>
          <w:p w14:paraId="7A63FB5A">
            <w:pPr>
              <w:snapToGrid w:val="0"/>
              <w:spacing w:line="440" w:lineRule="exact"/>
              <w:rPr>
                <w:rFonts w:hint="eastAsia" w:ascii="宋体" w:hAnsi="宋体"/>
                <w:color w:val="auto"/>
                <w:szCs w:val="21"/>
                <w:highlight w:val="none"/>
              </w:rPr>
            </w:pPr>
            <w:r>
              <w:rPr>
                <w:rFonts w:hint="eastAsia" w:hAnsi="宋体"/>
                <w:color w:val="auto"/>
                <w:highlight w:val="none"/>
              </w:rPr>
              <w:t>质疑期内每个工作日</w:t>
            </w:r>
            <w:r>
              <w:rPr>
                <w:rFonts w:ascii="Calibri" w:hAnsi="宋体"/>
                <w:color w:val="auto"/>
                <w:szCs w:val="22"/>
                <w:highlight w:val="none"/>
                <w:u w:val="single"/>
              </w:rPr>
              <w:t>9</w:t>
            </w:r>
            <w:r>
              <w:rPr>
                <w:rFonts w:hint="eastAsia" w:ascii="Calibri" w:hAnsi="宋体"/>
                <w:color w:val="auto"/>
                <w:szCs w:val="22"/>
                <w:highlight w:val="none"/>
              </w:rPr>
              <w:t>时</w:t>
            </w:r>
            <w:r>
              <w:rPr>
                <w:rFonts w:ascii="Calibri" w:hAnsi="宋体"/>
                <w:color w:val="auto"/>
                <w:szCs w:val="22"/>
                <w:highlight w:val="none"/>
                <w:u w:val="single"/>
              </w:rPr>
              <w:t>00</w:t>
            </w:r>
            <w:r>
              <w:rPr>
                <w:rFonts w:hint="eastAsia" w:ascii="Calibri" w:hAnsi="宋体"/>
                <w:color w:val="auto"/>
                <w:szCs w:val="22"/>
                <w:highlight w:val="none"/>
              </w:rPr>
              <w:t>分到</w:t>
            </w:r>
            <w:r>
              <w:rPr>
                <w:rFonts w:ascii="Calibri" w:hAnsi="宋体"/>
                <w:color w:val="auto"/>
                <w:szCs w:val="22"/>
                <w:highlight w:val="none"/>
                <w:u w:val="single"/>
              </w:rPr>
              <w:t>12</w:t>
            </w:r>
            <w:r>
              <w:rPr>
                <w:rFonts w:hint="eastAsia" w:ascii="Calibri" w:hAnsi="宋体"/>
                <w:color w:val="auto"/>
                <w:szCs w:val="22"/>
                <w:highlight w:val="none"/>
              </w:rPr>
              <w:t>时</w:t>
            </w:r>
            <w:r>
              <w:rPr>
                <w:rFonts w:ascii="Calibri" w:hAnsi="宋体"/>
                <w:color w:val="auto"/>
                <w:szCs w:val="22"/>
                <w:highlight w:val="none"/>
                <w:u w:val="single"/>
              </w:rPr>
              <w:t>00</w:t>
            </w:r>
            <w:r>
              <w:rPr>
                <w:rFonts w:hint="eastAsia" w:ascii="Calibri" w:hAnsi="宋体"/>
                <w:color w:val="auto"/>
                <w:szCs w:val="22"/>
                <w:highlight w:val="none"/>
              </w:rPr>
              <w:t>分，</w:t>
            </w:r>
            <w:r>
              <w:rPr>
                <w:rFonts w:ascii="Calibri" w:hAnsi="宋体"/>
                <w:color w:val="auto"/>
                <w:szCs w:val="22"/>
                <w:highlight w:val="none"/>
                <w:u w:val="single"/>
              </w:rPr>
              <w:t>13</w:t>
            </w:r>
            <w:r>
              <w:rPr>
                <w:rFonts w:hint="eastAsia" w:ascii="Calibri" w:hAnsi="宋体"/>
                <w:color w:val="auto"/>
                <w:szCs w:val="22"/>
                <w:highlight w:val="none"/>
              </w:rPr>
              <w:t>时</w:t>
            </w:r>
            <w:r>
              <w:rPr>
                <w:rFonts w:ascii="Calibri" w:hAnsi="宋体"/>
                <w:color w:val="auto"/>
                <w:szCs w:val="22"/>
                <w:highlight w:val="none"/>
                <w:u w:val="single"/>
              </w:rPr>
              <w:t>00</w:t>
            </w:r>
            <w:r>
              <w:rPr>
                <w:rFonts w:hint="eastAsia" w:ascii="Calibri" w:hAnsi="宋体"/>
                <w:color w:val="auto"/>
                <w:szCs w:val="22"/>
                <w:highlight w:val="none"/>
              </w:rPr>
              <w:t>分到</w:t>
            </w:r>
            <w:r>
              <w:rPr>
                <w:rFonts w:ascii="Calibri" w:hAnsi="宋体"/>
                <w:color w:val="auto"/>
                <w:szCs w:val="22"/>
                <w:highlight w:val="none"/>
                <w:u w:val="single"/>
              </w:rPr>
              <w:t>17</w:t>
            </w:r>
            <w:r>
              <w:rPr>
                <w:rFonts w:hint="eastAsia" w:ascii="Calibri" w:hAnsi="宋体"/>
                <w:color w:val="auto"/>
                <w:szCs w:val="22"/>
                <w:highlight w:val="none"/>
              </w:rPr>
              <w:t>时</w:t>
            </w:r>
            <w:r>
              <w:rPr>
                <w:rFonts w:ascii="Calibri" w:hAnsi="宋体"/>
                <w:color w:val="auto"/>
                <w:szCs w:val="22"/>
                <w:highlight w:val="none"/>
                <w:u w:val="single"/>
              </w:rPr>
              <w:t>00</w:t>
            </w:r>
            <w:r>
              <w:rPr>
                <w:rFonts w:hint="eastAsia" w:ascii="Calibri" w:hAnsi="宋体"/>
                <w:color w:val="auto"/>
                <w:szCs w:val="22"/>
                <w:highlight w:val="none"/>
              </w:rPr>
              <w:t>分</w:t>
            </w:r>
          </w:p>
        </w:tc>
      </w:tr>
      <w:tr w14:paraId="2DE7FE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872" w:type="dxa"/>
            <w:tcBorders>
              <w:top w:val="nil"/>
              <w:left w:val="single" w:color="auto" w:sz="4" w:space="0"/>
              <w:bottom w:val="single" w:color="auto" w:sz="4" w:space="0"/>
              <w:right w:val="single" w:color="auto" w:sz="4" w:space="0"/>
            </w:tcBorders>
            <w:vAlign w:val="center"/>
          </w:tcPr>
          <w:p w14:paraId="46FC56DB">
            <w:pPr>
              <w:spacing w:line="440" w:lineRule="exact"/>
              <w:rPr>
                <w:rFonts w:hint="eastAsia" w:ascii="宋体" w:hAnsi="宋体"/>
                <w:color w:val="auto"/>
                <w:szCs w:val="21"/>
                <w:highlight w:val="none"/>
              </w:rPr>
            </w:pPr>
            <w:r>
              <w:rPr>
                <w:rFonts w:hint="eastAsia" w:ascii="宋体" w:hAnsi="宋体"/>
                <w:color w:val="auto"/>
                <w:szCs w:val="21"/>
                <w:highlight w:val="none"/>
              </w:rPr>
              <w:t>38.3.1</w:t>
            </w:r>
          </w:p>
        </w:tc>
        <w:tc>
          <w:tcPr>
            <w:tcW w:w="2071" w:type="dxa"/>
            <w:tcBorders>
              <w:top w:val="single" w:color="auto" w:sz="4" w:space="0"/>
              <w:left w:val="single" w:color="auto" w:sz="4" w:space="0"/>
              <w:bottom w:val="single" w:color="auto" w:sz="4" w:space="0"/>
              <w:right w:val="single" w:color="auto" w:sz="4" w:space="0"/>
            </w:tcBorders>
            <w:vAlign w:val="center"/>
          </w:tcPr>
          <w:p w14:paraId="362BE355">
            <w:pPr>
              <w:spacing w:line="440" w:lineRule="exact"/>
              <w:rPr>
                <w:rFonts w:hint="eastAsia" w:hAnsi="宋体"/>
                <w:color w:val="auto"/>
                <w:highlight w:val="none"/>
              </w:rPr>
            </w:pPr>
            <w:r>
              <w:rPr>
                <w:rFonts w:hint="eastAsia" w:hAnsi="宋体"/>
                <w:color w:val="auto"/>
                <w:highlight w:val="none"/>
              </w:rPr>
              <w:t>投诉受理方式</w:t>
            </w:r>
          </w:p>
        </w:tc>
        <w:tc>
          <w:tcPr>
            <w:tcW w:w="6719" w:type="dxa"/>
            <w:tcBorders>
              <w:top w:val="single" w:color="auto" w:sz="4" w:space="0"/>
              <w:left w:val="single" w:color="auto" w:sz="4" w:space="0"/>
              <w:bottom w:val="single" w:color="auto" w:sz="4" w:space="0"/>
              <w:right w:val="single" w:color="auto" w:sz="4" w:space="0"/>
            </w:tcBorders>
            <w:vAlign w:val="center"/>
          </w:tcPr>
          <w:p w14:paraId="5DE3DA2A">
            <w:pPr>
              <w:snapToGrid w:val="0"/>
              <w:spacing w:line="400" w:lineRule="exact"/>
              <w:rPr>
                <w:rFonts w:hint="eastAsia" w:hAnsi="宋体"/>
                <w:color w:val="auto"/>
                <w:highlight w:val="none"/>
              </w:rPr>
            </w:pPr>
            <w:r>
              <w:rPr>
                <w:rFonts w:hAnsi="宋体"/>
                <w:color w:val="auto"/>
                <w:highlight w:val="none"/>
              </w:rPr>
              <w:t>1</w:t>
            </w:r>
            <w:r>
              <w:rPr>
                <w:rFonts w:hint="eastAsia" w:hAnsi="宋体"/>
                <w:color w:val="auto"/>
                <w:highlight w:val="none"/>
              </w:rPr>
              <w:t>、受理方式：纸质方式受理，投诉书正、副本（经过质疑的事项才可投诉）。</w:t>
            </w:r>
          </w:p>
          <w:p w14:paraId="7CAA36FF">
            <w:pPr>
              <w:snapToGrid w:val="0"/>
              <w:spacing w:line="400" w:lineRule="exact"/>
              <w:rPr>
                <w:rFonts w:hint="eastAsia" w:hAnsi="宋体"/>
                <w:color w:val="auto"/>
                <w:highlight w:val="none"/>
              </w:rPr>
            </w:pPr>
            <w:r>
              <w:rPr>
                <w:rFonts w:hAnsi="宋体"/>
                <w:color w:val="auto"/>
                <w:highlight w:val="none"/>
              </w:rPr>
              <w:t>2</w:t>
            </w:r>
            <w:r>
              <w:rPr>
                <w:rFonts w:hint="eastAsia" w:hAnsi="宋体"/>
                <w:color w:val="auto"/>
                <w:highlight w:val="none"/>
              </w:rPr>
              <w:t>、邮寄地址：</w:t>
            </w:r>
          </w:p>
          <w:p w14:paraId="0FCBF97C">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名称：广西壮族自治区财政厅政府采购监督管理处</w:t>
            </w:r>
          </w:p>
          <w:p w14:paraId="405DDA7E">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地址：南宁市青秀区桃源路69号</w:t>
            </w:r>
          </w:p>
          <w:p w14:paraId="43CE02EE">
            <w:pPr>
              <w:snapToGrid w:val="0"/>
              <w:spacing w:line="440" w:lineRule="exact"/>
              <w:rPr>
                <w:rFonts w:hint="eastAsia" w:hAnsi="宋体"/>
                <w:color w:val="auto"/>
                <w:highlight w:val="none"/>
              </w:rPr>
            </w:pPr>
            <w:r>
              <w:rPr>
                <w:rFonts w:hint="eastAsia" w:ascii="宋体" w:hAnsi="宋体" w:cs="宋体"/>
                <w:color w:val="auto"/>
                <w:szCs w:val="21"/>
                <w:highlight w:val="none"/>
              </w:rPr>
              <w:t>联系电话：0771-5331544</w:t>
            </w:r>
          </w:p>
        </w:tc>
      </w:tr>
      <w:tr w14:paraId="6FEC49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872" w:type="dxa"/>
            <w:vMerge w:val="restart"/>
            <w:tcBorders>
              <w:top w:val="single" w:color="auto" w:sz="4" w:space="0"/>
              <w:left w:val="single" w:color="auto" w:sz="4" w:space="0"/>
              <w:bottom w:val="single" w:color="auto" w:sz="4" w:space="0"/>
              <w:right w:val="single" w:color="auto" w:sz="4" w:space="0"/>
            </w:tcBorders>
            <w:vAlign w:val="center"/>
          </w:tcPr>
          <w:p w14:paraId="59C41ABF">
            <w:pPr>
              <w:spacing w:line="440" w:lineRule="exact"/>
              <w:rPr>
                <w:rFonts w:hint="eastAsia" w:ascii="宋体" w:hAnsi="宋体"/>
                <w:color w:val="auto"/>
                <w:szCs w:val="21"/>
                <w:highlight w:val="none"/>
              </w:rPr>
            </w:pPr>
            <w:r>
              <w:rPr>
                <w:rFonts w:hint="eastAsia" w:ascii="宋体" w:hAnsi="宋体"/>
                <w:color w:val="auto"/>
                <w:szCs w:val="21"/>
                <w:highlight w:val="none"/>
              </w:rPr>
              <w:t>40</w:t>
            </w:r>
          </w:p>
        </w:tc>
        <w:tc>
          <w:tcPr>
            <w:tcW w:w="2071" w:type="dxa"/>
            <w:tcBorders>
              <w:top w:val="single" w:color="auto" w:sz="4" w:space="0"/>
              <w:left w:val="single" w:color="auto" w:sz="4" w:space="0"/>
              <w:bottom w:val="single" w:color="auto" w:sz="4" w:space="0"/>
              <w:right w:val="single" w:color="auto" w:sz="4" w:space="0"/>
            </w:tcBorders>
            <w:vAlign w:val="center"/>
          </w:tcPr>
          <w:p w14:paraId="215EBA1C">
            <w:pPr>
              <w:spacing w:line="440" w:lineRule="exact"/>
              <w:rPr>
                <w:rFonts w:hint="eastAsia" w:ascii="宋体" w:hAnsi="宋体"/>
                <w:color w:val="auto"/>
                <w:szCs w:val="21"/>
                <w:highlight w:val="none"/>
              </w:rPr>
            </w:pPr>
            <w:r>
              <w:rPr>
                <w:rFonts w:hint="eastAsia" w:hAnsi="宋体" w:cs="宋体"/>
                <w:color w:val="auto"/>
                <w:highlight w:val="none"/>
              </w:rPr>
              <w:t>采购代理费支付方式</w:t>
            </w:r>
          </w:p>
        </w:tc>
        <w:tc>
          <w:tcPr>
            <w:tcW w:w="6719" w:type="dxa"/>
            <w:tcBorders>
              <w:top w:val="single" w:color="auto" w:sz="4" w:space="0"/>
              <w:left w:val="single" w:color="auto" w:sz="4" w:space="0"/>
              <w:bottom w:val="single" w:color="auto" w:sz="4" w:space="0"/>
              <w:right w:val="single" w:color="auto" w:sz="4" w:space="0"/>
            </w:tcBorders>
            <w:vAlign w:val="center"/>
          </w:tcPr>
          <w:p w14:paraId="5D64865A">
            <w:pPr>
              <w:pStyle w:val="9"/>
              <w:snapToGrid w:val="0"/>
              <w:spacing w:line="440" w:lineRule="exact"/>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中标人</w:t>
            </w:r>
            <w:r>
              <w:rPr>
                <w:rFonts w:hint="eastAsia" w:hAnsi="宋体" w:cs="宋体"/>
                <w:color w:val="auto"/>
                <w:sz w:val="21"/>
                <w:highlight w:val="none"/>
              </w:rPr>
              <w:t>在领取中标通知书</w:t>
            </w:r>
            <w:r>
              <w:rPr>
                <w:rFonts w:hint="eastAsia" w:hAnsi="宋体" w:cs="宋体"/>
                <w:color w:val="auto"/>
                <w:sz w:val="21"/>
                <w:highlight w:val="none"/>
                <w:u w:val="single"/>
                <w:lang w:val="en-US" w:eastAsia="zh-CN"/>
              </w:rPr>
              <w:t xml:space="preserve"> 3 </w:t>
            </w:r>
            <w:r>
              <w:rPr>
                <w:rFonts w:hint="eastAsia" w:hAnsi="宋体" w:cs="宋体"/>
                <w:color w:val="auto"/>
                <w:sz w:val="21"/>
                <w:highlight w:val="none"/>
                <w:u w:val="none"/>
                <w:lang w:val="en-US" w:eastAsia="zh-CN"/>
              </w:rPr>
              <w:t>日内</w:t>
            </w:r>
            <w:r>
              <w:rPr>
                <w:rFonts w:hint="eastAsia" w:hAnsi="宋体" w:cs="宋体"/>
                <w:color w:val="auto"/>
                <w:sz w:val="21"/>
                <w:highlight w:val="none"/>
              </w:rPr>
              <w:t>，一次性向采购代理机构支付。</w:t>
            </w:r>
          </w:p>
          <w:p w14:paraId="220D0772">
            <w:pPr>
              <w:pStyle w:val="9"/>
              <w:snapToGrid w:val="0"/>
              <w:spacing w:line="440" w:lineRule="exact"/>
              <w:rPr>
                <w:rFonts w:hint="eastAsia" w:hAnsi="宋体" w:cs="宋体"/>
                <w:color w:val="auto"/>
                <w:sz w:val="21"/>
                <w:highlight w:val="none"/>
              </w:rPr>
            </w:pPr>
            <w:r>
              <w:rPr>
                <w:rFonts w:hint="eastAsia" w:hAnsi="宋体" w:cs="宋体"/>
                <w:color w:val="auto"/>
                <w:sz w:val="21"/>
                <w:highlight w:val="none"/>
              </w:rPr>
              <w:t>□采购人支付。</w:t>
            </w:r>
          </w:p>
          <w:p w14:paraId="5053E83B">
            <w:pPr>
              <w:snapToGrid w:val="0"/>
              <w:spacing w:line="440" w:lineRule="exact"/>
              <w:rPr>
                <w:rFonts w:hint="eastAsia" w:ascii="宋体" w:hAnsi="宋体" w:cs="宋体"/>
                <w:color w:val="auto"/>
                <w:szCs w:val="20"/>
                <w:highlight w:val="none"/>
              </w:rPr>
            </w:pPr>
            <w:r>
              <w:rPr>
                <w:rFonts w:hint="eastAsia" w:hAnsi="宋体" w:cs="宋体"/>
                <w:color w:val="auto"/>
                <w:highlight w:val="none"/>
              </w:rPr>
              <w:t>□本项目不收取代理服务费。</w:t>
            </w:r>
          </w:p>
        </w:tc>
      </w:tr>
      <w:tr w14:paraId="7B5EBE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75"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7F6A0355">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77F2398F">
            <w:pPr>
              <w:spacing w:line="440" w:lineRule="exact"/>
              <w:rPr>
                <w:rFonts w:hint="eastAsia" w:ascii="宋体" w:hAnsi="宋体"/>
                <w:color w:val="auto"/>
                <w:szCs w:val="21"/>
                <w:highlight w:val="none"/>
              </w:rPr>
            </w:pPr>
            <w:r>
              <w:rPr>
                <w:rFonts w:hint="eastAsia" w:hAnsi="宋体" w:cs="宋体"/>
                <w:color w:val="auto"/>
                <w:highlight w:val="none"/>
              </w:rPr>
              <w:t>采购代理费收取标准</w:t>
            </w:r>
          </w:p>
        </w:tc>
        <w:tc>
          <w:tcPr>
            <w:tcW w:w="6719" w:type="dxa"/>
            <w:tcBorders>
              <w:top w:val="single" w:color="auto" w:sz="4" w:space="0"/>
              <w:left w:val="single" w:color="auto" w:sz="4" w:space="0"/>
              <w:bottom w:val="single" w:color="auto" w:sz="4" w:space="0"/>
              <w:right w:val="single" w:color="auto" w:sz="4" w:space="0"/>
            </w:tcBorders>
            <w:vAlign w:val="center"/>
          </w:tcPr>
          <w:p w14:paraId="3EF70626">
            <w:pPr>
              <w:pStyle w:val="9"/>
              <w:keepNext/>
              <w:keepLines/>
              <w:spacing w:line="360" w:lineRule="auto"/>
              <w:rPr>
                <w:rFonts w:cs="宋体"/>
                <w:color w:val="auto"/>
                <w:highlight w:val="none"/>
              </w:rPr>
            </w:pPr>
            <w:bookmarkStart w:id="10" w:name="PO_3000001866_PM025"/>
            <w:r>
              <w:rPr>
                <w:rFonts w:hint="eastAsia" w:ascii="MS PGothic" w:hAnsi="MS PGothic" w:eastAsia="MS PGothic" w:cs="MS PGothic"/>
                <w:color w:val="auto"/>
                <w:highlight w:val="none"/>
              </w:rPr>
              <w:t>☑</w:t>
            </w:r>
            <w:r>
              <w:rPr>
                <w:rFonts w:hint="eastAsia" w:cs="宋体"/>
                <w:color w:val="auto"/>
                <w:highlight w:val="none"/>
              </w:rPr>
              <w:t>以分标（☑中标金额/</w:t>
            </w:r>
            <w:r>
              <w:rPr>
                <w:rFonts w:hint="eastAsia" w:ascii="MS PGothic" w:hAnsi="MS PGothic" w:cs="MS PGothic"/>
                <w:color w:val="auto"/>
                <w:highlight w:val="none"/>
              </w:rPr>
              <w:t>□</w:t>
            </w:r>
            <w:r>
              <w:rPr>
                <w:rFonts w:hint="eastAsia" w:cs="宋体"/>
                <w:color w:val="auto"/>
                <w:highlight w:val="none"/>
              </w:rPr>
              <w:t>采购预算/□暂定中标金额/□其他</w:t>
            </w:r>
            <w:r>
              <w:rPr>
                <w:rFonts w:hint="eastAsia" w:cs="宋体"/>
                <w:color w:val="auto"/>
                <w:highlight w:val="none"/>
                <w:u w:val="single"/>
              </w:rPr>
              <w:t xml:space="preserve">   </w:t>
            </w:r>
            <w:r>
              <w:rPr>
                <w:rFonts w:hint="eastAsia" w:cs="宋体"/>
                <w:color w:val="auto"/>
                <w:highlight w:val="none"/>
              </w:rPr>
              <w:t>）为计费额，按本须知正文第40.2条规定的收费计算标准（□货物招标/</w:t>
            </w:r>
            <w:r>
              <w:rPr>
                <w:rFonts w:hint="eastAsia" w:ascii="MS PGothic" w:hAnsi="MS PGothic" w:eastAsia="MS PGothic" w:cs="MS PGothic"/>
                <w:color w:val="auto"/>
                <w:highlight w:val="none"/>
              </w:rPr>
              <w:t>☑</w:t>
            </w:r>
            <w:r>
              <w:rPr>
                <w:rFonts w:hint="eastAsia" w:cs="宋体"/>
                <w:color w:val="auto"/>
                <w:highlight w:val="none"/>
              </w:rPr>
              <w:t>服务招标/□工程招标）采用差额定率累进法计算出收费基准价格，采购代理收费以（</w:t>
            </w:r>
            <w:r>
              <w:rPr>
                <w:rFonts w:hint="eastAsia" w:ascii="MS PGothic" w:hAnsi="MS PGothic" w:eastAsia="MS PGothic" w:cs="MS PGothic"/>
                <w:color w:val="auto"/>
                <w:highlight w:val="none"/>
              </w:rPr>
              <w:t>☑</w:t>
            </w:r>
            <w:r>
              <w:rPr>
                <w:rFonts w:hint="eastAsia" w:cs="宋体"/>
                <w:color w:val="auto"/>
                <w:highlight w:val="none"/>
              </w:rPr>
              <w:t>收费基准价格/□收费基准价格下浮</w:t>
            </w:r>
            <w:r>
              <w:rPr>
                <w:rFonts w:hint="eastAsia" w:cs="宋体"/>
                <w:color w:val="auto"/>
                <w:highlight w:val="none"/>
                <w:u w:val="single"/>
              </w:rPr>
              <w:t xml:space="preserve">   %</w:t>
            </w:r>
            <w:r>
              <w:rPr>
                <w:rFonts w:hint="eastAsia" w:cs="宋体"/>
                <w:color w:val="auto"/>
                <w:highlight w:val="none"/>
              </w:rPr>
              <w:t>/□收费基准价格上浮</w:t>
            </w:r>
            <w:r>
              <w:rPr>
                <w:rFonts w:hint="eastAsia" w:cs="宋体"/>
                <w:color w:val="auto"/>
                <w:highlight w:val="none"/>
                <w:u w:val="single"/>
              </w:rPr>
              <w:t xml:space="preserve">   %</w:t>
            </w:r>
            <w:r>
              <w:rPr>
                <w:rFonts w:hint="eastAsia" w:cs="宋体"/>
                <w:color w:val="auto"/>
                <w:highlight w:val="none"/>
              </w:rPr>
              <w:t>）收取。</w:t>
            </w:r>
          </w:p>
          <w:p w14:paraId="27E41A60">
            <w:pPr>
              <w:snapToGrid w:val="0"/>
              <w:spacing w:line="440" w:lineRule="exact"/>
              <w:ind w:firstLine="210" w:firstLineChars="100"/>
              <w:rPr>
                <w:rFonts w:hint="eastAsia" w:ascii="宋体" w:hAnsi="宋体" w:cs="宋体"/>
                <w:color w:val="auto"/>
                <w:szCs w:val="20"/>
                <w:highlight w:val="none"/>
                <w:u w:val="single"/>
              </w:rPr>
            </w:pPr>
            <w:r>
              <w:rPr>
                <w:rFonts w:hint="eastAsia" w:cs="宋体"/>
                <w:color w:val="auto"/>
                <w:szCs w:val="21"/>
                <w:highlight w:val="none"/>
              </w:rPr>
              <w:t>□固定采购代理收费</w:t>
            </w:r>
            <w:r>
              <w:rPr>
                <w:rFonts w:hint="eastAsia" w:cs="宋体"/>
                <w:color w:val="auto"/>
                <w:szCs w:val="21"/>
                <w:highlight w:val="none"/>
                <w:u w:val="single"/>
              </w:rPr>
              <w:t xml:space="preserve">              。</w:t>
            </w:r>
            <w:bookmarkEnd w:id="10"/>
          </w:p>
        </w:tc>
      </w:tr>
      <w:tr w14:paraId="178210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49" w:hRule="atLeast"/>
        </w:trPr>
        <w:tc>
          <w:tcPr>
            <w:tcW w:w="872" w:type="dxa"/>
            <w:vMerge w:val="continue"/>
            <w:tcBorders>
              <w:top w:val="single" w:color="auto" w:sz="4" w:space="0"/>
              <w:left w:val="single" w:color="auto" w:sz="4" w:space="0"/>
              <w:bottom w:val="single" w:color="auto" w:sz="4" w:space="0"/>
              <w:right w:val="single" w:color="auto" w:sz="4" w:space="0"/>
            </w:tcBorders>
            <w:vAlign w:val="center"/>
          </w:tcPr>
          <w:p w14:paraId="7AA3A835">
            <w:pPr>
              <w:widowControl/>
              <w:spacing w:line="440" w:lineRule="exact"/>
              <w:jc w:val="left"/>
              <w:rPr>
                <w:rFonts w:hint="eastAsia" w:ascii="宋体" w:hAnsi="宋体"/>
                <w:color w:val="auto"/>
                <w:szCs w:val="21"/>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2A632EA">
            <w:pPr>
              <w:spacing w:line="440" w:lineRule="exact"/>
              <w:rPr>
                <w:rFonts w:hint="eastAsia" w:ascii="宋体" w:hAnsi="宋体"/>
                <w:color w:val="auto"/>
                <w:szCs w:val="21"/>
                <w:highlight w:val="none"/>
              </w:rPr>
            </w:pPr>
            <w:r>
              <w:rPr>
                <w:rFonts w:hint="eastAsia" w:hAnsi="宋体" w:cs="宋体"/>
                <w:color w:val="auto"/>
                <w:highlight w:val="none"/>
              </w:rPr>
              <w:t>代理服务费收款账户信息</w:t>
            </w:r>
          </w:p>
        </w:tc>
        <w:tc>
          <w:tcPr>
            <w:tcW w:w="6719" w:type="dxa"/>
            <w:tcBorders>
              <w:top w:val="single" w:color="auto" w:sz="4" w:space="0"/>
              <w:left w:val="single" w:color="auto" w:sz="4" w:space="0"/>
              <w:bottom w:val="single" w:color="auto" w:sz="4" w:space="0"/>
              <w:right w:val="single" w:color="auto" w:sz="4" w:space="0"/>
            </w:tcBorders>
            <w:vAlign w:val="center"/>
          </w:tcPr>
          <w:p w14:paraId="194A2FCF">
            <w:pPr>
              <w:snapToGrid w:val="0"/>
              <w:spacing w:line="440" w:lineRule="exact"/>
              <w:rPr>
                <w:rFonts w:hint="eastAsia" w:hAnsi="宋体"/>
                <w:color w:val="auto"/>
                <w:highlight w:val="none"/>
              </w:rPr>
            </w:pPr>
            <w:r>
              <w:rPr>
                <w:rFonts w:hint="eastAsia" w:hAnsi="宋体"/>
                <w:color w:val="auto"/>
                <w:highlight w:val="none"/>
              </w:rPr>
              <w:t xml:space="preserve">账户名称：广西翔正项目管理有限公司 </w:t>
            </w:r>
          </w:p>
          <w:p w14:paraId="02E74AC8">
            <w:pPr>
              <w:snapToGrid w:val="0"/>
              <w:spacing w:line="440" w:lineRule="exact"/>
              <w:rPr>
                <w:rFonts w:hint="eastAsia" w:hAnsi="宋体"/>
                <w:color w:val="auto"/>
                <w:highlight w:val="none"/>
              </w:rPr>
            </w:pPr>
            <w:r>
              <w:rPr>
                <w:rFonts w:hint="eastAsia" w:hAnsi="宋体"/>
                <w:color w:val="auto"/>
                <w:highlight w:val="none"/>
              </w:rPr>
              <w:t xml:space="preserve">开户银行：中国工商银行南宁市建政支行 </w:t>
            </w:r>
          </w:p>
          <w:p w14:paraId="1D026554">
            <w:pPr>
              <w:snapToGrid w:val="0"/>
              <w:spacing w:line="440" w:lineRule="exact"/>
              <w:rPr>
                <w:rFonts w:hint="eastAsia" w:hAnsi="宋体"/>
                <w:color w:val="auto"/>
                <w:highlight w:val="none"/>
              </w:rPr>
            </w:pPr>
            <w:r>
              <w:rPr>
                <w:rFonts w:hint="eastAsia" w:hAnsi="宋体"/>
                <w:color w:val="auto"/>
                <w:highlight w:val="none"/>
              </w:rPr>
              <w:t xml:space="preserve">银行账号：2102107109300076992 </w:t>
            </w:r>
          </w:p>
          <w:p w14:paraId="6B2EC752">
            <w:pPr>
              <w:snapToGrid w:val="0"/>
              <w:spacing w:line="440" w:lineRule="exact"/>
              <w:rPr>
                <w:rFonts w:hint="eastAsia" w:ascii="宋体" w:hAnsi="宋体" w:cs="宋体"/>
                <w:color w:val="auto"/>
                <w:szCs w:val="20"/>
                <w:highlight w:val="none"/>
              </w:rPr>
            </w:pPr>
            <w:r>
              <w:rPr>
                <w:rFonts w:hint="eastAsia" w:hAnsi="宋体"/>
                <w:color w:val="auto"/>
                <w:highlight w:val="none"/>
              </w:rPr>
              <w:t>开户行行号：102611010711</w:t>
            </w:r>
          </w:p>
        </w:tc>
      </w:tr>
      <w:tr w14:paraId="0DBBC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0A86A5DA">
            <w:pPr>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41.1</w:t>
            </w:r>
          </w:p>
        </w:tc>
        <w:tc>
          <w:tcPr>
            <w:tcW w:w="2071" w:type="dxa"/>
            <w:tcBorders>
              <w:top w:val="single" w:color="auto" w:sz="4" w:space="0"/>
              <w:left w:val="single" w:color="auto" w:sz="4" w:space="0"/>
              <w:bottom w:val="single" w:color="auto" w:sz="4" w:space="0"/>
              <w:right w:val="single" w:color="auto" w:sz="4" w:space="0"/>
            </w:tcBorders>
            <w:vAlign w:val="center"/>
          </w:tcPr>
          <w:p w14:paraId="76423E65">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解释</w:t>
            </w:r>
          </w:p>
        </w:tc>
        <w:tc>
          <w:tcPr>
            <w:tcW w:w="6719" w:type="dxa"/>
            <w:tcBorders>
              <w:top w:val="single" w:color="auto" w:sz="4" w:space="0"/>
              <w:left w:val="single" w:color="auto" w:sz="4" w:space="0"/>
              <w:bottom w:val="single" w:color="auto" w:sz="4" w:space="0"/>
              <w:right w:val="single" w:color="auto" w:sz="4" w:space="0"/>
            </w:tcBorders>
            <w:vAlign w:val="center"/>
          </w:tcPr>
          <w:p w14:paraId="72CBBC13">
            <w:pPr>
              <w:snapToGrid w:val="0"/>
              <w:spacing w:line="440" w:lineRule="exact"/>
              <w:rPr>
                <w:rFonts w:hint="eastAsia" w:ascii="宋体" w:hAnsi="宋体"/>
                <w:b/>
                <w:color w:val="auto"/>
                <w:szCs w:val="21"/>
                <w:highlight w:val="none"/>
              </w:rPr>
            </w:pPr>
            <w:r>
              <w:rPr>
                <w:rFonts w:hint="eastAsia" w:ascii="宋体" w:hAnsi="宋体"/>
                <w:b/>
                <w:color w:val="auto"/>
                <w:szCs w:val="21"/>
                <w:highlight w:val="none"/>
              </w:rPr>
              <w:t>解释权：</w:t>
            </w:r>
            <w:r>
              <w:rPr>
                <w:rFonts w:hint="eastAsia" w:ascii="宋体" w:hAnsi="宋体"/>
                <w:color w:val="auto"/>
                <w:szCs w:val="21"/>
                <w:highlight w:val="none"/>
              </w:rPr>
              <w:t>构成本招标文件的各个组成文件应互为解释，互为说明；除招标文件中有特别规定外，仅适用于招标投标阶段的规定，按更正公告（澄清公告）、招标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w:t>
            </w:r>
            <w:r>
              <w:rPr>
                <w:rFonts w:hint="eastAsia" w:ascii="宋体" w:hAnsi="宋体"/>
                <w:b/>
                <w:color w:val="auto"/>
                <w:szCs w:val="21"/>
                <w:highlight w:val="none"/>
              </w:rPr>
              <w:t>，由采购人或者采购代理机构负责解释。</w:t>
            </w:r>
          </w:p>
          <w:p w14:paraId="7FBAE231">
            <w:pPr>
              <w:snapToGrid w:val="0"/>
              <w:spacing w:line="440" w:lineRule="exact"/>
              <w:rPr>
                <w:rFonts w:hint="eastAsia" w:ascii="宋体" w:hAnsi="宋体"/>
                <w:b/>
                <w:color w:val="auto"/>
                <w:szCs w:val="21"/>
                <w:highlight w:val="none"/>
              </w:rPr>
            </w:pPr>
            <w:r>
              <w:rPr>
                <w:rFonts w:hint="eastAsia" w:ascii="宋体" w:hAnsi="宋体"/>
                <w:b/>
                <w:color w:val="auto"/>
                <w:szCs w:val="21"/>
                <w:highlight w:val="none"/>
              </w:rPr>
              <w:t>法律责任：</w:t>
            </w:r>
          </w:p>
          <w:p w14:paraId="71DB6E6C">
            <w:pPr>
              <w:numPr>
                <w:ilvl w:val="0"/>
                <w:numId w:val="2"/>
              </w:numPr>
              <w:snapToGrid w:val="0"/>
              <w:spacing w:line="440" w:lineRule="exact"/>
              <w:rPr>
                <w:rFonts w:hint="eastAsia" w:ascii="宋体" w:hAnsi="宋体"/>
                <w:color w:val="auto"/>
                <w:szCs w:val="21"/>
                <w:highlight w:val="none"/>
              </w:rPr>
            </w:pPr>
            <w:r>
              <w:rPr>
                <w:rFonts w:hint="eastAsia" w:ascii="宋体" w:hAnsi="宋体"/>
                <w:color w:val="auto"/>
                <w:szCs w:val="21"/>
                <w:highlight w:val="none"/>
              </w:rPr>
              <w:t>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p w14:paraId="6003C469">
            <w:pPr>
              <w:snapToGrid w:val="0"/>
              <w:spacing w:line="440" w:lineRule="exact"/>
              <w:rPr>
                <w:rFonts w:hint="eastAsia" w:ascii="宋体" w:hAnsi="宋体"/>
                <w:color w:val="auto"/>
                <w:szCs w:val="21"/>
                <w:highlight w:val="none"/>
              </w:rPr>
            </w:pPr>
            <w:r>
              <w:rPr>
                <w:rFonts w:hint="eastAsia" w:ascii="宋体" w:hAnsi="宋体"/>
                <w:b/>
                <w:color w:val="auto"/>
                <w:szCs w:val="21"/>
                <w:highlight w:val="none"/>
              </w:rPr>
              <w:t>2.本项目采购代理机构应严格按照广西政府采购云平台项目采购全流程电子化电子开评标规程执行项目采购活动，代理机构在广西政府采购云平台的“项目管理”—“采购文件管理”内开评标规则设置作为本采购文件的组成部分，截标之后不可更改，因代理机构开评标规则设置错误导致采购活动无法开展下去的情况，由代理机构负责解释并承担其后果。</w:t>
            </w:r>
          </w:p>
        </w:tc>
      </w:tr>
      <w:tr w14:paraId="768C1C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 w:type="dxa"/>
            <w:tcBorders>
              <w:top w:val="single" w:color="auto" w:sz="4" w:space="0"/>
              <w:left w:val="single" w:color="auto" w:sz="4" w:space="0"/>
              <w:bottom w:val="single" w:color="auto" w:sz="4" w:space="0"/>
              <w:right w:val="single" w:color="auto" w:sz="4" w:space="0"/>
            </w:tcBorders>
            <w:vAlign w:val="center"/>
          </w:tcPr>
          <w:p w14:paraId="3A5E7BB9">
            <w:pPr>
              <w:snapToGrid w:val="0"/>
              <w:spacing w:line="440" w:lineRule="exact"/>
              <w:jc w:val="center"/>
              <w:rPr>
                <w:rFonts w:hint="eastAsia" w:ascii="宋体" w:hAnsi="宋体"/>
                <w:color w:val="auto"/>
                <w:szCs w:val="21"/>
                <w:highlight w:val="none"/>
              </w:rPr>
            </w:pPr>
            <w:r>
              <w:rPr>
                <w:rFonts w:hint="eastAsia" w:ascii="宋体" w:hAnsi="宋体"/>
                <w:color w:val="auto"/>
                <w:szCs w:val="21"/>
                <w:highlight w:val="none"/>
              </w:rPr>
              <w:t>41.2</w:t>
            </w:r>
          </w:p>
        </w:tc>
        <w:tc>
          <w:tcPr>
            <w:tcW w:w="2071" w:type="dxa"/>
            <w:tcBorders>
              <w:top w:val="single" w:color="auto" w:sz="4" w:space="0"/>
              <w:left w:val="single" w:color="auto" w:sz="4" w:space="0"/>
              <w:bottom w:val="single" w:color="auto" w:sz="4" w:space="0"/>
              <w:right w:val="single" w:color="auto" w:sz="4" w:space="0"/>
            </w:tcBorders>
            <w:vAlign w:val="center"/>
          </w:tcPr>
          <w:p w14:paraId="56BF75BB">
            <w:pPr>
              <w:snapToGrid w:val="0"/>
              <w:spacing w:line="440" w:lineRule="exact"/>
              <w:rPr>
                <w:rFonts w:hint="eastAsia" w:ascii="宋体" w:hAnsi="宋体"/>
                <w:color w:val="auto"/>
                <w:szCs w:val="21"/>
                <w:highlight w:val="none"/>
              </w:rPr>
            </w:pPr>
            <w:r>
              <w:rPr>
                <w:rFonts w:hint="eastAsia" w:ascii="宋体" w:hAnsi="宋体"/>
                <w:color w:val="auto"/>
                <w:szCs w:val="21"/>
                <w:highlight w:val="none"/>
              </w:rPr>
              <w:t>其他释义</w:t>
            </w:r>
          </w:p>
        </w:tc>
        <w:tc>
          <w:tcPr>
            <w:tcW w:w="6719" w:type="dxa"/>
            <w:tcBorders>
              <w:top w:val="single" w:color="auto" w:sz="4" w:space="0"/>
              <w:left w:val="single" w:color="auto" w:sz="4" w:space="0"/>
              <w:bottom w:val="single" w:color="auto" w:sz="4" w:space="0"/>
              <w:right w:val="single" w:color="auto" w:sz="4" w:space="0"/>
            </w:tcBorders>
            <w:vAlign w:val="center"/>
          </w:tcPr>
          <w:p w14:paraId="2FD854C3">
            <w:pPr>
              <w:spacing w:line="440" w:lineRule="exact"/>
              <w:rPr>
                <w:rFonts w:hint="eastAsia" w:hAnsi="宋体" w:cs="宋体"/>
                <w:b/>
                <w:bCs/>
                <w:color w:val="auto"/>
                <w:highlight w:val="none"/>
              </w:rPr>
            </w:pPr>
            <w:r>
              <w:rPr>
                <w:rFonts w:hint="eastAsia" w:hAnsi="宋体" w:cs="宋体"/>
                <w:b/>
                <w:bCs/>
                <w:color w:val="auto"/>
                <w:highlight w:val="none"/>
              </w:rPr>
              <w:t>1.本招标文件中描述投标人的“公章”是指根据我国对公章的管理规定，用投标人法定主体行为名称制作的印章（含投标人通过指定电子化政府采购平台办理数字证书（CA认证）获得的以法定主体行为名称制作的电子印章），除本招标文件有特殊规定外，投标人的财务章、部门章、分公司章、工会章、合同章、投标专用章、业务专用章及银行的转账章、现金收讫章、现金付讫章等其他形式印章均不能代替公章。</w:t>
            </w:r>
          </w:p>
          <w:p w14:paraId="735847B5">
            <w:pPr>
              <w:snapToGrid w:val="0"/>
              <w:spacing w:line="440" w:lineRule="exact"/>
              <w:rPr>
                <w:rFonts w:hint="eastAsia" w:ascii="宋体" w:hAnsi="宋体" w:cs="宋体"/>
                <w:b/>
                <w:bCs/>
                <w:color w:val="auto"/>
                <w:szCs w:val="20"/>
                <w:highlight w:val="none"/>
              </w:rPr>
            </w:pPr>
            <w:r>
              <w:rPr>
                <w:rFonts w:hint="eastAsia" w:ascii="宋体" w:hAnsi="宋体" w:cs="宋体"/>
                <w:b/>
                <w:bCs/>
                <w:color w:val="auto"/>
                <w:szCs w:val="20"/>
                <w:highlight w:val="none"/>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D48F527">
            <w:pPr>
              <w:snapToGrid w:val="0"/>
              <w:spacing w:line="440" w:lineRule="exact"/>
              <w:rPr>
                <w:rFonts w:hint="eastAsia" w:ascii="宋体" w:hAnsi="宋体" w:cs="宋体"/>
                <w:b/>
                <w:bCs/>
                <w:color w:val="auto"/>
                <w:szCs w:val="20"/>
                <w:highlight w:val="none"/>
              </w:rPr>
            </w:pPr>
            <w:r>
              <w:rPr>
                <w:rFonts w:hint="eastAsia" w:hAnsi="宋体" w:cs="宋体"/>
                <w:b/>
                <w:bCs/>
                <w:color w:val="auto"/>
                <w:highlight w:val="none"/>
              </w:rPr>
              <w:t>3.本招标文件中描述投标人的“签字”是指投标人的法定代表人或者委托代理人亲自在文件规定签署处亲笔写上个人的名字的行为（含投标人通过指定电子化政府采购平台办理数字证书（CA认证）获得的以投标人法定代表人或者委托代理人姓名制作的电子印章或手写签字）。</w:t>
            </w:r>
            <w:r>
              <w:rPr>
                <w:rFonts w:hint="eastAsia" w:ascii="宋体" w:hAnsi="宋体" w:cs="宋体"/>
                <w:b/>
                <w:bCs/>
                <w:color w:val="auto"/>
                <w:szCs w:val="20"/>
                <w:highlight w:val="none"/>
              </w:rPr>
              <w:t>4.自然人投标的，招标文件规定盖公章处由自然人摁手指指印。</w:t>
            </w:r>
          </w:p>
          <w:p w14:paraId="66EFF0E1">
            <w:pPr>
              <w:spacing w:line="440" w:lineRule="exact"/>
              <w:jc w:val="left"/>
              <w:rPr>
                <w:rFonts w:hint="eastAsia" w:ascii="宋体" w:hAnsi="宋体"/>
                <w:color w:val="auto"/>
                <w:szCs w:val="21"/>
                <w:highlight w:val="none"/>
              </w:rPr>
            </w:pPr>
            <w:r>
              <w:rPr>
                <w:rFonts w:hint="eastAsia" w:ascii="宋体" w:hAnsi="宋体" w:cs="宋体"/>
                <w:b/>
                <w:bCs/>
                <w:color w:val="auto"/>
                <w:szCs w:val="21"/>
                <w:highlight w:val="none"/>
              </w:rPr>
              <w:t>5.本招标文件所称的“以上”“以下”“以内”“届满”，包括本数；所称的“不满”“超过”“以外”，不包括本数。</w:t>
            </w:r>
          </w:p>
        </w:tc>
      </w:tr>
    </w:tbl>
    <w:p w14:paraId="4AB27D76">
      <w:pPr>
        <w:widowControl/>
        <w:spacing w:line="412" w:lineRule="auto"/>
        <w:jc w:val="left"/>
        <w:rPr>
          <w:rFonts w:ascii="Arial" w:hAnsi="Arial" w:eastAsia="黑体"/>
          <w:b/>
          <w:bCs/>
          <w:color w:val="auto"/>
          <w:sz w:val="32"/>
          <w:szCs w:val="32"/>
          <w:highlight w:val="none"/>
        </w:rPr>
        <w:sectPr>
          <w:pgSz w:w="11906" w:h="16838"/>
          <w:pgMar w:top="1361" w:right="1474" w:bottom="1304" w:left="1587" w:header="720" w:footer="720" w:gutter="0"/>
          <w:cols w:space="720" w:num="1"/>
          <w:docGrid w:type="lines" w:linePitch="331" w:charSpace="0"/>
        </w:sectPr>
      </w:pPr>
    </w:p>
    <w:p w14:paraId="3C19C904">
      <w:pPr>
        <w:keepNext/>
        <w:keepLines/>
        <w:spacing w:before="260" w:after="260" w:line="413" w:lineRule="auto"/>
        <w:jc w:val="center"/>
        <w:outlineLvl w:val="1"/>
        <w:rPr>
          <w:rFonts w:ascii="Arial" w:hAnsi="Arial" w:eastAsia="黑体"/>
          <w:b/>
          <w:bCs/>
          <w:color w:val="auto"/>
          <w:kern w:val="0"/>
          <w:sz w:val="32"/>
          <w:szCs w:val="32"/>
          <w:highlight w:val="none"/>
        </w:rPr>
      </w:pPr>
      <w:bookmarkStart w:id="11" w:name="_Toc8448"/>
      <w:r>
        <w:rPr>
          <w:rFonts w:hint="eastAsia" w:ascii="Arial" w:hAnsi="Arial" w:eastAsia="黑体"/>
          <w:b/>
          <w:bCs/>
          <w:color w:val="auto"/>
          <w:kern w:val="0"/>
          <w:sz w:val="32"/>
          <w:szCs w:val="32"/>
          <w:highlight w:val="none"/>
        </w:rPr>
        <w:t>第二节</w:t>
      </w:r>
      <w:r>
        <w:rPr>
          <w:rFonts w:ascii="Arial" w:hAnsi="Arial" w:eastAsia="黑体"/>
          <w:b/>
          <w:bCs/>
          <w:color w:val="auto"/>
          <w:kern w:val="0"/>
          <w:sz w:val="32"/>
          <w:szCs w:val="32"/>
          <w:highlight w:val="none"/>
        </w:rPr>
        <w:t xml:space="preserve"> </w:t>
      </w:r>
      <w:r>
        <w:rPr>
          <w:rFonts w:hint="eastAsia" w:ascii="Arial" w:hAnsi="Arial" w:eastAsia="黑体"/>
          <w:b/>
          <w:bCs/>
          <w:color w:val="auto"/>
          <w:kern w:val="0"/>
          <w:sz w:val="32"/>
          <w:szCs w:val="32"/>
          <w:highlight w:val="none"/>
        </w:rPr>
        <w:t>投标人须知正文</w:t>
      </w:r>
      <w:bookmarkEnd w:id="11"/>
    </w:p>
    <w:p w14:paraId="20D0D0F8">
      <w:pPr>
        <w:spacing w:line="400" w:lineRule="exact"/>
        <w:ind w:firstLine="643" w:firstLineChars="200"/>
        <w:jc w:val="center"/>
        <w:outlineLvl w:val="2"/>
        <w:rPr>
          <w:b/>
          <w:bCs/>
          <w:color w:val="auto"/>
          <w:kern w:val="0"/>
          <w:sz w:val="32"/>
          <w:szCs w:val="32"/>
          <w:highlight w:val="none"/>
        </w:rPr>
      </w:pPr>
      <w:bookmarkStart w:id="12" w:name="_Toc23406"/>
      <w:r>
        <w:rPr>
          <w:rFonts w:hint="eastAsia"/>
          <w:b/>
          <w:bCs/>
          <w:color w:val="auto"/>
          <w:kern w:val="0"/>
          <w:sz w:val="32"/>
          <w:szCs w:val="32"/>
          <w:highlight w:val="none"/>
        </w:rPr>
        <w:t>一、总</w:t>
      </w:r>
      <w:r>
        <w:rPr>
          <w:b/>
          <w:bCs/>
          <w:color w:val="auto"/>
          <w:kern w:val="0"/>
          <w:sz w:val="32"/>
          <w:szCs w:val="32"/>
          <w:highlight w:val="none"/>
        </w:rPr>
        <w:t xml:space="preserve">  </w:t>
      </w:r>
      <w:r>
        <w:rPr>
          <w:rFonts w:hint="eastAsia"/>
          <w:b/>
          <w:bCs/>
          <w:color w:val="auto"/>
          <w:kern w:val="0"/>
          <w:sz w:val="32"/>
          <w:szCs w:val="32"/>
          <w:highlight w:val="none"/>
        </w:rPr>
        <w:t>则</w:t>
      </w:r>
      <w:bookmarkEnd w:id="12"/>
    </w:p>
    <w:p w14:paraId="3016CE4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1.适用范围</w:t>
      </w:r>
    </w:p>
    <w:p w14:paraId="2E5C496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7E307CA">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1.2本招标文件</w:t>
      </w:r>
      <w:r>
        <w:rPr>
          <w:rFonts w:hint="eastAsia" w:ascii="宋体" w:hAnsi="宋体" w:cs="宋体"/>
          <w:color w:val="auto"/>
          <w:spacing w:val="-6"/>
          <w:szCs w:val="21"/>
          <w:highlight w:val="none"/>
        </w:rPr>
        <w:t>适用于本项目的所有采购程序和环节（法律、法规另有规定的，从其规定）。</w:t>
      </w:r>
    </w:p>
    <w:p w14:paraId="1D474112">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2.定义</w:t>
      </w:r>
    </w:p>
    <w:p w14:paraId="4E8EC4E5">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2.1“采购人”是指依法进行政府采购的国家机关、事业单位、团体组织。</w:t>
      </w:r>
    </w:p>
    <w:p w14:paraId="43996CA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2.2“采购代理机构” 指政府采购集中采购机构和集中采购机构以外的采购代理机构。</w:t>
      </w:r>
    </w:p>
    <w:p w14:paraId="0881CE05">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2.3“供应商”是指向采购人提供货物、工程或者服务的法人、其他组织或者自然人。</w:t>
      </w:r>
    </w:p>
    <w:p w14:paraId="23110B2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2.4“投标人”是指响应招标、参加投标竞争的法人、非法人组织或者自然人。</w:t>
      </w:r>
    </w:p>
    <w:p w14:paraId="4786CF08">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2.5“服务”是指除货物和工程以外的其他政府采购对象。</w:t>
      </w:r>
    </w:p>
    <w:p w14:paraId="4ED29C3A">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2.6“书面形式”是指合同书、信件和数据电文（包括电报、电传、传真、短信、电子数据交换和电子邮件）等可以有形地表现所载内容的形式。</w:t>
      </w:r>
    </w:p>
    <w:p w14:paraId="41D20098">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2.7“实质性要求”是指招标文件中已经指明不满足则投标无效的条款，或者不能负偏离的条款，或者采购需求中带“</w:t>
      </w:r>
      <w:r>
        <w:rPr>
          <w:rFonts w:hint="eastAsia" w:ascii="宋体" w:hAnsi="宋体"/>
          <w:b/>
          <w:bCs/>
          <w:color w:val="auto"/>
          <w:szCs w:val="21"/>
          <w:highlight w:val="none"/>
        </w:rPr>
        <w:t>▲</w:t>
      </w:r>
      <w:r>
        <w:rPr>
          <w:rFonts w:hint="eastAsia" w:ascii="宋体" w:hAnsi="宋体"/>
          <w:b/>
          <w:color w:val="auto"/>
          <w:szCs w:val="21"/>
          <w:highlight w:val="none"/>
        </w:rPr>
        <w:t>”的条款。</w:t>
      </w:r>
    </w:p>
    <w:p w14:paraId="09D5E0A4">
      <w:p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2.8</w:t>
      </w:r>
      <w:r>
        <w:rPr>
          <w:rFonts w:hint="eastAsia" w:ascii="宋体" w:hAnsi="宋体" w:cs="宋体"/>
          <w:color w:val="auto"/>
          <w:szCs w:val="21"/>
          <w:highlight w:val="none"/>
        </w:rPr>
        <w:t>“正偏离”，是指投标文件对招标文件“采购需求”中有关条款作出的响应优于条款要求并有利于采购人的情形。</w:t>
      </w:r>
    </w:p>
    <w:p w14:paraId="2DAB36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2.9“负偏离”，是指投标文件对招标文件“采购需求”中有关条款作出的响应不满足条款要求，导致采购人要求不能得到满足的情形。</w:t>
      </w:r>
    </w:p>
    <w:p w14:paraId="79D235A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2.10</w:t>
      </w:r>
      <w:r>
        <w:rPr>
          <w:rFonts w:hint="eastAsia" w:ascii="宋体" w:hAnsi="宋体" w:cs="宋体"/>
          <w:color w:val="auto"/>
          <w:szCs w:val="21"/>
          <w:highlight w:val="none"/>
        </w:rPr>
        <w:t>“允许负偏离的条款”是指采购需求中的不属于“实质性要求”的条款。</w:t>
      </w:r>
    </w:p>
    <w:p w14:paraId="160E66A1">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3.投标人的资格要求</w:t>
      </w:r>
    </w:p>
    <w:p w14:paraId="4B85A51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投标人的资格要求详见“招标公告”。</w:t>
      </w:r>
    </w:p>
    <w:p w14:paraId="2CCBBB70">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4.投标委托</w:t>
      </w:r>
    </w:p>
    <w:p w14:paraId="2FEC362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投标人代表参加投标活动过程中必须携带个人有效身份证件。如投标人代表不是法定代表人，须持有法定代表人授权委托书（正本用原件，副本用复印件，按第六章要求格式填写）。</w:t>
      </w:r>
    </w:p>
    <w:p w14:paraId="0E297C61">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5.投标费用</w:t>
      </w:r>
    </w:p>
    <w:p w14:paraId="2D0936A9">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投标费用：投标人应承担参与本次采购活动有关的所有费用，包括但不限于勘查现场、编制投标文件、参加澄清说明、签订合同等，不论投标结果如何，均应自行承担。</w:t>
      </w:r>
    </w:p>
    <w:p w14:paraId="2F1334F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6.联合体投标</w:t>
      </w:r>
    </w:p>
    <w:p w14:paraId="1668C15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6.1本项目是否接受联合体投标，详见“投标人须知前附表”。</w:t>
      </w:r>
    </w:p>
    <w:p w14:paraId="54EFCA6D">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6.2如接受联合体投标，联合体投标要求详见“投标人须知前附表”。</w:t>
      </w:r>
    </w:p>
    <w:p w14:paraId="44988C75">
      <w:pPr>
        <w:spacing w:line="360" w:lineRule="auto"/>
        <w:ind w:firstLine="420" w:firstLineChars="200"/>
        <w:rPr>
          <w:rFonts w:hint="eastAsia" w:ascii="宋体" w:hAnsi="宋体"/>
          <w:bCs/>
          <w:color w:val="auto"/>
          <w:sz w:val="24"/>
          <w:szCs w:val="21"/>
          <w:highlight w:val="none"/>
          <w:shd w:val="clear" w:color="auto" w:fill="FFFFFF"/>
        </w:rPr>
      </w:pPr>
      <w:r>
        <w:rPr>
          <w:rFonts w:hint="eastAsia" w:ascii="宋体" w:hAnsi="宋体"/>
          <w:bCs/>
          <w:color w:val="auto"/>
          <w:szCs w:val="21"/>
          <w:highlight w:val="none"/>
        </w:rPr>
        <w:t>6.3根据《政府采购促进中小企业发展管理办法》（财库[2020]46号）第九条、</w:t>
      </w:r>
      <w:r>
        <w:rPr>
          <w:rFonts w:hint="eastAsia"/>
          <w:color w:val="auto"/>
          <w:highlight w:val="none"/>
        </w:rPr>
        <w:t>《广西壮族自治区财政厅关于贯彻落实政府采购支持中小企业发展政策的通知》（桂财采〔2022〕31号）、</w:t>
      </w:r>
      <w:r>
        <w:rPr>
          <w:rFonts w:hint="eastAsia" w:ascii="宋体" w:hAnsi="宋体" w:cs="宋体"/>
          <w:color w:val="auto"/>
          <w:szCs w:val="21"/>
          <w:highlight w:val="none"/>
        </w:rPr>
        <w:t>《广西壮族自治区财政厅关于持续优化政府采购营商环境推动高质量发展的通知》（桂财采〔2024〕55号）</w:t>
      </w:r>
      <w:r>
        <w:rPr>
          <w:rFonts w:hint="eastAsia" w:ascii="宋体" w:hAnsi="宋体"/>
          <w:bCs/>
          <w:color w:val="auto"/>
          <w:szCs w:val="21"/>
          <w:highlight w:val="none"/>
        </w:rPr>
        <w:t>及《广西壮族自治区财政厅 广西壮族自治区工业和信息化厅转发财政部 工业和信息化部政府采购促进中小企业发展管理办法的通知》（桂财采〔2021〕70号）规定，接受大中型企业与小微企业组成联合体的采购项目，对于联合协议约定小微企业的合同份额占到合同总金额 30%以上的，采购人、采购代理机构应当对联合体的报价给予 6%（工程项目为 1%—2%）的扣除，用扣除后的价格参加评审。组成联合体的小微企业与联合体内其他企业、分包企业之间存在直接控股、管理关系的，不享受价格扣除优惠政策。</w:t>
      </w:r>
    </w:p>
    <w:p w14:paraId="101196E2">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 xml:space="preserve">7.转包与分包             </w:t>
      </w:r>
    </w:p>
    <w:p w14:paraId="6AE83B15">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52AEF2AB">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7.2根据《政府采购促进中小企业发展管理办法》（财库[2020]46号）第九条、</w:t>
      </w:r>
      <w:r>
        <w:rPr>
          <w:rFonts w:hint="eastAsia"/>
          <w:color w:val="auto"/>
          <w:highlight w:val="none"/>
        </w:rPr>
        <w:t>《广西壮族自治区财政厅关于贯彻落实政府采购支持中小企业发展政策的通知》（桂财采〔2022〕31号）及</w:t>
      </w:r>
      <w:r>
        <w:rPr>
          <w:rFonts w:hint="eastAsia" w:ascii="宋体" w:hAnsi="宋体" w:cs="宋体"/>
          <w:color w:val="auto"/>
          <w:szCs w:val="21"/>
          <w:highlight w:val="none"/>
        </w:rPr>
        <w:t>《广西壮族自治区财政厅关于持续优化政府采购营商环境推动高质量发展的通知》（桂财采〔2024〕55号）</w:t>
      </w:r>
      <w:r>
        <w:rPr>
          <w:rFonts w:hint="eastAsia" w:ascii="宋体" w:hAnsi="宋体"/>
          <w:bCs/>
          <w:color w:val="auto"/>
          <w:szCs w:val="21"/>
          <w:highlight w:val="none"/>
        </w:rPr>
        <w:t>规定，允许大中型企业向一家或者多家小微企业分包的采购项目，对于分包意向协议约定小微企业的合同份额占到合同总金额 30%以上的，采购人、采购代理机构应当对大中型企业的报价给予 6%的扣除，用扣除后的价格参加评审。接受分包的小微企业与分包企业之间存在直接控股、管理关系的，不享受价格扣除优惠政策。</w:t>
      </w:r>
    </w:p>
    <w:p w14:paraId="6FCB645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8.特别说明：</w:t>
      </w:r>
    </w:p>
    <w:p w14:paraId="4E9C849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8.1如果本招标文件要求投标人提供资格、信誉、荣誉、业绩与企业认证等材料的，则投标人所提供的以上材料必须为投标人所拥有。</w:t>
      </w:r>
    </w:p>
    <w:p w14:paraId="591C3E4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8.2投标人应仔细阅读招标文件的所有内容，按照招标文件的要求提交投标文件，并对所提供的全部资料的真实性承担法律责任。</w:t>
      </w:r>
    </w:p>
    <w:p w14:paraId="024E21F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8.3投标人在投标活动中提供任何虚假材料，将报监管部门查处；中标后发现的，中标人须依照《中华人民共和国消费者权益保护法》规定赔偿采购人，且民事赔偿并不免除违法投标人的行政与刑事责任。</w:t>
      </w:r>
    </w:p>
    <w:p w14:paraId="7857AF85">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9.回避与串通投标</w:t>
      </w:r>
    </w:p>
    <w:p w14:paraId="60319862">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9.1在政府采购活动中，采购人员及相关人员与供应商有下列利害关系之一的，应当回避：</w:t>
      </w:r>
    </w:p>
    <w:p w14:paraId="223A2313">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）参加采购活动前</w:t>
      </w:r>
      <w:r>
        <w:rPr>
          <w:rFonts w:hAnsi="宋体"/>
          <w:color w:val="auto"/>
          <w:highlight w:val="none"/>
        </w:rPr>
        <w:t>3</w:t>
      </w:r>
      <w:r>
        <w:rPr>
          <w:rFonts w:hint="eastAsia" w:hAnsi="宋体"/>
          <w:color w:val="auto"/>
          <w:highlight w:val="none"/>
        </w:rPr>
        <w:t>年内与供应商存在劳动关系；</w:t>
      </w:r>
    </w:p>
    <w:p w14:paraId="2CD5C92C">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）参加采购活动前</w:t>
      </w:r>
      <w:r>
        <w:rPr>
          <w:rFonts w:hAnsi="宋体"/>
          <w:color w:val="auto"/>
          <w:highlight w:val="none"/>
        </w:rPr>
        <w:t>3</w:t>
      </w:r>
      <w:r>
        <w:rPr>
          <w:rFonts w:hint="eastAsia" w:hAnsi="宋体"/>
          <w:color w:val="auto"/>
          <w:highlight w:val="none"/>
        </w:rPr>
        <w:t>年内担任供应商的董事、监事；</w:t>
      </w:r>
    </w:p>
    <w:p w14:paraId="18010677">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）参加采购活动前</w:t>
      </w:r>
      <w:r>
        <w:rPr>
          <w:rFonts w:hAnsi="宋体"/>
          <w:color w:val="auto"/>
          <w:highlight w:val="none"/>
        </w:rPr>
        <w:t>3</w:t>
      </w:r>
      <w:r>
        <w:rPr>
          <w:rFonts w:hint="eastAsia" w:hAnsi="宋体"/>
          <w:color w:val="auto"/>
          <w:highlight w:val="none"/>
        </w:rPr>
        <w:t>年内是供应商的控股股东或者实际控制人；</w:t>
      </w:r>
    </w:p>
    <w:p w14:paraId="03280BC0">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）与供应商的法定代表人或者负责人有夫妻、直系血亲、三代以内旁系血亲或者近姻亲关系；</w:t>
      </w:r>
    </w:p>
    <w:p w14:paraId="49E336D4">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5</w:t>
      </w:r>
      <w:r>
        <w:rPr>
          <w:rFonts w:hint="eastAsia" w:hAnsi="宋体"/>
          <w:color w:val="auto"/>
          <w:highlight w:val="none"/>
        </w:rPr>
        <w:t>）与供应商有其他可能影响政府采购活动公平、公正进行的关系。</w:t>
      </w:r>
    </w:p>
    <w:p w14:paraId="64CAB715">
      <w:pPr>
        <w:spacing w:line="360" w:lineRule="auto"/>
        <w:ind w:firstLine="420" w:firstLineChars="200"/>
        <w:rPr>
          <w:rFonts w:hint="eastAsia" w:hAnsi="宋体"/>
          <w:color w:val="auto"/>
          <w:highlight w:val="none"/>
        </w:rPr>
      </w:pPr>
      <w:r>
        <w:rPr>
          <w:rFonts w:hint="eastAsia" w:hAnsi="宋体"/>
          <w:color w:val="auto"/>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943BE0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9.2有下列情形之一的视为投标人相互串通投标，投标文件将被视为无效：</w:t>
      </w:r>
    </w:p>
    <w:p w14:paraId="60D62567">
      <w:pPr>
        <w:spacing w:line="360" w:lineRule="auto"/>
        <w:ind w:firstLine="422" w:firstLineChars="200"/>
        <w:rPr>
          <w:rFonts w:hint="eastAsia" w:hAnsi="宋体"/>
          <w:b/>
          <w:color w:val="auto"/>
          <w:highlight w:val="none"/>
        </w:rPr>
      </w:pPr>
      <w:r>
        <w:rPr>
          <w:rFonts w:hint="eastAsia" w:hAnsi="宋体"/>
          <w:b/>
          <w:color w:val="auto"/>
          <w:highlight w:val="none"/>
        </w:rPr>
        <w:t>（</w:t>
      </w:r>
      <w:r>
        <w:rPr>
          <w:rFonts w:hAnsi="宋体"/>
          <w:b/>
          <w:color w:val="auto"/>
          <w:highlight w:val="none"/>
        </w:rPr>
        <w:t>1</w:t>
      </w:r>
      <w:r>
        <w:rPr>
          <w:rFonts w:hint="eastAsia" w:hAnsi="宋体"/>
          <w:b/>
          <w:color w:val="auto"/>
          <w:highlight w:val="none"/>
        </w:rPr>
        <w:t>）不同投标人的投标文件由同一单位或者个人编制；或者不同投标人报名的</w:t>
      </w:r>
      <w:r>
        <w:rPr>
          <w:rFonts w:hAnsi="宋体"/>
          <w:b/>
          <w:color w:val="auto"/>
          <w:highlight w:val="none"/>
        </w:rPr>
        <w:t>IP</w:t>
      </w:r>
      <w:r>
        <w:rPr>
          <w:rFonts w:hint="eastAsia" w:hAnsi="宋体"/>
          <w:b/>
          <w:color w:val="auto"/>
          <w:highlight w:val="none"/>
        </w:rPr>
        <w:t>地址一致的；或者编制标书硬件设备</w:t>
      </w:r>
      <w:r>
        <w:rPr>
          <w:rFonts w:hAnsi="宋体"/>
          <w:b/>
          <w:color w:val="auto"/>
          <w:highlight w:val="none"/>
        </w:rPr>
        <w:t>CPU</w:t>
      </w:r>
      <w:r>
        <w:rPr>
          <w:rFonts w:hint="eastAsia" w:hAnsi="宋体"/>
          <w:b/>
          <w:color w:val="auto"/>
          <w:highlight w:val="none"/>
        </w:rPr>
        <w:t>编号、硬盘编号、网卡地址一致的情况。</w:t>
      </w:r>
    </w:p>
    <w:p w14:paraId="4F70471F">
      <w:pPr>
        <w:spacing w:line="360" w:lineRule="auto"/>
        <w:ind w:firstLine="422" w:firstLineChars="200"/>
        <w:rPr>
          <w:rFonts w:hint="eastAsia" w:hAnsi="宋体"/>
          <w:b/>
          <w:color w:val="auto"/>
          <w:highlight w:val="none"/>
        </w:rPr>
      </w:pPr>
      <w:r>
        <w:rPr>
          <w:rFonts w:hint="eastAsia" w:hAnsi="宋体"/>
          <w:b/>
          <w:color w:val="auto"/>
          <w:highlight w:val="none"/>
        </w:rPr>
        <w:t>（</w:t>
      </w:r>
      <w:r>
        <w:rPr>
          <w:rFonts w:hAnsi="宋体"/>
          <w:b/>
          <w:color w:val="auto"/>
          <w:highlight w:val="none"/>
        </w:rPr>
        <w:t>2</w:t>
      </w:r>
      <w:r>
        <w:rPr>
          <w:rFonts w:hint="eastAsia" w:hAnsi="宋体"/>
          <w:b/>
          <w:color w:val="auto"/>
          <w:highlight w:val="none"/>
        </w:rPr>
        <w:t>）不同投标人委托同一单位或者个人办理投标事宜；</w:t>
      </w:r>
    </w:p>
    <w:p w14:paraId="427C6FDF">
      <w:pPr>
        <w:spacing w:line="360" w:lineRule="auto"/>
        <w:ind w:firstLine="422" w:firstLineChars="200"/>
        <w:rPr>
          <w:rFonts w:hint="eastAsia" w:hAnsi="宋体"/>
          <w:b/>
          <w:color w:val="auto"/>
          <w:highlight w:val="none"/>
        </w:rPr>
      </w:pPr>
      <w:r>
        <w:rPr>
          <w:rFonts w:hint="eastAsia" w:hAnsi="宋体"/>
          <w:b/>
          <w:color w:val="auto"/>
          <w:highlight w:val="none"/>
        </w:rPr>
        <w:t>（</w:t>
      </w:r>
      <w:r>
        <w:rPr>
          <w:rFonts w:hAnsi="宋体"/>
          <w:b/>
          <w:color w:val="auto"/>
          <w:highlight w:val="none"/>
        </w:rPr>
        <w:t>3</w:t>
      </w:r>
      <w:r>
        <w:rPr>
          <w:rFonts w:hint="eastAsia" w:hAnsi="宋体"/>
          <w:b/>
          <w:color w:val="auto"/>
          <w:highlight w:val="none"/>
        </w:rPr>
        <w:t>）不同的投标人的投标文件载明的项目管理员为同一个人；</w:t>
      </w:r>
    </w:p>
    <w:p w14:paraId="2A12EDD4">
      <w:pPr>
        <w:spacing w:line="360" w:lineRule="auto"/>
        <w:ind w:firstLine="422" w:firstLineChars="200"/>
        <w:rPr>
          <w:rFonts w:hint="eastAsia" w:hAnsi="宋体"/>
          <w:b/>
          <w:color w:val="auto"/>
          <w:highlight w:val="none"/>
        </w:rPr>
      </w:pPr>
      <w:r>
        <w:rPr>
          <w:rFonts w:hint="eastAsia" w:hAnsi="宋体"/>
          <w:b/>
          <w:color w:val="auto"/>
          <w:highlight w:val="none"/>
        </w:rPr>
        <w:t>（</w:t>
      </w:r>
      <w:r>
        <w:rPr>
          <w:rFonts w:hAnsi="宋体"/>
          <w:b/>
          <w:color w:val="auto"/>
          <w:highlight w:val="none"/>
        </w:rPr>
        <w:t>4</w:t>
      </w:r>
      <w:r>
        <w:rPr>
          <w:rFonts w:hint="eastAsia" w:hAnsi="宋体"/>
          <w:b/>
          <w:color w:val="auto"/>
          <w:highlight w:val="none"/>
        </w:rPr>
        <w:t>）不同投标人的电子或纸质投标文件异常一致或者投标报价呈规律性差异；</w:t>
      </w:r>
    </w:p>
    <w:p w14:paraId="319BCB3B">
      <w:pPr>
        <w:spacing w:line="360" w:lineRule="auto"/>
        <w:ind w:firstLine="422" w:firstLineChars="200"/>
        <w:rPr>
          <w:rFonts w:hint="eastAsia" w:hAnsi="宋体"/>
          <w:b/>
          <w:color w:val="auto"/>
          <w:highlight w:val="none"/>
        </w:rPr>
      </w:pPr>
      <w:r>
        <w:rPr>
          <w:rFonts w:hint="eastAsia" w:hAnsi="宋体"/>
          <w:b/>
          <w:color w:val="auto"/>
          <w:highlight w:val="none"/>
        </w:rPr>
        <w:t>（</w:t>
      </w:r>
      <w:r>
        <w:rPr>
          <w:rFonts w:hAnsi="宋体"/>
          <w:b/>
          <w:color w:val="auto"/>
          <w:highlight w:val="none"/>
        </w:rPr>
        <w:t>5</w:t>
      </w:r>
      <w:r>
        <w:rPr>
          <w:rFonts w:hint="eastAsia" w:hAnsi="宋体"/>
          <w:b/>
          <w:color w:val="auto"/>
          <w:highlight w:val="none"/>
        </w:rPr>
        <w:t>）不同投标人的纸质投标文件相互混装；</w:t>
      </w:r>
    </w:p>
    <w:p w14:paraId="6358925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9.3供应商有下列情形之一的，属于恶意串通行为，将报同级监督管理部门：</w:t>
      </w:r>
    </w:p>
    <w:p w14:paraId="1E06FBB3">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）供应商直接或者间接从采购人或者采购代理机构处获得其他供应商的相关信息并修改其投标文件或者投标文件；</w:t>
      </w:r>
    </w:p>
    <w:p w14:paraId="34E7EF71">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）供应商按照采购人或者采购代理机构的授意撤换、修改投标文件或者投标文件；</w:t>
      </w:r>
    </w:p>
    <w:p w14:paraId="68F8EF0C">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）供应商之间协商报价、技术方案等投标文件或者投标文件的实质性内容；</w:t>
      </w:r>
    </w:p>
    <w:p w14:paraId="71174097">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）属于同一集团、协会、商会等组织成员的供应商按照该组织要求协同参加政府采购活动；</w:t>
      </w:r>
    </w:p>
    <w:p w14:paraId="0A61F356">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5</w:t>
      </w:r>
      <w:r>
        <w:rPr>
          <w:rFonts w:hint="eastAsia" w:hAnsi="宋体"/>
          <w:color w:val="auto"/>
          <w:highlight w:val="none"/>
        </w:rPr>
        <w:t>）供应商之间事先约定一致抬高或者压低投标报价，或者在招标项目中事先约定轮流以高价位或者低价位中标，或者事先约定由某一特定供应商中标，然后再参加投标；</w:t>
      </w:r>
    </w:p>
    <w:p w14:paraId="3BBF41F5">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6</w:t>
      </w:r>
      <w:r>
        <w:rPr>
          <w:rFonts w:hint="eastAsia" w:hAnsi="宋体"/>
          <w:color w:val="auto"/>
          <w:highlight w:val="none"/>
        </w:rPr>
        <w:t>）供应商之间商定部分供应商放弃参加政府采购活动或者放弃中标；</w:t>
      </w:r>
    </w:p>
    <w:p w14:paraId="2A28141A">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7</w:t>
      </w:r>
      <w:r>
        <w:rPr>
          <w:rFonts w:hint="eastAsia" w:hAnsi="宋体"/>
          <w:color w:val="auto"/>
          <w:highlight w:val="none"/>
        </w:rPr>
        <w:t>）供应商与采购人或者采购代理机构之间、供应商相互之间，为谋求特定供应商中标或者排斥其他供应商的其他串通行为。</w:t>
      </w:r>
    </w:p>
    <w:p w14:paraId="45D77F2B">
      <w:pPr>
        <w:snapToGrid w:val="0"/>
        <w:spacing w:line="360" w:lineRule="auto"/>
        <w:ind w:left="2" w:leftChars="1" w:firstLine="402" w:firstLineChars="200"/>
        <w:rPr>
          <w:rFonts w:hint="eastAsia" w:ascii="宋体" w:hAnsi="宋体"/>
          <w:b/>
          <w:color w:val="auto"/>
          <w:kern w:val="0"/>
          <w:sz w:val="20"/>
          <w:szCs w:val="20"/>
          <w:highlight w:val="none"/>
        </w:rPr>
      </w:pPr>
    </w:p>
    <w:p w14:paraId="5F2919DF">
      <w:pPr>
        <w:spacing w:line="400" w:lineRule="exact"/>
        <w:ind w:firstLine="643" w:firstLineChars="200"/>
        <w:jc w:val="center"/>
        <w:outlineLvl w:val="2"/>
        <w:rPr>
          <w:b/>
          <w:bCs/>
          <w:color w:val="auto"/>
          <w:kern w:val="0"/>
          <w:sz w:val="32"/>
          <w:szCs w:val="32"/>
          <w:highlight w:val="none"/>
        </w:rPr>
      </w:pPr>
      <w:bookmarkStart w:id="13" w:name="_Toc26415"/>
      <w:r>
        <w:rPr>
          <w:rFonts w:hint="eastAsia"/>
          <w:b/>
          <w:bCs/>
          <w:color w:val="auto"/>
          <w:kern w:val="0"/>
          <w:sz w:val="32"/>
          <w:szCs w:val="32"/>
          <w:highlight w:val="none"/>
        </w:rPr>
        <w:t>二、招标文件</w:t>
      </w:r>
      <w:bookmarkEnd w:id="13"/>
    </w:p>
    <w:p w14:paraId="4DAF3931">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10.招标文件的组成</w:t>
      </w:r>
    </w:p>
    <w:p w14:paraId="22ABFD3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第一章 招标公告；</w:t>
      </w:r>
    </w:p>
    <w:p w14:paraId="21F05C4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第二章 采购需求； </w:t>
      </w:r>
    </w:p>
    <w:p w14:paraId="5363CE7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第三章 投标人须知；</w:t>
      </w:r>
    </w:p>
    <w:p w14:paraId="0B24433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第四章 评标方法及评标标准；</w:t>
      </w:r>
    </w:p>
    <w:p w14:paraId="43379521">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第五章 拟签订的合同文本；</w:t>
      </w:r>
    </w:p>
    <w:p w14:paraId="646D8D1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第六章 投标文件格式；</w:t>
      </w:r>
    </w:p>
    <w:p w14:paraId="7AE39AA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第七章 质疑、投诉材料格式</w:t>
      </w:r>
    </w:p>
    <w:p w14:paraId="280AD9D7">
      <w:pPr>
        <w:spacing w:line="360" w:lineRule="auto"/>
        <w:ind w:firstLine="420" w:firstLineChars="200"/>
        <w:rPr>
          <w:rFonts w:hint="eastAsia" w:hAnsi="宋体"/>
          <w:color w:val="auto"/>
          <w:highlight w:val="none"/>
        </w:rPr>
      </w:pPr>
      <w:r>
        <w:rPr>
          <w:rFonts w:hint="eastAsia" w:hAnsi="宋体"/>
          <w:color w:val="auto"/>
          <w:highlight w:val="none"/>
        </w:rPr>
        <w:t>根据本章第</w:t>
      </w:r>
      <w:r>
        <w:rPr>
          <w:rFonts w:hAnsi="宋体"/>
          <w:color w:val="auto"/>
          <w:highlight w:val="none"/>
        </w:rPr>
        <w:t>11.1</w:t>
      </w:r>
      <w:r>
        <w:rPr>
          <w:rFonts w:hint="eastAsia" w:hAnsi="宋体"/>
          <w:color w:val="auto"/>
          <w:highlight w:val="none"/>
        </w:rPr>
        <w:t>项的规定对公开招标文件所做的澄清、修改，构成招标文件的组成部分。当公开招标文件与招标文件的澄清和修改就同一内容的表述不一致时，</w:t>
      </w:r>
      <w:r>
        <w:rPr>
          <w:rFonts w:hint="eastAsia"/>
          <w:color w:val="auto"/>
          <w:highlight w:val="none"/>
        </w:rPr>
        <w:t>以最后澄清或修改公告为准。</w:t>
      </w:r>
    </w:p>
    <w:p w14:paraId="69A8998B">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11.招标文件的澄清、修改 、现场考察和答疑会</w:t>
      </w:r>
    </w:p>
    <w:p w14:paraId="657EDB7E">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770FF66B">
      <w:pPr>
        <w:spacing w:line="360" w:lineRule="auto"/>
        <w:ind w:firstLine="420" w:firstLineChars="200"/>
        <w:rPr>
          <w:rFonts w:hint="eastAsia" w:hAnsi="宋体"/>
          <w:color w:val="auto"/>
          <w:highlight w:val="none"/>
        </w:rPr>
      </w:pPr>
      <w:r>
        <w:rPr>
          <w:rFonts w:hAnsi="宋体"/>
          <w:color w:val="auto"/>
          <w:highlight w:val="none"/>
        </w:rPr>
        <w:t xml:space="preserve">11.2 </w:t>
      </w:r>
      <w:r>
        <w:rPr>
          <w:rFonts w:hint="eastAsia" w:hAnsi="宋体"/>
          <w:color w:val="auto"/>
          <w:highlight w:val="none"/>
        </w:rPr>
        <w:t>投标人应认真审阅本公开招标文件，如有疑问，或发现其中有误或有要求不合理的，应在投标人须知前附表规定的</w:t>
      </w:r>
      <w:r>
        <w:rPr>
          <w:rFonts w:hint="eastAsia" w:cs="宋体"/>
          <w:color w:val="auto"/>
          <w:kern w:val="0"/>
          <w:szCs w:val="21"/>
          <w:highlight w:val="none"/>
        </w:rPr>
        <w:t>投标截止时间</w:t>
      </w:r>
      <w:r>
        <w:rPr>
          <w:rFonts w:hint="eastAsia" w:hAnsi="宋体"/>
          <w:color w:val="auto"/>
          <w:highlight w:val="none"/>
        </w:rPr>
        <w:t>前以书面形式要求采购人或采购代理机构对招标文件予以澄清；否则，由此产生的后果由投标人自行负责。</w:t>
      </w:r>
    </w:p>
    <w:p w14:paraId="4269AF54">
      <w:pPr>
        <w:spacing w:line="360" w:lineRule="auto"/>
        <w:ind w:firstLine="420" w:firstLineChars="200"/>
        <w:rPr>
          <w:color w:val="auto"/>
          <w:highlight w:val="none"/>
        </w:rPr>
      </w:pPr>
      <w:r>
        <w:rPr>
          <w:rFonts w:hAnsi="宋体"/>
          <w:color w:val="auto"/>
          <w:highlight w:val="none"/>
        </w:rPr>
        <w:t xml:space="preserve">11.3 </w:t>
      </w:r>
      <w:r>
        <w:rPr>
          <w:rFonts w:hint="eastAsia" w:hAnsi="宋体"/>
          <w:color w:val="auto"/>
          <w:highlight w:val="none"/>
        </w:rPr>
        <w:t>采购人或者采购代理机构可以对已发出的招标文件进行必要的澄清或者修改。澄清或者修改的内容可能影响投标文件编制的，采购人或者采购代理机构应当在投标截止时间至少</w:t>
      </w:r>
      <w:r>
        <w:rPr>
          <w:rFonts w:hAnsi="宋体"/>
          <w:color w:val="auto"/>
          <w:highlight w:val="none"/>
        </w:rPr>
        <w:t>15</w:t>
      </w:r>
      <w:r>
        <w:rPr>
          <w:rFonts w:hint="eastAsia" w:hAnsi="宋体"/>
          <w:color w:val="auto"/>
          <w:highlight w:val="none"/>
        </w:rPr>
        <w:t>日前，以书面形式通知</w:t>
      </w:r>
      <w:r>
        <w:rPr>
          <w:rFonts w:hAnsi="宋体"/>
          <w:color w:val="auto"/>
          <w:highlight w:val="none"/>
        </w:rPr>
        <w:t>(</w:t>
      </w:r>
      <w:r>
        <w:rPr>
          <w:rFonts w:hint="eastAsia" w:hAnsi="宋体"/>
          <w:color w:val="auto"/>
          <w:highlight w:val="none"/>
        </w:rPr>
        <w:t>在“</w:t>
      </w:r>
      <w:r>
        <w:rPr>
          <w:rFonts w:hint="eastAsia" w:hAnsi="宋体"/>
          <w:color w:val="auto"/>
          <w:szCs w:val="21"/>
          <w:highlight w:val="none"/>
        </w:rPr>
        <w:t>投标人须知前附表”</w:t>
      </w:r>
      <w:r>
        <w:rPr>
          <w:rFonts w:hint="eastAsia" w:hAnsi="宋体"/>
          <w:color w:val="auto"/>
          <w:highlight w:val="none"/>
        </w:rPr>
        <w:t>规定的政府采购信息发布媒体上发布更正公告及平台短信通知</w:t>
      </w:r>
      <w:r>
        <w:rPr>
          <w:rFonts w:hAnsi="宋体"/>
          <w:color w:val="auto"/>
          <w:highlight w:val="none"/>
        </w:rPr>
        <w:t>)</w:t>
      </w:r>
      <w:r>
        <w:rPr>
          <w:rFonts w:hint="eastAsia" w:hAnsi="宋体"/>
          <w:color w:val="auto"/>
          <w:highlight w:val="none"/>
        </w:rPr>
        <w:t>所有获取招标文件的潜在投标人；不足</w:t>
      </w:r>
      <w:r>
        <w:rPr>
          <w:rFonts w:hAnsi="宋体"/>
          <w:color w:val="auto"/>
          <w:highlight w:val="none"/>
        </w:rPr>
        <w:t>15</w:t>
      </w:r>
      <w:r>
        <w:rPr>
          <w:rFonts w:hint="eastAsia" w:hAnsi="宋体"/>
          <w:color w:val="auto"/>
          <w:highlight w:val="none"/>
        </w:rPr>
        <w:t>日的，采购人或者采购代理机构应当顺延提交投标文件的截止时间。发出的澄清或者修改不影响投标文件编制的也应在截标前</w:t>
      </w:r>
      <w:r>
        <w:rPr>
          <w:rFonts w:hAnsi="宋体"/>
          <w:color w:val="auto"/>
          <w:highlight w:val="none"/>
        </w:rPr>
        <w:t>3</w:t>
      </w:r>
      <w:r>
        <w:rPr>
          <w:rFonts w:hint="eastAsia" w:hAnsi="宋体"/>
          <w:color w:val="auto"/>
          <w:highlight w:val="none"/>
        </w:rPr>
        <w:t>日发出。</w:t>
      </w:r>
    </w:p>
    <w:p w14:paraId="6F349BDB">
      <w:pPr>
        <w:spacing w:line="360" w:lineRule="auto"/>
        <w:ind w:firstLine="420" w:firstLineChars="200"/>
        <w:rPr>
          <w:color w:val="auto"/>
          <w:highlight w:val="none"/>
        </w:rPr>
      </w:pPr>
      <w:r>
        <w:rPr>
          <w:rFonts w:hAnsi="宋体"/>
          <w:color w:val="auto"/>
          <w:highlight w:val="none"/>
        </w:rPr>
        <w:t xml:space="preserve">11.4 </w:t>
      </w:r>
      <w:r>
        <w:rPr>
          <w:rFonts w:hint="eastAsia"/>
          <w:color w:val="auto"/>
          <w:highlight w:val="none"/>
        </w:rPr>
        <w:t>采购人和采购代理机构可以视采购具体情况，变更投标截止时间和开标时间，将变更时间将在</w:t>
      </w:r>
      <w:r>
        <w:rPr>
          <w:rFonts w:hint="eastAsia" w:hAnsi="宋体"/>
          <w:color w:val="auto"/>
          <w:highlight w:val="none"/>
        </w:rPr>
        <w:t>“</w:t>
      </w:r>
      <w:r>
        <w:rPr>
          <w:rFonts w:hint="eastAsia" w:hAnsi="宋体"/>
          <w:color w:val="auto"/>
          <w:szCs w:val="21"/>
          <w:highlight w:val="none"/>
        </w:rPr>
        <w:t>投标人须知前附表”</w:t>
      </w:r>
      <w:r>
        <w:rPr>
          <w:rFonts w:hint="eastAsia" w:cs="宋体"/>
          <w:color w:val="auto"/>
          <w:kern w:val="0"/>
          <w:szCs w:val="21"/>
          <w:highlight w:val="none"/>
        </w:rPr>
        <w:t>规定的政府采购信息发布媒体上</w:t>
      </w:r>
      <w:r>
        <w:rPr>
          <w:rFonts w:hint="eastAsia"/>
          <w:color w:val="auto"/>
          <w:highlight w:val="none"/>
        </w:rPr>
        <w:t>发布更正公告。</w:t>
      </w:r>
    </w:p>
    <w:p w14:paraId="0B3E5448">
      <w:pPr>
        <w:spacing w:line="360" w:lineRule="auto"/>
        <w:ind w:firstLine="420" w:firstLineChars="200"/>
        <w:rPr>
          <w:rFonts w:hint="eastAsia" w:hAnsi="宋体"/>
          <w:color w:val="auto"/>
          <w:highlight w:val="none"/>
        </w:rPr>
      </w:pPr>
      <w:r>
        <w:rPr>
          <w:rFonts w:hAnsi="宋体"/>
          <w:color w:val="auto"/>
          <w:highlight w:val="none"/>
        </w:rPr>
        <w:t>11.5</w:t>
      </w:r>
      <w:r>
        <w:rPr>
          <w:rFonts w:hint="eastAsia" w:hAnsi="宋体"/>
          <w:color w:val="auto"/>
          <w:highlight w:val="none"/>
        </w:rPr>
        <w:t>采购人或者采购代理机构可以在招标文件提供期限截止后，组织已获取招标文件的潜在投标人现场考察或者召开开标前答疑会，具体详见“投标人须知前附表”。</w:t>
      </w:r>
    </w:p>
    <w:p w14:paraId="2F8F3FE5">
      <w:pPr>
        <w:spacing w:line="400" w:lineRule="exact"/>
        <w:ind w:firstLine="643" w:firstLineChars="200"/>
        <w:jc w:val="center"/>
        <w:outlineLvl w:val="2"/>
        <w:rPr>
          <w:b/>
          <w:bCs/>
          <w:color w:val="auto"/>
          <w:kern w:val="0"/>
          <w:sz w:val="32"/>
          <w:szCs w:val="32"/>
          <w:highlight w:val="none"/>
        </w:rPr>
      </w:pPr>
      <w:bookmarkStart w:id="14" w:name="_Toc9725"/>
      <w:r>
        <w:rPr>
          <w:rFonts w:hint="eastAsia"/>
          <w:b/>
          <w:bCs/>
          <w:color w:val="auto"/>
          <w:kern w:val="0"/>
          <w:sz w:val="32"/>
          <w:szCs w:val="32"/>
          <w:highlight w:val="none"/>
        </w:rPr>
        <w:t>三、投标文件的编制</w:t>
      </w:r>
      <w:bookmarkEnd w:id="14"/>
    </w:p>
    <w:p w14:paraId="1544D03D">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12.投标文件的编制原则</w:t>
      </w:r>
    </w:p>
    <w:p w14:paraId="03F5257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12.1投标人必须按照招标文件的要求编制投标文件。投标文件必须对招标文件提出的要求和条件作出明确响应。</w:t>
      </w:r>
    </w:p>
    <w:p w14:paraId="51F9661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12.2投标人应根据自身实际情况如实响应招标文件，不得仅将招标文件内容简单复制粘贴作为投标响应。</w:t>
      </w:r>
    </w:p>
    <w:p w14:paraId="11882A95">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13.投标文件的组成</w:t>
      </w:r>
    </w:p>
    <w:p w14:paraId="03544CE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13.1投标文件由报价文件、资格证明文件、商务文件、技术文件四部分组成。</w:t>
      </w:r>
    </w:p>
    <w:p w14:paraId="23F803C6">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（1）资格证明文件：具体材料见“投标人须知前附表”。</w:t>
      </w:r>
    </w:p>
    <w:p w14:paraId="2B2F27D9">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（2）商务文件：具体材料见“投标人须知前附表”。</w:t>
      </w:r>
    </w:p>
    <w:p w14:paraId="46C15EB2">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 xml:space="preserve">（3）技术文件：具体材料见“投标人须知前附表”。 </w:t>
      </w:r>
    </w:p>
    <w:p w14:paraId="297A2F8B">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（4）报价文件： 具体材料见“投标人须知前附表”。</w:t>
      </w:r>
    </w:p>
    <w:p w14:paraId="3B9E24DF">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13.2投标文件电子版：具体要求见本节19.投标文件编制。</w:t>
      </w:r>
    </w:p>
    <w:p w14:paraId="5FD0A6B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14.投标文件的语言及计量</w:t>
      </w:r>
    </w:p>
    <w:p w14:paraId="4D0C1CD4">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14.1语言文字</w:t>
      </w:r>
    </w:p>
    <w:p w14:paraId="336199A8">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5E9F7CFD">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14.2投标计量单位</w:t>
      </w:r>
    </w:p>
    <w:p w14:paraId="180AE239">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招标文件已有明确规定的，使用招标文件规定的计量单位；招标文件没有规定的，应采用中华人民共和国法定计量单位，货币种类为人民币，否则视同未响应。</w:t>
      </w:r>
    </w:p>
    <w:p w14:paraId="0F5FE17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15.投标的风险</w:t>
      </w:r>
    </w:p>
    <w:p w14:paraId="6E6720CB">
      <w:pPr>
        <w:spacing w:line="360" w:lineRule="auto"/>
        <w:ind w:firstLine="420" w:firstLineChars="200"/>
        <w:rPr>
          <w:rFonts w:hint="eastAsia" w:hAnsi="宋体"/>
          <w:color w:val="auto"/>
          <w:highlight w:val="none"/>
        </w:rPr>
      </w:pPr>
      <w:r>
        <w:rPr>
          <w:rFonts w:hint="eastAsia" w:hAnsi="宋体"/>
          <w:color w:val="auto"/>
          <w:highlight w:val="none"/>
        </w:rPr>
        <w:t>投标文件分为资格文件、商务文件、技术文件、报价文件四部分（其中：商务文件与技术文件合并编辑成一个电子文档）。各投标人在编制投标文件时请按照招标文件规定的编排格式进行，不按要求提交齐全的文件、混乱的编排导致投标文件被误读或评标委员会查找不到有效文件是造成投标人投标文件无效的风险。</w:t>
      </w:r>
    </w:p>
    <w:p w14:paraId="32569A4C">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16.投标报价</w:t>
      </w:r>
    </w:p>
    <w:p w14:paraId="43B68AA8">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16.1投标报价应</w:t>
      </w:r>
      <w:r>
        <w:rPr>
          <w:rFonts w:hint="eastAsia" w:ascii="宋体" w:hAnsi="宋体"/>
          <w:bCs/>
          <w:color w:val="auto"/>
          <w:szCs w:val="20"/>
          <w:highlight w:val="none"/>
        </w:rPr>
        <w:t>按“第六章　投标文件格式”中“开标一览表”格式填写。</w:t>
      </w:r>
    </w:p>
    <w:p w14:paraId="74F970AE">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16.2投标报价具体包括内容详见“投标人须知前附表”。</w:t>
      </w:r>
    </w:p>
    <w:p w14:paraId="77040BD3">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16.3投标人必须就所投每个分标的全部内容分别作完整唯一总价报价，不得存在漏项报价；投标人必须就所投分标的单项内容作唯一报价。</w:t>
      </w:r>
    </w:p>
    <w:p w14:paraId="1424892F">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17.投标有效期</w:t>
      </w:r>
    </w:p>
    <w:p w14:paraId="7AD4F99C">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17.1投标有效期是指为保证采购人有足够的时间在开标后完成评标、定标、合同签订等工作而要求投标人提交的投标文件在一定时间内保持有效的期限。</w:t>
      </w:r>
    </w:p>
    <w:p w14:paraId="3DA25C18">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17.2 投标有效期应按规定的期限作出承诺，具体详见“投标人须知前附表”。</w:t>
      </w:r>
    </w:p>
    <w:p w14:paraId="61F22533">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17.3投标人的投标文件在投标有效期内均保持有效。</w:t>
      </w:r>
    </w:p>
    <w:p w14:paraId="71BE0A1C">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18.投标保证金</w:t>
      </w:r>
    </w:p>
    <w:p w14:paraId="04B404E5">
      <w:pPr>
        <w:spacing w:line="360" w:lineRule="auto"/>
        <w:ind w:firstLine="420" w:firstLineChars="200"/>
        <w:rPr>
          <w:rFonts w:hint="eastAsia" w:hAnsi="宋体"/>
          <w:color w:val="auto"/>
          <w:szCs w:val="21"/>
          <w:highlight w:val="none"/>
        </w:rPr>
      </w:pPr>
      <w:r>
        <w:rPr>
          <w:rFonts w:hint="eastAsia" w:hAnsi="宋体"/>
          <w:color w:val="auto"/>
          <w:szCs w:val="21"/>
          <w:highlight w:val="none"/>
        </w:rPr>
        <w:t>见“投标人须知前附表”。</w:t>
      </w:r>
    </w:p>
    <w:p w14:paraId="3EA0994C">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19.投标文件的编制</w:t>
      </w:r>
    </w:p>
    <w:p w14:paraId="5705A747">
      <w:pPr>
        <w:spacing w:line="360" w:lineRule="auto"/>
        <w:ind w:firstLine="422" w:firstLineChars="200"/>
        <w:rPr>
          <w:rFonts w:hint="eastAsia" w:hAnsi="宋体"/>
          <w:color w:val="auto"/>
          <w:szCs w:val="21"/>
          <w:highlight w:val="none"/>
        </w:rPr>
      </w:pPr>
      <w:r>
        <w:rPr>
          <w:rFonts w:hint="eastAsia" w:ascii="宋体" w:hAnsi="宋体"/>
          <w:b/>
          <w:color w:val="auto"/>
          <w:szCs w:val="21"/>
          <w:highlight w:val="none"/>
        </w:rPr>
        <w:t xml:space="preserve"> </w:t>
      </w:r>
      <w:r>
        <w:rPr>
          <w:rFonts w:hAnsi="宋体"/>
          <w:color w:val="auto"/>
          <w:szCs w:val="21"/>
          <w:highlight w:val="none"/>
        </w:rPr>
        <w:t>19.1</w:t>
      </w:r>
      <w:r>
        <w:rPr>
          <w:rFonts w:hint="eastAsia" w:hAnsi="宋体"/>
          <w:color w:val="auto"/>
          <w:szCs w:val="21"/>
          <w:highlight w:val="none"/>
        </w:rPr>
        <w:t>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r>
        <w:rPr>
          <w:rFonts w:hAnsi="宋体"/>
          <w:color w:val="auto"/>
          <w:szCs w:val="21"/>
          <w:highlight w:val="none"/>
        </w:rPr>
        <w:t xml:space="preserve"> </w:t>
      </w:r>
    </w:p>
    <w:p w14:paraId="6ECA70E7">
      <w:pPr>
        <w:adjustRightInd w:val="0"/>
        <w:snapToGrid w:val="0"/>
        <w:spacing w:line="360" w:lineRule="auto"/>
        <w:ind w:firstLine="420" w:firstLineChars="200"/>
        <w:rPr>
          <w:rFonts w:hint="eastAsia" w:ascii="Calibri" w:hAnsi="宋体"/>
          <w:color w:val="auto"/>
          <w:kern w:val="0"/>
          <w:szCs w:val="21"/>
          <w:highlight w:val="none"/>
        </w:rPr>
      </w:pPr>
      <w:r>
        <w:rPr>
          <w:rFonts w:ascii="Calibri" w:hAnsi="宋体"/>
          <w:color w:val="auto"/>
          <w:kern w:val="0"/>
          <w:szCs w:val="21"/>
          <w:highlight w:val="none"/>
        </w:rPr>
        <w:t>19.2</w:t>
      </w:r>
      <w:r>
        <w:rPr>
          <w:rFonts w:hint="eastAsia" w:ascii="Calibri" w:hAnsi="宋体"/>
          <w:color w:val="auto"/>
          <w:kern w:val="0"/>
          <w:szCs w:val="21"/>
          <w:highlight w:val="none"/>
        </w:rPr>
        <w:t>投标文件按照招标文件第六章格式要求在规定位置进行签署、盖章。投标人的投标文件未按照招标文件要求签署、盖章的，</w:t>
      </w:r>
      <w:r>
        <w:rPr>
          <w:rFonts w:hint="eastAsia" w:ascii="Calibri" w:hAnsi="宋体"/>
          <w:b/>
          <w:color w:val="auto"/>
          <w:kern w:val="0"/>
          <w:szCs w:val="21"/>
          <w:highlight w:val="none"/>
        </w:rPr>
        <w:t>其投标无效。</w:t>
      </w:r>
      <w:r>
        <w:rPr>
          <w:rFonts w:hint="eastAsia" w:ascii="Calibri" w:hAnsi="宋体"/>
          <w:color w:val="auto"/>
          <w:kern w:val="0"/>
          <w:szCs w:val="21"/>
          <w:highlight w:val="none"/>
        </w:rPr>
        <w:t>骑缝盖公章不视为在规定位置盖章。</w:t>
      </w:r>
    </w:p>
    <w:p w14:paraId="01F5A3EE">
      <w:pPr>
        <w:adjustRightInd w:val="0"/>
        <w:snapToGrid w:val="0"/>
        <w:spacing w:line="360" w:lineRule="auto"/>
        <w:ind w:firstLine="420" w:firstLineChars="200"/>
        <w:rPr>
          <w:rFonts w:hint="eastAsia" w:ascii="Calibri" w:hAnsi="宋体"/>
          <w:color w:val="auto"/>
          <w:kern w:val="0"/>
          <w:szCs w:val="21"/>
          <w:highlight w:val="none"/>
        </w:rPr>
      </w:pPr>
      <w:r>
        <w:rPr>
          <w:rFonts w:ascii="Calibri" w:hAnsi="宋体"/>
          <w:color w:val="auto"/>
          <w:kern w:val="0"/>
          <w:szCs w:val="21"/>
          <w:highlight w:val="none"/>
        </w:rPr>
        <w:t>19.3</w:t>
      </w:r>
      <w:r>
        <w:rPr>
          <w:rFonts w:hint="eastAsia" w:ascii="Calibri" w:hAnsi="宋体"/>
          <w:color w:val="auto"/>
          <w:kern w:val="0"/>
          <w:szCs w:val="21"/>
          <w:highlight w:val="none"/>
        </w:rPr>
        <w:t>为确保网上操作合法、有效和安全，投标人应当在投标截止时间前完成在“广西政府采购云”平台的身份认证，确保在电子投标过程中能够对相关数据电文进行加密和使用电子签名。</w:t>
      </w:r>
    </w:p>
    <w:p w14:paraId="558370AF">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19.4投标文件中标注的投标人名称应与主体资格证明（如营业执照、事业单位法人证书、执业许可证、自然人身份证等）及公章一致，</w:t>
      </w:r>
      <w:r>
        <w:rPr>
          <w:rFonts w:hint="eastAsia" w:ascii="宋体" w:hAnsi="宋体"/>
          <w:color w:val="auto"/>
          <w:szCs w:val="21"/>
          <w:highlight w:val="none"/>
        </w:rPr>
        <w:t>否则作无效投标处理</w:t>
      </w:r>
      <w:r>
        <w:rPr>
          <w:rFonts w:hint="eastAsia" w:ascii="宋体" w:hAnsi="宋体"/>
          <w:b/>
          <w:color w:val="auto"/>
          <w:szCs w:val="21"/>
          <w:highlight w:val="none"/>
        </w:rPr>
        <w:t>。</w:t>
      </w:r>
    </w:p>
    <w:p w14:paraId="105E9915">
      <w:pPr>
        <w:spacing w:line="360" w:lineRule="auto"/>
        <w:ind w:firstLine="420" w:firstLineChars="200"/>
        <w:rPr>
          <w:rFonts w:hint="eastAsia" w:ascii="宋体" w:hAnsi="宋体" w:cs="宋体"/>
          <w:color w:val="auto"/>
          <w:szCs w:val="21"/>
          <w:highlight w:val="none"/>
        </w:rPr>
      </w:pPr>
      <w:r>
        <w:rPr>
          <w:rFonts w:hAnsi="宋体"/>
          <w:color w:val="auto"/>
          <w:szCs w:val="21"/>
          <w:highlight w:val="none"/>
        </w:rPr>
        <w:t xml:space="preserve"> 19.5</w:t>
      </w:r>
      <w:r>
        <w:rPr>
          <w:rFonts w:hint="eastAsia" w:hAnsi="宋体"/>
          <w:color w:val="auto"/>
          <w:szCs w:val="21"/>
          <w:highlight w:val="none"/>
        </w:rPr>
        <w:t>投标文件应避免涂改、行间插字或者删除，</w:t>
      </w:r>
      <w:r>
        <w:rPr>
          <w:rFonts w:hint="eastAsia" w:ascii="宋体" w:hAnsi="宋体" w:cs="宋体"/>
          <w:b/>
          <w:color w:val="auto"/>
          <w:szCs w:val="21"/>
          <w:highlight w:val="none"/>
        </w:rPr>
        <w:t>否则其投标无效。</w:t>
      </w:r>
    </w:p>
    <w:p w14:paraId="6815CC02">
      <w:pPr>
        <w:spacing w:line="360" w:lineRule="auto"/>
        <w:ind w:firstLine="525" w:firstLineChars="250"/>
        <w:rPr>
          <w:rFonts w:hint="eastAsia" w:hAnsi="宋体"/>
          <w:color w:val="auto"/>
          <w:highlight w:val="none"/>
        </w:rPr>
      </w:pPr>
      <w:r>
        <w:rPr>
          <w:rFonts w:hAnsi="宋体"/>
          <w:color w:val="auto"/>
          <w:highlight w:val="none"/>
        </w:rPr>
        <w:t xml:space="preserve">19.6 </w:t>
      </w:r>
      <w:r>
        <w:rPr>
          <w:rFonts w:hint="eastAsia" w:hAnsi="宋体"/>
          <w:color w:val="auto"/>
          <w:highlight w:val="none"/>
        </w:rPr>
        <w:t>对招标文件的实质性要求和条件作出响应是指投标人必须对招标文件中标注为实质性要求和条件的</w:t>
      </w:r>
      <w:r>
        <w:rPr>
          <w:rFonts w:hint="eastAsia"/>
          <w:color w:val="auto"/>
          <w:szCs w:val="21"/>
          <w:highlight w:val="none"/>
        </w:rPr>
        <w:t>服务内容及要求</w:t>
      </w:r>
      <w:r>
        <w:rPr>
          <w:rFonts w:hint="eastAsia" w:hAnsi="宋体"/>
          <w:color w:val="auto"/>
          <w:highlight w:val="none"/>
        </w:rPr>
        <w:t>、商务条款及其它内容</w:t>
      </w:r>
      <w:r>
        <w:rPr>
          <w:rFonts w:hint="eastAsia"/>
          <w:b/>
          <w:color w:val="auto"/>
          <w:highlight w:val="none"/>
        </w:rPr>
        <w:t>作出满足或者优于原要求和条件的承诺</w:t>
      </w:r>
      <w:r>
        <w:rPr>
          <w:rFonts w:hint="eastAsia"/>
          <w:color w:val="auto"/>
          <w:highlight w:val="none"/>
        </w:rPr>
        <w:t>。</w:t>
      </w:r>
    </w:p>
    <w:p w14:paraId="7DAB3085">
      <w:pPr>
        <w:spacing w:line="360" w:lineRule="auto"/>
        <w:ind w:firstLine="422" w:firstLineChars="200"/>
        <w:rPr>
          <w:rFonts w:hint="eastAsia" w:ascii="宋体" w:hAnsi="宋体"/>
          <w:b/>
          <w:color w:val="auto"/>
          <w:szCs w:val="21"/>
          <w:highlight w:val="none"/>
          <w:u w:val="single"/>
        </w:rPr>
      </w:pPr>
      <w:r>
        <w:rPr>
          <w:rFonts w:hint="eastAsia" w:ascii="宋体" w:hAnsi="宋体"/>
          <w:b/>
          <w:color w:val="auto"/>
          <w:szCs w:val="21"/>
          <w:highlight w:val="none"/>
          <w:u w:val="single"/>
        </w:rPr>
        <w:t>19.7本项目为全流程电子化项目，异常情况见“第二节 投标人须知正文”中“四、24.2开标程序。</w:t>
      </w:r>
    </w:p>
    <w:p w14:paraId="672C2136">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20.备份投标文件</w:t>
      </w:r>
    </w:p>
    <w:p w14:paraId="10AB755B">
      <w:pPr>
        <w:spacing w:line="360" w:lineRule="auto"/>
        <w:ind w:firstLine="420" w:firstLineChars="200"/>
        <w:rPr>
          <w:rFonts w:hint="eastAsia" w:ascii="黑体" w:hAnsi="黑体" w:eastAsia="黑体"/>
          <w:color w:val="auto"/>
          <w:sz w:val="24"/>
          <w:highlight w:val="none"/>
        </w:rPr>
      </w:pPr>
      <w:r>
        <w:rPr>
          <w:rFonts w:hint="eastAsia" w:hAnsi="宋体"/>
          <w:bCs/>
          <w:color w:val="auto"/>
          <w:szCs w:val="21"/>
          <w:highlight w:val="none"/>
        </w:rPr>
        <w:t>详见在“投标人须知前附表”。</w:t>
      </w:r>
    </w:p>
    <w:p w14:paraId="2417026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21.投标文件的提交</w:t>
      </w:r>
    </w:p>
    <w:p w14:paraId="76CFC035">
      <w:pPr>
        <w:spacing w:line="360" w:lineRule="auto"/>
        <w:ind w:firstLine="420" w:firstLineChars="200"/>
        <w:rPr>
          <w:rFonts w:hint="eastAsia" w:hAnsi="宋体"/>
          <w:b/>
          <w:color w:val="auto"/>
          <w:highlight w:val="none"/>
        </w:rPr>
      </w:pPr>
      <w:r>
        <w:rPr>
          <w:rFonts w:hAnsi="宋体"/>
          <w:bCs/>
          <w:color w:val="auto"/>
          <w:szCs w:val="21"/>
          <w:highlight w:val="none"/>
        </w:rPr>
        <w:t>21.1</w:t>
      </w:r>
      <w:r>
        <w:rPr>
          <w:rFonts w:hint="eastAsia" w:hAnsi="宋体"/>
          <w:bCs/>
          <w:color w:val="auto"/>
          <w:szCs w:val="21"/>
          <w:highlight w:val="none"/>
        </w:rPr>
        <w:t>投标人必须在“投标人须知前附表”规定的投标文件接收时间和投标地点提交电子版投标文件。电子投标文件应在制作完成后，在投标截止时间前通过有效数字证书（</w:t>
      </w:r>
      <w:r>
        <w:rPr>
          <w:rFonts w:hAnsi="宋体"/>
          <w:bCs/>
          <w:color w:val="auto"/>
          <w:szCs w:val="21"/>
          <w:highlight w:val="none"/>
        </w:rPr>
        <w:t>CA</w:t>
      </w:r>
      <w:r>
        <w:rPr>
          <w:rFonts w:hint="eastAsia" w:hAnsi="宋体"/>
          <w:bCs/>
          <w:color w:val="auto"/>
          <w:szCs w:val="21"/>
          <w:highlight w:val="none"/>
        </w:rPr>
        <w:t>认证锁）进行电子签章、加密，然后通过网络将加密的电子投标文件递交至“</w:t>
      </w:r>
      <w:r>
        <w:rPr>
          <w:rFonts w:hint="eastAsia" w:ascii="Calibri" w:hAnsi="宋体"/>
          <w:color w:val="auto"/>
          <w:kern w:val="0"/>
          <w:szCs w:val="21"/>
          <w:highlight w:val="none"/>
        </w:rPr>
        <w:t>广西政府采购云</w:t>
      </w:r>
      <w:r>
        <w:rPr>
          <w:rFonts w:hint="eastAsia" w:hAnsi="宋体"/>
          <w:bCs/>
          <w:color w:val="auto"/>
          <w:szCs w:val="21"/>
          <w:highlight w:val="none"/>
        </w:rPr>
        <w:t>平台”。</w:t>
      </w:r>
      <w:r>
        <w:rPr>
          <w:rFonts w:hAnsi="宋体"/>
          <w:bCs/>
          <w:color w:val="auto"/>
          <w:szCs w:val="21"/>
          <w:highlight w:val="none"/>
        </w:rPr>
        <w:t xml:space="preserve"> </w:t>
      </w:r>
      <w:r>
        <w:rPr>
          <w:rFonts w:hAnsi="宋体"/>
          <w:b/>
          <w:color w:val="auto"/>
          <w:highlight w:val="none"/>
        </w:rPr>
        <w:t xml:space="preserve"> </w:t>
      </w:r>
    </w:p>
    <w:p w14:paraId="0C367906">
      <w:pPr>
        <w:spacing w:line="360" w:lineRule="auto"/>
        <w:ind w:firstLine="422" w:firstLineChars="200"/>
        <w:rPr>
          <w:rFonts w:hint="eastAsia" w:ascii="宋体" w:hAnsi="宋体"/>
          <w:b/>
          <w:color w:val="auto"/>
          <w:szCs w:val="20"/>
          <w:highlight w:val="none"/>
        </w:rPr>
      </w:pPr>
      <w:r>
        <w:rPr>
          <w:rFonts w:hint="eastAsia" w:ascii="宋体" w:hAnsi="宋体"/>
          <w:b/>
          <w:color w:val="auto"/>
          <w:szCs w:val="21"/>
          <w:highlight w:val="none"/>
        </w:rPr>
        <w:t>21.2未在规定时间内提交或者未按照招标文件要求密封或者标记的电子投标文件，“</w:t>
      </w:r>
      <w:r>
        <w:rPr>
          <w:rFonts w:hint="eastAsia" w:ascii="Calibri" w:hAnsi="宋体"/>
          <w:color w:val="auto"/>
          <w:kern w:val="0"/>
          <w:szCs w:val="21"/>
          <w:highlight w:val="none"/>
        </w:rPr>
        <w:t>广西政府采购云</w:t>
      </w:r>
      <w:r>
        <w:rPr>
          <w:rFonts w:hint="eastAsia" w:ascii="宋体" w:hAnsi="宋体"/>
          <w:b/>
          <w:color w:val="auto"/>
          <w:szCs w:val="21"/>
          <w:highlight w:val="none"/>
        </w:rPr>
        <w:t>”平台将拒收。</w:t>
      </w:r>
    </w:p>
    <w:p w14:paraId="59B551C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21.3电子版投标文件提交方式见“招标公告”中“四、提交投标文件截止时间、开标时间和地点”</w:t>
      </w:r>
      <w:r>
        <w:rPr>
          <w:rFonts w:hint="eastAsia" w:ascii="宋体" w:hAnsi="宋体"/>
          <w:b/>
          <w:color w:val="auto"/>
          <w:szCs w:val="21"/>
          <w:highlight w:val="none"/>
        </w:rPr>
        <w:t xml:space="preserve"> 。</w:t>
      </w:r>
    </w:p>
    <w:p w14:paraId="54D6772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22. 投标文件的补充、修改、撤回与退回</w:t>
      </w:r>
    </w:p>
    <w:p w14:paraId="2CC37A37">
      <w:pPr>
        <w:spacing w:line="360" w:lineRule="auto"/>
        <w:ind w:firstLine="420" w:firstLineChars="200"/>
        <w:rPr>
          <w:rFonts w:hint="eastAsia" w:ascii="黑体" w:hAnsi="黑体" w:eastAsia="黑体"/>
          <w:color w:val="auto"/>
          <w:sz w:val="24"/>
          <w:highlight w:val="none"/>
        </w:rPr>
      </w:pPr>
      <w:r>
        <w:rPr>
          <w:rFonts w:hint="eastAsia" w:ascii="宋体" w:hAnsi="宋体" w:cs="宋体"/>
          <w:color w:val="auto"/>
          <w:szCs w:val="21"/>
          <w:highlight w:val="none"/>
        </w:rPr>
        <w:t>22.1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w:t>
      </w:r>
      <w:r>
        <w:rPr>
          <w:rFonts w:hint="eastAsia" w:ascii="Calibri" w:hAnsi="宋体"/>
          <w:color w:val="auto"/>
          <w:kern w:val="0"/>
          <w:szCs w:val="21"/>
          <w:highlight w:val="none"/>
        </w:rPr>
        <w:t>广西政府采购云</w:t>
      </w:r>
      <w:r>
        <w:rPr>
          <w:rFonts w:hint="eastAsia" w:ascii="宋体" w:hAnsi="宋体" w:cs="宋体"/>
          <w:color w:val="auto"/>
          <w:szCs w:val="21"/>
          <w:highlight w:val="none"/>
        </w:rPr>
        <w:t>”平台将拒收。（补充、修改或者撤回方式见公告附件“电子投标文件制作与投送教程”）</w:t>
      </w:r>
    </w:p>
    <w:p w14:paraId="61E77A12">
      <w:pPr>
        <w:adjustRightIn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22.2“</w:t>
      </w:r>
      <w:r>
        <w:rPr>
          <w:rFonts w:hint="eastAsia" w:ascii="Calibri" w:hAnsi="宋体"/>
          <w:color w:val="auto"/>
          <w:kern w:val="0"/>
          <w:szCs w:val="21"/>
          <w:highlight w:val="none"/>
        </w:rPr>
        <w:t xml:space="preserve"> 广西政府采购云</w:t>
      </w:r>
      <w:r>
        <w:rPr>
          <w:rFonts w:hint="eastAsia" w:ascii="宋体" w:hAnsi="宋体" w:cs="宋体"/>
          <w:color w:val="auto"/>
          <w:kern w:val="0"/>
          <w:szCs w:val="21"/>
          <w:highlight w:val="none"/>
        </w:rPr>
        <w:t>”平台收到投标文件，将妥善保存并即时向供应商发出确认回执通知。在投标截止时间前，除供应商补充、修改或者撤回投标文件外，任何单位和个人不得解密或提取投标文件。</w:t>
      </w:r>
    </w:p>
    <w:p w14:paraId="7719AAE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22.3在投标截止时间止提交电子版投标文件的投标人不足3家时，电子版投标文件由代理机构在“</w:t>
      </w:r>
      <w:r>
        <w:rPr>
          <w:rFonts w:hint="eastAsia" w:ascii="Calibri" w:hAnsi="宋体"/>
          <w:color w:val="auto"/>
          <w:kern w:val="0"/>
          <w:szCs w:val="21"/>
          <w:highlight w:val="none"/>
        </w:rPr>
        <w:t>广西政府采购云</w:t>
      </w:r>
      <w:r>
        <w:rPr>
          <w:rFonts w:hint="eastAsia" w:ascii="宋体" w:hAnsi="宋体" w:cs="宋体"/>
          <w:color w:val="auto"/>
          <w:szCs w:val="21"/>
          <w:highlight w:val="none"/>
        </w:rPr>
        <w:t>”平台操作退回，除此之外采购人和采购代理机构对已提交的投标文件概不退回。</w:t>
      </w:r>
    </w:p>
    <w:p w14:paraId="0D442BE8">
      <w:pPr>
        <w:snapToGrid w:val="0"/>
        <w:spacing w:line="400" w:lineRule="exact"/>
        <w:ind w:firstLine="739"/>
        <w:rPr>
          <w:rFonts w:hint="eastAsia" w:ascii="宋体" w:hAnsi="宋体"/>
          <w:snapToGrid w:val="0"/>
          <w:color w:val="auto"/>
          <w:spacing w:val="-4"/>
          <w:kern w:val="0"/>
          <w:szCs w:val="21"/>
          <w:highlight w:val="none"/>
        </w:rPr>
      </w:pPr>
    </w:p>
    <w:p w14:paraId="47A6E755">
      <w:pPr>
        <w:spacing w:line="400" w:lineRule="exact"/>
        <w:ind w:firstLine="643" w:firstLineChars="200"/>
        <w:jc w:val="center"/>
        <w:outlineLvl w:val="2"/>
        <w:rPr>
          <w:b/>
          <w:bCs/>
          <w:color w:val="auto"/>
          <w:kern w:val="0"/>
          <w:sz w:val="32"/>
          <w:szCs w:val="32"/>
          <w:highlight w:val="none"/>
        </w:rPr>
      </w:pPr>
      <w:bookmarkStart w:id="15" w:name="_Toc18901"/>
      <w:r>
        <w:rPr>
          <w:rFonts w:hint="eastAsia"/>
          <w:b/>
          <w:bCs/>
          <w:color w:val="auto"/>
          <w:kern w:val="0"/>
          <w:sz w:val="32"/>
          <w:szCs w:val="32"/>
          <w:highlight w:val="none"/>
        </w:rPr>
        <w:t>四、开</w:t>
      </w:r>
      <w:r>
        <w:rPr>
          <w:b/>
          <w:bCs/>
          <w:color w:val="auto"/>
          <w:kern w:val="0"/>
          <w:sz w:val="32"/>
          <w:szCs w:val="32"/>
          <w:highlight w:val="none"/>
        </w:rPr>
        <w:t xml:space="preserve">    </w:t>
      </w:r>
      <w:r>
        <w:rPr>
          <w:rFonts w:hint="eastAsia"/>
          <w:b/>
          <w:bCs/>
          <w:color w:val="auto"/>
          <w:kern w:val="0"/>
          <w:sz w:val="32"/>
          <w:szCs w:val="32"/>
          <w:highlight w:val="none"/>
        </w:rPr>
        <w:t>标</w:t>
      </w:r>
      <w:bookmarkEnd w:id="15"/>
    </w:p>
    <w:p w14:paraId="423F4B20">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23.开标时间和地点</w:t>
      </w:r>
    </w:p>
    <w:p w14:paraId="08439BFA">
      <w:pPr>
        <w:spacing w:line="360" w:lineRule="auto"/>
        <w:ind w:firstLine="420" w:firstLineChars="200"/>
        <w:rPr>
          <w:rFonts w:hint="eastAsia" w:hAnsi="宋体"/>
          <w:bCs/>
          <w:color w:val="auto"/>
          <w:highlight w:val="none"/>
        </w:rPr>
      </w:pPr>
      <w:r>
        <w:rPr>
          <w:rFonts w:hAnsi="宋体"/>
          <w:bCs/>
          <w:color w:val="auto"/>
          <w:highlight w:val="none"/>
        </w:rPr>
        <w:t>23.1</w:t>
      </w:r>
      <w:r>
        <w:rPr>
          <w:rFonts w:hint="eastAsia" w:hAnsi="宋体"/>
          <w:bCs/>
          <w:color w:val="auto"/>
          <w:highlight w:val="none"/>
        </w:rPr>
        <w:t>开标时间及地点详见“投标人须知前附表”</w:t>
      </w:r>
    </w:p>
    <w:p w14:paraId="5A051055">
      <w:pPr>
        <w:spacing w:line="360" w:lineRule="auto"/>
        <w:ind w:firstLine="420" w:firstLineChars="200"/>
        <w:rPr>
          <w:color w:val="auto"/>
          <w:highlight w:val="none"/>
        </w:rPr>
      </w:pPr>
      <w:r>
        <w:rPr>
          <w:rFonts w:hAnsi="宋体"/>
          <w:color w:val="auto"/>
          <w:highlight w:val="none"/>
        </w:rPr>
        <w:t>23.2</w:t>
      </w:r>
      <w:r>
        <w:rPr>
          <w:rFonts w:hint="eastAsia" w:hAnsi="宋体"/>
          <w:color w:val="auto"/>
          <w:highlight w:val="none"/>
        </w:rPr>
        <w:t>如</w:t>
      </w:r>
      <w:r>
        <w:rPr>
          <w:rFonts w:hint="eastAsia" w:hAnsi="宋体"/>
          <w:bCs/>
          <w:color w:val="auto"/>
          <w:highlight w:val="none"/>
        </w:rPr>
        <w:t>投标人成功解密投标文件，但未在“</w:t>
      </w:r>
      <w:r>
        <w:rPr>
          <w:rFonts w:hint="eastAsia" w:ascii="Calibri" w:hAnsi="宋体"/>
          <w:color w:val="auto"/>
          <w:kern w:val="0"/>
          <w:szCs w:val="21"/>
          <w:highlight w:val="none"/>
        </w:rPr>
        <w:t>广西政府采购云</w:t>
      </w:r>
      <w:r>
        <w:rPr>
          <w:rFonts w:hint="eastAsia" w:hAnsi="宋体"/>
          <w:bCs/>
          <w:color w:val="auto"/>
          <w:highlight w:val="none"/>
        </w:rPr>
        <w:t>”电子开标大厅参加开标的，视同认可开标过程和结果，</w:t>
      </w:r>
      <w:r>
        <w:rPr>
          <w:rFonts w:hint="eastAsia" w:hAnsi="宋体"/>
          <w:color w:val="auto"/>
          <w:highlight w:val="none"/>
        </w:rPr>
        <w:t>由此产生的后果由投标人自行负责。</w:t>
      </w:r>
      <w:r>
        <w:rPr>
          <w:rFonts w:hAnsi="宋体"/>
          <w:color w:val="auto"/>
          <w:highlight w:val="none"/>
        </w:rPr>
        <w:t xml:space="preserve"> </w:t>
      </w:r>
      <w:r>
        <w:rPr>
          <w:rFonts w:hint="eastAsia"/>
          <w:color w:val="auto"/>
          <w:highlight w:val="none"/>
        </w:rPr>
        <w:t>投标人不足</w:t>
      </w:r>
      <w:r>
        <w:rPr>
          <w:color w:val="auto"/>
          <w:highlight w:val="none"/>
        </w:rPr>
        <w:t>3</w:t>
      </w:r>
      <w:r>
        <w:rPr>
          <w:rFonts w:hint="eastAsia"/>
          <w:color w:val="auto"/>
          <w:highlight w:val="none"/>
        </w:rPr>
        <w:t>家的，不得开标。</w:t>
      </w:r>
    </w:p>
    <w:p w14:paraId="39A6FB3C">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24.开标程序</w:t>
      </w:r>
    </w:p>
    <w:p w14:paraId="263A0BDA">
      <w:pPr>
        <w:autoSpaceDE w:val="0"/>
        <w:autoSpaceDN w:val="0"/>
        <w:adjustRightInd w:val="0"/>
        <w:spacing w:line="440" w:lineRule="exact"/>
        <w:ind w:firstLine="420" w:firstLineChars="200"/>
        <w:rPr>
          <w:rFonts w:hint="eastAsia" w:ascii="宋体" w:hAnsi="宋体"/>
          <w:color w:val="auto"/>
          <w:kern w:val="0"/>
          <w:szCs w:val="21"/>
          <w:highlight w:val="none"/>
        </w:rPr>
      </w:pPr>
      <w:r>
        <w:rPr>
          <w:rFonts w:hint="eastAsia" w:ascii="宋体" w:hAnsi="宋体"/>
          <w:bCs/>
          <w:color w:val="auto"/>
          <w:szCs w:val="21"/>
          <w:highlight w:val="none"/>
        </w:rPr>
        <w:t>24.1</w:t>
      </w:r>
      <w:r>
        <w:rPr>
          <w:rFonts w:hint="eastAsia" w:ascii="宋体" w:hAnsi="宋体"/>
          <w:color w:val="auto"/>
          <w:kern w:val="0"/>
          <w:szCs w:val="21"/>
          <w:highlight w:val="none"/>
        </w:rPr>
        <w:t>开标形式：</w:t>
      </w:r>
    </w:p>
    <w:p w14:paraId="07EDB7C2">
      <w:pPr>
        <w:autoSpaceDE w:val="0"/>
        <w:autoSpaceDN w:val="0"/>
        <w:adjustRightInd w:val="0"/>
        <w:spacing w:line="440" w:lineRule="exact"/>
        <w:ind w:firstLine="420" w:firstLineChars="200"/>
        <w:rPr>
          <w:rFonts w:hint="eastAsia" w:ascii="宋体" w:hAnsi="宋体"/>
          <w:bCs/>
          <w:color w:val="auto"/>
          <w:szCs w:val="21"/>
          <w:highlight w:val="none"/>
        </w:rPr>
      </w:pPr>
      <w:r>
        <w:rPr>
          <w:rFonts w:hint="eastAsia" w:ascii="宋体" w:hAnsi="宋体"/>
          <w:color w:val="auto"/>
          <w:szCs w:val="21"/>
          <w:highlight w:val="none"/>
        </w:rPr>
        <w:t>（1）</w:t>
      </w:r>
      <w:r>
        <w:rPr>
          <w:rFonts w:hint="eastAsia" w:ascii="宋体" w:hAnsi="宋体"/>
          <w:bCs/>
          <w:color w:val="auto"/>
          <w:szCs w:val="21"/>
          <w:highlight w:val="none"/>
        </w:rPr>
        <w:t>开标的准备工作由采购代理机构负责落实，采购代理机构必须基于“</w:t>
      </w:r>
      <w:r>
        <w:rPr>
          <w:rFonts w:hint="eastAsia" w:ascii="Calibri" w:hAnsi="宋体"/>
          <w:color w:val="auto"/>
          <w:kern w:val="0"/>
          <w:szCs w:val="21"/>
          <w:highlight w:val="none"/>
        </w:rPr>
        <w:t>广西政府采购云</w:t>
      </w:r>
      <w:r>
        <w:rPr>
          <w:rFonts w:hint="eastAsia" w:ascii="宋体" w:hAnsi="宋体"/>
          <w:bCs/>
          <w:color w:val="auto"/>
          <w:szCs w:val="21"/>
          <w:highlight w:val="none"/>
        </w:rPr>
        <w:t>”平台选取评审专家，如采购代理机构未按规定选取专家的，视为本次开评标无效，应当重新采购；</w:t>
      </w:r>
    </w:p>
    <w:p w14:paraId="35389F80">
      <w:pPr>
        <w:autoSpaceDE w:val="0"/>
        <w:autoSpaceDN w:val="0"/>
        <w:adjustRightInd w:val="0"/>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（2）采购代理机构将按照招标文件规定的时间通过“</w:t>
      </w:r>
      <w:r>
        <w:rPr>
          <w:rFonts w:hint="eastAsia" w:ascii="Calibri" w:hAnsi="宋体"/>
          <w:color w:val="auto"/>
          <w:kern w:val="0"/>
          <w:szCs w:val="21"/>
          <w:highlight w:val="none"/>
        </w:rPr>
        <w:t>广西政府采购云</w:t>
      </w:r>
      <w:r>
        <w:rPr>
          <w:rFonts w:hint="eastAsia" w:ascii="宋体" w:hAnsi="宋体"/>
          <w:bCs/>
          <w:color w:val="auto"/>
          <w:szCs w:val="21"/>
          <w:highlight w:val="none"/>
        </w:rPr>
        <w:t>”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1F4B172A">
      <w:pPr>
        <w:autoSpaceDE w:val="0"/>
        <w:autoSpaceDN w:val="0"/>
        <w:adjustRightInd w:val="0"/>
        <w:spacing w:line="44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rPr>
        <w:t>24.2开标程序：</w:t>
      </w:r>
    </w:p>
    <w:p w14:paraId="6E08B2D1">
      <w:pPr>
        <w:snapToGrid w:val="0"/>
        <w:spacing w:line="440" w:lineRule="exact"/>
        <w:ind w:firstLine="422" w:firstLineChars="200"/>
        <w:rPr>
          <w:rFonts w:hint="eastAsia" w:ascii="宋体" w:hAnsi="宋体" w:cs="宋体"/>
          <w:color w:val="auto"/>
          <w:kern w:val="0"/>
          <w:szCs w:val="21"/>
          <w:highlight w:val="none"/>
        </w:rPr>
      </w:pPr>
      <w:r>
        <w:rPr>
          <w:rFonts w:hint="eastAsia" w:ascii="宋体" w:hAnsi="宋体" w:cs="宋体"/>
          <w:b/>
          <w:color w:val="auto"/>
          <w:kern w:val="0"/>
          <w:szCs w:val="21"/>
          <w:highlight w:val="none"/>
        </w:rPr>
        <w:t>（1）解密电子投标文件。“</w:t>
      </w:r>
      <w:r>
        <w:rPr>
          <w:rFonts w:hint="eastAsia" w:ascii="宋体" w:hAnsi="宋体" w:cs="宋体"/>
          <w:color w:val="auto"/>
          <w:kern w:val="0"/>
          <w:szCs w:val="21"/>
          <w:highlight w:val="none"/>
        </w:rPr>
        <w:t>广西政府采购云”平台按开标时间自动提取所有投标文件。采购代理机构依托“ 广西政府采购云”平台向各投标人发出电子加密投标文件【开始解密】通知，由投标人按招标文件规定的时间内自行进行投标文件解密。投标人的法定代表人或其委托代理人</w:t>
      </w:r>
      <w:r>
        <w:rPr>
          <w:rFonts w:hint="eastAsia" w:ascii="宋体" w:hAnsi="宋体" w:cs="宋体"/>
          <w:b/>
          <w:color w:val="auto"/>
          <w:kern w:val="0"/>
          <w:szCs w:val="21"/>
          <w:highlight w:val="none"/>
        </w:rPr>
        <w:t>须携带加密时所用的CA锁准时登录到“</w:t>
      </w:r>
      <w:r>
        <w:rPr>
          <w:rFonts w:hint="eastAsia" w:ascii="宋体" w:hAnsi="宋体" w:cs="宋体"/>
          <w:color w:val="auto"/>
          <w:kern w:val="0"/>
          <w:szCs w:val="21"/>
          <w:highlight w:val="none"/>
        </w:rPr>
        <w:t xml:space="preserve"> 广西政府采购云</w:t>
      </w:r>
      <w:r>
        <w:rPr>
          <w:rFonts w:hint="eastAsia" w:ascii="宋体" w:hAnsi="宋体" w:cs="宋体"/>
          <w:b/>
          <w:color w:val="auto"/>
          <w:kern w:val="0"/>
          <w:szCs w:val="21"/>
          <w:highlight w:val="none"/>
        </w:rPr>
        <w:t>”平台电子开标大厅签到并对电子投标文件解密</w:t>
      </w:r>
      <w:r>
        <w:rPr>
          <w:rFonts w:hint="eastAsia" w:ascii="宋体" w:hAnsi="宋体" w:cs="宋体"/>
          <w:color w:val="auto"/>
          <w:kern w:val="0"/>
          <w:szCs w:val="21"/>
          <w:highlight w:val="none"/>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ascii="宋体" w:hAnsi="宋体" w:cs="宋体"/>
          <w:b/>
          <w:color w:val="auto"/>
          <w:kern w:val="0"/>
          <w:szCs w:val="21"/>
          <w:highlight w:val="none"/>
        </w:rPr>
        <w:t>均视为无效投标。</w:t>
      </w:r>
    </w:p>
    <w:p w14:paraId="12B27363">
      <w:pPr>
        <w:snapToGrid w:val="0"/>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（解密</w:t>
      </w:r>
      <w:r>
        <w:rPr>
          <w:rFonts w:hint="eastAsia" w:ascii="宋体" w:hAnsi="宋体" w:cs="宋体"/>
          <w:bCs/>
          <w:color w:val="auto"/>
          <w:kern w:val="0"/>
          <w:szCs w:val="21"/>
          <w:highlight w:val="none"/>
        </w:rPr>
        <w:t>异常情况处理：详见本章</w:t>
      </w:r>
      <w:r>
        <w:rPr>
          <w:rFonts w:hint="eastAsia" w:ascii="宋体" w:hAnsi="宋体" w:cs="宋体"/>
          <w:color w:val="auto"/>
          <w:kern w:val="0"/>
          <w:szCs w:val="21"/>
          <w:highlight w:val="none"/>
        </w:rPr>
        <w:t>29.3 电子交易活动的中止。）</w:t>
      </w:r>
    </w:p>
    <w:p w14:paraId="6D692B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rPr>
        <w:t>电子唱标。</w:t>
      </w:r>
      <w:r>
        <w:rPr>
          <w:rFonts w:hint="eastAsia" w:ascii="宋体" w:hAnsi="宋体" w:cs="宋体"/>
          <w:color w:val="auto"/>
          <w:szCs w:val="21"/>
          <w:highlight w:val="none"/>
        </w:rPr>
        <w:t>投标文件解密结束，各投标供应商报价均在“</w:t>
      </w:r>
      <w:r>
        <w:rPr>
          <w:rFonts w:hint="eastAsia" w:ascii="宋体" w:hAnsi="宋体" w:cs="宋体"/>
          <w:color w:val="auto"/>
          <w:kern w:val="0"/>
          <w:szCs w:val="21"/>
          <w:highlight w:val="none"/>
        </w:rPr>
        <w:t>广西政府采购云</w:t>
      </w:r>
      <w:r>
        <w:rPr>
          <w:rFonts w:hint="eastAsia" w:ascii="宋体" w:hAnsi="宋体" w:cs="宋体"/>
          <w:color w:val="auto"/>
          <w:szCs w:val="21"/>
          <w:highlight w:val="none"/>
        </w:rPr>
        <w:t>”平台远程不见面开标大厅展示；</w:t>
      </w:r>
    </w:p>
    <w:p w14:paraId="59B078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b/>
          <w:color w:val="auto"/>
          <w:szCs w:val="21"/>
          <w:highlight w:val="none"/>
        </w:rPr>
        <w:t>签署电子《政府采购活动现场确认声明书》。</w:t>
      </w:r>
      <w:r>
        <w:rPr>
          <w:rFonts w:hint="eastAsia" w:ascii="宋体" w:hAnsi="宋体" w:cs="宋体"/>
          <w:color w:val="auto"/>
          <w:szCs w:val="21"/>
          <w:highlight w:val="none"/>
        </w:rPr>
        <w:t>通过邮件形式在远程不见面开标大厅发送各投标人签署电子《政府采购活动现场确认声明书》。</w:t>
      </w:r>
    </w:p>
    <w:p w14:paraId="43B0EBEB">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（4）开标过程由采购代理机构如实记录，并电子留痕，由参加电子开标的各投标人代表对电子开标记录在开标记录公布后15分钟内进行当场校核及勘误，并线上确认，未确认的视同认可开标结果。</w:t>
      </w:r>
    </w:p>
    <w:p w14:paraId="7D4B3A94">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23B20719">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（6）开标结束。</w:t>
      </w:r>
    </w:p>
    <w:p w14:paraId="7B57FA55">
      <w:pPr>
        <w:snapToGrid w:val="0"/>
        <w:spacing w:line="440" w:lineRule="exact"/>
        <w:ind w:firstLine="422" w:firstLineChars="200"/>
        <w:rPr>
          <w:rFonts w:hint="eastAsia" w:ascii="宋体" w:hAnsi="宋体"/>
          <w:color w:val="auto"/>
          <w:kern w:val="0"/>
          <w:szCs w:val="21"/>
          <w:highlight w:val="none"/>
        </w:rPr>
      </w:pPr>
      <w:r>
        <w:rPr>
          <w:rFonts w:hint="eastAsia" w:ascii="宋体" w:hAnsi="宋体"/>
          <w:b/>
          <w:bCs/>
          <w:color w:val="auto"/>
          <w:kern w:val="0"/>
          <w:szCs w:val="21"/>
          <w:highlight w:val="none"/>
        </w:rPr>
        <w:t>特别说明：</w:t>
      </w:r>
      <w:r>
        <w:rPr>
          <w:rFonts w:hint="eastAsia" w:ascii="宋体" w:hAnsi="宋体"/>
          <w:color w:val="auto"/>
          <w:kern w:val="0"/>
          <w:szCs w:val="21"/>
          <w:highlight w:val="none"/>
        </w:rPr>
        <w:t>如遇“</w:t>
      </w:r>
      <w:r>
        <w:rPr>
          <w:rFonts w:hint="eastAsia" w:ascii="Calibri" w:hAnsi="宋体"/>
          <w:color w:val="auto"/>
          <w:kern w:val="0"/>
          <w:szCs w:val="21"/>
          <w:highlight w:val="none"/>
        </w:rPr>
        <w:t xml:space="preserve"> 广西政府采购云</w:t>
      </w:r>
      <w:r>
        <w:rPr>
          <w:rFonts w:hint="eastAsia" w:ascii="宋体" w:hAnsi="宋体"/>
          <w:color w:val="auto"/>
          <w:kern w:val="0"/>
          <w:szCs w:val="21"/>
          <w:highlight w:val="none"/>
        </w:rPr>
        <w:t>”平台电子化开标或评审程序调整的，按调整后执行。</w:t>
      </w:r>
    </w:p>
    <w:p w14:paraId="16CF2B64">
      <w:pPr>
        <w:snapToGrid w:val="0"/>
        <w:spacing w:line="400" w:lineRule="exact"/>
        <w:ind w:left="679" w:leftChars="228" w:hanging="200" w:hangingChars="100"/>
        <w:rPr>
          <w:rFonts w:hint="eastAsia" w:ascii="宋体" w:hAnsi="宋体"/>
          <w:color w:val="auto"/>
          <w:kern w:val="0"/>
          <w:sz w:val="20"/>
          <w:szCs w:val="20"/>
          <w:highlight w:val="none"/>
        </w:rPr>
      </w:pPr>
    </w:p>
    <w:p w14:paraId="544FB04B">
      <w:pPr>
        <w:spacing w:line="400" w:lineRule="exact"/>
        <w:ind w:firstLine="643" w:firstLineChars="200"/>
        <w:jc w:val="center"/>
        <w:outlineLvl w:val="2"/>
        <w:rPr>
          <w:b/>
          <w:bCs/>
          <w:color w:val="auto"/>
          <w:kern w:val="0"/>
          <w:sz w:val="32"/>
          <w:szCs w:val="32"/>
          <w:highlight w:val="none"/>
        </w:rPr>
      </w:pPr>
      <w:bookmarkStart w:id="16" w:name="_Toc27187"/>
      <w:r>
        <w:rPr>
          <w:rFonts w:hint="eastAsia"/>
          <w:b/>
          <w:bCs/>
          <w:color w:val="auto"/>
          <w:kern w:val="0"/>
          <w:sz w:val="32"/>
          <w:szCs w:val="32"/>
          <w:highlight w:val="none"/>
        </w:rPr>
        <w:t>五、资格审查</w:t>
      </w:r>
      <w:bookmarkEnd w:id="16"/>
    </w:p>
    <w:p w14:paraId="65A7B723">
      <w:pPr>
        <w:spacing w:line="360" w:lineRule="auto"/>
        <w:ind w:firstLine="482" w:firstLineChars="200"/>
        <w:outlineLvl w:val="4"/>
        <w:rPr>
          <w:rFonts w:hint="eastAsia" w:ascii="黑体" w:hAnsi="黑体" w:eastAsia="黑体"/>
          <w:b/>
          <w:bCs/>
          <w:color w:val="auto"/>
          <w:kern w:val="0"/>
          <w:sz w:val="24"/>
          <w:szCs w:val="28"/>
          <w:highlight w:val="none"/>
        </w:rPr>
      </w:pPr>
      <w:r>
        <w:rPr>
          <w:rFonts w:hint="eastAsia" w:ascii="黑体" w:hAnsi="黑体" w:eastAsia="黑体"/>
          <w:b/>
          <w:bCs/>
          <w:color w:val="auto"/>
          <w:kern w:val="0"/>
          <w:sz w:val="24"/>
          <w:szCs w:val="28"/>
          <w:highlight w:val="none"/>
        </w:rPr>
        <w:t>25.资格审查</w:t>
      </w:r>
    </w:p>
    <w:p w14:paraId="340F2138">
      <w:pP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 xml:space="preserve"> 25.1开标结束后，采购人或采购机构依法通过电子投标文件对投标人的资格进行线上审查。</w:t>
      </w:r>
    </w:p>
    <w:p w14:paraId="4684C7D5">
      <w:pP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 xml:space="preserve"> 25.2采购人或采购机构依据法律法规和招标文件的规定，对投标人的基本资格条件、特定资格条件进行审查。</w:t>
      </w:r>
    </w:p>
    <w:p w14:paraId="5A5F8DD5">
      <w:pPr>
        <w:spacing w:line="360" w:lineRule="auto"/>
        <w:ind w:firstLine="420" w:firstLineChars="200"/>
        <w:rPr>
          <w:rFonts w:hint="eastAsia" w:ascii="宋体" w:hAnsi="宋体"/>
          <w:color w:val="auto"/>
          <w:highlight w:val="none"/>
        </w:rPr>
      </w:pPr>
      <w:r>
        <w:rPr>
          <w:rFonts w:hint="eastAsia" w:ascii="宋体" w:hAnsi="宋体"/>
          <w:color w:val="auto"/>
          <w:highlight w:val="none"/>
        </w:rPr>
        <w:t>25.3资格审查标准为本“招标文件”中“投标人须知前附表”13.1点载明对投标人资格要求的条件。本项目资格审查采用合格制，凡符合招标文件规定的投标人资格要求的投标人均通过资格审查。</w:t>
      </w:r>
    </w:p>
    <w:p w14:paraId="635F17B1">
      <w:pPr>
        <w:spacing w:line="360" w:lineRule="auto"/>
        <w:ind w:firstLine="422" w:firstLineChars="200"/>
        <w:rPr>
          <w:rFonts w:hint="eastAsia" w:ascii="宋体" w:hAnsi="宋体"/>
          <w:b/>
          <w:bCs/>
          <w:color w:val="auto"/>
          <w:szCs w:val="20"/>
          <w:highlight w:val="none"/>
        </w:rPr>
      </w:pPr>
      <w:r>
        <w:rPr>
          <w:rFonts w:hint="eastAsia" w:ascii="宋体" w:hAnsi="宋体"/>
          <w:b/>
          <w:bCs/>
          <w:color w:val="auto"/>
          <w:szCs w:val="20"/>
          <w:highlight w:val="none"/>
        </w:rPr>
        <w:t>25.4投标人有下列情形之一的，资格审查不通过，作无效投标处理：</w:t>
      </w:r>
    </w:p>
    <w:p w14:paraId="50EC12B6">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）不具备招标文件中规定的资格要求的；（注：其中信用查询规则见“投标人须知前附表”，“政采云”平台已与“信用中国”平台做接口，审查专家可直接在线查询）</w:t>
      </w:r>
    </w:p>
    <w:p w14:paraId="79D8ED2F">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）投标文件未提供任一项“投标人须知前附表”资格证明文件规定的“必须提供”的文件资料的；</w:t>
      </w:r>
    </w:p>
    <w:p w14:paraId="57203AD2">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）投标文件提供的资格证明文件出现任一项不符合“投标人须知前附表”资格证明文件规定的“必须提供”的文件资料要求或者无效的。</w:t>
      </w:r>
    </w:p>
    <w:p w14:paraId="2E3FA018">
      <w:pPr>
        <w:spacing w:line="360" w:lineRule="auto"/>
        <w:ind w:firstLine="420" w:firstLineChars="200"/>
        <w:outlineLvl w:val="4"/>
        <w:rPr>
          <w:rFonts w:hint="eastAsia" w:ascii="宋体" w:hAnsi="宋体"/>
          <w:color w:val="auto"/>
          <w:kern w:val="0"/>
          <w:szCs w:val="20"/>
          <w:highlight w:val="none"/>
        </w:rPr>
      </w:pPr>
      <w:r>
        <w:rPr>
          <w:rFonts w:hint="eastAsia" w:ascii="宋体" w:hAnsi="宋体"/>
          <w:color w:val="auto"/>
          <w:kern w:val="0"/>
          <w:szCs w:val="20"/>
          <w:highlight w:val="none"/>
        </w:rPr>
        <w:t>25.5资格审查的合格投标人不足3家的，不得评标。</w:t>
      </w:r>
    </w:p>
    <w:p w14:paraId="1B533944">
      <w:pPr>
        <w:spacing w:line="360" w:lineRule="auto"/>
        <w:ind w:firstLine="643" w:firstLineChars="200"/>
        <w:jc w:val="center"/>
        <w:outlineLvl w:val="2"/>
        <w:rPr>
          <w:b/>
          <w:bCs/>
          <w:color w:val="auto"/>
          <w:kern w:val="0"/>
          <w:sz w:val="32"/>
          <w:szCs w:val="32"/>
          <w:highlight w:val="none"/>
        </w:rPr>
      </w:pPr>
      <w:bookmarkStart w:id="17" w:name="_Toc8024"/>
      <w:r>
        <w:rPr>
          <w:rFonts w:hint="eastAsia"/>
          <w:b/>
          <w:bCs/>
          <w:color w:val="auto"/>
          <w:kern w:val="0"/>
          <w:sz w:val="32"/>
          <w:szCs w:val="32"/>
          <w:highlight w:val="none"/>
        </w:rPr>
        <w:t>六、评</w:t>
      </w:r>
      <w:r>
        <w:rPr>
          <w:b/>
          <w:bCs/>
          <w:color w:val="auto"/>
          <w:kern w:val="0"/>
          <w:sz w:val="32"/>
          <w:szCs w:val="32"/>
          <w:highlight w:val="none"/>
        </w:rPr>
        <w:t xml:space="preserve">   </w:t>
      </w:r>
      <w:r>
        <w:rPr>
          <w:rFonts w:hint="eastAsia"/>
          <w:b/>
          <w:bCs/>
          <w:color w:val="auto"/>
          <w:kern w:val="0"/>
          <w:sz w:val="32"/>
          <w:szCs w:val="32"/>
          <w:highlight w:val="none"/>
        </w:rPr>
        <w:t>标</w:t>
      </w:r>
      <w:bookmarkEnd w:id="17"/>
    </w:p>
    <w:p w14:paraId="6991552F">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26.组建评标委员会</w:t>
      </w:r>
    </w:p>
    <w:p w14:paraId="37BAE099">
      <w:pPr>
        <w:spacing w:line="360" w:lineRule="auto"/>
        <w:ind w:firstLine="420" w:firstLineChars="200"/>
        <w:rPr>
          <w:rFonts w:hint="eastAsia" w:hAnsi="宋体"/>
          <w:color w:val="auto"/>
          <w:highlight w:val="none"/>
        </w:rPr>
      </w:pPr>
      <w:r>
        <w:rPr>
          <w:rFonts w:hint="eastAsia" w:hAnsi="宋体"/>
          <w:color w:val="auto"/>
          <w:highlight w:val="none"/>
        </w:rPr>
        <w:t>评标委员会由采购人代表和评审专家组成，人数为</w:t>
      </w:r>
      <w:r>
        <w:rPr>
          <w:rFonts w:hAnsi="宋体"/>
          <w:color w:val="auto"/>
          <w:highlight w:val="none"/>
        </w:rPr>
        <w:t>5</w:t>
      </w:r>
      <w:r>
        <w:rPr>
          <w:rFonts w:hint="eastAsia" w:hAnsi="宋体"/>
          <w:color w:val="auto"/>
          <w:highlight w:val="none"/>
        </w:rPr>
        <w:t>人以上单数，其中评审专家不得少于成员总数的三分之二。</w:t>
      </w:r>
    </w:p>
    <w:p w14:paraId="5819AD63">
      <w:pPr>
        <w:spacing w:line="360" w:lineRule="auto"/>
        <w:ind w:firstLine="420" w:firstLineChars="200"/>
        <w:rPr>
          <w:rFonts w:hint="eastAsia" w:hAnsi="宋体"/>
          <w:color w:val="auto"/>
          <w:highlight w:val="none"/>
        </w:rPr>
      </w:pPr>
      <w:r>
        <w:rPr>
          <w:rFonts w:hint="eastAsia" w:hAnsi="宋体"/>
          <w:color w:val="auto"/>
          <w:highlight w:val="none"/>
        </w:rPr>
        <w:t>参加过采购项目前期咨询论证的专家，不得参加该采购项目的评审活动。</w:t>
      </w:r>
    </w:p>
    <w:p w14:paraId="67FDA97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27.评标的依据</w:t>
      </w:r>
    </w:p>
    <w:p w14:paraId="78E4A45B">
      <w:pPr>
        <w:spacing w:line="360" w:lineRule="auto"/>
        <w:ind w:firstLine="420" w:firstLineChars="200"/>
        <w:rPr>
          <w:rFonts w:hint="eastAsia" w:hAnsi="宋体"/>
          <w:color w:val="auto"/>
          <w:highlight w:val="none"/>
        </w:rPr>
      </w:pPr>
      <w:r>
        <w:rPr>
          <w:rFonts w:hint="eastAsia" w:hAnsi="宋体"/>
          <w:color w:val="auto"/>
          <w:highlight w:val="none"/>
        </w:rPr>
        <w:t>评标委员会以招标文件为依据对投标文件进行评审，</w:t>
      </w:r>
      <w:r>
        <w:rPr>
          <w:rFonts w:hint="eastAsia" w:hAnsi="宋体" w:cs="宋体"/>
          <w:color w:val="auto"/>
          <w:highlight w:val="none"/>
        </w:rPr>
        <w:t>“第四章</w:t>
      </w:r>
      <w:r>
        <w:rPr>
          <w:rFonts w:hAnsi="宋体" w:cs="宋体"/>
          <w:color w:val="auto"/>
          <w:highlight w:val="none"/>
        </w:rPr>
        <w:t xml:space="preserve"> </w:t>
      </w:r>
      <w:r>
        <w:rPr>
          <w:rFonts w:hint="eastAsia" w:hAnsi="宋体" w:cs="宋体"/>
          <w:color w:val="auto"/>
          <w:highlight w:val="none"/>
        </w:rPr>
        <w:t>评标方法和评标标准”</w:t>
      </w:r>
      <w:r>
        <w:rPr>
          <w:rFonts w:hint="eastAsia" w:hAnsi="宋体"/>
          <w:color w:val="auto"/>
          <w:highlight w:val="none"/>
        </w:rPr>
        <w:t>没有规定的方法、评审因素和标准，不作为评标依据。</w:t>
      </w:r>
    </w:p>
    <w:p w14:paraId="36EB15C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28.评标原则</w:t>
      </w:r>
    </w:p>
    <w:p w14:paraId="492D957B">
      <w:pPr>
        <w:spacing w:line="360" w:lineRule="auto"/>
        <w:ind w:firstLine="420" w:firstLineChars="200"/>
        <w:rPr>
          <w:rFonts w:hint="eastAsia" w:hAnsi="宋体"/>
          <w:color w:val="auto"/>
          <w:highlight w:val="none"/>
        </w:rPr>
      </w:pPr>
      <w:r>
        <w:rPr>
          <w:rFonts w:hAnsi="宋体"/>
          <w:color w:val="auto"/>
          <w:highlight w:val="none"/>
        </w:rPr>
        <w:t>28.1</w:t>
      </w:r>
      <w:r>
        <w:rPr>
          <w:rFonts w:hint="eastAsia" w:hAnsi="宋体"/>
          <w:color w:val="auto"/>
          <w:highlight w:val="none"/>
        </w:rPr>
        <w:t>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6F6E6F36">
      <w:pPr>
        <w:spacing w:line="360" w:lineRule="auto"/>
        <w:ind w:firstLine="420" w:firstLineChars="200"/>
        <w:rPr>
          <w:rFonts w:hint="eastAsia" w:hAnsi="宋体"/>
          <w:color w:val="auto"/>
          <w:highlight w:val="none"/>
        </w:rPr>
      </w:pPr>
      <w:r>
        <w:rPr>
          <w:rFonts w:hAnsi="宋体"/>
          <w:color w:val="auto"/>
          <w:highlight w:val="none"/>
        </w:rPr>
        <w:t>28.2</w:t>
      </w:r>
      <w:r>
        <w:rPr>
          <w:rFonts w:hint="eastAsia" w:hAnsi="宋体"/>
          <w:color w:val="auto"/>
          <w:highlight w:val="none"/>
        </w:rPr>
        <w:t>评委表决。在评标过程中出现法律法规和招标文件均没有明确规定的情形时，由评标委员会现场协商解决，协商不一致的，由全体评委投票表决，以得票率二分之一以上专家的意见为准并由采购代理机构作记录。</w:t>
      </w:r>
    </w:p>
    <w:p w14:paraId="3726B839">
      <w:pPr>
        <w:spacing w:line="360" w:lineRule="auto"/>
        <w:ind w:firstLine="420" w:firstLineChars="200"/>
        <w:rPr>
          <w:rFonts w:hint="eastAsia" w:hAnsi="宋体"/>
          <w:color w:val="auto"/>
          <w:highlight w:val="none"/>
        </w:rPr>
      </w:pPr>
      <w:r>
        <w:rPr>
          <w:rFonts w:hAnsi="宋体"/>
          <w:color w:val="auto"/>
          <w:highlight w:val="none"/>
        </w:rPr>
        <w:t>28.3</w:t>
      </w:r>
      <w:r>
        <w:rPr>
          <w:rFonts w:hint="eastAsia" w:hAnsi="宋体"/>
          <w:color w:val="auto"/>
          <w:highlight w:val="none"/>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1D2B94E4">
      <w:pPr>
        <w:spacing w:line="360" w:lineRule="auto"/>
        <w:ind w:firstLine="420" w:firstLineChars="200"/>
        <w:rPr>
          <w:rFonts w:hint="eastAsia" w:hAnsi="宋体"/>
          <w:color w:val="auto"/>
          <w:highlight w:val="none"/>
        </w:rPr>
      </w:pPr>
      <w:r>
        <w:rPr>
          <w:rFonts w:hAnsi="宋体"/>
          <w:color w:val="auto"/>
          <w:highlight w:val="none"/>
        </w:rPr>
        <w:t>28.4</w:t>
      </w:r>
      <w:r>
        <w:rPr>
          <w:rFonts w:hint="eastAsia" w:hAnsi="宋体"/>
          <w:color w:val="auto"/>
          <w:highlight w:val="none"/>
        </w:rPr>
        <w:t>评标过程的监控。本项目电子评标过程实行网上留痕、全程录音、录像监控，投标人在评标过程中所进行的试图影响评标结果的不公正活动，可能导致其投标按无效处理。</w:t>
      </w:r>
    </w:p>
    <w:p w14:paraId="2EA44F9F">
      <w:pPr>
        <w:widowControl/>
        <w:spacing w:line="560" w:lineRule="exact"/>
        <w:ind w:firstLine="420" w:firstLineChars="200"/>
        <w:jc w:val="left"/>
        <w:textAlignment w:val="baseline"/>
        <w:rPr>
          <w:rFonts w:hint="eastAsia" w:hAnsi="宋体"/>
          <w:color w:val="auto"/>
          <w:highlight w:val="none"/>
        </w:rPr>
      </w:pPr>
      <w:r>
        <w:rPr>
          <w:rFonts w:hAnsi="宋体"/>
          <w:color w:val="auto"/>
          <w:highlight w:val="none"/>
        </w:rPr>
        <w:t>28.5</w:t>
      </w:r>
      <w:r>
        <w:rPr>
          <w:rFonts w:hint="eastAsia" w:hAnsi="宋体"/>
          <w:color w:val="auto"/>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5BADEC8C">
      <w:pPr>
        <w:widowControl/>
        <w:spacing w:line="560" w:lineRule="exact"/>
        <w:ind w:firstLine="420" w:firstLineChars="200"/>
        <w:jc w:val="left"/>
        <w:textAlignment w:val="baseline"/>
        <w:rPr>
          <w:rFonts w:hint="eastAsia" w:hAnsi="宋体"/>
          <w:color w:val="auto"/>
          <w:highlight w:val="none"/>
        </w:rPr>
      </w:pPr>
      <w:r>
        <w:rPr>
          <w:rFonts w:hint="eastAsia" w:hAnsi="宋体"/>
          <w:color w:val="auto"/>
          <w:highlight w:val="none"/>
        </w:rPr>
        <w:t>28.6  在招标采购中，出现下列情形之一的，应予废标：</w:t>
      </w:r>
    </w:p>
    <w:p w14:paraId="283103BB">
      <w:pPr>
        <w:widowControl/>
        <w:spacing w:line="560" w:lineRule="exact"/>
        <w:ind w:firstLine="420" w:firstLineChars="200"/>
        <w:jc w:val="left"/>
        <w:textAlignment w:val="baseline"/>
        <w:rPr>
          <w:rFonts w:hint="eastAsia" w:hAnsi="宋体"/>
          <w:color w:val="auto"/>
          <w:highlight w:val="none"/>
        </w:rPr>
      </w:pPr>
      <w:r>
        <w:rPr>
          <w:rFonts w:hint="eastAsia" w:hAnsi="宋体"/>
          <w:color w:val="auto"/>
          <w:highlight w:val="none"/>
        </w:rPr>
        <w:t xml:space="preserve">  （一）符合专业条件的供应商或者对招标文件作实质响应的供应商不足三家的；</w:t>
      </w:r>
    </w:p>
    <w:p w14:paraId="4B00361A">
      <w:pPr>
        <w:widowControl/>
        <w:spacing w:line="560" w:lineRule="exact"/>
        <w:ind w:firstLine="420" w:firstLineChars="200"/>
        <w:jc w:val="left"/>
        <w:textAlignment w:val="baseline"/>
        <w:rPr>
          <w:rFonts w:hint="eastAsia" w:hAnsi="宋体"/>
          <w:color w:val="auto"/>
          <w:highlight w:val="none"/>
        </w:rPr>
      </w:pPr>
      <w:r>
        <w:rPr>
          <w:rFonts w:hint="eastAsia" w:hAnsi="宋体"/>
          <w:color w:val="auto"/>
          <w:highlight w:val="none"/>
        </w:rPr>
        <w:t xml:space="preserve">  （二）出现影响采购公正的违法、违规行为的；</w:t>
      </w:r>
    </w:p>
    <w:p w14:paraId="04D57348">
      <w:pPr>
        <w:widowControl/>
        <w:spacing w:line="560" w:lineRule="exact"/>
        <w:ind w:firstLine="420" w:firstLineChars="200"/>
        <w:jc w:val="left"/>
        <w:textAlignment w:val="baseline"/>
        <w:rPr>
          <w:rFonts w:hint="eastAsia" w:hAnsi="宋体"/>
          <w:color w:val="auto"/>
          <w:highlight w:val="none"/>
        </w:rPr>
      </w:pPr>
      <w:r>
        <w:rPr>
          <w:rFonts w:hint="eastAsia" w:hAnsi="宋体"/>
          <w:color w:val="auto"/>
          <w:highlight w:val="none"/>
        </w:rPr>
        <w:t xml:space="preserve">  （三）投标人的报价均超过了采购预算，采购人不能支付的；</w:t>
      </w:r>
    </w:p>
    <w:p w14:paraId="300B27AD">
      <w:pPr>
        <w:widowControl/>
        <w:spacing w:line="560" w:lineRule="exact"/>
        <w:ind w:firstLine="420" w:firstLineChars="200"/>
        <w:jc w:val="left"/>
        <w:textAlignment w:val="baseline"/>
        <w:rPr>
          <w:rFonts w:hint="eastAsia" w:hAnsi="宋体"/>
          <w:color w:val="auto"/>
          <w:highlight w:val="none"/>
        </w:rPr>
      </w:pPr>
      <w:r>
        <w:rPr>
          <w:rFonts w:hint="eastAsia" w:hAnsi="宋体"/>
          <w:color w:val="auto"/>
          <w:highlight w:val="none"/>
        </w:rPr>
        <w:t xml:space="preserve">  （四）因重大变故，采购任务取消的。</w:t>
      </w:r>
    </w:p>
    <w:p w14:paraId="27762D2F">
      <w:pPr>
        <w:widowControl/>
        <w:spacing w:line="560" w:lineRule="exact"/>
        <w:ind w:firstLine="480" w:firstLineChars="200"/>
        <w:jc w:val="left"/>
        <w:textAlignment w:val="baseline"/>
        <w:rPr>
          <w:rFonts w:hint="eastAsia" w:ascii="黑体" w:hAnsi="黑体" w:eastAsia="黑体"/>
          <w:color w:val="auto"/>
          <w:sz w:val="24"/>
          <w:highlight w:val="none"/>
        </w:rPr>
      </w:pPr>
      <w:r>
        <w:rPr>
          <w:rFonts w:hint="eastAsia" w:ascii="黑体" w:hAnsi="黑体" w:eastAsia="黑体"/>
          <w:color w:val="auto"/>
          <w:sz w:val="24"/>
          <w:highlight w:val="none"/>
        </w:rPr>
        <w:t>29.评标方法及评标标准</w:t>
      </w:r>
    </w:p>
    <w:p w14:paraId="4DD0EF79">
      <w:pPr>
        <w:spacing w:line="360" w:lineRule="auto"/>
        <w:ind w:firstLine="420" w:firstLineChars="200"/>
        <w:rPr>
          <w:rFonts w:hint="eastAsia" w:hAnsi="宋体"/>
          <w:color w:val="auto"/>
          <w:highlight w:val="none"/>
        </w:rPr>
      </w:pPr>
      <w:r>
        <w:rPr>
          <w:rFonts w:hAnsi="宋体"/>
          <w:color w:val="auto"/>
          <w:highlight w:val="none"/>
        </w:rPr>
        <w:t>29.1</w:t>
      </w:r>
      <w:r>
        <w:rPr>
          <w:rFonts w:hint="eastAsia" w:hAnsi="宋体"/>
          <w:color w:val="auto"/>
          <w:highlight w:val="none"/>
        </w:rPr>
        <w:t>本项目的评标方法详见“投标人须知前附表”。</w:t>
      </w:r>
    </w:p>
    <w:p w14:paraId="4FE664A6">
      <w:pPr>
        <w:spacing w:line="360" w:lineRule="auto"/>
        <w:ind w:firstLine="420" w:firstLineChars="200"/>
        <w:rPr>
          <w:rFonts w:hint="eastAsia" w:hAnsi="宋体"/>
          <w:color w:val="auto"/>
          <w:highlight w:val="none"/>
        </w:rPr>
      </w:pPr>
      <w:r>
        <w:rPr>
          <w:rFonts w:hAnsi="宋体"/>
          <w:color w:val="auto"/>
          <w:highlight w:val="none"/>
        </w:rPr>
        <w:t>29.2</w:t>
      </w:r>
      <w:r>
        <w:rPr>
          <w:rFonts w:hAnsi="宋体" w:cs="宋体"/>
          <w:color w:val="auto"/>
          <w:highlight w:val="none"/>
        </w:rPr>
        <w:t xml:space="preserve"> </w:t>
      </w:r>
      <w:r>
        <w:rPr>
          <w:rFonts w:hint="eastAsia" w:hAnsi="宋体"/>
          <w:color w:val="auto"/>
          <w:highlight w:val="none"/>
        </w:rPr>
        <w:t>评标委员会按照</w:t>
      </w:r>
      <w:r>
        <w:rPr>
          <w:rFonts w:hint="eastAsia" w:hAnsi="宋体" w:cs="宋体"/>
          <w:b/>
          <w:color w:val="auto"/>
          <w:highlight w:val="none"/>
        </w:rPr>
        <w:t>“第四章</w:t>
      </w:r>
      <w:r>
        <w:rPr>
          <w:rFonts w:hAnsi="宋体" w:cs="宋体"/>
          <w:b/>
          <w:color w:val="auto"/>
          <w:highlight w:val="none"/>
        </w:rPr>
        <w:t xml:space="preserve"> </w:t>
      </w:r>
      <w:r>
        <w:rPr>
          <w:rFonts w:hint="eastAsia" w:hAnsi="宋体" w:cs="宋体"/>
          <w:b/>
          <w:color w:val="auto"/>
          <w:highlight w:val="none"/>
        </w:rPr>
        <w:t>评标方法和评标标准”</w:t>
      </w:r>
      <w:r>
        <w:rPr>
          <w:rFonts w:hint="eastAsia" w:hAnsi="宋体"/>
          <w:color w:val="auto"/>
          <w:highlight w:val="none"/>
        </w:rPr>
        <w:t>规定的方法、评审因素、标准和程序对投标文件进行评审。</w:t>
      </w:r>
    </w:p>
    <w:p w14:paraId="47618D28">
      <w:pPr>
        <w:spacing w:line="360" w:lineRule="auto"/>
        <w:ind w:firstLine="420" w:firstLineChars="200"/>
        <w:rPr>
          <w:rFonts w:hint="eastAsia" w:hAnsi="宋体"/>
          <w:color w:val="auto"/>
          <w:highlight w:val="none"/>
        </w:rPr>
      </w:pPr>
      <w:r>
        <w:rPr>
          <w:rFonts w:hAnsi="宋体"/>
          <w:color w:val="auto"/>
          <w:highlight w:val="none"/>
        </w:rPr>
        <w:t xml:space="preserve">29.3 </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210C7E86">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）电子交易平台发生故障而无法登录访问的；</w:t>
      </w:r>
      <w:r>
        <w:rPr>
          <w:rFonts w:hAnsi="宋体"/>
          <w:color w:val="auto"/>
          <w:highlight w:val="none"/>
        </w:rPr>
        <w:t xml:space="preserve"> </w:t>
      </w:r>
    </w:p>
    <w:p w14:paraId="053F6FB4">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）电子交易平台应用或数据库出现错误，不能进行正常操作的；</w:t>
      </w:r>
    </w:p>
    <w:p w14:paraId="1E514881">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）电子交易平台发现严重安全漏洞，有潜在泄密危险的；</w:t>
      </w:r>
    </w:p>
    <w:p w14:paraId="3C7FCD80">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）病毒发作导致不能进行正常操作的；</w:t>
      </w:r>
      <w:r>
        <w:rPr>
          <w:rFonts w:hAnsi="宋体"/>
          <w:color w:val="auto"/>
          <w:highlight w:val="none"/>
        </w:rPr>
        <w:t xml:space="preserve"> </w:t>
      </w:r>
    </w:p>
    <w:p w14:paraId="1118B813">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）其他无法保证电子交易的公平、公正和安全的情况。</w:t>
      </w:r>
    </w:p>
    <w:p w14:paraId="7962F47B">
      <w:pPr>
        <w:spacing w:line="360" w:lineRule="auto"/>
        <w:ind w:firstLine="420" w:firstLineChars="200"/>
        <w:rPr>
          <w:rFonts w:hint="eastAsia" w:hAnsi="宋体"/>
          <w:color w:val="auto"/>
          <w:highlight w:val="none"/>
        </w:rPr>
      </w:pPr>
      <w:r>
        <w:rPr>
          <w:rFonts w:hAnsi="宋体"/>
          <w:color w:val="auto"/>
          <w:highlight w:val="none"/>
        </w:rPr>
        <w:t>29.4</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F7DF2A8">
      <w:pPr>
        <w:snapToGrid w:val="0"/>
        <w:spacing w:line="400" w:lineRule="exact"/>
        <w:ind w:firstLine="400" w:firstLineChars="200"/>
        <w:rPr>
          <w:rFonts w:hint="eastAsia" w:ascii="宋体" w:hAnsi="宋体"/>
          <w:color w:val="auto"/>
          <w:kern w:val="0"/>
          <w:sz w:val="20"/>
          <w:szCs w:val="20"/>
          <w:highlight w:val="none"/>
        </w:rPr>
      </w:pPr>
    </w:p>
    <w:p w14:paraId="7ACC0A21">
      <w:pPr>
        <w:spacing w:line="400" w:lineRule="exact"/>
        <w:ind w:firstLine="643" w:firstLineChars="200"/>
        <w:jc w:val="center"/>
        <w:outlineLvl w:val="2"/>
        <w:rPr>
          <w:b/>
          <w:bCs/>
          <w:color w:val="auto"/>
          <w:kern w:val="0"/>
          <w:sz w:val="32"/>
          <w:szCs w:val="32"/>
          <w:highlight w:val="none"/>
        </w:rPr>
      </w:pPr>
      <w:bookmarkStart w:id="18" w:name="_Toc20317"/>
      <w:r>
        <w:rPr>
          <w:rFonts w:hint="eastAsia"/>
          <w:b/>
          <w:bCs/>
          <w:color w:val="auto"/>
          <w:kern w:val="0"/>
          <w:sz w:val="32"/>
          <w:szCs w:val="32"/>
          <w:highlight w:val="none"/>
        </w:rPr>
        <w:t>七、中标和合同</w:t>
      </w:r>
      <w:bookmarkEnd w:id="18"/>
    </w:p>
    <w:p w14:paraId="1B5C9E2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30.确定中标人</w:t>
      </w:r>
    </w:p>
    <w:p w14:paraId="64838A1A">
      <w:pPr>
        <w:spacing w:line="360" w:lineRule="auto"/>
        <w:ind w:firstLine="422" w:firstLineChars="200"/>
        <w:rPr>
          <w:rFonts w:hint="eastAsia" w:ascii="宋体" w:hAnsi="宋体" w:cs="Courier New"/>
          <w:b/>
          <w:bCs/>
          <w:color w:val="auto"/>
          <w:szCs w:val="21"/>
          <w:highlight w:val="none"/>
        </w:rPr>
      </w:pPr>
      <w:r>
        <w:rPr>
          <w:rFonts w:hint="eastAsia" w:ascii="宋体" w:hAnsi="宋体" w:cs="Courier New"/>
          <w:b/>
          <w:bCs/>
          <w:color w:val="auto"/>
          <w:szCs w:val="21"/>
          <w:highlight w:val="none"/>
        </w:rPr>
        <w:t>30.1本项目授权评标委员会直接按第四章“评标方法及标准”的规定排列中标候选人顺序，并依照次序确定中标人。</w:t>
      </w:r>
    </w:p>
    <w:p w14:paraId="4A06F750">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30.2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387E0D4E">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30.3中标供应商无正当理由拒签合同的，根据《中华人民共和国政府采购法》第七十七条第一款规定处理。</w:t>
      </w:r>
    </w:p>
    <w:p w14:paraId="74552C2F">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30.4根据《中华人民共和国民法典》</w:t>
      </w:r>
      <w:r>
        <w:rPr>
          <w:rFonts w:hint="eastAsia"/>
          <w:color w:val="auto"/>
          <w:sz w:val="19"/>
          <w:szCs w:val="19"/>
          <w:highlight w:val="none"/>
        </w:rPr>
        <w:t>第五百六十三条</w:t>
      </w:r>
      <w:r>
        <w:rPr>
          <w:rFonts w:hint="eastAsia" w:ascii="宋体" w:hAnsi="宋体" w:cs="Courier New"/>
          <w:color w:val="auto"/>
          <w:szCs w:val="21"/>
          <w:highlight w:val="none"/>
        </w:rPr>
        <w:t>，因不可抗力致使不能实现合同目的的，当事人可以解除合同。</w:t>
      </w:r>
    </w:p>
    <w:p w14:paraId="3329ABE2">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31. 结果公告</w:t>
      </w:r>
    </w:p>
    <w:p w14:paraId="1587BE0B">
      <w:pPr>
        <w:spacing w:line="360" w:lineRule="auto"/>
        <w:ind w:firstLine="420" w:firstLineChars="200"/>
        <w:rPr>
          <w:rFonts w:hint="eastAsia" w:hAnsi="宋体" w:cs="宋体"/>
          <w:color w:val="auto"/>
          <w:highlight w:val="none"/>
        </w:rPr>
      </w:pPr>
      <w:r>
        <w:rPr>
          <w:rFonts w:hAnsi="宋体"/>
          <w:color w:val="auto"/>
          <w:szCs w:val="21"/>
          <w:highlight w:val="none"/>
        </w:rPr>
        <w:t>31.1</w:t>
      </w:r>
      <w:r>
        <w:rPr>
          <w:rFonts w:hint="eastAsia" w:hAnsi="宋体" w:cs="宋体"/>
          <w:color w:val="auto"/>
          <w:highlight w:val="none"/>
        </w:rPr>
        <w:t>在中标供应商</w:t>
      </w:r>
      <w:r>
        <w:rPr>
          <w:rFonts w:hint="eastAsia" w:hAnsi="宋体" w:cs="Arial"/>
          <w:color w:val="auto"/>
          <w:highlight w:val="none"/>
        </w:rPr>
        <w:t>确定之日起</w:t>
      </w:r>
      <w:r>
        <w:rPr>
          <w:rFonts w:hAnsi="宋体" w:cs="宋体"/>
          <w:color w:val="auto"/>
          <w:highlight w:val="none"/>
        </w:rPr>
        <w:t>2</w:t>
      </w:r>
      <w:r>
        <w:rPr>
          <w:rFonts w:hint="eastAsia" w:hAnsi="宋体" w:cs="宋体"/>
          <w:color w:val="auto"/>
          <w:highlight w:val="none"/>
        </w:rPr>
        <w:t>个工作日内，由采购代理机构</w:t>
      </w:r>
      <w:r>
        <w:rPr>
          <w:rFonts w:hint="eastAsia" w:hAnsi="宋体"/>
          <w:b/>
          <w:color w:val="auto"/>
          <w:szCs w:val="21"/>
          <w:highlight w:val="none"/>
        </w:rPr>
        <w:t>在招标公告发布媒体上</w:t>
      </w:r>
      <w:r>
        <w:rPr>
          <w:rFonts w:hint="eastAsia" w:hAnsi="宋体" w:cs="宋体"/>
          <w:color w:val="auto"/>
          <w:highlight w:val="none"/>
        </w:rPr>
        <w:t>发布中标结果公告，中标结果公告期限为</w:t>
      </w:r>
      <w:r>
        <w:rPr>
          <w:rFonts w:hAnsi="宋体" w:cs="宋体"/>
          <w:color w:val="auto"/>
          <w:highlight w:val="none"/>
        </w:rPr>
        <w:t>1</w:t>
      </w:r>
      <w:r>
        <w:rPr>
          <w:rFonts w:hint="eastAsia" w:hAnsi="宋体" w:cs="宋体"/>
          <w:color w:val="auto"/>
          <w:highlight w:val="none"/>
        </w:rPr>
        <w:t>个工作日，发布中标结果公告的同时向中标供应商发出中标通知书。</w:t>
      </w:r>
      <w:r>
        <w:rPr>
          <w:rFonts w:hint="eastAsia" w:hAnsi="宋体"/>
          <w:b/>
          <w:color w:val="auto"/>
          <w:szCs w:val="21"/>
          <w:highlight w:val="none"/>
        </w:rPr>
        <w:t>采购代理机构发出中标通知书前，应当对中标人信用进行核实，对列入失信被执行人、重大税收违法案件当事人名单、政府采购严重违法失信行为记录名单及其他不符合《中华人民共和国政府采购法》第二十二条规定条件的投标人，取消其中标资格，并确定排名第二的中标候选人为中标人。</w:t>
      </w:r>
      <w:r>
        <w:rPr>
          <w:rFonts w:hint="eastAsia" w:hAnsi="宋体"/>
          <w:color w:val="auto"/>
          <w:szCs w:val="21"/>
          <w:highlight w:val="none"/>
        </w:rPr>
        <w:t>排名第二的中标候选人因前款规定的同样原因被取消中标资格的，</w:t>
      </w:r>
      <w:r>
        <w:rPr>
          <w:rFonts w:hint="eastAsia" w:hAnsi="宋体" w:cs="Courier New"/>
          <w:color w:val="auto"/>
          <w:szCs w:val="21"/>
          <w:highlight w:val="none"/>
        </w:rPr>
        <w:t>授权的评标委员会</w:t>
      </w:r>
      <w:r>
        <w:rPr>
          <w:rFonts w:hint="eastAsia" w:hAnsi="宋体"/>
          <w:color w:val="auto"/>
          <w:szCs w:val="21"/>
          <w:highlight w:val="none"/>
        </w:rPr>
        <w:t>可以确定排名第三的中标候选人为中标人，以此类推。</w:t>
      </w:r>
    </w:p>
    <w:p w14:paraId="26ACB6C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以上信息查询记录及相关证据与采购文件一并保存。</w:t>
      </w:r>
    </w:p>
    <w:p w14:paraId="2A760A4B">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7C3F8E8E">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32.发出中标通知书</w:t>
      </w:r>
    </w:p>
    <w:p w14:paraId="78820935">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32.1在发布中标公告的同时，采购代理机构向中标人通过“</w:t>
      </w:r>
      <w:r>
        <w:rPr>
          <w:rFonts w:hint="eastAsia" w:ascii="Calibri" w:hAnsi="宋体"/>
          <w:color w:val="auto"/>
          <w:kern w:val="0"/>
          <w:szCs w:val="21"/>
          <w:highlight w:val="none"/>
        </w:rPr>
        <w:t>广西政府采购云</w:t>
      </w:r>
      <w:r>
        <w:rPr>
          <w:rFonts w:hint="eastAsia" w:ascii="宋体" w:hAnsi="宋体"/>
          <w:b/>
          <w:color w:val="auto"/>
          <w:szCs w:val="21"/>
          <w:highlight w:val="none"/>
        </w:rPr>
        <w:t>”平台发出电子中标通知书。</w:t>
      </w:r>
    </w:p>
    <w:p w14:paraId="55717E4A">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32.2对未通过资格审查的投标人，采购人或采购机构应当告知其未通过的原因；采用综合评分办法评审的，采购人或采购机构还应当告知未中标人本人的评审得分与排序。</w:t>
      </w:r>
    </w:p>
    <w:p w14:paraId="01DE9258">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33. 无义务解释未中标原因</w:t>
      </w:r>
    </w:p>
    <w:p w14:paraId="6FB29D5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采购代理机构无义务向未中标的投标人解释未中标原因和退还投标文件。</w:t>
      </w:r>
    </w:p>
    <w:p w14:paraId="7DD153A1">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34.合同授予标准</w:t>
      </w:r>
    </w:p>
    <w:p w14:paraId="01589FD7">
      <w:pPr>
        <w:spacing w:line="360" w:lineRule="auto"/>
        <w:ind w:firstLine="420" w:firstLineChars="200"/>
        <w:rPr>
          <w:rFonts w:hint="eastAsia" w:ascii="宋体" w:hAnsi="宋体"/>
          <w:color w:val="auto"/>
          <w:szCs w:val="21"/>
          <w:highlight w:val="none"/>
        </w:rPr>
      </w:pPr>
      <w:r>
        <w:rPr>
          <w:rFonts w:hint="eastAsia" w:ascii="宋体" w:hAnsi="宋体" w:cs="Courier New"/>
          <w:color w:val="auto"/>
          <w:szCs w:val="21"/>
          <w:highlight w:val="none"/>
        </w:rPr>
        <w:t>合同将授予被确定实质上响应招标文件要求，具备履行合同能力的中标人（招标文件另有约定多名中标人的除外）。</w:t>
      </w:r>
    </w:p>
    <w:p w14:paraId="40438D30">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35.履约保证金</w:t>
      </w:r>
    </w:p>
    <w:p w14:paraId="10A9D449">
      <w:pPr>
        <w:spacing w:line="360" w:lineRule="auto"/>
        <w:ind w:firstLine="420" w:firstLineChars="200"/>
        <w:rPr>
          <w:rFonts w:hint="eastAsia" w:ascii="宋体" w:hAnsi="宋体" w:cs="方正仿宋_GB2312"/>
          <w:color w:val="auto"/>
          <w:szCs w:val="21"/>
          <w:highlight w:val="none"/>
        </w:rPr>
      </w:pPr>
      <w:r>
        <w:rPr>
          <w:rFonts w:hint="eastAsia" w:ascii="宋体" w:hAnsi="宋体" w:cs="方正仿宋_GB2312"/>
          <w:color w:val="auto"/>
          <w:szCs w:val="21"/>
          <w:highlight w:val="none"/>
        </w:rPr>
        <w:t>见“投标人须知前附表”。</w:t>
      </w:r>
    </w:p>
    <w:p w14:paraId="46F2E54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36.签订合同</w:t>
      </w:r>
    </w:p>
    <w:p w14:paraId="7FE32A52">
      <w:pPr>
        <w:adjustRightInd w:val="0"/>
        <w:snapToGrid w:val="0"/>
        <w:spacing w:line="360" w:lineRule="auto"/>
        <w:ind w:firstLine="422" w:firstLineChars="200"/>
        <w:rPr>
          <w:rFonts w:hint="eastAsia" w:ascii="宋体" w:hAnsi="宋体"/>
          <w:color w:val="auto"/>
          <w:kern w:val="0"/>
          <w:szCs w:val="21"/>
          <w:highlight w:val="none"/>
          <w:lang w:val="zh-CN"/>
        </w:rPr>
      </w:pPr>
      <w:r>
        <w:rPr>
          <w:rFonts w:hint="eastAsia" w:ascii="宋体" w:hAnsi="宋体"/>
          <w:b/>
          <w:color w:val="auto"/>
          <w:kern w:val="0"/>
          <w:szCs w:val="21"/>
          <w:highlight w:val="none"/>
        </w:rPr>
        <w:t xml:space="preserve"> 36.1中标人领取电子中标通知书后，</w:t>
      </w:r>
      <w:r>
        <w:rPr>
          <w:rFonts w:hint="eastAsia" w:ascii="宋体" w:hAnsi="宋体"/>
          <w:color w:val="auto"/>
          <w:kern w:val="0"/>
          <w:szCs w:val="21"/>
          <w:highlight w:val="none"/>
          <w:lang w:val="zh-CN"/>
        </w:rPr>
        <w:t>按规定的日期、时间、地点，由法定代表人或其授权代表与采购人代表签订电子采购合同。如中标人为联合体的，由联合体成员各方法定代表人或其授权代表与采购人代表签订合同，签订携带资料详见“投标人须知前附表”。</w:t>
      </w:r>
    </w:p>
    <w:p w14:paraId="79256196">
      <w:pPr>
        <w:adjustRightInd w:val="0"/>
        <w:snapToGrid w:val="0"/>
        <w:spacing w:line="360" w:lineRule="auto"/>
        <w:ind w:firstLine="420" w:firstLineChars="200"/>
        <w:rPr>
          <w:rFonts w:hint="eastAsia" w:ascii="宋体" w:hAnsi="宋体"/>
          <w:color w:val="auto"/>
          <w:kern w:val="0"/>
          <w:szCs w:val="21"/>
          <w:highlight w:val="none"/>
          <w:lang w:val="zh-CN"/>
        </w:rPr>
      </w:pPr>
      <w:r>
        <w:rPr>
          <w:rFonts w:hint="eastAsia" w:ascii="宋体" w:hAnsi="宋体"/>
          <w:color w:val="auto"/>
          <w:kern w:val="0"/>
          <w:szCs w:val="21"/>
          <w:highlight w:val="none"/>
          <w:lang w:val="zh-CN"/>
        </w:rPr>
        <w:t>36.2</w:t>
      </w:r>
      <w:r>
        <w:rPr>
          <w:rFonts w:hint="eastAsia" w:ascii="宋体" w:hAnsi="宋体" w:cs="方正仿宋_GB2312"/>
          <w:color w:val="auto"/>
          <w:kern w:val="0"/>
          <w:szCs w:val="21"/>
          <w:highlight w:val="none"/>
        </w:rPr>
        <w:t>采购合同由采购人与中标供应商根据招标文件、投标文件等内容通过政府采购电子交易平台在线签订，自动备案。</w:t>
      </w:r>
    </w:p>
    <w:p w14:paraId="2D773B72">
      <w:pPr>
        <w:adjustRightInd w:val="0"/>
        <w:snapToGrid w:val="0"/>
        <w:spacing w:line="360" w:lineRule="auto"/>
        <w:ind w:firstLine="420" w:firstLineChars="200"/>
        <w:rPr>
          <w:rFonts w:hint="eastAsia" w:ascii="宋体" w:hAnsi="宋体" w:cs="方正仿宋_GB2312"/>
          <w:color w:val="auto"/>
          <w:kern w:val="0"/>
          <w:szCs w:val="21"/>
          <w:highlight w:val="none"/>
        </w:rPr>
      </w:pPr>
      <w:r>
        <w:rPr>
          <w:rFonts w:hint="eastAsia" w:ascii="宋体" w:hAnsi="宋体"/>
          <w:color w:val="auto"/>
          <w:kern w:val="0"/>
          <w:szCs w:val="21"/>
          <w:highlight w:val="none"/>
        </w:rPr>
        <w:t>36.3签订合同时间：按中标通知书规定的时间与采购人签订合同（最长不能超过25日）。</w:t>
      </w:r>
    </w:p>
    <w:p w14:paraId="28826A0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36.4中标人拒绝与采购人签订合同的，采购人可以按照评审报告推荐的中标候选人名单排序，确定下一候选人为中标人，也可以重新开展政府采购活动。如采购人无正当理由拒签合同的，给中标供应商造成损失的，中标供应商可追究采购人承担相应的法律责任。</w:t>
      </w:r>
    </w:p>
    <w:p w14:paraId="5E4F546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36.5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15F6271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36.6采购人或中标供应商不得单方面向合同另一方提出任何招标文件没有约定的条件或不合理的要求，作为签订合同的条件；也不得协商另行订立背离招标文件和合同实质性内容的协议。</w:t>
      </w:r>
    </w:p>
    <w:p w14:paraId="5F3B636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36.7</w:t>
      </w:r>
      <w:r>
        <w:rPr>
          <w:rFonts w:hint="eastAsia" w:ascii="宋体" w:hAnsi="宋体" w:cs="方正仿宋_GB2312"/>
          <w:color w:val="auto"/>
          <w:szCs w:val="21"/>
          <w:highlight w:val="none"/>
        </w:rPr>
        <w:t>如签订合同并生效后，供应商无故拒绝或延期，除按照合同条款处理外，将承担相应的法律责任。</w:t>
      </w:r>
    </w:p>
    <w:p w14:paraId="38FE8D81">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36.8采购人需追加与合同标的相同的货物或者服务的，在不改变原合同条款且已报财政部门批准落实资金的前提下，可从原中标供应商处添购， 所签订的补充添置合同的采购资金总额不超过原采购合同金额的10%。</w:t>
      </w:r>
    </w:p>
    <w:p w14:paraId="319E47FD">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37.政府采购合同公告</w:t>
      </w:r>
    </w:p>
    <w:p w14:paraId="14E79FC7">
      <w:pPr>
        <w:spacing w:line="360" w:lineRule="auto"/>
        <w:ind w:firstLine="420" w:firstLineChars="200"/>
        <w:rPr>
          <w:rFonts w:hint="eastAsia" w:ascii="宋体" w:hAnsi="宋体"/>
          <w:color w:val="auto"/>
          <w:highlight w:val="none"/>
        </w:rPr>
      </w:pPr>
      <w:r>
        <w:rPr>
          <w:rFonts w:hint="eastAsia" w:hAnsi="宋体"/>
          <w:color w:val="auto"/>
          <w:highlight w:val="none"/>
        </w:rPr>
        <w:t>采购人或者受托采购代理机构应当自政府采购合同签订之日起</w:t>
      </w:r>
      <w:r>
        <w:rPr>
          <w:rFonts w:hAnsi="宋体"/>
          <w:color w:val="auto"/>
          <w:highlight w:val="none"/>
        </w:rPr>
        <w:t>2</w:t>
      </w:r>
      <w:r>
        <w:rPr>
          <w:rFonts w:hint="eastAsia" w:hAnsi="宋体"/>
          <w:color w:val="auto"/>
          <w:highlight w:val="none"/>
        </w:rPr>
        <w:t>个工作日内，将政府采购合同</w:t>
      </w:r>
      <w:r>
        <w:rPr>
          <w:rFonts w:hint="eastAsia" w:ascii="宋体" w:hAnsi="宋体"/>
          <w:bCs/>
          <w:color w:val="auto"/>
          <w:highlight w:val="none"/>
        </w:rPr>
        <w:t>在以下媒体上发布</w:t>
      </w:r>
      <w:r>
        <w:rPr>
          <w:rFonts w:hint="eastAsia" w:ascii="宋体" w:hAnsi="宋体" w:cs="宋体"/>
          <w:color w:val="auto"/>
          <w:kern w:val="0"/>
          <w:szCs w:val="21"/>
          <w:highlight w:val="none"/>
        </w:rPr>
        <w:t xml:space="preserve"> “广西政府采购网”（http://zfcg.gxzf.gov.cn）</w:t>
      </w:r>
      <w:r>
        <w:rPr>
          <w:rFonts w:hint="eastAsia" w:hAnsi="宋体"/>
          <w:color w:val="auto"/>
          <w:highlight w:val="none"/>
        </w:rPr>
        <w:t>上公告，但政府采购合同中涉及国家秘密、商业秘密的内容除外。</w:t>
      </w:r>
    </w:p>
    <w:p w14:paraId="26DD3F04">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38. 询问、质疑和投诉</w:t>
      </w:r>
    </w:p>
    <w:p w14:paraId="4C107335">
      <w:pPr>
        <w:spacing w:line="360" w:lineRule="auto"/>
        <w:ind w:firstLine="422" w:firstLineChars="200"/>
        <w:rPr>
          <w:rFonts w:hint="eastAsia" w:hAnsi="宋体"/>
          <w:b/>
          <w:color w:val="auto"/>
          <w:szCs w:val="21"/>
          <w:highlight w:val="none"/>
        </w:rPr>
      </w:pPr>
      <w:r>
        <w:rPr>
          <w:rFonts w:hAnsi="宋体"/>
          <w:b/>
          <w:color w:val="auto"/>
          <w:szCs w:val="21"/>
          <w:highlight w:val="none"/>
        </w:rPr>
        <w:t>38.1</w:t>
      </w:r>
      <w:r>
        <w:rPr>
          <w:rFonts w:hint="eastAsia" w:hAnsi="宋体"/>
          <w:b/>
          <w:color w:val="auto"/>
          <w:szCs w:val="21"/>
          <w:highlight w:val="none"/>
        </w:rPr>
        <w:t>询问</w:t>
      </w:r>
    </w:p>
    <w:p w14:paraId="0E916FE9">
      <w:pPr>
        <w:spacing w:line="360" w:lineRule="auto"/>
        <w:ind w:firstLine="420" w:firstLineChars="200"/>
        <w:rPr>
          <w:rFonts w:hint="eastAsia" w:hAnsi="宋体"/>
          <w:bCs/>
          <w:color w:val="auto"/>
          <w:szCs w:val="21"/>
          <w:highlight w:val="none"/>
        </w:rPr>
      </w:pPr>
      <w:r>
        <w:rPr>
          <w:rFonts w:hAnsi="宋体"/>
          <w:bCs/>
          <w:color w:val="auto"/>
          <w:szCs w:val="21"/>
          <w:highlight w:val="none"/>
        </w:rPr>
        <w:t>38.1.1</w:t>
      </w:r>
      <w:r>
        <w:rPr>
          <w:rFonts w:hint="eastAsia" w:hAnsi="宋体"/>
          <w:bCs/>
          <w:color w:val="auto"/>
          <w:szCs w:val="21"/>
          <w:highlight w:val="none"/>
        </w:rPr>
        <w:t>供应商在开标前对政府采购活动事项有疑问的，可以向采购人或采购代理机构项目负责人提出询问。</w:t>
      </w:r>
    </w:p>
    <w:p w14:paraId="18ADC08E">
      <w:pPr>
        <w:spacing w:line="360" w:lineRule="auto"/>
        <w:ind w:firstLine="420" w:firstLineChars="200"/>
        <w:rPr>
          <w:rFonts w:hint="eastAsia" w:hAnsi="宋体"/>
          <w:bCs/>
          <w:color w:val="auto"/>
          <w:szCs w:val="21"/>
          <w:highlight w:val="none"/>
        </w:rPr>
      </w:pPr>
      <w:r>
        <w:rPr>
          <w:rFonts w:hAnsi="宋体"/>
          <w:bCs/>
          <w:color w:val="auto"/>
          <w:szCs w:val="21"/>
          <w:highlight w:val="none"/>
        </w:rPr>
        <w:t>38.1.2</w:t>
      </w:r>
      <w:r>
        <w:rPr>
          <w:rFonts w:hint="eastAsia" w:hAnsi="宋体"/>
          <w:bCs/>
          <w:color w:val="auto"/>
          <w:szCs w:val="21"/>
          <w:highlight w:val="none"/>
        </w:rPr>
        <w:t>采购人或采购人委托的采购代理机构自受理询问之日起</w:t>
      </w:r>
      <w:r>
        <w:rPr>
          <w:rFonts w:hAnsi="宋体"/>
          <w:bCs/>
          <w:color w:val="auto"/>
          <w:szCs w:val="21"/>
          <w:highlight w:val="none"/>
        </w:rPr>
        <w:t>3</w:t>
      </w:r>
      <w:r>
        <w:rPr>
          <w:rFonts w:hint="eastAsia" w:hAnsi="宋体"/>
          <w:bCs/>
          <w:color w:val="auto"/>
          <w:szCs w:val="21"/>
          <w:highlight w:val="none"/>
        </w:rPr>
        <w:t>个工作日内对供应商依法提出的询问作出答复，</w:t>
      </w:r>
      <w:r>
        <w:rPr>
          <w:rFonts w:hint="eastAsia"/>
          <w:color w:val="auto"/>
          <w:highlight w:val="none"/>
        </w:rPr>
        <w:t>但答复内容不得涉及商业秘密</w:t>
      </w:r>
      <w:r>
        <w:rPr>
          <w:rFonts w:hint="eastAsia" w:hAnsi="宋体"/>
          <w:bCs/>
          <w:color w:val="auto"/>
          <w:szCs w:val="21"/>
          <w:highlight w:val="none"/>
        </w:rPr>
        <w:t>。</w:t>
      </w:r>
    </w:p>
    <w:p w14:paraId="446D9611">
      <w:pPr>
        <w:spacing w:line="360" w:lineRule="auto"/>
        <w:ind w:firstLine="420" w:firstLineChars="200"/>
        <w:rPr>
          <w:rFonts w:hint="eastAsia" w:hAnsi="宋体"/>
          <w:bCs/>
          <w:color w:val="auto"/>
          <w:szCs w:val="21"/>
          <w:highlight w:val="none"/>
        </w:rPr>
      </w:pPr>
      <w:r>
        <w:rPr>
          <w:rFonts w:hAnsi="宋体"/>
          <w:bCs/>
          <w:color w:val="auto"/>
          <w:szCs w:val="21"/>
          <w:highlight w:val="none"/>
        </w:rPr>
        <w:t xml:space="preserve">38.1.3 </w:t>
      </w:r>
      <w:r>
        <w:rPr>
          <w:rFonts w:hint="eastAsia" w:hAnsi="宋体"/>
          <w:bCs/>
          <w:color w:val="auto"/>
          <w:szCs w:val="21"/>
          <w:highlight w:val="none"/>
        </w:rPr>
        <w:t>询问事项可能影响中标、成交结果的，采购人应当暂停签订合同，已经签订合同的，应当中止履行合同。</w:t>
      </w:r>
    </w:p>
    <w:p w14:paraId="70A8BDCF">
      <w:pPr>
        <w:spacing w:line="360" w:lineRule="auto"/>
        <w:ind w:firstLine="422" w:firstLineChars="200"/>
        <w:rPr>
          <w:rFonts w:hint="eastAsia" w:ascii="宋体" w:hAnsi="宋体"/>
          <w:color w:val="auto"/>
          <w:szCs w:val="21"/>
          <w:highlight w:val="none"/>
        </w:rPr>
      </w:pPr>
      <w:r>
        <w:rPr>
          <w:rFonts w:hint="eastAsia" w:ascii="宋体" w:hAnsi="宋体"/>
          <w:b/>
          <w:color w:val="auto"/>
          <w:szCs w:val="21"/>
          <w:highlight w:val="none"/>
        </w:rPr>
        <w:t xml:space="preserve"> </w:t>
      </w:r>
      <w:r>
        <w:rPr>
          <w:rFonts w:hint="eastAsia" w:ascii="宋体" w:hAnsi="宋体"/>
          <w:color w:val="auto"/>
          <w:szCs w:val="21"/>
          <w:highlight w:val="none"/>
        </w:rPr>
        <w:t>38.2质疑</w:t>
      </w:r>
    </w:p>
    <w:p w14:paraId="66916031">
      <w:pPr>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38.2.1</w:t>
      </w:r>
      <w:r>
        <w:rPr>
          <w:rFonts w:hint="eastAsia" w:ascii="宋体" w:hAnsi="宋体"/>
          <w:b/>
          <w:color w:val="auto"/>
          <w:szCs w:val="21"/>
          <w:highlight w:val="none"/>
        </w:rPr>
        <w:t xml:space="preserve">供应商认为招标文件、采购过程或者中标结果使自己的合法权益受到损害的，必须在知道或者应知其权益受到损害之日起7个工作日内，以书面形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09668122">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）潜在供应商依法获取公开招标文件后，认为采购文件使自己的权益受到损害的，应当在公开招标文件公告期限届满之日起</w:t>
      </w:r>
      <w:r>
        <w:rPr>
          <w:rFonts w:hAnsi="宋体"/>
          <w:bCs/>
          <w:color w:val="auto"/>
          <w:highlight w:val="none"/>
        </w:rPr>
        <w:t>7</w:t>
      </w:r>
      <w:r>
        <w:rPr>
          <w:rFonts w:hint="eastAsia" w:hAnsi="宋体"/>
          <w:bCs/>
          <w:color w:val="auto"/>
          <w:highlight w:val="none"/>
        </w:rPr>
        <w:t>个工作日内提出质疑。</w:t>
      </w:r>
      <w:r>
        <w:rPr>
          <w:rFonts w:hint="eastAsia"/>
          <w:color w:val="auto"/>
          <w:highlight w:val="none"/>
        </w:rPr>
        <w:t>委托代理协议无特殊约定的，</w:t>
      </w:r>
      <w:r>
        <w:rPr>
          <w:rFonts w:hint="eastAsia" w:hAnsi="宋体"/>
          <w:bCs/>
          <w:color w:val="auto"/>
          <w:highlight w:val="none"/>
        </w:rPr>
        <w:t>对公开招标文件中采购需求（含资格要求、采购预算和评分办法）的质疑由采购人受理并负责答复；对公开招标文件中的采购执行程序的质疑由采购代理机构受理并负责答复。</w:t>
      </w:r>
    </w:p>
    <w:p w14:paraId="5294C6E8">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）供应商认为采购过程使自己的权益受到损害的，应当在各采购程序环节结束之日起</w:t>
      </w:r>
      <w:r>
        <w:rPr>
          <w:rFonts w:hAnsi="宋体"/>
          <w:bCs/>
          <w:color w:val="auto"/>
          <w:highlight w:val="none"/>
        </w:rPr>
        <w:t>7</w:t>
      </w:r>
      <w:r>
        <w:rPr>
          <w:rFonts w:hint="eastAsia" w:hAnsi="宋体"/>
          <w:bCs/>
          <w:color w:val="auto"/>
          <w:highlight w:val="none"/>
        </w:rPr>
        <w:t>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5A5E60E9">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）供应商认为中标或者成交结果使自己的权益受到损害的，应当在中标或者成交结果公告期限届满之日起</w:t>
      </w:r>
      <w:r>
        <w:rPr>
          <w:rFonts w:hAnsi="宋体"/>
          <w:bCs/>
          <w:color w:val="auto"/>
          <w:highlight w:val="none"/>
        </w:rPr>
        <w:t>7</w:t>
      </w:r>
      <w:r>
        <w:rPr>
          <w:rFonts w:hint="eastAsia" w:hAnsi="宋体"/>
          <w:bCs/>
          <w:color w:val="auto"/>
          <w:highlight w:val="none"/>
        </w:rPr>
        <w:t>个工作日内提出质疑，由采购人受理并负责答复。</w:t>
      </w:r>
    </w:p>
    <w:p w14:paraId="5B8520AA">
      <w:pPr>
        <w:spacing w:line="360" w:lineRule="auto"/>
        <w:ind w:firstLine="422" w:firstLineChars="200"/>
        <w:rPr>
          <w:rFonts w:hint="eastAsia" w:hAnsi="宋体"/>
          <w:bCs/>
          <w:color w:val="auto"/>
          <w:szCs w:val="21"/>
          <w:highlight w:val="none"/>
        </w:rPr>
      </w:pPr>
      <w:r>
        <w:rPr>
          <w:rFonts w:hAnsi="宋体"/>
          <w:b/>
          <w:bCs/>
          <w:color w:val="auto"/>
          <w:szCs w:val="21"/>
          <w:highlight w:val="none"/>
        </w:rPr>
        <w:t>38.2.2</w:t>
      </w:r>
      <w:r>
        <w:rPr>
          <w:rFonts w:hint="eastAsia" w:hAnsi="宋体"/>
          <w:bCs/>
          <w:color w:val="auto"/>
          <w:szCs w:val="21"/>
          <w:highlight w:val="none"/>
        </w:rPr>
        <w:t>供应商质疑实行实名制，其质疑应当有具体的质疑事项及事实根据，质疑应当坚持依法依规、诚实信用原则，不得进行虚假、恶意质疑。</w:t>
      </w:r>
    </w:p>
    <w:p w14:paraId="2BF3CFD7">
      <w:pPr>
        <w:spacing w:line="360" w:lineRule="auto"/>
        <w:ind w:firstLine="422" w:firstLineChars="200"/>
        <w:rPr>
          <w:rFonts w:hint="eastAsia" w:hAnsi="宋体"/>
          <w:bCs/>
          <w:color w:val="auto"/>
          <w:highlight w:val="none"/>
        </w:rPr>
      </w:pPr>
      <w:r>
        <w:rPr>
          <w:rFonts w:hAnsi="宋体"/>
          <w:b/>
          <w:bCs/>
          <w:color w:val="auto"/>
          <w:highlight w:val="none"/>
        </w:rPr>
        <w:t>38.2.3</w:t>
      </w:r>
      <w:r>
        <w:rPr>
          <w:rFonts w:hAnsi="宋体"/>
          <w:bCs/>
          <w:color w:val="auto"/>
          <w:highlight w:val="none"/>
        </w:rPr>
        <w:t xml:space="preserve"> </w:t>
      </w:r>
      <w:r>
        <w:rPr>
          <w:rFonts w:hint="eastAsia" w:hAnsi="宋体"/>
          <w:bCs/>
          <w:color w:val="auto"/>
          <w:highlight w:val="none"/>
        </w:rPr>
        <w:t>质疑供应商可以委托代理人办理质疑事务。委托代理人应熟悉相关业务情况。代理人办理质疑事务时，除提交质疑书外，还应当提交质疑供应商的授权委托书和委托代理人身份证明复印件</w:t>
      </w:r>
      <w:r>
        <w:rPr>
          <w:rFonts w:hint="eastAsia" w:hAnsi="宋体"/>
          <w:color w:val="auto"/>
          <w:highlight w:val="none"/>
        </w:rPr>
        <w:t>。</w:t>
      </w:r>
    </w:p>
    <w:p w14:paraId="26FDDBEC">
      <w:pPr>
        <w:spacing w:line="360" w:lineRule="auto"/>
        <w:ind w:firstLine="422" w:firstLineChars="200"/>
        <w:rPr>
          <w:rFonts w:hint="eastAsia" w:hAnsi="宋体"/>
          <w:b/>
          <w:bCs/>
          <w:color w:val="auto"/>
          <w:highlight w:val="none"/>
        </w:rPr>
      </w:pPr>
      <w:r>
        <w:rPr>
          <w:rFonts w:hAnsi="宋体"/>
          <w:b/>
          <w:bCs/>
          <w:color w:val="auto"/>
          <w:highlight w:val="none"/>
        </w:rPr>
        <w:t xml:space="preserve">38.2.4 </w:t>
      </w:r>
      <w:r>
        <w:rPr>
          <w:rFonts w:hint="eastAsia" w:hAnsi="宋体"/>
          <w:b/>
          <w:bCs/>
          <w:color w:val="auto"/>
          <w:highlight w:val="none"/>
        </w:rPr>
        <w:t>质疑供应商提起质疑应当符合下列条件：</w:t>
      </w:r>
    </w:p>
    <w:p w14:paraId="7D1F9224">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）质疑供应商是参与所质疑</w:t>
      </w:r>
      <w:r>
        <w:rPr>
          <w:rFonts w:hint="eastAsia" w:hAnsi="宋体"/>
          <w:bCs/>
          <w:color w:val="auto"/>
          <w:szCs w:val="21"/>
          <w:highlight w:val="none"/>
        </w:rPr>
        <w:t>项目</w:t>
      </w:r>
      <w:r>
        <w:rPr>
          <w:rFonts w:hint="eastAsia" w:hAnsi="宋体"/>
          <w:bCs/>
          <w:color w:val="auto"/>
          <w:highlight w:val="none"/>
        </w:rPr>
        <w:t>采购活动的供应商（潜在供应商已依法获取可之一的采购文件的，可以对该采购文件质疑）；</w:t>
      </w:r>
    </w:p>
    <w:p w14:paraId="013FE06E">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）质疑函内容符合本章第</w:t>
      </w:r>
      <w:r>
        <w:rPr>
          <w:rFonts w:hAnsi="宋体"/>
          <w:bCs/>
          <w:color w:val="auto"/>
          <w:highlight w:val="none"/>
        </w:rPr>
        <w:t>38.2.5</w:t>
      </w:r>
      <w:r>
        <w:rPr>
          <w:rFonts w:hint="eastAsia" w:hAnsi="宋体"/>
          <w:bCs/>
          <w:color w:val="auto"/>
          <w:highlight w:val="none"/>
        </w:rPr>
        <w:t>项的规定；</w:t>
      </w:r>
    </w:p>
    <w:p w14:paraId="6C2877ED">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）在质疑有效期限内提起质疑；</w:t>
      </w:r>
    </w:p>
    <w:p w14:paraId="0F0D69F8">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4</w:t>
      </w:r>
      <w:r>
        <w:rPr>
          <w:rFonts w:hint="eastAsia" w:hAnsi="宋体"/>
          <w:bCs/>
          <w:color w:val="auto"/>
          <w:highlight w:val="none"/>
        </w:rPr>
        <w:t>）属于所质疑的采购人或采购人委托的采购代理机构组织的采购活动；</w:t>
      </w:r>
    </w:p>
    <w:p w14:paraId="7A14A7CB">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5</w:t>
      </w:r>
      <w:r>
        <w:rPr>
          <w:rFonts w:hint="eastAsia" w:hAnsi="宋体"/>
          <w:bCs/>
          <w:color w:val="auto"/>
          <w:highlight w:val="none"/>
        </w:rPr>
        <w:t>）同一质疑事项未经采购人或采购人委托的采购代理机构质疑处理；</w:t>
      </w:r>
      <w:r>
        <w:rPr>
          <w:rFonts w:hAnsi="宋体"/>
          <w:bCs/>
          <w:color w:val="auto"/>
          <w:highlight w:val="none"/>
        </w:rPr>
        <w:t xml:space="preserve"> </w:t>
      </w:r>
    </w:p>
    <w:p w14:paraId="4DE7D850">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6</w:t>
      </w:r>
      <w:r>
        <w:rPr>
          <w:rFonts w:hint="eastAsia" w:hAnsi="宋体"/>
          <w:bCs/>
          <w:color w:val="auto"/>
          <w:highlight w:val="none"/>
        </w:rPr>
        <w:t>）供应商对同一采购程序环节的质疑应当在质疑有效期内一次性提出；</w:t>
      </w:r>
    </w:p>
    <w:p w14:paraId="6DD5E902">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7</w:t>
      </w:r>
      <w:r>
        <w:rPr>
          <w:rFonts w:hint="eastAsia" w:hAnsi="宋体"/>
          <w:bCs/>
          <w:color w:val="auto"/>
          <w:highlight w:val="none"/>
        </w:rPr>
        <w:t>）供应商提交质疑应当提交必要的证明材料，证明材料应以合法手段取得；</w:t>
      </w:r>
    </w:p>
    <w:p w14:paraId="08CC4E9A">
      <w:pPr>
        <w:spacing w:line="360" w:lineRule="auto"/>
        <w:ind w:firstLine="420" w:firstLineChars="200"/>
        <w:rPr>
          <w:color w:val="auto"/>
          <w:highlight w:val="none"/>
        </w:rPr>
      </w:pPr>
      <w:r>
        <w:rPr>
          <w:rFonts w:hint="eastAsia" w:hAnsi="宋体"/>
          <w:bCs/>
          <w:color w:val="auto"/>
          <w:highlight w:val="none"/>
        </w:rPr>
        <w:t>（</w:t>
      </w:r>
      <w:r>
        <w:rPr>
          <w:rFonts w:hAnsi="宋体"/>
          <w:bCs/>
          <w:color w:val="auto"/>
          <w:highlight w:val="none"/>
        </w:rPr>
        <w:t>8</w:t>
      </w:r>
      <w:r>
        <w:rPr>
          <w:rFonts w:hint="eastAsia" w:hAnsi="宋体"/>
          <w:bCs/>
          <w:color w:val="auto"/>
          <w:highlight w:val="none"/>
        </w:rPr>
        <w:t>）财政部门规定的其他条件。</w:t>
      </w:r>
    </w:p>
    <w:p w14:paraId="0D60ABC4">
      <w:pPr>
        <w:spacing w:line="360" w:lineRule="auto"/>
        <w:ind w:firstLine="420" w:firstLineChars="200"/>
        <w:rPr>
          <w:rFonts w:hint="eastAsia" w:ascii="宋体" w:hAnsi="宋体"/>
          <w:b/>
          <w:color w:val="auto"/>
          <w:szCs w:val="21"/>
          <w:highlight w:val="none"/>
        </w:rPr>
      </w:pPr>
      <w:r>
        <w:rPr>
          <w:rFonts w:hint="eastAsia" w:ascii="宋体" w:hAnsi="宋体"/>
          <w:color w:val="auto"/>
          <w:szCs w:val="21"/>
          <w:highlight w:val="none"/>
        </w:rPr>
        <w:t xml:space="preserve"> 38.2.5 </w:t>
      </w:r>
      <w:r>
        <w:rPr>
          <w:rFonts w:hint="eastAsia" w:hAnsi="宋体"/>
          <w:bCs/>
          <w:color w:val="auto"/>
          <w:highlight w:val="none"/>
        </w:rPr>
        <w:t>供应商提出质疑应当提交质疑函和必要的证明材料，针对同一采购程序环节的质疑必须在法定质疑期内一次性提出。质疑函应当包括下列内容（质疑函格式后附）：</w:t>
      </w:r>
    </w:p>
    <w:p w14:paraId="016C1BBE">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1</w:t>
      </w:r>
      <w:r>
        <w:rPr>
          <w:rFonts w:hint="eastAsia" w:hAnsi="宋体"/>
          <w:bCs/>
          <w:color w:val="auto"/>
          <w:highlight w:val="none"/>
        </w:rPr>
        <w:t>）供应商的姓名或者名称、地址、邮编、联系人及联系电话；</w:t>
      </w:r>
    </w:p>
    <w:p w14:paraId="7216A5C3">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2</w:t>
      </w:r>
      <w:r>
        <w:rPr>
          <w:rFonts w:hint="eastAsia" w:hAnsi="宋体"/>
          <w:bCs/>
          <w:color w:val="auto"/>
          <w:highlight w:val="none"/>
        </w:rPr>
        <w:t>）质疑项目的名称、编号；</w:t>
      </w:r>
    </w:p>
    <w:p w14:paraId="68D705E3">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3</w:t>
      </w:r>
      <w:r>
        <w:rPr>
          <w:rFonts w:hint="eastAsia" w:hAnsi="宋体"/>
          <w:bCs/>
          <w:color w:val="auto"/>
          <w:highlight w:val="none"/>
        </w:rPr>
        <w:t>）具体、明确的质疑事项和与质疑事项相关的请求；</w:t>
      </w:r>
    </w:p>
    <w:p w14:paraId="228A2708">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4</w:t>
      </w:r>
      <w:r>
        <w:rPr>
          <w:rFonts w:hint="eastAsia" w:hAnsi="宋体"/>
          <w:bCs/>
          <w:color w:val="auto"/>
          <w:highlight w:val="none"/>
        </w:rPr>
        <w:t>）事实依据（列明权益受到损害的事实和理由）；</w:t>
      </w:r>
    </w:p>
    <w:p w14:paraId="239A5A32">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5</w:t>
      </w:r>
      <w:r>
        <w:rPr>
          <w:rFonts w:hint="eastAsia" w:hAnsi="宋体"/>
          <w:bCs/>
          <w:color w:val="auto"/>
          <w:highlight w:val="none"/>
        </w:rPr>
        <w:t>）必要的法律依据；</w:t>
      </w:r>
    </w:p>
    <w:p w14:paraId="07778A57">
      <w:pPr>
        <w:spacing w:line="360" w:lineRule="auto"/>
        <w:ind w:firstLine="420" w:firstLineChars="200"/>
        <w:rPr>
          <w:rFonts w:hint="eastAsia" w:hAnsi="宋体"/>
          <w:bCs/>
          <w:color w:val="auto"/>
          <w:highlight w:val="none"/>
        </w:rPr>
      </w:pPr>
      <w:r>
        <w:rPr>
          <w:rFonts w:hint="eastAsia" w:hAnsi="宋体"/>
          <w:bCs/>
          <w:color w:val="auto"/>
          <w:highlight w:val="none"/>
        </w:rPr>
        <w:t>（</w:t>
      </w:r>
      <w:r>
        <w:rPr>
          <w:rFonts w:hAnsi="宋体"/>
          <w:bCs/>
          <w:color w:val="auto"/>
          <w:highlight w:val="none"/>
        </w:rPr>
        <w:t>6</w:t>
      </w:r>
      <w:r>
        <w:rPr>
          <w:rFonts w:hint="eastAsia" w:hAnsi="宋体"/>
          <w:bCs/>
          <w:color w:val="auto"/>
          <w:highlight w:val="none"/>
        </w:rPr>
        <w:t>）提出质疑的日期。</w:t>
      </w:r>
    </w:p>
    <w:p w14:paraId="53E75945">
      <w:pPr>
        <w:spacing w:line="360" w:lineRule="auto"/>
        <w:ind w:firstLine="420" w:firstLineChars="200"/>
        <w:rPr>
          <w:rFonts w:hint="eastAsia" w:hAnsi="宋体"/>
          <w:bCs/>
          <w:color w:val="auto"/>
          <w:highlight w:val="none"/>
        </w:rPr>
      </w:pPr>
      <w:r>
        <w:rPr>
          <w:rFonts w:hint="eastAsia" w:hAnsi="宋体"/>
          <w:bCs/>
          <w:color w:val="auto"/>
          <w:highlight w:val="none"/>
        </w:rPr>
        <w:t>供应商为自然人的，应当由本人签字；供应商为法人或者其他组织的，应当由法定代表人、主要负责人，或者其委托代理人签字或者盖章，并加盖公章。</w:t>
      </w:r>
    </w:p>
    <w:p w14:paraId="5F1920CC">
      <w:pPr>
        <w:spacing w:line="360" w:lineRule="auto"/>
        <w:ind w:firstLine="422" w:firstLineChars="200"/>
        <w:rPr>
          <w:rFonts w:hint="eastAsia" w:ascii="宋体" w:hAnsi="宋体"/>
          <w:b/>
          <w:color w:val="auto"/>
          <w:szCs w:val="20"/>
          <w:highlight w:val="none"/>
        </w:rPr>
      </w:pPr>
      <w:r>
        <w:rPr>
          <w:rFonts w:hint="eastAsia" w:ascii="宋体" w:hAnsi="宋体"/>
          <w:b/>
          <w:color w:val="auto"/>
          <w:szCs w:val="20"/>
          <w:highlight w:val="none"/>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62E83F71">
      <w:pPr>
        <w:spacing w:line="360" w:lineRule="auto"/>
        <w:ind w:firstLine="420" w:firstLineChars="200"/>
        <w:rPr>
          <w:rFonts w:hint="eastAsia" w:ascii="宋体" w:hAnsi="宋体"/>
          <w:bCs/>
          <w:color w:val="auto"/>
          <w:szCs w:val="21"/>
          <w:highlight w:val="none"/>
        </w:rPr>
      </w:pPr>
      <w:r>
        <w:rPr>
          <w:rFonts w:hint="eastAsia" w:ascii="宋体" w:hAnsi="宋体"/>
          <w:color w:val="auto"/>
          <w:szCs w:val="21"/>
          <w:highlight w:val="none"/>
        </w:rPr>
        <w:t>3</w:t>
      </w:r>
      <w:r>
        <w:rPr>
          <w:rFonts w:hint="eastAsia" w:ascii="宋体" w:hAnsi="宋体"/>
          <w:bCs/>
          <w:color w:val="auto"/>
          <w:szCs w:val="21"/>
          <w:highlight w:val="none"/>
        </w:rPr>
        <w:t>8.2.7采购人、采购代理机构认为供应商质疑不成立，或者成立但未对中标结果构成影响的，继续开展采购活动；认为供应商质疑成立且影响或者可能影响中标结果的，按照下列情况处理：</w:t>
      </w:r>
    </w:p>
    <w:p w14:paraId="0B121CCB">
      <w:pPr>
        <w:spacing w:line="360" w:lineRule="auto"/>
        <w:ind w:firstLine="420" w:firstLineChars="200"/>
        <w:rPr>
          <w:rFonts w:hint="eastAsia" w:hAnsi="宋体"/>
          <w:bCs/>
          <w:color w:val="auto"/>
          <w:highlight w:val="none"/>
        </w:rPr>
      </w:pPr>
      <w:r>
        <w:rPr>
          <w:rFonts w:hint="eastAsia" w:hAnsi="宋体"/>
          <w:bCs/>
          <w:color w:val="auto"/>
          <w:highlight w:val="none"/>
        </w:rPr>
        <w:t>　　（一）对招标文件提出的质疑，依法通过澄清或者修改可以继续开展采购活动的，澄清或者修改招标文件后继续开展采购活动；否则应当修改招标文件后重新开展采购活动。</w:t>
      </w:r>
    </w:p>
    <w:p w14:paraId="0BE81A15">
      <w:pPr>
        <w:spacing w:line="360" w:lineRule="auto"/>
        <w:ind w:firstLine="420" w:firstLineChars="200"/>
        <w:rPr>
          <w:rFonts w:hint="eastAsia" w:hAnsi="宋体"/>
          <w:bCs/>
          <w:color w:val="auto"/>
          <w:highlight w:val="none"/>
        </w:rPr>
      </w:pPr>
      <w:r>
        <w:rPr>
          <w:rFonts w:hint="eastAsia" w:hAnsi="宋体"/>
          <w:bCs/>
          <w:color w:val="auto"/>
          <w:highlight w:val="none"/>
        </w:rPr>
        <w:t>　　（二）对采购过程、中标结果提出的质疑，合格供应商符合法定数量时，可以从合格的中标候选人中另行确定中标供应商的，应当依法另行确定中标供应商；否则应当重新开展采购活动。</w:t>
      </w:r>
    </w:p>
    <w:p w14:paraId="0A2E5A4B">
      <w:pPr>
        <w:spacing w:line="360" w:lineRule="auto"/>
        <w:ind w:firstLine="420" w:firstLineChars="200"/>
        <w:rPr>
          <w:rFonts w:hint="eastAsia" w:hAnsi="宋体"/>
          <w:bCs/>
          <w:color w:val="auto"/>
          <w:highlight w:val="none"/>
        </w:rPr>
      </w:pPr>
      <w:r>
        <w:rPr>
          <w:rFonts w:hint="eastAsia" w:hAnsi="宋体"/>
          <w:bCs/>
          <w:color w:val="auto"/>
          <w:highlight w:val="none"/>
        </w:rPr>
        <w:t>质疑答复导致中标结果改变的，采购人或者采购代理机构应当将有关情况书面报告本级财政部门。</w:t>
      </w:r>
    </w:p>
    <w:p w14:paraId="6283FEBE">
      <w:pPr>
        <w:spacing w:line="360" w:lineRule="auto"/>
        <w:ind w:firstLine="422" w:firstLineChars="200"/>
        <w:rPr>
          <w:rFonts w:hint="eastAsia" w:hAnsi="宋体"/>
          <w:b/>
          <w:color w:val="auto"/>
          <w:highlight w:val="none"/>
        </w:rPr>
      </w:pPr>
      <w:r>
        <w:rPr>
          <w:rFonts w:hAnsi="宋体"/>
          <w:b/>
          <w:color w:val="auto"/>
          <w:highlight w:val="none"/>
        </w:rPr>
        <w:t>38.3</w:t>
      </w:r>
      <w:r>
        <w:rPr>
          <w:rFonts w:hint="eastAsia" w:hAnsi="宋体"/>
          <w:b/>
          <w:color w:val="auto"/>
          <w:highlight w:val="none"/>
        </w:rPr>
        <w:t>投诉</w:t>
      </w:r>
    </w:p>
    <w:p w14:paraId="3093C6A0">
      <w:pPr>
        <w:spacing w:line="360" w:lineRule="auto"/>
        <w:ind w:firstLine="422" w:firstLineChars="200"/>
        <w:rPr>
          <w:rFonts w:hint="eastAsia" w:hAnsi="宋体"/>
          <w:bCs/>
          <w:color w:val="auto"/>
          <w:highlight w:val="none"/>
        </w:rPr>
      </w:pPr>
      <w:r>
        <w:rPr>
          <w:rFonts w:hAnsi="宋体"/>
          <w:b/>
          <w:color w:val="auto"/>
          <w:highlight w:val="none"/>
        </w:rPr>
        <w:t>38.3</w:t>
      </w:r>
      <w:r>
        <w:rPr>
          <w:rFonts w:hAnsi="宋体"/>
          <w:bCs/>
          <w:color w:val="auto"/>
          <w:highlight w:val="none"/>
        </w:rPr>
        <w:t>.</w:t>
      </w:r>
      <w:r>
        <w:rPr>
          <w:rFonts w:hAnsi="宋体"/>
          <w:b/>
          <w:bCs/>
          <w:color w:val="auto"/>
          <w:highlight w:val="none"/>
        </w:rPr>
        <w:t xml:space="preserve">1 </w:t>
      </w:r>
      <w:r>
        <w:rPr>
          <w:rFonts w:hAnsi="宋体"/>
          <w:bCs/>
          <w:color w:val="auto"/>
          <w:highlight w:val="none"/>
        </w:rPr>
        <w:t xml:space="preserve"> </w:t>
      </w:r>
      <w:r>
        <w:rPr>
          <w:rFonts w:hint="eastAsia" w:hAnsi="宋体"/>
          <w:bCs/>
          <w:color w:val="auto"/>
          <w:highlight w:val="none"/>
        </w:rPr>
        <w:t>供应商认为采购文件、采购过程、中标和成交结果使自己的合法权益受到损害的，应当首先依法向采购人或采购人委托的</w:t>
      </w:r>
      <w:r>
        <w:rPr>
          <w:rFonts w:hint="eastAsia" w:hAnsi="宋体"/>
          <w:color w:val="auto"/>
          <w:highlight w:val="none"/>
        </w:rPr>
        <w:t>采购代理机构</w:t>
      </w:r>
      <w:r>
        <w:rPr>
          <w:rFonts w:hint="eastAsia" w:hAnsi="宋体"/>
          <w:bCs/>
          <w:color w:val="auto"/>
          <w:highlight w:val="none"/>
        </w:rPr>
        <w:t>提出质疑。对采购人、</w:t>
      </w:r>
      <w:r>
        <w:rPr>
          <w:rFonts w:hint="eastAsia" w:hAnsi="宋体"/>
          <w:color w:val="auto"/>
          <w:highlight w:val="none"/>
        </w:rPr>
        <w:t>采购代理机构</w:t>
      </w:r>
      <w:r>
        <w:rPr>
          <w:rFonts w:hint="eastAsia" w:hAnsi="宋体"/>
          <w:bCs/>
          <w:color w:val="auto"/>
          <w:highlight w:val="none"/>
        </w:rPr>
        <w:t>的答复不满意，或者采购人、</w:t>
      </w:r>
      <w:r>
        <w:rPr>
          <w:rFonts w:hint="eastAsia" w:hAnsi="宋体"/>
          <w:color w:val="auto"/>
          <w:highlight w:val="none"/>
        </w:rPr>
        <w:t>采购代理机构</w:t>
      </w:r>
      <w:r>
        <w:rPr>
          <w:rFonts w:hint="eastAsia" w:hAnsi="宋体"/>
          <w:bCs/>
          <w:color w:val="auto"/>
          <w:highlight w:val="none"/>
        </w:rPr>
        <w:t>未在规定期限内做出答复的，供应商可以在答复期满后</w:t>
      </w:r>
      <w:r>
        <w:rPr>
          <w:rFonts w:hAnsi="宋体"/>
          <w:bCs/>
          <w:color w:val="auto"/>
          <w:highlight w:val="none"/>
        </w:rPr>
        <w:t>15</w:t>
      </w:r>
      <w:r>
        <w:rPr>
          <w:rFonts w:hint="eastAsia" w:hAnsi="宋体"/>
          <w:bCs/>
          <w:color w:val="auto"/>
          <w:highlight w:val="none"/>
        </w:rPr>
        <w:t>个工作日内向</w:t>
      </w:r>
      <w:r>
        <w:rPr>
          <w:rFonts w:hint="eastAsia" w:ascii="宋体" w:hAnsi="宋体" w:cs="宋体"/>
          <w:bCs/>
          <w:color w:val="auto"/>
          <w:highlight w:val="none"/>
        </w:rPr>
        <w:t>广西壮族自治区财政厅政府采购监督管理处提起投诉</w:t>
      </w:r>
      <w:r>
        <w:rPr>
          <w:rFonts w:hint="eastAsia" w:hAnsi="宋体"/>
          <w:bCs/>
          <w:color w:val="auto"/>
          <w:highlight w:val="none"/>
        </w:rPr>
        <w:t>部门提起投诉，投诉方式见“投标人须知前附表”。</w:t>
      </w:r>
    </w:p>
    <w:p w14:paraId="1FAE4459">
      <w:pPr>
        <w:spacing w:line="360" w:lineRule="auto"/>
        <w:ind w:firstLine="422" w:firstLineChars="200"/>
        <w:rPr>
          <w:rFonts w:hint="eastAsia" w:hAnsi="宋体"/>
          <w:bCs/>
          <w:color w:val="auto"/>
          <w:highlight w:val="none"/>
        </w:rPr>
      </w:pPr>
      <w:r>
        <w:rPr>
          <w:rFonts w:hAnsi="宋体"/>
          <w:b/>
          <w:color w:val="auto"/>
          <w:highlight w:val="none"/>
        </w:rPr>
        <w:t>38.3</w:t>
      </w:r>
      <w:r>
        <w:rPr>
          <w:b/>
          <w:color w:val="auto"/>
          <w:highlight w:val="none"/>
        </w:rPr>
        <w:t xml:space="preserve">.2 </w:t>
      </w:r>
      <w:r>
        <w:rPr>
          <w:color w:val="auto"/>
          <w:highlight w:val="none"/>
        </w:rPr>
        <w:t xml:space="preserve"> </w:t>
      </w:r>
      <w:r>
        <w:rPr>
          <w:rFonts w:hint="eastAsia"/>
          <w:color w:val="auto"/>
          <w:highlight w:val="none"/>
        </w:rPr>
        <w:t>投诉人投诉时，应当提交投诉书，并按照被投诉采购人、</w:t>
      </w:r>
      <w:r>
        <w:rPr>
          <w:rFonts w:hint="eastAsia" w:hAnsi="宋体"/>
          <w:color w:val="auto"/>
          <w:highlight w:val="none"/>
        </w:rPr>
        <w:t>采购代理机构</w:t>
      </w:r>
      <w:r>
        <w:rPr>
          <w:rFonts w:hint="eastAsia"/>
          <w:color w:val="auto"/>
          <w:highlight w:val="none"/>
        </w:rPr>
        <w:t>和与投诉事项有关的供应商数量提供投诉书的副本。投诉书</w:t>
      </w:r>
      <w:r>
        <w:rPr>
          <w:rFonts w:hint="eastAsia"/>
          <w:color w:val="auto"/>
          <w:szCs w:val="21"/>
          <w:highlight w:val="none"/>
        </w:rPr>
        <w:t>应当包括下列主要内容</w:t>
      </w:r>
      <w:r>
        <w:rPr>
          <w:rFonts w:hint="eastAsia"/>
          <w:color w:val="auto"/>
          <w:highlight w:val="none"/>
        </w:rPr>
        <w:t>（如材料中有外文资料应同时附上对应的中文译本）</w:t>
      </w:r>
      <w:r>
        <w:rPr>
          <w:rFonts w:hint="eastAsia" w:hAnsi="宋体"/>
          <w:bCs/>
          <w:color w:val="auto"/>
          <w:highlight w:val="none"/>
        </w:rPr>
        <w:t>（投诉书格式后附）</w:t>
      </w:r>
      <w:r>
        <w:rPr>
          <w:rFonts w:hint="eastAsia"/>
          <w:color w:val="auto"/>
          <w:szCs w:val="21"/>
          <w:highlight w:val="none"/>
        </w:rPr>
        <w:t>：</w:t>
      </w:r>
    </w:p>
    <w:p w14:paraId="2A8BF0DA">
      <w:pPr>
        <w:spacing w:line="360" w:lineRule="auto"/>
        <w:ind w:firstLine="420" w:firstLineChars="200"/>
        <w:rPr>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）投诉人和被投诉人的名称、地址、邮编、联系人及联系电话等；</w:t>
      </w:r>
      <w:r>
        <w:rPr>
          <w:rFonts w:hAnsi="宋体"/>
          <w:color w:val="auto"/>
          <w:highlight w:val="none"/>
        </w:rPr>
        <w:t xml:space="preserve"> </w:t>
      </w:r>
    </w:p>
    <w:p w14:paraId="3A72AF0B">
      <w:pPr>
        <w:spacing w:line="360" w:lineRule="auto"/>
        <w:ind w:firstLine="420" w:firstLineChars="200"/>
        <w:rPr>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）质疑和质疑答复情况及相关证明材料；</w:t>
      </w:r>
      <w:r>
        <w:rPr>
          <w:color w:val="auto"/>
          <w:highlight w:val="none"/>
        </w:rPr>
        <w:t xml:space="preserve"> </w:t>
      </w:r>
    </w:p>
    <w:p w14:paraId="12C87E21">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）具体、明确的投诉事项和与投诉事项相关的投诉请求；</w:t>
      </w:r>
    </w:p>
    <w:p w14:paraId="747D9B80">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）事实依据；</w:t>
      </w:r>
    </w:p>
    <w:p w14:paraId="336646F1">
      <w:pPr>
        <w:spacing w:line="360" w:lineRule="auto"/>
        <w:ind w:firstLine="420" w:firstLineChars="200"/>
        <w:rPr>
          <w:color w:val="auto"/>
          <w:highlight w:val="none"/>
        </w:rPr>
      </w:pPr>
      <w:r>
        <w:rPr>
          <w:rFonts w:hint="eastAsia" w:hAnsi="宋体"/>
          <w:color w:val="auto"/>
          <w:highlight w:val="none"/>
        </w:rPr>
        <w:t>（</w:t>
      </w:r>
      <w:r>
        <w:rPr>
          <w:rFonts w:hAnsi="宋体"/>
          <w:color w:val="auto"/>
          <w:highlight w:val="none"/>
        </w:rPr>
        <w:t>5</w:t>
      </w:r>
      <w:r>
        <w:rPr>
          <w:rFonts w:hint="eastAsia" w:hAnsi="宋体"/>
          <w:color w:val="auto"/>
          <w:highlight w:val="none"/>
        </w:rPr>
        <w:t>）法律依据；</w:t>
      </w:r>
    </w:p>
    <w:p w14:paraId="7A5DBA56">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6</w:t>
      </w:r>
      <w:r>
        <w:rPr>
          <w:rFonts w:hint="eastAsia" w:hAnsi="宋体"/>
          <w:color w:val="auto"/>
          <w:highlight w:val="none"/>
        </w:rPr>
        <w:t>）提起投诉的日期。</w:t>
      </w:r>
    </w:p>
    <w:p w14:paraId="2625796E">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7</w:t>
      </w:r>
      <w:r>
        <w:rPr>
          <w:rFonts w:hint="eastAsia" w:hAnsi="宋体"/>
          <w:color w:val="auto"/>
          <w:highlight w:val="none"/>
        </w:rPr>
        <w:t>）附件材料：营业执照副本内页复印件（要求证件有效并清晰反映企业法人经营范围；近期连续三个月依法缴纳税收和在职职工社会保障资金证明材料（复印件）。</w:t>
      </w:r>
      <w:r>
        <w:rPr>
          <w:rFonts w:hAnsi="宋体"/>
          <w:color w:val="auto"/>
          <w:highlight w:val="none"/>
        </w:rPr>
        <w:tab/>
      </w:r>
    </w:p>
    <w:p w14:paraId="274DDCE0">
      <w:pPr>
        <w:spacing w:line="360" w:lineRule="auto"/>
        <w:ind w:firstLine="422" w:firstLineChars="200"/>
        <w:rPr>
          <w:rFonts w:hint="eastAsia" w:hAnsi="宋体"/>
          <w:bCs/>
          <w:color w:val="auto"/>
          <w:highlight w:val="none"/>
        </w:rPr>
      </w:pPr>
      <w:r>
        <w:rPr>
          <w:rFonts w:hAnsi="宋体"/>
          <w:b/>
          <w:color w:val="auto"/>
          <w:highlight w:val="none"/>
        </w:rPr>
        <w:t>38.3</w:t>
      </w:r>
      <w:r>
        <w:rPr>
          <w:b/>
          <w:color w:val="auto"/>
          <w:highlight w:val="none"/>
        </w:rPr>
        <w:t xml:space="preserve">.3  </w:t>
      </w:r>
      <w:r>
        <w:rPr>
          <w:rFonts w:hint="eastAsia"/>
          <w:color w:val="auto"/>
          <w:highlight w:val="none"/>
        </w:rPr>
        <w:t>投诉人可以委托代理人办理投诉事务。</w:t>
      </w:r>
      <w:r>
        <w:rPr>
          <w:rFonts w:hint="eastAsia" w:hAnsi="宋体"/>
          <w:bCs/>
          <w:color w:val="auto"/>
          <w:highlight w:val="none"/>
        </w:rPr>
        <w:t>委托代理人应熟悉相关业务情况。</w:t>
      </w:r>
      <w:r>
        <w:rPr>
          <w:rFonts w:hint="eastAsia"/>
          <w:color w:val="auto"/>
          <w:highlight w:val="none"/>
        </w:rPr>
        <w:t>代理人办理投诉事务时，除提交投诉书外，还应当提交投诉人的授权委托书和</w:t>
      </w:r>
      <w:r>
        <w:rPr>
          <w:rFonts w:hint="eastAsia" w:hAnsi="宋体"/>
          <w:color w:val="auto"/>
          <w:highlight w:val="none"/>
        </w:rPr>
        <w:t>委托代理人身份证明复印件。</w:t>
      </w:r>
    </w:p>
    <w:p w14:paraId="0268A942">
      <w:pPr>
        <w:spacing w:line="360" w:lineRule="auto"/>
        <w:ind w:firstLine="422" w:firstLineChars="200"/>
        <w:rPr>
          <w:rFonts w:hint="eastAsia" w:hAnsi="宋体"/>
          <w:color w:val="auto"/>
          <w:highlight w:val="none"/>
        </w:rPr>
      </w:pPr>
      <w:r>
        <w:rPr>
          <w:rFonts w:hAnsi="宋体"/>
          <w:b/>
          <w:color w:val="auto"/>
          <w:highlight w:val="none"/>
        </w:rPr>
        <w:t>38.3</w:t>
      </w:r>
      <w:r>
        <w:rPr>
          <w:b/>
          <w:color w:val="auto"/>
          <w:highlight w:val="none"/>
        </w:rPr>
        <w:t>.4</w:t>
      </w:r>
      <w:r>
        <w:rPr>
          <w:color w:val="auto"/>
          <w:highlight w:val="none"/>
        </w:rPr>
        <w:t xml:space="preserve">  </w:t>
      </w:r>
      <w:r>
        <w:rPr>
          <w:rFonts w:hint="eastAsia"/>
          <w:color w:val="auto"/>
          <w:highlight w:val="none"/>
        </w:rPr>
        <w:t>投诉人提起投诉应当符合下列条件：</w:t>
      </w:r>
    </w:p>
    <w:p w14:paraId="312827A5">
      <w:pPr>
        <w:spacing w:line="360" w:lineRule="auto"/>
        <w:ind w:firstLine="420" w:firstLineChars="200"/>
        <w:rPr>
          <w:rFonts w:hint="eastAsia" w:ascii="宋体" w:hAnsi="宋体"/>
          <w:color w:val="auto"/>
          <w:highlight w:val="none"/>
        </w:rPr>
      </w:pPr>
      <w:r>
        <w:rPr>
          <w:rFonts w:hint="eastAsia" w:ascii="宋体" w:hAnsi="宋体"/>
          <w:color w:val="auto"/>
          <w:highlight w:val="none"/>
        </w:rPr>
        <w:t>（1）投诉人是参与所投诉政府采购活动的供应商；</w:t>
      </w:r>
    </w:p>
    <w:p w14:paraId="29142169">
      <w:pPr>
        <w:spacing w:line="360" w:lineRule="auto"/>
        <w:ind w:firstLine="420" w:firstLineChars="200"/>
        <w:rPr>
          <w:rFonts w:hint="eastAsia" w:ascii="宋体" w:hAnsi="宋体"/>
          <w:color w:val="auto"/>
          <w:highlight w:val="none"/>
        </w:rPr>
      </w:pPr>
      <w:r>
        <w:rPr>
          <w:rFonts w:hint="eastAsia" w:ascii="宋体" w:hAnsi="宋体"/>
          <w:color w:val="auto"/>
          <w:highlight w:val="none"/>
        </w:rPr>
        <w:t>（2）提起投诉前已依法进行质疑；</w:t>
      </w:r>
    </w:p>
    <w:p w14:paraId="4F0684B9">
      <w:pPr>
        <w:spacing w:line="360" w:lineRule="auto"/>
        <w:ind w:firstLine="420" w:firstLineChars="200"/>
        <w:rPr>
          <w:rFonts w:hint="eastAsia" w:ascii="宋体" w:hAnsi="宋体"/>
          <w:color w:val="auto"/>
          <w:highlight w:val="none"/>
        </w:rPr>
      </w:pPr>
      <w:r>
        <w:rPr>
          <w:rFonts w:hint="eastAsia" w:ascii="宋体" w:hAnsi="宋体"/>
          <w:color w:val="auto"/>
          <w:highlight w:val="none"/>
        </w:rPr>
        <w:t>（3）投诉书内容符合本章第38.3.2项的规定；</w:t>
      </w:r>
    </w:p>
    <w:p w14:paraId="09D48255">
      <w:pPr>
        <w:spacing w:line="360" w:lineRule="auto"/>
        <w:ind w:firstLine="420" w:firstLineChars="200"/>
        <w:rPr>
          <w:rFonts w:hint="eastAsia" w:ascii="宋体" w:hAnsi="宋体"/>
          <w:color w:val="auto"/>
          <w:highlight w:val="none"/>
        </w:rPr>
      </w:pPr>
      <w:r>
        <w:rPr>
          <w:rFonts w:hint="eastAsia" w:ascii="宋体" w:hAnsi="宋体"/>
          <w:color w:val="auto"/>
          <w:highlight w:val="none"/>
        </w:rPr>
        <w:t>（4）在投诉有效期限内提起投诉；</w:t>
      </w:r>
    </w:p>
    <w:p w14:paraId="59F7EFA0">
      <w:pPr>
        <w:spacing w:line="360" w:lineRule="auto"/>
        <w:ind w:firstLine="420" w:firstLineChars="200"/>
        <w:rPr>
          <w:rFonts w:hint="eastAsia" w:ascii="宋体" w:hAnsi="宋体"/>
          <w:color w:val="auto"/>
          <w:highlight w:val="none"/>
        </w:rPr>
      </w:pPr>
      <w:r>
        <w:rPr>
          <w:rFonts w:hint="eastAsia" w:ascii="宋体" w:hAnsi="宋体"/>
          <w:color w:val="auto"/>
          <w:highlight w:val="none"/>
        </w:rPr>
        <w:t>（5）属于</w:t>
      </w:r>
      <w:r>
        <w:rPr>
          <w:rFonts w:hint="eastAsia" w:ascii="宋体" w:hAnsi="宋体" w:cs="宋体"/>
          <w:bCs/>
          <w:color w:val="auto"/>
          <w:highlight w:val="none"/>
        </w:rPr>
        <w:t>广西壮族自治区财政厅政府采购监督管理处</w:t>
      </w:r>
      <w:r>
        <w:rPr>
          <w:rFonts w:hint="eastAsia" w:ascii="宋体" w:hAnsi="宋体"/>
          <w:color w:val="auto"/>
          <w:highlight w:val="none"/>
        </w:rPr>
        <w:t>管辖；</w:t>
      </w:r>
    </w:p>
    <w:p w14:paraId="3E66F31F">
      <w:pPr>
        <w:spacing w:line="360" w:lineRule="auto"/>
        <w:ind w:firstLine="420" w:firstLineChars="200"/>
        <w:rPr>
          <w:rFonts w:hint="eastAsia" w:ascii="宋体" w:hAnsi="宋体"/>
          <w:color w:val="auto"/>
          <w:highlight w:val="none"/>
        </w:rPr>
      </w:pPr>
      <w:r>
        <w:rPr>
          <w:rFonts w:hint="eastAsia" w:ascii="宋体" w:hAnsi="宋体"/>
          <w:color w:val="auto"/>
          <w:highlight w:val="none"/>
        </w:rPr>
        <w:t>（6）同一投诉事项未经</w:t>
      </w:r>
      <w:r>
        <w:rPr>
          <w:rFonts w:hint="eastAsia" w:ascii="宋体" w:hAnsi="宋体" w:cs="宋体"/>
          <w:bCs/>
          <w:color w:val="auto"/>
          <w:highlight w:val="none"/>
        </w:rPr>
        <w:t>广西壮族自治区财政厅政府采购监督管理处</w:t>
      </w:r>
      <w:r>
        <w:rPr>
          <w:rFonts w:hint="eastAsia" w:ascii="宋体" w:hAnsi="宋体"/>
          <w:color w:val="auto"/>
          <w:highlight w:val="none"/>
        </w:rPr>
        <w:t>投诉处理；</w:t>
      </w:r>
    </w:p>
    <w:p w14:paraId="02C56EFD">
      <w:pPr>
        <w:spacing w:line="360" w:lineRule="auto"/>
        <w:ind w:firstLine="420" w:firstLineChars="200"/>
        <w:rPr>
          <w:rFonts w:ascii="宋体"/>
          <w:color w:val="auto"/>
          <w:highlight w:val="none"/>
        </w:rPr>
      </w:pPr>
      <w:r>
        <w:rPr>
          <w:rFonts w:hint="eastAsia" w:ascii="宋体"/>
          <w:color w:val="auto"/>
          <w:highlight w:val="none"/>
        </w:rPr>
        <w:t>（7）国务院财政部门规定的其他条件。</w:t>
      </w:r>
    </w:p>
    <w:p w14:paraId="7A5C7C19">
      <w:pPr>
        <w:spacing w:line="360" w:lineRule="auto"/>
        <w:ind w:firstLine="422" w:firstLineChars="200"/>
        <w:rPr>
          <w:color w:val="auto"/>
          <w:highlight w:val="none"/>
        </w:rPr>
      </w:pPr>
      <w:r>
        <w:rPr>
          <w:rFonts w:hAnsi="宋体"/>
          <w:b/>
          <w:color w:val="auto"/>
          <w:highlight w:val="none"/>
        </w:rPr>
        <w:t>38.3</w:t>
      </w:r>
      <w:r>
        <w:rPr>
          <w:rFonts w:hint="eastAsia" w:ascii="宋体"/>
          <w:b/>
          <w:color w:val="auto"/>
          <w:highlight w:val="none"/>
        </w:rPr>
        <w:t>.5</w:t>
      </w:r>
      <w:r>
        <w:rPr>
          <w:rFonts w:hint="eastAsia" w:ascii="宋体"/>
          <w:color w:val="auto"/>
          <w:highlight w:val="none"/>
        </w:rPr>
        <w:t xml:space="preserve">  </w:t>
      </w:r>
      <w:r>
        <w:rPr>
          <w:rFonts w:hint="eastAsia" w:ascii="宋体" w:hAnsi="宋体" w:cs="宋体"/>
          <w:bCs/>
          <w:color w:val="auto"/>
          <w:highlight w:val="none"/>
        </w:rPr>
        <w:t>广西壮族自治区财政厅政府采购监督管理处</w:t>
      </w:r>
      <w:r>
        <w:rPr>
          <w:rFonts w:hint="eastAsia"/>
          <w:color w:val="auto"/>
          <w:highlight w:val="none"/>
        </w:rPr>
        <w:t>自受理投诉之日起</w:t>
      </w:r>
      <w:r>
        <w:rPr>
          <w:color w:val="auto"/>
          <w:highlight w:val="none"/>
        </w:rPr>
        <w:t>30</w:t>
      </w:r>
      <w:r>
        <w:rPr>
          <w:rFonts w:hint="eastAsia"/>
          <w:color w:val="auto"/>
          <w:highlight w:val="none"/>
        </w:rPr>
        <w:t>个工作日内，对投诉事项作出处理决定，并以书面形式通知投诉人、被投诉人及其他与投诉处理结果有利害关系的政府采购当</w:t>
      </w:r>
      <w:r>
        <w:rPr>
          <w:rFonts w:hint="eastAsia" w:ascii="宋体"/>
          <w:color w:val="auto"/>
          <w:highlight w:val="none"/>
        </w:rPr>
        <w:t>事人</w:t>
      </w:r>
      <w:r>
        <w:rPr>
          <w:rFonts w:hint="eastAsia"/>
          <w:color w:val="auto"/>
          <w:highlight w:val="none"/>
        </w:rPr>
        <w:t>。并将投诉结果在</w:t>
      </w:r>
      <w:r>
        <w:rPr>
          <w:rFonts w:hint="eastAsia" w:ascii="宋体" w:hAnsi="宋体" w:cs="宋体"/>
          <w:color w:val="auto"/>
          <w:kern w:val="0"/>
          <w:szCs w:val="21"/>
          <w:highlight w:val="none"/>
        </w:rPr>
        <w:t>“广西政府采购网”（http://zfcg.gxzf.gov.cn）</w:t>
      </w:r>
      <w:r>
        <w:rPr>
          <w:rFonts w:hint="eastAsia"/>
          <w:color w:val="auto"/>
          <w:highlight w:val="none"/>
        </w:rPr>
        <w:t>发布。</w:t>
      </w:r>
    </w:p>
    <w:p w14:paraId="5850148A">
      <w:pPr>
        <w:spacing w:line="360" w:lineRule="auto"/>
        <w:ind w:firstLine="422" w:firstLineChars="200"/>
        <w:rPr>
          <w:rFonts w:ascii="宋体"/>
          <w:color w:val="auto"/>
          <w:highlight w:val="none"/>
        </w:rPr>
      </w:pPr>
      <w:r>
        <w:rPr>
          <w:rFonts w:hAnsi="宋体"/>
          <w:b/>
          <w:color w:val="auto"/>
          <w:highlight w:val="none"/>
        </w:rPr>
        <w:t>38.3</w:t>
      </w:r>
      <w:r>
        <w:rPr>
          <w:rFonts w:hint="eastAsia" w:ascii="宋体"/>
          <w:b/>
          <w:color w:val="auto"/>
          <w:highlight w:val="none"/>
        </w:rPr>
        <w:t>.6</w:t>
      </w:r>
      <w:r>
        <w:rPr>
          <w:rFonts w:hint="eastAsia" w:ascii="宋体"/>
          <w:color w:val="auto"/>
          <w:highlight w:val="none"/>
        </w:rPr>
        <w:t xml:space="preserve">  </w:t>
      </w:r>
      <w:r>
        <w:rPr>
          <w:rFonts w:hint="eastAsia" w:ascii="宋体" w:hAnsi="宋体" w:cs="宋体"/>
          <w:bCs/>
          <w:color w:val="auto"/>
          <w:highlight w:val="none"/>
        </w:rPr>
        <w:t>广西壮族自治区财政厅政府采购监督管理处</w:t>
      </w:r>
      <w:r>
        <w:rPr>
          <w:rFonts w:hint="eastAsia" w:ascii="宋体"/>
          <w:color w:val="auto"/>
          <w:highlight w:val="none"/>
        </w:rPr>
        <w:t>在处理投诉事项期间，可以视具体情况暂停采购活动。</w:t>
      </w:r>
    </w:p>
    <w:p w14:paraId="57D625B8">
      <w:pPr>
        <w:snapToGrid w:val="0"/>
        <w:spacing w:line="360" w:lineRule="auto"/>
        <w:ind w:left="120" w:leftChars="57" w:firstLine="482" w:firstLineChars="150"/>
        <w:jc w:val="center"/>
        <w:outlineLvl w:val="2"/>
        <w:rPr>
          <w:b/>
          <w:bCs/>
          <w:color w:val="auto"/>
          <w:sz w:val="32"/>
          <w:szCs w:val="32"/>
          <w:highlight w:val="none"/>
        </w:rPr>
      </w:pPr>
      <w:bookmarkStart w:id="19" w:name="_Toc23138"/>
      <w:r>
        <w:rPr>
          <w:rFonts w:hint="eastAsia"/>
          <w:b/>
          <w:bCs/>
          <w:color w:val="auto"/>
          <w:sz w:val="32"/>
          <w:szCs w:val="32"/>
          <w:highlight w:val="none"/>
        </w:rPr>
        <w:t>八、验收</w:t>
      </w:r>
      <w:bookmarkEnd w:id="19"/>
    </w:p>
    <w:p w14:paraId="65E86501">
      <w:pPr>
        <w:spacing w:line="360" w:lineRule="auto"/>
        <w:ind w:firstLine="422" w:firstLineChars="200"/>
        <w:rPr>
          <w:rFonts w:hint="eastAsia" w:hAnsi="宋体"/>
          <w:b/>
          <w:color w:val="auto"/>
          <w:highlight w:val="none"/>
        </w:rPr>
      </w:pPr>
      <w:r>
        <w:rPr>
          <w:rFonts w:hAnsi="宋体"/>
          <w:b/>
          <w:color w:val="auto"/>
          <w:highlight w:val="none"/>
        </w:rPr>
        <w:t>39.</w:t>
      </w:r>
      <w:r>
        <w:rPr>
          <w:rFonts w:hint="eastAsia" w:hAnsi="宋体"/>
          <w:b/>
          <w:color w:val="auto"/>
          <w:highlight w:val="none"/>
        </w:rPr>
        <w:t>验收</w:t>
      </w:r>
    </w:p>
    <w:p w14:paraId="4384475D">
      <w:pPr>
        <w:tabs>
          <w:tab w:val="left" w:pos="0"/>
        </w:tabs>
        <w:spacing w:line="360" w:lineRule="auto"/>
        <w:ind w:firstLine="480"/>
        <w:rPr>
          <w:rFonts w:hint="eastAsia" w:hAnsi="宋体"/>
          <w:color w:val="auto"/>
          <w:highlight w:val="none"/>
        </w:rPr>
      </w:pPr>
      <w:r>
        <w:rPr>
          <w:rFonts w:hAnsi="宋体"/>
          <w:color w:val="auto"/>
          <w:highlight w:val="none"/>
        </w:rPr>
        <w:t>39.1</w:t>
      </w:r>
      <w:r>
        <w:rPr>
          <w:rFonts w:hint="eastAsia" w:hAnsi="宋体"/>
          <w:color w:val="auto"/>
          <w:highlight w:val="none"/>
        </w:rPr>
        <w:t>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15BBBAD">
      <w:pPr>
        <w:tabs>
          <w:tab w:val="left" w:pos="0"/>
        </w:tabs>
        <w:spacing w:line="360" w:lineRule="auto"/>
        <w:ind w:firstLine="480"/>
        <w:rPr>
          <w:rFonts w:hint="eastAsia" w:hAnsi="宋体"/>
          <w:color w:val="auto"/>
          <w:highlight w:val="none"/>
        </w:rPr>
      </w:pPr>
      <w:r>
        <w:rPr>
          <w:rFonts w:hAnsi="宋体"/>
          <w:color w:val="auto"/>
          <w:highlight w:val="none"/>
        </w:rPr>
        <w:t>39.2</w:t>
      </w:r>
      <w:r>
        <w:rPr>
          <w:rFonts w:hint="eastAsia" w:hAnsi="宋体"/>
          <w:color w:val="auto"/>
          <w:highlight w:val="none"/>
        </w:rPr>
        <w:t>采购人可以邀请参加本项目的其他投标人或者第三方机构参与验收。参与验收的投标人或者第三方机构的意见作为验收书的参考资料一并存档。</w:t>
      </w:r>
    </w:p>
    <w:p w14:paraId="1D450BC7">
      <w:pPr>
        <w:tabs>
          <w:tab w:val="left" w:pos="0"/>
        </w:tabs>
        <w:spacing w:line="360" w:lineRule="auto"/>
        <w:ind w:firstLine="480"/>
        <w:rPr>
          <w:rFonts w:hint="eastAsia" w:hAnsi="宋体"/>
          <w:color w:val="auto"/>
          <w:highlight w:val="none"/>
        </w:rPr>
      </w:pPr>
      <w:r>
        <w:rPr>
          <w:rFonts w:hAnsi="宋体"/>
          <w:color w:val="auto"/>
          <w:highlight w:val="none"/>
        </w:rPr>
        <w:t>39.3</w:t>
      </w:r>
      <w:r>
        <w:rPr>
          <w:rFonts w:hint="eastAsia" w:hAnsi="宋体"/>
          <w:color w:val="auto"/>
          <w:highlight w:val="none"/>
        </w:rPr>
        <w:t>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5755275">
      <w:pPr>
        <w:tabs>
          <w:tab w:val="left" w:pos="0"/>
        </w:tabs>
        <w:spacing w:line="360" w:lineRule="auto"/>
        <w:ind w:firstLine="480"/>
        <w:rPr>
          <w:rFonts w:hint="eastAsia" w:hAnsi="宋体"/>
          <w:color w:val="auto"/>
          <w:highlight w:val="none"/>
        </w:rPr>
      </w:pPr>
      <w:r>
        <w:rPr>
          <w:rFonts w:hAnsi="宋体"/>
          <w:color w:val="auto"/>
          <w:highlight w:val="none"/>
        </w:rPr>
        <w:t>39.4</w:t>
      </w:r>
      <w:r>
        <w:rPr>
          <w:rFonts w:hint="eastAsia" w:hAnsi="宋体"/>
          <w:color w:val="auto"/>
          <w:highlight w:val="none"/>
        </w:rPr>
        <w:t>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36DE2660">
      <w:pPr>
        <w:snapToGrid w:val="0"/>
        <w:spacing w:line="400" w:lineRule="exact"/>
        <w:rPr>
          <w:rFonts w:hint="eastAsia" w:ascii="宋体" w:hAnsi="宋体"/>
          <w:color w:val="auto"/>
          <w:kern w:val="0"/>
          <w:sz w:val="20"/>
          <w:szCs w:val="20"/>
          <w:highlight w:val="none"/>
        </w:rPr>
      </w:pPr>
    </w:p>
    <w:p w14:paraId="120E4732">
      <w:pPr>
        <w:spacing w:line="360" w:lineRule="auto"/>
        <w:ind w:firstLine="643" w:firstLineChars="200"/>
        <w:jc w:val="center"/>
        <w:outlineLvl w:val="2"/>
        <w:rPr>
          <w:b/>
          <w:bCs/>
          <w:color w:val="auto"/>
          <w:kern w:val="0"/>
          <w:sz w:val="32"/>
          <w:szCs w:val="32"/>
          <w:highlight w:val="none"/>
        </w:rPr>
      </w:pPr>
      <w:bookmarkStart w:id="20" w:name="_Toc3013"/>
      <w:r>
        <w:rPr>
          <w:rFonts w:hint="eastAsia"/>
          <w:b/>
          <w:bCs/>
          <w:color w:val="auto"/>
          <w:kern w:val="0"/>
          <w:sz w:val="32"/>
          <w:szCs w:val="32"/>
          <w:highlight w:val="none"/>
        </w:rPr>
        <w:t>九、其他事项</w:t>
      </w:r>
      <w:bookmarkEnd w:id="20"/>
    </w:p>
    <w:p w14:paraId="1B9D9F26">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40.代理服务费</w:t>
      </w:r>
    </w:p>
    <w:p w14:paraId="01D69F67">
      <w:pPr>
        <w:keepNext/>
        <w:keepLine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40.1代理服务收费标准及缴费账户详见“投标人须知前附表”，投标人为联合体的，可以由联合体中的一方或者多方共同缴纳代理服务费。</w:t>
      </w:r>
    </w:p>
    <w:p w14:paraId="5EE6E740">
      <w:pPr>
        <w:keepNext/>
        <w:keepLines/>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40.2代理服务收费标准：</w:t>
      </w:r>
    </w:p>
    <w:tbl>
      <w:tblPr>
        <w:tblStyle w:val="19"/>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14F1A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4713F905">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3677358E">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中标金额</w:t>
            </w:r>
          </w:p>
        </w:tc>
        <w:tc>
          <w:tcPr>
            <w:tcW w:w="1659" w:type="dxa"/>
            <w:vAlign w:val="center"/>
          </w:tcPr>
          <w:p w14:paraId="5046509A">
            <w:pPr>
              <w:keepNext/>
              <w:keepLines/>
              <w:spacing w:line="360" w:lineRule="auto"/>
              <w:ind w:firstLine="105" w:firstLineChars="50"/>
              <w:jc w:val="center"/>
              <w:rPr>
                <w:rFonts w:hint="eastAsia" w:ascii="宋体" w:hAnsi="宋体" w:cs="宋体"/>
                <w:color w:val="auto"/>
                <w:szCs w:val="21"/>
                <w:highlight w:val="none"/>
              </w:rPr>
            </w:pPr>
            <w:r>
              <w:rPr>
                <w:rFonts w:hint="eastAsia" w:ascii="宋体" w:hAnsi="宋体" w:cs="宋体"/>
                <w:color w:val="auto"/>
                <w:szCs w:val="21"/>
                <w:highlight w:val="none"/>
              </w:rPr>
              <w:t>货物招标</w:t>
            </w:r>
          </w:p>
        </w:tc>
        <w:tc>
          <w:tcPr>
            <w:tcW w:w="1687" w:type="dxa"/>
            <w:vAlign w:val="center"/>
          </w:tcPr>
          <w:p w14:paraId="0D0E0AE3">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服务招标</w:t>
            </w:r>
          </w:p>
        </w:tc>
        <w:tc>
          <w:tcPr>
            <w:tcW w:w="1659" w:type="dxa"/>
            <w:vAlign w:val="center"/>
          </w:tcPr>
          <w:p w14:paraId="30A6B7B5">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工程招标</w:t>
            </w:r>
          </w:p>
        </w:tc>
      </w:tr>
      <w:tr w14:paraId="533F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D089F5F">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Pr>
          <w:p w14:paraId="0C6457B3">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687" w:type="dxa"/>
          </w:tcPr>
          <w:p w14:paraId="748CC154">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1.5%</w:t>
            </w:r>
          </w:p>
        </w:tc>
        <w:tc>
          <w:tcPr>
            <w:tcW w:w="1659" w:type="dxa"/>
          </w:tcPr>
          <w:p w14:paraId="0AD80B90">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1.0%</w:t>
            </w:r>
          </w:p>
        </w:tc>
      </w:tr>
      <w:tr w14:paraId="4C3D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933B38B">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659" w:type="dxa"/>
          </w:tcPr>
          <w:p w14:paraId="39A20490">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1.1%</w:t>
            </w:r>
          </w:p>
        </w:tc>
        <w:tc>
          <w:tcPr>
            <w:tcW w:w="1687" w:type="dxa"/>
          </w:tcPr>
          <w:p w14:paraId="3D2E1E3D">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659" w:type="dxa"/>
          </w:tcPr>
          <w:p w14:paraId="2D2244B4">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0.7%</w:t>
            </w:r>
          </w:p>
        </w:tc>
      </w:tr>
      <w:tr w14:paraId="454B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76E55A77">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659" w:type="dxa"/>
          </w:tcPr>
          <w:p w14:paraId="33F9DC48">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0.8%</w:t>
            </w:r>
          </w:p>
        </w:tc>
        <w:tc>
          <w:tcPr>
            <w:tcW w:w="1687" w:type="dxa"/>
          </w:tcPr>
          <w:p w14:paraId="770AFEE7">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0.45%</w:t>
            </w:r>
          </w:p>
        </w:tc>
        <w:tc>
          <w:tcPr>
            <w:tcW w:w="1659" w:type="dxa"/>
          </w:tcPr>
          <w:p w14:paraId="6F8E84C7">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0.55%</w:t>
            </w:r>
          </w:p>
        </w:tc>
      </w:tr>
      <w:tr w14:paraId="1C6B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7814983B">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659" w:type="dxa"/>
          </w:tcPr>
          <w:p w14:paraId="55D228EE">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0.5%</w:t>
            </w:r>
          </w:p>
        </w:tc>
        <w:tc>
          <w:tcPr>
            <w:tcW w:w="1687" w:type="dxa"/>
          </w:tcPr>
          <w:p w14:paraId="5ABCA9B7">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659" w:type="dxa"/>
          </w:tcPr>
          <w:p w14:paraId="45ABDBFD">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0.35%</w:t>
            </w:r>
          </w:p>
        </w:tc>
      </w:tr>
      <w:tr w14:paraId="6340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1A0E672">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Pr>
          <w:p w14:paraId="2A78CD1A">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0.25%</w:t>
            </w:r>
          </w:p>
        </w:tc>
        <w:tc>
          <w:tcPr>
            <w:tcW w:w="1687" w:type="dxa"/>
          </w:tcPr>
          <w:p w14:paraId="7B691A1A">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0.1%</w:t>
            </w:r>
          </w:p>
        </w:tc>
        <w:tc>
          <w:tcPr>
            <w:tcW w:w="1659" w:type="dxa"/>
          </w:tcPr>
          <w:p w14:paraId="7D94781A">
            <w:pPr>
              <w:keepNext/>
              <w:keepLines/>
              <w:spacing w:line="360" w:lineRule="auto"/>
              <w:jc w:val="center"/>
              <w:rPr>
                <w:rFonts w:hint="eastAsia" w:ascii="宋体" w:hAnsi="宋体" w:cs="宋体"/>
                <w:color w:val="auto"/>
                <w:szCs w:val="21"/>
                <w:highlight w:val="none"/>
              </w:rPr>
            </w:pPr>
            <w:r>
              <w:rPr>
                <w:rFonts w:hint="eastAsia" w:ascii="宋体" w:hAnsi="宋体" w:cs="宋体"/>
                <w:color w:val="auto"/>
                <w:kern w:val="0"/>
                <w:szCs w:val="21"/>
                <w:highlight w:val="none"/>
              </w:rPr>
              <w:t>0.2%</w:t>
            </w:r>
          </w:p>
        </w:tc>
      </w:tr>
      <w:tr w14:paraId="5480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9C9B5C6">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1～5亿元</w:t>
            </w:r>
          </w:p>
        </w:tc>
        <w:tc>
          <w:tcPr>
            <w:tcW w:w="1659" w:type="dxa"/>
          </w:tcPr>
          <w:p w14:paraId="06B0C151">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0.05%</w:t>
            </w:r>
          </w:p>
        </w:tc>
        <w:tc>
          <w:tcPr>
            <w:tcW w:w="1687" w:type="dxa"/>
          </w:tcPr>
          <w:p w14:paraId="50F35159">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0.05%</w:t>
            </w:r>
          </w:p>
        </w:tc>
        <w:tc>
          <w:tcPr>
            <w:tcW w:w="1659" w:type="dxa"/>
          </w:tcPr>
          <w:p w14:paraId="2C7E57F7">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0.05%</w:t>
            </w:r>
          </w:p>
        </w:tc>
      </w:tr>
      <w:tr w14:paraId="0F1A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6D1EE908">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5～10亿元</w:t>
            </w:r>
          </w:p>
        </w:tc>
        <w:tc>
          <w:tcPr>
            <w:tcW w:w="1659" w:type="dxa"/>
          </w:tcPr>
          <w:p w14:paraId="10C78F50">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687" w:type="dxa"/>
          </w:tcPr>
          <w:p w14:paraId="0D472BCB">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659" w:type="dxa"/>
          </w:tcPr>
          <w:p w14:paraId="093E7F45">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0.035%</w:t>
            </w:r>
          </w:p>
        </w:tc>
      </w:tr>
      <w:tr w14:paraId="547C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45EE1C5">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10～50亿元</w:t>
            </w:r>
          </w:p>
        </w:tc>
        <w:tc>
          <w:tcPr>
            <w:tcW w:w="1659" w:type="dxa"/>
          </w:tcPr>
          <w:p w14:paraId="427A9696">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687" w:type="dxa"/>
          </w:tcPr>
          <w:p w14:paraId="165C0C7B">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659" w:type="dxa"/>
          </w:tcPr>
          <w:p w14:paraId="431E05D0">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0.008%</w:t>
            </w:r>
          </w:p>
        </w:tc>
      </w:tr>
      <w:tr w14:paraId="6CBE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78B845C">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50～100亿元</w:t>
            </w:r>
          </w:p>
        </w:tc>
        <w:tc>
          <w:tcPr>
            <w:tcW w:w="1659" w:type="dxa"/>
          </w:tcPr>
          <w:p w14:paraId="48E97287">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0.0010%</w:t>
            </w:r>
          </w:p>
        </w:tc>
        <w:tc>
          <w:tcPr>
            <w:tcW w:w="1687" w:type="dxa"/>
          </w:tcPr>
          <w:p w14:paraId="28257C4D">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0.0010%</w:t>
            </w:r>
          </w:p>
        </w:tc>
        <w:tc>
          <w:tcPr>
            <w:tcW w:w="1659" w:type="dxa"/>
          </w:tcPr>
          <w:p w14:paraId="2E57E23A">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0.0010%</w:t>
            </w:r>
          </w:p>
        </w:tc>
      </w:tr>
      <w:tr w14:paraId="421F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D04405A">
            <w:pPr>
              <w:keepNext/>
              <w:keepLines/>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100亿以上</w:t>
            </w:r>
          </w:p>
        </w:tc>
        <w:tc>
          <w:tcPr>
            <w:tcW w:w="1659" w:type="dxa"/>
          </w:tcPr>
          <w:p w14:paraId="5796439A">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687" w:type="dxa"/>
          </w:tcPr>
          <w:p w14:paraId="5E69FC88">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659" w:type="dxa"/>
          </w:tcPr>
          <w:p w14:paraId="2982F977">
            <w:pPr>
              <w:keepNext/>
              <w:keepLine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2B821831">
      <w:pPr>
        <w:keepNext/>
        <w:keepLines/>
        <w:snapToGrid w:val="0"/>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 xml:space="preserve">注： </w:t>
      </w:r>
    </w:p>
    <w:p w14:paraId="2EF66F46">
      <w:pPr>
        <w:keepNext/>
        <w:keepLines/>
        <w:snapToGrid w:val="0"/>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（1）按本表费率计算的收费为采购代理的收费基准价格；</w:t>
      </w:r>
    </w:p>
    <w:p w14:paraId="6AE784FD">
      <w:pPr>
        <w:keepNext/>
        <w:keepLines/>
        <w:snapToGrid w:val="0"/>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（2）采购代理收费按差额定率累进法计算。</w:t>
      </w:r>
    </w:p>
    <w:p w14:paraId="646AF461">
      <w:pPr>
        <w:keepNext/>
        <w:keepLines/>
        <w:snapToGrid w:val="0"/>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例如：某服务采购代理业务中标金额或者暂定价为300万元，计算采购代理收费额如下：</w:t>
      </w:r>
    </w:p>
    <w:p w14:paraId="4AC2350F">
      <w:pPr>
        <w:keepNext/>
        <w:keepLines/>
        <w:snapToGrid w:val="0"/>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100万元×l.5％＝1.5万元</w:t>
      </w:r>
    </w:p>
    <w:p w14:paraId="03C101F6">
      <w:pPr>
        <w:keepNext/>
        <w:keepLines/>
        <w:snapToGrid w:val="0"/>
        <w:spacing w:line="360" w:lineRule="auto"/>
        <w:ind w:firstLine="420" w:firstLineChars="20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（300－100）万元×0.8％＝1.6万元</w:t>
      </w:r>
    </w:p>
    <w:p w14:paraId="60A52D42">
      <w:pPr>
        <w:keepNext/>
        <w:keepLines/>
        <w:snapToGrid w:val="0"/>
        <w:spacing w:line="360" w:lineRule="auto"/>
        <w:ind w:firstLine="420" w:firstLineChars="200"/>
        <w:rPr>
          <w:rFonts w:hint="eastAsia" w:ascii="宋体" w:hAnsi="宋体" w:cs="宋体"/>
          <w:color w:val="auto"/>
          <w:szCs w:val="21"/>
          <w:highlight w:val="none"/>
        </w:rPr>
      </w:pPr>
      <w:r>
        <w:rPr>
          <w:rFonts w:hint="eastAsia" w:ascii="宋体" w:hAnsi="宋体" w:cs="宋体"/>
          <w:bCs/>
          <w:color w:val="auto"/>
          <w:kern w:val="0"/>
          <w:szCs w:val="21"/>
          <w:highlight w:val="none"/>
        </w:rPr>
        <w:t>合计收费＝1.5+1.6＝3.1（万元）</w:t>
      </w:r>
    </w:p>
    <w:p w14:paraId="4849045A">
      <w:pPr>
        <w:spacing w:line="360" w:lineRule="auto"/>
        <w:ind w:firstLine="480" w:firstLineChars="200"/>
        <w:rPr>
          <w:rFonts w:hint="eastAsia" w:ascii="黑体" w:hAnsi="黑体" w:eastAsia="黑体"/>
          <w:color w:val="auto"/>
          <w:sz w:val="24"/>
          <w:highlight w:val="none"/>
        </w:rPr>
      </w:pPr>
      <w:r>
        <w:rPr>
          <w:rFonts w:hint="eastAsia" w:ascii="黑体" w:hAnsi="黑体" w:eastAsia="黑体"/>
          <w:color w:val="auto"/>
          <w:sz w:val="24"/>
          <w:highlight w:val="none"/>
        </w:rPr>
        <w:t>41. 需要补充的其他内容</w:t>
      </w:r>
    </w:p>
    <w:p w14:paraId="602202CE">
      <w:pPr>
        <w:spacing w:line="360" w:lineRule="auto"/>
        <w:ind w:firstLine="420" w:firstLineChars="200"/>
        <w:rPr>
          <w:rFonts w:hint="eastAsia" w:hAnsi="宋体"/>
          <w:color w:val="auto"/>
          <w:highlight w:val="none"/>
        </w:rPr>
      </w:pPr>
      <w:r>
        <w:rPr>
          <w:rFonts w:hAnsi="宋体"/>
          <w:color w:val="auto"/>
          <w:highlight w:val="none"/>
        </w:rPr>
        <w:t>41.1</w:t>
      </w:r>
      <w:r>
        <w:rPr>
          <w:rFonts w:hint="eastAsia" w:hAnsi="宋体" w:cs="宋体"/>
          <w:color w:val="auto"/>
          <w:highlight w:val="none"/>
        </w:rPr>
        <w:t>本招标文件解释规则详见</w:t>
      </w:r>
      <w:r>
        <w:rPr>
          <w:rFonts w:hint="eastAsia" w:hAnsi="宋体"/>
          <w:color w:val="auto"/>
          <w:highlight w:val="none"/>
        </w:rPr>
        <w:t>“投标人须知前附表”。</w:t>
      </w:r>
    </w:p>
    <w:p w14:paraId="0DBA073D">
      <w:pPr>
        <w:spacing w:line="360" w:lineRule="auto"/>
        <w:ind w:firstLine="420" w:firstLineChars="200"/>
        <w:rPr>
          <w:rFonts w:hint="eastAsia" w:hAnsi="宋体"/>
          <w:color w:val="auto"/>
          <w:highlight w:val="none"/>
        </w:rPr>
      </w:pPr>
      <w:r>
        <w:rPr>
          <w:rFonts w:hAnsi="宋体" w:cs="宋体"/>
          <w:color w:val="auto"/>
          <w:highlight w:val="none"/>
        </w:rPr>
        <w:t xml:space="preserve">41.2 </w:t>
      </w:r>
      <w:r>
        <w:rPr>
          <w:rFonts w:hint="eastAsia" w:hAnsi="宋体"/>
          <w:color w:val="auto"/>
          <w:highlight w:val="none"/>
        </w:rPr>
        <w:t>其他事项详见“投标人须知前附表”。</w:t>
      </w:r>
    </w:p>
    <w:p w14:paraId="796760B8">
      <w:pPr>
        <w:spacing w:line="360" w:lineRule="auto"/>
        <w:ind w:firstLine="420" w:firstLineChars="200"/>
        <w:rPr>
          <w:rFonts w:hint="eastAsia" w:hAnsi="宋体"/>
          <w:color w:val="auto"/>
          <w:highlight w:val="none"/>
        </w:rPr>
      </w:pPr>
      <w:r>
        <w:rPr>
          <w:rFonts w:hAnsi="宋体"/>
          <w:color w:val="auto"/>
          <w:highlight w:val="none"/>
        </w:rPr>
        <w:t>41.3</w:t>
      </w:r>
      <w:r>
        <w:rPr>
          <w:rFonts w:hint="eastAsia" w:hAnsi="宋体"/>
          <w:color w:val="auto"/>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w:t>
      </w:r>
      <w:r>
        <w:rPr>
          <w:rFonts w:hint="eastAsia"/>
          <w:color w:val="auto"/>
          <w:highlight w:val="none"/>
        </w:rPr>
        <w:t>不对其中涉及的货物的制造商和工程承建商作出要求的，</w:t>
      </w:r>
      <w:r>
        <w:rPr>
          <w:rFonts w:hint="eastAsia" w:hAnsi="宋体"/>
          <w:color w:val="auto"/>
          <w:highlight w:val="none"/>
        </w:rPr>
        <w:t>享受本文件规定的中小企业扶持政策。</w:t>
      </w:r>
    </w:p>
    <w:p w14:paraId="6F9F3014">
      <w:pPr>
        <w:spacing w:line="360" w:lineRule="auto"/>
        <w:ind w:firstLine="420" w:firstLineChars="200"/>
        <w:rPr>
          <w:rFonts w:hint="eastAsia" w:hAnsi="宋体"/>
          <w:color w:val="auto"/>
          <w:highlight w:val="none"/>
        </w:rPr>
      </w:pPr>
      <w:r>
        <w:rPr>
          <w:rFonts w:hint="eastAsia" w:hAnsi="宋体"/>
          <w:color w:val="auto"/>
          <w:highlight w:val="none"/>
        </w:rPr>
        <w:t>以联合体形式参加政府采购活动，联合体各方均为中小企业的，联合体视同中小企业。其中，联合体各方均为小微企业的，联合体视同小微企业。</w:t>
      </w:r>
    </w:p>
    <w:p w14:paraId="0932A8E1">
      <w:pPr>
        <w:spacing w:line="360" w:lineRule="auto"/>
        <w:ind w:firstLine="420" w:firstLineChars="200"/>
        <w:rPr>
          <w:rFonts w:hint="eastAsia" w:hAnsi="宋体"/>
          <w:color w:val="auto"/>
          <w:highlight w:val="none"/>
        </w:rPr>
      </w:pPr>
      <w:r>
        <w:rPr>
          <w:rFonts w:hint="eastAsia" w:hAnsi="宋体"/>
          <w:color w:val="auto"/>
          <w:highlight w:val="none"/>
        </w:rPr>
        <w:t>依据本文件规定享受扶持政策获得政府采购合同的，小微企业不得将合同分包给大中型企业，中型企业不得将合同分包给大型企业。</w:t>
      </w:r>
    </w:p>
    <w:p w14:paraId="63E1C189">
      <w:pPr>
        <w:numPr>
          <w:ilvl w:val="0"/>
          <w:numId w:val="3"/>
        </w:numPr>
        <w:spacing w:line="360" w:lineRule="auto"/>
        <w:ind w:firstLine="420" w:firstLineChars="200"/>
        <w:jc w:val="left"/>
        <w:rPr>
          <w:rFonts w:hint="eastAsia" w:hAnsi="宋体"/>
          <w:color w:val="auto"/>
          <w:highlight w:val="none"/>
        </w:rPr>
      </w:pPr>
      <w:r>
        <w:rPr>
          <w:rFonts w:hAnsi="宋体"/>
          <w:color w:val="auto"/>
          <w:highlight w:val="none"/>
        </w:rPr>
        <w:br w:type="page"/>
      </w:r>
    </w:p>
    <w:p w14:paraId="66933063">
      <w:pPr>
        <w:jc w:val="center"/>
        <w:outlineLvl w:val="0"/>
        <w:rPr>
          <w:b/>
          <w:color w:val="auto"/>
          <w:kern w:val="0"/>
          <w:sz w:val="36"/>
          <w:szCs w:val="20"/>
          <w:highlight w:val="none"/>
        </w:rPr>
      </w:pPr>
      <w:bookmarkStart w:id="21" w:name="_Toc21819"/>
      <w:r>
        <w:rPr>
          <w:rFonts w:hint="eastAsia"/>
          <w:b/>
          <w:color w:val="auto"/>
          <w:kern w:val="0"/>
          <w:sz w:val="36"/>
          <w:szCs w:val="20"/>
          <w:highlight w:val="none"/>
        </w:rPr>
        <w:t>第四章</w:t>
      </w:r>
      <w:r>
        <w:rPr>
          <w:b/>
          <w:color w:val="auto"/>
          <w:kern w:val="0"/>
          <w:sz w:val="36"/>
          <w:szCs w:val="20"/>
          <w:highlight w:val="none"/>
        </w:rPr>
        <w:t xml:space="preserve">  </w:t>
      </w:r>
      <w:r>
        <w:rPr>
          <w:rFonts w:hint="eastAsia"/>
          <w:b/>
          <w:color w:val="auto"/>
          <w:kern w:val="0"/>
          <w:sz w:val="36"/>
          <w:szCs w:val="20"/>
          <w:highlight w:val="none"/>
        </w:rPr>
        <w:t>评标方法及评分标准</w:t>
      </w:r>
      <w:bookmarkEnd w:id="21"/>
    </w:p>
    <w:p w14:paraId="3AD2764D">
      <w:pPr>
        <w:jc w:val="center"/>
        <w:outlineLvl w:val="1"/>
        <w:rPr>
          <w:b/>
          <w:bCs/>
          <w:color w:val="auto"/>
          <w:kern w:val="0"/>
          <w:sz w:val="32"/>
          <w:szCs w:val="32"/>
          <w:highlight w:val="none"/>
        </w:rPr>
      </w:pPr>
      <w:bookmarkStart w:id="22" w:name="_Toc8493"/>
      <w:r>
        <w:rPr>
          <w:rFonts w:hint="eastAsia"/>
          <w:b/>
          <w:bCs/>
          <w:color w:val="auto"/>
          <w:kern w:val="0"/>
          <w:sz w:val="32"/>
          <w:szCs w:val="32"/>
          <w:highlight w:val="none"/>
        </w:rPr>
        <w:t>第一节</w:t>
      </w:r>
      <w:r>
        <w:rPr>
          <w:b/>
          <w:bCs/>
          <w:color w:val="auto"/>
          <w:kern w:val="0"/>
          <w:sz w:val="32"/>
          <w:szCs w:val="32"/>
          <w:highlight w:val="none"/>
        </w:rPr>
        <w:t xml:space="preserve"> </w:t>
      </w:r>
      <w:r>
        <w:rPr>
          <w:rFonts w:hint="eastAsia"/>
          <w:b/>
          <w:bCs/>
          <w:color w:val="auto"/>
          <w:kern w:val="0"/>
          <w:sz w:val="32"/>
          <w:szCs w:val="32"/>
          <w:highlight w:val="none"/>
        </w:rPr>
        <w:t>评标方法</w:t>
      </w:r>
      <w:bookmarkEnd w:id="22"/>
    </w:p>
    <w:p w14:paraId="0586343D">
      <w:pPr>
        <w:autoSpaceDE w:val="0"/>
        <w:autoSpaceDN w:val="0"/>
        <w:adjustRightInd w:val="0"/>
        <w:spacing w:line="440" w:lineRule="exact"/>
        <w:ind w:firstLine="420" w:firstLineChars="200"/>
        <w:rPr>
          <w:rFonts w:hint="eastAsia" w:ascii="宋体" w:hAnsi="宋体"/>
          <w:color w:val="auto"/>
          <w:szCs w:val="21"/>
          <w:highlight w:val="none"/>
        </w:rPr>
      </w:pPr>
      <w:r>
        <w:rPr>
          <w:rFonts w:hint="eastAsia" w:hAnsi="宋体"/>
          <w:color w:val="auto"/>
          <w:szCs w:val="21"/>
          <w:highlight w:val="none"/>
        </w:rPr>
        <w:t>综合评分法，</w:t>
      </w:r>
      <w:r>
        <w:rPr>
          <w:rFonts w:hint="eastAsia" w:ascii="宋体" w:hAnsi="宋体"/>
          <w:color w:val="auto"/>
          <w:szCs w:val="21"/>
          <w:highlight w:val="none"/>
        </w:rPr>
        <w:t xml:space="preserve">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若综合得分相同的，按投标报价由低到高顺序排列。若综合得分且投标报价相同的，货物类采购项目以技术性能得分较高者为先，服务类采购项目以实力信誉及业绩得分较高者为先。 </w:t>
      </w:r>
    </w:p>
    <w:p w14:paraId="01052136">
      <w:pPr>
        <w:spacing w:line="360" w:lineRule="auto"/>
        <w:ind w:firstLine="420"/>
        <w:rPr>
          <w:rFonts w:hint="eastAsia" w:ascii="宋体" w:hAnsi="宋体"/>
          <w:color w:val="auto"/>
          <w:kern w:val="0"/>
          <w:sz w:val="20"/>
          <w:szCs w:val="20"/>
          <w:highlight w:val="none"/>
        </w:rPr>
      </w:pPr>
    </w:p>
    <w:p w14:paraId="1EA337D0">
      <w:pPr>
        <w:tabs>
          <w:tab w:val="left" w:pos="2472"/>
        </w:tabs>
        <w:spacing w:line="460" w:lineRule="exact"/>
        <w:jc w:val="center"/>
        <w:outlineLvl w:val="1"/>
        <w:rPr>
          <w:b/>
          <w:bCs/>
          <w:color w:val="auto"/>
          <w:kern w:val="0"/>
          <w:sz w:val="32"/>
          <w:szCs w:val="32"/>
          <w:highlight w:val="none"/>
        </w:rPr>
      </w:pPr>
      <w:bookmarkStart w:id="23" w:name="_Toc16585"/>
      <w:r>
        <w:rPr>
          <w:rFonts w:hint="eastAsia"/>
          <w:b/>
          <w:bCs/>
          <w:color w:val="auto"/>
          <w:kern w:val="0"/>
          <w:sz w:val="32"/>
          <w:szCs w:val="32"/>
          <w:highlight w:val="none"/>
        </w:rPr>
        <w:t>第二节</w:t>
      </w:r>
      <w:r>
        <w:rPr>
          <w:b/>
          <w:bCs/>
          <w:color w:val="auto"/>
          <w:kern w:val="0"/>
          <w:sz w:val="32"/>
          <w:szCs w:val="32"/>
          <w:highlight w:val="none"/>
        </w:rPr>
        <w:t xml:space="preserve"> </w:t>
      </w:r>
      <w:r>
        <w:rPr>
          <w:rFonts w:hint="eastAsia"/>
          <w:b/>
          <w:bCs/>
          <w:color w:val="auto"/>
          <w:kern w:val="0"/>
          <w:sz w:val="32"/>
          <w:szCs w:val="32"/>
          <w:highlight w:val="none"/>
        </w:rPr>
        <w:t>评标程序</w:t>
      </w:r>
      <w:bookmarkEnd w:id="23"/>
    </w:p>
    <w:p w14:paraId="5E233527">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1.符合性审查</w:t>
      </w:r>
    </w:p>
    <w:p w14:paraId="25437433">
      <w:pPr>
        <w:spacing w:line="360" w:lineRule="auto"/>
        <w:ind w:firstLine="420" w:firstLineChars="200"/>
        <w:rPr>
          <w:rFonts w:hint="eastAsia" w:hAnsi="宋体"/>
          <w:color w:val="auto"/>
          <w:highlight w:val="none"/>
        </w:rPr>
      </w:pPr>
      <w:r>
        <w:rPr>
          <w:rFonts w:hint="eastAsia" w:hAnsi="宋体"/>
          <w:color w:val="auto"/>
          <w:highlight w:val="none"/>
        </w:rPr>
        <w:t>评标委员会应当对符合资格的投标人的投标文件进行投标报价、商务、技术等实质性内容符合性审查，以确定其是否满足招标文件的实质性要求。</w:t>
      </w:r>
    </w:p>
    <w:p w14:paraId="1A3AFE19">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2.符合性审查不通过而导致投标无效的情形</w:t>
      </w:r>
    </w:p>
    <w:p w14:paraId="1A02AC2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投标人的投标文件中存在对招标文件的任何实质性要求和条件的负偏离，将被视为投标无效。</w:t>
      </w:r>
    </w:p>
    <w:p w14:paraId="326238E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2.1在报价评审时，如发现下列情形之一的，将被视为投标无效：</w:t>
      </w:r>
    </w:p>
    <w:p w14:paraId="72CADB2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（1）投标文件未提供“投标人须知前附表”第13.1条规定中“必须提供”的文件资料的;</w:t>
      </w:r>
    </w:p>
    <w:p w14:paraId="3B86E42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（2）未采用人民币报价或者未按照招标文件标明的币种报价的；</w:t>
      </w:r>
    </w:p>
    <w:p w14:paraId="1F2A8BD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（3）报价超出招标文件规定最高限价，或者超出采购预算金额（包括分项预算）的；</w:t>
      </w:r>
    </w:p>
    <w:p w14:paraId="05636625">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0CF13A5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（5）修正后的报价，投标人不确认的；</w:t>
      </w:r>
    </w:p>
    <w:p w14:paraId="4A92A3C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（6）投标人属于本章第5条第（2）项情形的。</w:t>
      </w:r>
    </w:p>
    <w:p w14:paraId="5C115954">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（7）投标文件中的文件资料因填写不齐全或者内容虚假或者出现其他情形而导致被评标委员会认定无效的。</w:t>
      </w:r>
    </w:p>
    <w:p w14:paraId="69EA766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2.2在商务评审时，如发现下列情形之一的，将被视为投标无效：</w:t>
      </w:r>
    </w:p>
    <w:p w14:paraId="2822DBB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（1）投标文件未按招标文件要求签署、盖章的；</w:t>
      </w:r>
    </w:p>
    <w:p w14:paraId="01B4A34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（2）委托代理人未能出具有效身份证明或者出具的身份证明与授权委托书中的信息不符的； </w:t>
      </w:r>
    </w:p>
    <w:p w14:paraId="68EE48F8">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（3）投标文件未提供“投标人须知前附表”第13.1条规定中“必须提供”或者“委托时必须提供”的文件资料的;</w:t>
      </w:r>
    </w:p>
    <w:p w14:paraId="5280E083">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（4）投标有效期、项目完成时间（交货时间、服务完成时间或者服务期等）、质保期、售后服务等招标文件中标“▲”的商务条款发生负偏离的；</w:t>
      </w:r>
    </w:p>
    <w:p w14:paraId="39AF6AD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（5）商务条款评审允许负偏离的条款数超过“投标人须知前附表”规定项数的。</w:t>
      </w:r>
    </w:p>
    <w:p w14:paraId="45DB8307">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（6）投标文件的实质性内容未使用中文表述、使用计量单位不符合招标文件要求的；</w:t>
      </w:r>
    </w:p>
    <w:p w14:paraId="226078A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（7）投标文件中的文件资料因填写不齐全或者内容虚假或者出现其他情形而导致被评标委员会认定无效的；</w:t>
      </w:r>
    </w:p>
    <w:p w14:paraId="3CF309C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（8）投标文件含有采购人不能接受的附加条件的；</w:t>
      </w:r>
    </w:p>
    <w:p w14:paraId="32FBCBC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（9）未响应招标文件实质性要求的；</w:t>
      </w:r>
    </w:p>
    <w:p w14:paraId="2A0BF2A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（10）属于投标人须知正文第9.2条情形的；</w:t>
      </w:r>
    </w:p>
    <w:p w14:paraId="03778EC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（11）法律、法规和招标文件规定的其他无效情形。</w:t>
      </w:r>
    </w:p>
    <w:p w14:paraId="6BF9459F">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2.3在技术评审时，如发现下列情形之一的，将被视为投标无效：</w:t>
      </w:r>
    </w:p>
    <w:p w14:paraId="3C022421">
      <w:pPr>
        <w:spacing w:line="360" w:lineRule="auto"/>
        <w:ind w:firstLine="420" w:firstLineChars="200"/>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1</w:t>
      </w:r>
      <w:r>
        <w:rPr>
          <w:rFonts w:hint="eastAsia" w:hAnsi="宋体"/>
          <w:color w:val="auto"/>
          <w:szCs w:val="21"/>
          <w:highlight w:val="none"/>
        </w:rPr>
        <w:t>）不满足招标文件要求的服务内容、技术要求、安全、质量标准，或者与招标文件中标“▲”的技术需求发生负偏离的；</w:t>
      </w:r>
    </w:p>
    <w:p w14:paraId="5364EC7D">
      <w:pPr>
        <w:spacing w:line="360" w:lineRule="auto"/>
        <w:ind w:firstLine="420" w:firstLineChars="200"/>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2</w:t>
      </w:r>
      <w:r>
        <w:rPr>
          <w:rFonts w:hint="eastAsia" w:hAnsi="宋体"/>
          <w:color w:val="auto"/>
          <w:szCs w:val="21"/>
          <w:highlight w:val="none"/>
        </w:rPr>
        <w:t>）技术需求评审允许负偏离的条款数超过“投标人须知前附表”规定项数的；</w:t>
      </w:r>
    </w:p>
    <w:p w14:paraId="74B28D35">
      <w:pPr>
        <w:spacing w:line="360" w:lineRule="auto"/>
        <w:ind w:firstLine="420" w:firstLineChars="200"/>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3</w:t>
      </w:r>
      <w:r>
        <w:rPr>
          <w:rFonts w:hint="eastAsia" w:hAnsi="宋体"/>
          <w:color w:val="auto"/>
          <w:szCs w:val="21"/>
          <w:highlight w:val="none"/>
        </w:rPr>
        <w:t>）投标文件未提供“投标人须知前附表”第</w:t>
      </w:r>
      <w:r>
        <w:rPr>
          <w:rFonts w:hAnsi="宋体"/>
          <w:color w:val="auto"/>
          <w:szCs w:val="21"/>
          <w:highlight w:val="none"/>
        </w:rPr>
        <w:t>13.1</w:t>
      </w:r>
      <w:r>
        <w:rPr>
          <w:rFonts w:hint="eastAsia" w:hAnsi="宋体"/>
          <w:color w:val="auto"/>
          <w:szCs w:val="21"/>
          <w:highlight w:val="none"/>
        </w:rPr>
        <w:t>条规定中“必须提供”的文件资料的</w:t>
      </w:r>
      <w:r>
        <w:rPr>
          <w:rFonts w:hAnsi="宋体"/>
          <w:color w:val="auto"/>
          <w:szCs w:val="21"/>
          <w:highlight w:val="none"/>
        </w:rPr>
        <w:t>;</w:t>
      </w:r>
    </w:p>
    <w:p w14:paraId="7DF5F96C">
      <w:pPr>
        <w:spacing w:line="360" w:lineRule="auto"/>
        <w:ind w:firstLine="420" w:firstLineChars="200"/>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4</w:t>
      </w:r>
      <w:r>
        <w:rPr>
          <w:rFonts w:hint="eastAsia" w:hAnsi="宋体"/>
          <w:color w:val="auto"/>
          <w:szCs w:val="21"/>
          <w:highlight w:val="none"/>
        </w:rPr>
        <w:t>）虚假投标，或者出现其他情形而导致被评标委员会认定无效的；</w:t>
      </w:r>
    </w:p>
    <w:p w14:paraId="11C4ACD2">
      <w:pPr>
        <w:spacing w:line="360" w:lineRule="auto"/>
        <w:ind w:firstLine="420" w:firstLineChars="200"/>
        <w:rPr>
          <w:rFonts w:hint="eastAsia" w:hAnsi="宋体"/>
          <w:color w:val="auto"/>
          <w:szCs w:val="21"/>
          <w:highlight w:val="none"/>
        </w:rPr>
      </w:pPr>
      <w:r>
        <w:rPr>
          <w:rFonts w:hint="eastAsia" w:hAnsi="宋体"/>
          <w:color w:val="auto"/>
          <w:szCs w:val="21"/>
          <w:highlight w:val="none"/>
        </w:rPr>
        <w:t>（</w:t>
      </w:r>
      <w:r>
        <w:rPr>
          <w:rFonts w:hAnsi="宋体"/>
          <w:color w:val="auto"/>
          <w:szCs w:val="21"/>
          <w:highlight w:val="none"/>
        </w:rPr>
        <w:t>5</w:t>
      </w:r>
      <w:r>
        <w:rPr>
          <w:rFonts w:hint="eastAsia" w:hAnsi="宋体"/>
          <w:color w:val="auto"/>
          <w:szCs w:val="21"/>
          <w:highlight w:val="none"/>
        </w:rPr>
        <w:t>）如招标文件需要提供技术方案的，投标技术方案不明确，招标文件未允许但存在一个或者一个以上备选（替代）投标方案的。</w:t>
      </w:r>
    </w:p>
    <w:p w14:paraId="59376DD6">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3.澄清补正、说明或者补正</w:t>
      </w:r>
    </w:p>
    <w:p w14:paraId="2F3D2082">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对投标文件中含义不明确、同类问题表述不一致或者有明显文字和计算错误的内容，评标委员会应在“政采云”平台发布电子澄清函，要求投标人在规定时间内作出必要的澄清、说明或者补正。投标人在“政采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55BE5875">
      <w:pPr>
        <w:spacing w:line="360" w:lineRule="auto"/>
        <w:ind w:firstLine="420" w:firstLineChars="200"/>
        <w:rPr>
          <w:rFonts w:hint="eastAsia" w:ascii="宋体" w:hAnsi="宋体" w:cs="Courier New"/>
          <w:color w:val="auto"/>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06BCD652">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4.投标文件修正</w:t>
      </w:r>
    </w:p>
    <w:p w14:paraId="6A73E26C">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4.1投标文件报价出现前后不一致的，按照下列规定修正： </w:t>
      </w:r>
    </w:p>
    <w:p w14:paraId="772079E6">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1</w:t>
      </w:r>
      <w:r>
        <w:rPr>
          <w:rFonts w:hint="eastAsia" w:hAnsi="宋体"/>
          <w:color w:val="auto"/>
          <w:highlight w:val="none"/>
        </w:rPr>
        <w:t>）报价文件中“开标一览表”内容与投标文件中相应内容不一致的，以“开标一览表”为准；</w:t>
      </w:r>
    </w:p>
    <w:p w14:paraId="61DDD909">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2</w:t>
      </w:r>
      <w:r>
        <w:rPr>
          <w:rFonts w:hint="eastAsia" w:hAnsi="宋体"/>
          <w:color w:val="auto"/>
          <w:highlight w:val="none"/>
        </w:rPr>
        <w:t>）大写金额和小写金额不一致的，以大写金额为准；</w:t>
      </w:r>
    </w:p>
    <w:p w14:paraId="2F9A9FD9">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3</w:t>
      </w:r>
      <w:r>
        <w:rPr>
          <w:rFonts w:hint="eastAsia" w:hAnsi="宋体"/>
          <w:color w:val="auto"/>
          <w:highlight w:val="none"/>
        </w:rPr>
        <w:t>）单价金额小数点或者百分比有明显错位的，以开标一览表的总价为准，并修改单价；</w:t>
      </w:r>
    </w:p>
    <w:p w14:paraId="35EE0ECD">
      <w:pPr>
        <w:spacing w:line="360" w:lineRule="auto"/>
        <w:ind w:firstLine="420" w:firstLineChars="200"/>
        <w:rPr>
          <w:rFonts w:hint="eastAsia" w:hAnsi="宋体"/>
          <w:color w:val="auto"/>
          <w:highlight w:val="none"/>
        </w:rPr>
      </w:pPr>
      <w:r>
        <w:rPr>
          <w:rFonts w:hint="eastAsia" w:hAnsi="宋体"/>
          <w:color w:val="auto"/>
          <w:highlight w:val="none"/>
        </w:rPr>
        <w:t>（</w:t>
      </w:r>
      <w:r>
        <w:rPr>
          <w:rFonts w:hAnsi="宋体"/>
          <w:color w:val="auto"/>
          <w:highlight w:val="none"/>
        </w:rPr>
        <w:t>4</w:t>
      </w:r>
      <w:r>
        <w:rPr>
          <w:rFonts w:hint="eastAsia" w:hAnsi="宋体"/>
          <w:color w:val="auto"/>
          <w:highlight w:val="none"/>
        </w:rPr>
        <w:t>）总价金额与按单价汇总金额不一致的，以单价金额计算结果为准。</w:t>
      </w:r>
    </w:p>
    <w:p w14:paraId="1D82B017">
      <w:pPr>
        <w:spacing w:line="360" w:lineRule="auto"/>
        <w:ind w:firstLine="420" w:firstLineChars="200"/>
        <w:rPr>
          <w:rFonts w:hint="eastAsia" w:hAnsi="宋体"/>
          <w:color w:val="auto"/>
          <w:highlight w:val="none"/>
        </w:rPr>
      </w:pPr>
      <w:r>
        <w:rPr>
          <w:rFonts w:hint="eastAsia" w:hAnsi="宋体"/>
          <w:color w:val="auto"/>
          <w:highlight w:val="none"/>
        </w:rPr>
        <w:t>同时出现两种以上不一致的，按照以上（</w:t>
      </w:r>
      <w:r>
        <w:rPr>
          <w:rFonts w:hAnsi="宋体"/>
          <w:color w:val="auto"/>
          <w:highlight w:val="none"/>
        </w:rPr>
        <w:t>1</w:t>
      </w:r>
      <w:r>
        <w:rPr>
          <w:rFonts w:hint="eastAsia" w:hAnsi="宋体"/>
          <w:color w:val="auto"/>
          <w:highlight w:val="none"/>
        </w:rPr>
        <w:t>）</w:t>
      </w:r>
      <w:r>
        <w:rPr>
          <w:rFonts w:hAnsi="宋体"/>
          <w:color w:val="auto"/>
          <w:highlight w:val="none"/>
        </w:rPr>
        <w:t>-</w:t>
      </w:r>
      <w:r>
        <w:rPr>
          <w:rFonts w:hint="eastAsia" w:hAnsi="宋体"/>
          <w:color w:val="auto"/>
          <w:highlight w:val="none"/>
        </w:rPr>
        <w:t>（</w:t>
      </w:r>
      <w:r>
        <w:rPr>
          <w:rFonts w:hAnsi="宋体"/>
          <w:color w:val="auto"/>
          <w:highlight w:val="none"/>
        </w:rPr>
        <w:t>4</w:t>
      </w:r>
      <w:r>
        <w:rPr>
          <w:rFonts w:hint="eastAsia" w:hAnsi="宋体"/>
          <w:color w:val="auto"/>
          <w:highlight w:val="none"/>
        </w:rPr>
        <w:t>）规定的顺序修正。修正后的报价经投标人确认后产生约束力，投标人不确认的，其投标无效。</w:t>
      </w:r>
    </w:p>
    <w:p w14:paraId="32D2BDB6">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4.2经投标人确认修正后的报价若超过采购预算金额或者最高限价，投标人的投标文件作无效投标处理。</w:t>
      </w:r>
    </w:p>
    <w:p w14:paraId="582D2382">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4.3经投标人确认修正后的报价作为签订合同的依据，并以此报价计算价格分。</w:t>
      </w:r>
    </w:p>
    <w:p w14:paraId="3371378E">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5.比较与评价</w:t>
      </w:r>
    </w:p>
    <w:p w14:paraId="6398E5D5">
      <w:pPr>
        <w:spacing w:line="360" w:lineRule="auto"/>
        <w:ind w:firstLine="420" w:firstLineChars="200"/>
        <w:rPr>
          <w:rFonts w:hint="eastAsia" w:hAnsi="宋体"/>
          <w:color w:val="auto"/>
          <w:highlight w:val="none"/>
        </w:rPr>
      </w:pPr>
      <w:r>
        <w:rPr>
          <w:rFonts w:hAnsi="宋体"/>
          <w:color w:val="auto"/>
          <w:highlight w:val="none"/>
        </w:rPr>
        <w:t>5.1</w:t>
      </w:r>
      <w:r>
        <w:rPr>
          <w:rFonts w:hint="eastAsia" w:hAnsi="宋体"/>
          <w:color w:val="auto"/>
          <w:highlight w:val="none"/>
        </w:rPr>
        <w:t>评标委员会按照招标文件中规定的评标方法和评标标准，对符合性审查合格的投标文件进行商务和技术评估，综合比较与评价。</w:t>
      </w:r>
    </w:p>
    <w:p w14:paraId="76AE9E35">
      <w:pPr>
        <w:spacing w:line="360" w:lineRule="auto"/>
        <w:ind w:firstLine="420" w:firstLineChars="200"/>
        <w:rPr>
          <w:rFonts w:hint="eastAsia" w:hAnsi="宋体"/>
          <w:color w:val="auto"/>
          <w:highlight w:val="none"/>
        </w:rPr>
      </w:pPr>
      <w:r>
        <w:rPr>
          <w:rFonts w:hAnsi="宋体"/>
          <w:color w:val="auto"/>
          <w:highlight w:val="none"/>
        </w:rPr>
        <w:t>5.2</w:t>
      </w:r>
      <w:r>
        <w:rPr>
          <w:rFonts w:hint="eastAsia" w:hAnsi="宋体"/>
          <w:color w:val="auto"/>
          <w:highlight w:val="none"/>
        </w:rPr>
        <w:t>评标委员会独立对每个投标人的投标文件进行评价，并汇总每个投标人的得分。</w:t>
      </w:r>
    </w:p>
    <w:p w14:paraId="7E79F44B">
      <w:pPr>
        <w:widowControl/>
        <w:numPr>
          <w:ilvl w:val="0"/>
          <w:numId w:val="4"/>
        </w:numPr>
        <w:spacing w:after="150" w:line="480" w:lineRule="auto"/>
        <w:ind w:firstLine="420" w:firstLineChars="200"/>
        <w:jc w:val="left"/>
        <w:rPr>
          <w:rFonts w:hint="eastAsia" w:hAnsi="宋体"/>
          <w:color w:val="auto"/>
          <w:highlight w:val="none"/>
        </w:rPr>
      </w:pPr>
      <w:r>
        <w:rPr>
          <w:rFonts w:hint="eastAsia" w:hAnsi="宋体"/>
          <w:color w:val="auto"/>
          <w:highlight w:val="none"/>
        </w:rPr>
        <w:t>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55E48F5B">
      <w:pPr>
        <w:widowControl/>
        <w:numPr>
          <w:ilvl w:val="0"/>
          <w:numId w:val="4"/>
        </w:numPr>
        <w:spacing w:after="150" w:line="480" w:lineRule="auto"/>
        <w:ind w:firstLine="420" w:firstLineChars="200"/>
        <w:jc w:val="left"/>
        <w:rPr>
          <w:rFonts w:hint="eastAsia" w:hAnsi="宋体"/>
          <w:color w:val="auto"/>
          <w:highlight w:val="none"/>
        </w:rPr>
      </w:pPr>
      <w:r>
        <w:rPr>
          <w:rFonts w:hint="eastAsia" w:hAnsi="宋体"/>
          <w:color w:val="auto"/>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46DAE131">
      <w:pPr>
        <w:spacing w:line="360" w:lineRule="auto"/>
        <w:ind w:firstLine="420" w:firstLineChars="200"/>
        <w:rPr>
          <w:rFonts w:hint="eastAsia" w:hAnsi="宋体"/>
          <w:color w:val="auto"/>
          <w:highlight w:val="none"/>
        </w:rPr>
      </w:pPr>
      <w:r>
        <w:rPr>
          <w:rFonts w:hAnsi="宋体"/>
          <w:color w:val="auto"/>
          <w:highlight w:val="none"/>
        </w:rPr>
        <w:t>5.3</w:t>
      </w:r>
      <w:r>
        <w:rPr>
          <w:rFonts w:hint="eastAsia" w:hAnsi="宋体"/>
          <w:color w:val="auto"/>
          <w:highlight w:val="none"/>
        </w:rPr>
        <w:t>评标委员会按照招标文件中规定的评标方法和标准计算各投标人的报价得分。在计算过程中，不得去掉最高报价或者最低报价。</w:t>
      </w:r>
    </w:p>
    <w:p w14:paraId="263CD015">
      <w:pPr>
        <w:spacing w:line="360" w:lineRule="auto"/>
        <w:ind w:firstLine="420" w:firstLineChars="200"/>
        <w:rPr>
          <w:rFonts w:hint="eastAsia" w:hAnsi="宋体"/>
          <w:color w:val="auto"/>
          <w:highlight w:val="none"/>
        </w:rPr>
      </w:pPr>
      <w:r>
        <w:rPr>
          <w:rFonts w:hAnsi="宋体"/>
          <w:color w:val="auto"/>
          <w:highlight w:val="none"/>
        </w:rPr>
        <w:t>5.4</w:t>
      </w:r>
      <w:r>
        <w:rPr>
          <w:rFonts w:hint="eastAsia" w:hAnsi="宋体"/>
          <w:color w:val="auto"/>
          <w:highlight w:val="none"/>
        </w:rPr>
        <w:t>各投标人的得分为所有评委的有效评分的算术平均数。</w:t>
      </w:r>
    </w:p>
    <w:p w14:paraId="22655ED3">
      <w:pPr>
        <w:spacing w:line="360" w:lineRule="auto"/>
        <w:ind w:firstLine="420" w:firstLineChars="200"/>
        <w:rPr>
          <w:rFonts w:hint="eastAsia" w:hAnsi="宋体"/>
          <w:color w:val="auto"/>
          <w:highlight w:val="none"/>
        </w:rPr>
      </w:pPr>
      <w:r>
        <w:rPr>
          <w:rFonts w:hAnsi="宋体"/>
          <w:color w:val="auto"/>
          <w:highlight w:val="none"/>
        </w:rPr>
        <w:t>5.5</w:t>
      </w:r>
      <w:r>
        <w:rPr>
          <w:rFonts w:hint="eastAsia" w:hAnsi="宋体"/>
          <w:color w:val="auto"/>
          <w:highlight w:val="none"/>
        </w:rPr>
        <w:t>评标委员会按照招标文件中的规定推荐中标候选人。</w:t>
      </w:r>
    </w:p>
    <w:p w14:paraId="067763D8">
      <w:pPr>
        <w:spacing w:line="360" w:lineRule="auto"/>
        <w:ind w:firstLine="420" w:firstLineChars="200"/>
        <w:rPr>
          <w:rFonts w:hint="eastAsia" w:hAnsi="宋体"/>
          <w:color w:val="auto"/>
          <w:highlight w:val="none"/>
        </w:rPr>
      </w:pPr>
      <w:r>
        <w:rPr>
          <w:rFonts w:hAnsi="宋体"/>
          <w:color w:val="auto"/>
          <w:highlight w:val="none"/>
        </w:rPr>
        <w:t>5.6</w:t>
      </w:r>
      <w:r>
        <w:rPr>
          <w:rFonts w:hint="eastAsia" w:hAnsi="宋体"/>
          <w:color w:val="auto"/>
          <w:highlight w:val="none"/>
        </w:rPr>
        <w:t>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197EDB13">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6.评审复核</w:t>
      </w:r>
    </w:p>
    <w:p w14:paraId="16549960">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6.1评标报告签署前，评标委员会要对评审结果进行复核，复核意见要体现在评标报告中。</w:t>
      </w:r>
    </w:p>
    <w:p w14:paraId="0C84A327">
      <w:pPr>
        <w:widowControl/>
        <w:spacing w:line="560" w:lineRule="exact"/>
        <w:ind w:firstLine="420" w:firstLineChars="200"/>
        <w:jc w:val="left"/>
        <w:textAlignment w:val="baseline"/>
        <w:rPr>
          <w:rFonts w:hint="eastAsia" w:hAnsi="宋体"/>
          <w:color w:val="auto"/>
          <w:highlight w:val="none"/>
        </w:rPr>
      </w:pPr>
      <w:r>
        <w:rPr>
          <w:rFonts w:hAnsi="宋体"/>
          <w:color w:val="auto"/>
          <w:highlight w:val="none"/>
        </w:rPr>
        <w:t>6.2</w:t>
      </w:r>
      <w:r>
        <w:rPr>
          <w:rFonts w:hint="eastAsia" w:hAnsi="宋体"/>
          <w:color w:val="auto"/>
          <w:highlight w:val="none"/>
        </w:rPr>
        <w:t>评标结果汇总完成后，除下列情形外，任何人不得修改评标结果：</w:t>
      </w:r>
    </w:p>
    <w:p w14:paraId="5278238C">
      <w:pPr>
        <w:widowControl/>
        <w:spacing w:line="560" w:lineRule="exact"/>
        <w:jc w:val="left"/>
        <w:textAlignment w:val="baseline"/>
        <w:rPr>
          <w:rFonts w:hint="eastAsia" w:hAnsi="宋体"/>
          <w:color w:val="auto"/>
          <w:highlight w:val="none"/>
        </w:rPr>
      </w:pPr>
      <w:r>
        <w:rPr>
          <w:rFonts w:hint="eastAsia" w:hAnsi="宋体"/>
          <w:color w:val="auto"/>
          <w:highlight w:val="none"/>
        </w:rPr>
        <w:t>　　（一）分值汇总计算错误的；</w:t>
      </w:r>
    </w:p>
    <w:p w14:paraId="4F5D0233">
      <w:pPr>
        <w:widowControl/>
        <w:spacing w:line="560" w:lineRule="exact"/>
        <w:jc w:val="left"/>
        <w:textAlignment w:val="baseline"/>
        <w:rPr>
          <w:rFonts w:hint="eastAsia" w:hAnsi="宋体"/>
          <w:color w:val="auto"/>
          <w:highlight w:val="none"/>
        </w:rPr>
      </w:pPr>
      <w:r>
        <w:rPr>
          <w:rFonts w:hint="eastAsia" w:hAnsi="宋体"/>
          <w:color w:val="auto"/>
          <w:highlight w:val="none"/>
        </w:rPr>
        <w:t>　　（二）分项评分超出评分标准范围的；</w:t>
      </w:r>
    </w:p>
    <w:p w14:paraId="07270C05">
      <w:pPr>
        <w:widowControl/>
        <w:spacing w:line="560" w:lineRule="exact"/>
        <w:jc w:val="left"/>
        <w:textAlignment w:val="baseline"/>
        <w:rPr>
          <w:rFonts w:hint="eastAsia" w:hAnsi="宋体"/>
          <w:color w:val="auto"/>
          <w:highlight w:val="none"/>
        </w:rPr>
      </w:pPr>
      <w:r>
        <w:rPr>
          <w:rFonts w:hint="eastAsia" w:hAnsi="宋体"/>
          <w:color w:val="auto"/>
          <w:highlight w:val="none"/>
        </w:rPr>
        <w:t>　　（三）评标委员会成员对客观评审因素评分不一致的；</w:t>
      </w:r>
    </w:p>
    <w:p w14:paraId="7924BE63">
      <w:pPr>
        <w:widowControl/>
        <w:spacing w:line="560" w:lineRule="exact"/>
        <w:jc w:val="left"/>
        <w:textAlignment w:val="baseline"/>
        <w:rPr>
          <w:rFonts w:hint="eastAsia" w:hAnsi="宋体"/>
          <w:color w:val="auto"/>
          <w:highlight w:val="none"/>
        </w:rPr>
      </w:pPr>
      <w:r>
        <w:rPr>
          <w:rFonts w:hint="eastAsia" w:hAnsi="宋体"/>
          <w:color w:val="auto"/>
          <w:highlight w:val="none"/>
        </w:rPr>
        <w:t>　　（四）经评标委员会认定评分畸高、畸低的。</w:t>
      </w:r>
    </w:p>
    <w:p w14:paraId="19BEBA10">
      <w:pPr>
        <w:spacing w:line="360" w:lineRule="auto"/>
        <w:ind w:firstLine="420" w:firstLineChars="200"/>
        <w:rPr>
          <w:rFonts w:hint="eastAsia" w:hAnsi="宋体"/>
          <w:color w:val="auto"/>
          <w:highlight w:val="none"/>
        </w:rPr>
      </w:pPr>
      <w:r>
        <w:rPr>
          <w:rFonts w:hint="eastAsia" w:hAnsi="宋体"/>
          <w:color w:val="auto"/>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50640F90">
      <w:pPr>
        <w:keepNext/>
        <w:keepLines/>
        <w:spacing w:before="260" w:after="260" w:line="413" w:lineRule="auto"/>
        <w:jc w:val="center"/>
        <w:outlineLvl w:val="1"/>
        <w:rPr>
          <w:rFonts w:ascii="Arial" w:hAnsi="Arial" w:eastAsia="黑体"/>
          <w:bCs/>
          <w:color w:val="auto"/>
          <w:kern w:val="0"/>
          <w:sz w:val="30"/>
          <w:szCs w:val="30"/>
          <w:highlight w:val="none"/>
        </w:rPr>
      </w:pPr>
      <w:bookmarkStart w:id="24" w:name="_Toc8782"/>
      <w:r>
        <w:rPr>
          <w:rFonts w:hint="eastAsia" w:ascii="Arial" w:hAnsi="Arial" w:eastAsia="黑体"/>
          <w:bCs/>
          <w:color w:val="auto"/>
          <w:kern w:val="0"/>
          <w:sz w:val="30"/>
          <w:szCs w:val="30"/>
          <w:highlight w:val="none"/>
        </w:rPr>
        <w:t>第三节</w:t>
      </w:r>
      <w:r>
        <w:rPr>
          <w:rFonts w:ascii="Arial" w:hAnsi="Arial" w:eastAsia="黑体"/>
          <w:bCs/>
          <w:color w:val="auto"/>
          <w:kern w:val="0"/>
          <w:sz w:val="30"/>
          <w:szCs w:val="30"/>
          <w:highlight w:val="none"/>
        </w:rPr>
        <w:t xml:space="preserve"> </w:t>
      </w:r>
      <w:r>
        <w:rPr>
          <w:rFonts w:hint="eastAsia" w:ascii="Arial" w:hAnsi="Arial" w:eastAsia="黑体"/>
          <w:bCs/>
          <w:color w:val="auto"/>
          <w:kern w:val="0"/>
          <w:sz w:val="30"/>
          <w:szCs w:val="30"/>
          <w:highlight w:val="none"/>
        </w:rPr>
        <w:t>评分标准</w:t>
      </w:r>
      <w:bookmarkEnd w:id="24"/>
    </w:p>
    <w:p w14:paraId="1B8489F8">
      <w:pPr>
        <w:ind w:firstLine="602" w:firstLineChars="200"/>
        <w:jc w:val="center"/>
        <w:rPr>
          <w:b/>
          <w:color w:val="auto"/>
          <w:sz w:val="30"/>
          <w:szCs w:val="30"/>
          <w:highlight w:val="none"/>
        </w:rPr>
      </w:pPr>
      <w:r>
        <w:rPr>
          <w:rFonts w:hint="eastAsia"/>
          <w:b/>
          <w:color w:val="auto"/>
          <w:sz w:val="30"/>
          <w:szCs w:val="30"/>
          <w:highlight w:val="none"/>
        </w:rPr>
        <w:t>综合评分法</w:t>
      </w:r>
    </w:p>
    <w:p w14:paraId="5FDB5AAD">
      <w:pPr>
        <w:spacing w:line="360" w:lineRule="auto"/>
        <w:ind w:firstLine="420" w:firstLineChars="200"/>
        <w:rPr>
          <w:rFonts w:hint="eastAsia" w:hAnsi="宋体"/>
          <w:color w:val="auto"/>
          <w:highlight w:val="none"/>
        </w:rPr>
      </w:pPr>
      <w:r>
        <w:rPr>
          <w:rFonts w:hint="eastAsia" w:hAnsi="宋体"/>
          <w:color w:val="auto"/>
          <w:highlight w:val="none"/>
        </w:rPr>
        <w:t>注：</w:t>
      </w:r>
    </w:p>
    <w:p w14:paraId="12DBB9DC">
      <w:pPr>
        <w:spacing w:line="360" w:lineRule="auto"/>
        <w:ind w:firstLine="420" w:firstLineChars="200"/>
        <w:rPr>
          <w:rFonts w:hint="eastAsia" w:hAnsi="宋体"/>
          <w:color w:val="auto"/>
          <w:highlight w:val="none"/>
        </w:rPr>
      </w:pPr>
      <w:r>
        <w:rPr>
          <w:rFonts w:hint="eastAsia" w:hAnsi="宋体"/>
          <w:color w:val="auto"/>
          <w:highlight w:val="none"/>
        </w:rPr>
        <w:t>1、计分方法按四舍五入取至百分位。</w:t>
      </w:r>
    </w:p>
    <w:p w14:paraId="7DAE331A">
      <w:pPr>
        <w:spacing w:line="360" w:lineRule="auto"/>
        <w:ind w:firstLine="420" w:firstLineChars="200"/>
        <w:rPr>
          <w:rFonts w:hint="eastAsia" w:hAnsi="宋体"/>
          <w:color w:val="auto"/>
          <w:highlight w:val="none"/>
        </w:rPr>
      </w:pPr>
      <w:r>
        <w:rPr>
          <w:rFonts w:hint="eastAsia" w:hAnsi="宋体"/>
          <w:color w:val="auto"/>
          <w:highlight w:val="none"/>
        </w:rPr>
        <w:t>2、商务技术评审因素为客观评分项的，应在评分项目或评分标准中予以标注为“客观分”。对投标人的客观评分项目，各评标专家评分应当一致。</w:t>
      </w:r>
    </w:p>
    <w:p w14:paraId="63CE53AA">
      <w:pPr>
        <w:spacing w:line="360" w:lineRule="auto"/>
        <w:ind w:firstLine="562" w:firstLineChars="200"/>
        <w:rPr>
          <w:rFonts w:hint="eastAsia" w:hAnsi="宋体"/>
          <w:b/>
          <w:bCs/>
          <w:color w:val="auto"/>
          <w:sz w:val="28"/>
          <w:szCs w:val="28"/>
          <w:highlight w:val="none"/>
        </w:rPr>
      </w:pPr>
    </w:p>
    <w:p w14:paraId="0D6470E7">
      <w:pPr>
        <w:spacing w:line="360" w:lineRule="auto"/>
        <w:ind w:firstLine="562" w:firstLineChars="200"/>
        <w:rPr>
          <w:rFonts w:hint="eastAsia" w:hAnsi="宋体"/>
          <w:b/>
          <w:bCs/>
          <w:color w:val="auto"/>
          <w:sz w:val="28"/>
          <w:szCs w:val="28"/>
          <w:highlight w:val="none"/>
        </w:rPr>
      </w:pPr>
    </w:p>
    <w:p w14:paraId="587BCAEA">
      <w:pPr>
        <w:rPr>
          <w:rFonts w:hint="eastAsia" w:hAnsi="宋体"/>
          <w:b/>
          <w:bCs/>
          <w:color w:val="auto"/>
          <w:sz w:val="28"/>
          <w:szCs w:val="28"/>
          <w:highlight w:val="none"/>
        </w:rPr>
      </w:pPr>
      <w:r>
        <w:rPr>
          <w:rFonts w:hint="eastAsia" w:hAnsi="宋体"/>
          <w:b/>
          <w:bCs/>
          <w:color w:val="auto"/>
          <w:sz w:val="28"/>
          <w:szCs w:val="28"/>
          <w:highlight w:val="none"/>
        </w:rPr>
        <w:br w:type="page"/>
      </w:r>
    </w:p>
    <w:p w14:paraId="69C926AC">
      <w:pPr>
        <w:keepNext w:val="0"/>
        <w:keepLines w:val="0"/>
        <w:pageBreakBefore w:val="0"/>
        <w:widowControl w:val="0"/>
        <w:kinsoku/>
        <w:wordWrap/>
        <w:overflowPunct/>
        <w:topLinePunct w:val="0"/>
        <w:autoSpaceDE/>
        <w:autoSpaceDN/>
        <w:bidi w:val="0"/>
        <w:adjustRightInd/>
        <w:snapToGrid/>
        <w:spacing w:line="360" w:lineRule="auto"/>
        <w:ind w:firstLine="562" w:firstLineChars="200"/>
        <w:textAlignment w:val="auto"/>
        <w:outlineLvl w:val="1"/>
        <w:rPr>
          <w:rFonts w:hint="eastAsia" w:hAnsi="宋体"/>
          <w:b/>
          <w:bCs/>
          <w:color w:val="auto"/>
          <w:sz w:val="28"/>
          <w:szCs w:val="28"/>
          <w:highlight w:val="none"/>
        </w:rPr>
      </w:pPr>
      <w:r>
        <w:rPr>
          <w:rFonts w:hint="eastAsia" w:hAnsi="宋体"/>
          <w:b/>
          <w:bCs/>
          <w:color w:val="auto"/>
          <w:sz w:val="28"/>
          <w:szCs w:val="28"/>
          <w:highlight w:val="none"/>
          <w:lang w:eastAsia="zh-CN"/>
        </w:rPr>
        <w:t>分标</w:t>
      </w:r>
      <w:r>
        <w:rPr>
          <w:rFonts w:hint="eastAsia" w:hAnsi="宋体"/>
          <w:b/>
          <w:bCs/>
          <w:color w:val="auto"/>
          <w:sz w:val="28"/>
          <w:szCs w:val="28"/>
          <w:highlight w:val="none"/>
          <w:lang w:val="en-US" w:eastAsia="zh-CN"/>
        </w:rPr>
        <w:t>1：</w:t>
      </w:r>
    </w:p>
    <w:tbl>
      <w:tblPr>
        <w:tblStyle w:val="19"/>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131"/>
        <w:gridCol w:w="6567"/>
        <w:gridCol w:w="951"/>
      </w:tblGrid>
      <w:tr w14:paraId="58BE8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34" w:type="pct"/>
            <w:vAlign w:val="center"/>
          </w:tcPr>
          <w:p w14:paraId="1F360151">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610" w:type="pct"/>
            <w:vAlign w:val="center"/>
          </w:tcPr>
          <w:p w14:paraId="56AF7BF7">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3542" w:type="pct"/>
            <w:vAlign w:val="center"/>
          </w:tcPr>
          <w:p w14:paraId="78E261D6">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评分标准</w:t>
            </w:r>
          </w:p>
        </w:tc>
        <w:tc>
          <w:tcPr>
            <w:tcW w:w="513" w:type="pct"/>
            <w:vAlign w:val="center"/>
          </w:tcPr>
          <w:p w14:paraId="59B2FCBB">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3232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pct"/>
            <w:vAlign w:val="center"/>
          </w:tcPr>
          <w:p w14:paraId="1727DC8D">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30" w:type="dxa"/>
            <w:vAlign w:val="center"/>
          </w:tcPr>
          <w:p w14:paraId="46F1278C">
            <w:pPr>
              <w:keepNext w:val="0"/>
              <w:keepLines w:val="0"/>
              <w:pageBreakBefore w:val="0"/>
              <w:tabs>
                <w:tab w:val="left" w:pos="1200"/>
              </w:tabs>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rPr>
              <w:t>价格分</w:t>
            </w:r>
          </w:p>
        </w:tc>
        <w:tc>
          <w:tcPr>
            <w:tcW w:w="7140" w:type="dxa"/>
            <w:vAlign w:val="center"/>
          </w:tcPr>
          <w:p w14:paraId="54F849C0">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）以进入综合评分的最低评标报价为</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17442FDB">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）评标报价为投标人的投标报价进行政策性扣除后的价格，评标报价只是作为评标时使用。最终中标人的中标金额等于投标报价。</w:t>
            </w:r>
          </w:p>
          <w:p w14:paraId="230220E8">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）按照《政府采购促进中小企业发展暂行办法》（财库〔</w:t>
            </w:r>
            <w:r>
              <w:rPr>
                <w:rFonts w:hint="eastAsia" w:ascii="宋体" w:hAnsi="宋体" w:eastAsia="宋体" w:cs="宋体"/>
                <w:color w:val="auto"/>
                <w:sz w:val="21"/>
                <w:szCs w:val="21"/>
                <w:highlight w:val="none"/>
                <w:lang w:val="en-US" w:eastAsia="zh-CN"/>
              </w:rPr>
              <w:t>2020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号）的规定，</w:t>
            </w:r>
            <w:r>
              <w:rPr>
                <w:rFonts w:hint="eastAsia" w:ascii="宋体" w:hAnsi="宋体" w:eastAsia="宋体" w:cs="宋体"/>
                <w:color w:val="auto"/>
                <w:sz w:val="21"/>
                <w:szCs w:val="21"/>
                <w:highlight w:val="none"/>
                <w:lang w:val="en-US" w:eastAsia="zh-CN"/>
              </w:rPr>
              <w:t>本项目为专门面向中小企业采购的项目（供应商应为中小微企业、监狱企业、残疾人福利性单位），不再执行价格</w:t>
            </w:r>
            <w:r>
              <w:rPr>
                <w:rFonts w:hint="eastAsia" w:ascii="宋体" w:hAnsi="宋体" w:eastAsia="宋体" w:cs="宋体"/>
                <w:color w:val="auto"/>
                <w:sz w:val="21"/>
                <w:szCs w:val="21"/>
                <w:highlight w:val="none"/>
              </w:rPr>
              <w:t>扣除。</w:t>
            </w:r>
          </w:p>
          <w:p w14:paraId="41E939A8">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根据《关于推动解决政府采购异常低价问题的通知》（财库〔2026〕2号）的规定，评审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351B524A">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政府采购评审中出现下列情形之一的，评审委员会应当启动异常低价投标（响应）审查程序：</w:t>
            </w:r>
          </w:p>
          <w:p w14:paraId="0DDA0492">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投标（响应）报价低于全部通过符合性审查供应商投标（响应）报价平均值50%的，即投标（响应）报价&lt;全部通过符合性审查供应商投标（响应）报价平均值×50%；</w:t>
            </w:r>
          </w:p>
          <w:p w14:paraId="395F56A7">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投标（响应）报价低于通过符合性审查的次低报价供应商投标（响应）报价50%的，即投标（响应）报价&lt;通过符合性审查的次低报价供应商投标（响应）报价×50%；</w:t>
            </w:r>
          </w:p>
          <w:p w14:paraId="7EDED4C1">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投标（响应）报价低于采购项目最高限价45%的，即投标（响应）报价&lt;采购项目最高限价×45%；</w:t>
            </w:r>
          </w:p>
          <w:p w14:paraId="3C244B97">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④评审委员会基于专业判断，认为供应商报价过低，有可能影响产品质量或者不能诚信履约的其他情形。</w:t>
            </w:r>
          </w:p>
          <w:p w14:paraId="5FFBB344">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）价格分计算公式：价格分=（某投标人的最低报价／投标人投标报价）×</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513" w:type="pct"/>
            <w:vAlign w:val="center"/>
          </w:tcPr>
          <w:p w14:paraId="2802299C">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0分</w:t>
            </w:r>
          </w:p>
        </w:tc>
      </w:tr>
      <w:tr w14:paraId="21577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pct"/>
            <w:vAlign w:val="center"/>
          </w:tcPr>
          <w:p w14:paraId="46A01E26">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10" w:type="pct"/>
            <w:vAlign w:val="center"/>
          </w:tcPr>
          <w:p w14:paraId="07653C8D">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tc>
        <w:tc>
          <w:tcPr>
            <w:tcW w:w="3542" w:type="pct"/>
            <w:vAlign w:val="center"/>
          </w:tcPr>
          <w:p w14:paraId="08A4C32C">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技术分</w:t>
            </w:r>
          </w:p>
        </w:tc>
        <w:tc>
          <w:tcPr>
            <w:tcW w:w="513" w:type="pct"/>
            <w:vAlign w:val="center"/>
          </w:tcPr>
          <w:p w14:paraId="5D2BDCA3">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55</w:t>
            </w:r>
            <w:r>
              <w:rPr>
                <w:rFonts w:hint="eastAsia" w:ascii="宋体" w:hAnsi="宋体" w:eastAsia="宋体" w:cs="宋体"/>
                <w:b/>
                <w:bCs/>
                <w:color w:val="auto"/>
                <w:kern w:val="0"/>
                <w:sz w:val="21"/>
                <w:szCs w:val="21"/>
                <w:highlight w:val="none"/>
              </w:rPr>
              <w:t>分</w:t>
            </w:r>
          </w:p>
        </w:tc>
      </w:tr>
      <w:tr w14:paraId="3B365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24F12826">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p>
        </w:tc>
        <w:tc>
          <w:tcPr>
            <w:tcW w:w="1230" w:type="dxa"/>
            <w:vAlign w:val="center"/>
          </w:tcPr>
          <w:p w14:paraId="35ABB7A5">
            <w:pPr>
              <w:keepNext w:val="0"/>
              <w:keepLines w:val="0"/>
              <w:pageBreakBefore w:val="0"/>
              <w:kinsoku/>
              <w:wordWrap/>
              <w:overflowPunct/>
              <w:topLinePunct w:val="0"/>
              <w:autoSpaceDE/>
              <w:autoSpaceDN/>
              <w:bidi w:val="0"/>
              <w:snapToGrid/>
              <w:spacing w:line="480" w:lineRule="exact"/>
              <w:ind w:left="-1"/>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项目理解</w:t>
            </w:r>
          </w:p>
        </w:tc>
        <w:tc>
          <w:tcPr>
            <w:tcW w:w="7140" w:type="dxa"/>
            <w:vAlign w:val="center"/>
          </w:tcPr>
          <w:p w14:paraId="606FE8E6">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根据各报价人提供的项目理解确定各投标人所属档次及分值，不满足一档要求的，得0分。</w:t>
            </w:r>
          </w:p>
          <w:p w14:paraId="7DA56409">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：基本满足项目需求的；</w:t>
            </w:r>
          </w:p>
          <w:p w14:paraId="03A59911">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档（</w:t>
            </w:r>
            <w:r>
              <w:rPr>
                <w:rFonts w:hint="eastAsia" w:ascii="宋体" w:hAnsi="宋体" w:eastAsia="宋体" w:cs="宋体"/>
                <w:b/>
                <w:bCs/>
                <w:color w:val="auto"/>
                <w:sz w:val="21"/>
                <w:szCs w:val="21"/>
                <w:highlight w:val="none"/>
                <w:lang w:eastAsia="zh-CN"/>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：对政务服务</w:t>
            </w:r>
            <w:r>
              <w:rPr>
                <w:rFonts w:hint="eastAsia" w:ascii="宋体" w:hAnsi="宋体" w:eastAsia="宋体" w:cs="宋体"/>
                <w:bCs w:val="0"/>
                <w:color w:val="auto"/>
                <w:sz w:val="21"/>
                <w:szCs w:val="21"/>
                <w:highlight w:val="none"/>
                <w:lang w:val="en-US" w:eastAsia="zh-CN"/>
              </w:rPr>
              <w:t>增值化改革工作</w:t>
            </w:r>
            <w:r>
              <w:rPr>
                <w:rFonts w:hint="eastAsia" w:ascii="宋体" w:hAnsi="宋体" w:eastAsia="宋体" w:cs="宋体"/>
                <w:bCs w:val="0"/>
                <w:color w:val="auto"/>
                <w:sz w:val="21"/>
                <w:szCs w:val="21"/>
                <w:highlight w:val="none"/>
              </w:rPr>
              <w:t>有基础理解，对项目理解基本满足项目需求的；</w:t>
            </w:r>
          </w:p>
          <w:p w14:paraId="3D94CAFD">
            <w:pPr>
              <w:keepNext w:val="0"/>
              <w:keepLines w:val="0"/>
              <w:pageBreakBefore w:val="0"/>
              <w:widowControl/>
              <w:kinsoku/>
              <w:wordWrap/>
              <w:overflowPunct/>
              <w:topLinePunct w:val="0"/>
              <w:autoSpaceDE/>
              <w:autoSpaceDN/>
              <w:bidi w:val="0"/>
              <w:snapToGrid/>
              <w:spacing w:line="480" w:lineRule="exact"/>
              <w:ind w:firstLine="422" w:firstLineChars="200"/>
              <w:jc w:val="left"/>
              <w:textAlignment w:val="auto"/>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档（</w:t>
            </w:r>
            <w:r>
              <w:rPr>
                <w:rFonts w:hint="eastAsia" w:ascii="宋体" w:hAnsi="宋体" w:eastAsia="宋体" w:cs="宋体"/>
                <w:b/>
                <w:bCs/>
                <w:color w:val="auto"/>
                <w:sz w:val="21"/>
                <w:szCs w:val="21"/>
                <w:highlight w:val="none"/>
                <w:lang w:eastAsia="zh-CN"/>
              </w:rPr>
              <w:t>1</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：对政务服务</w:t>
            </w:r>
            <w:r>
              <w:rPr>
                <w:rFonts w:hint="eastAsia" w:ascii="宋体" w:hAnsi="宋体" w:eastAsia="宋体" w:cs="宋体"/>
                <w:bCs w:val="0"/>
                <w:color w:val="auto"/>
                <w:sz w:val="21"/>
                <w:szCs w:val="21"/>
                <w:highlight w:val="none"/>
                <w:lang w:val="en-US" w:eastAsia="zh-CN"/>
              </w:rPr>
              <w:t>增值化改革工作</w:t>
            </w:r>
            <w:r>
              <w:rPr>
                <w:rFonts w:hint="eastAsia" w:ascii="宋体" w:hAnsi="宋体" w:eastAsia="宋体" w:cs="宋体"/>
                <w:bCs w:val="0"/>
                <w:color w:val="auto"/>
                <w:sz w:val="21"/>
                <w:szCs w:val="21"/>
                <w:highlight w:val="none"/>
              </w:rPr>
              <w:t>理解较深刻、阐述较清晰，</w:t>
            </w:r>
            <w:r>
              <w:rPr>
                <w:rFonts w:hint="eastAsia" w:ascii="宋体" w:hAnsi="宋体" w:eastAsia="宋体" w:cs="宋体"/>
                <w:bCs w:val="0"/>
                <w:color w:val="auto"/>
                <w:kern w:val="2"/>
                <w:sz w:val="21"/>
                <w:szCs w:val="21"/>
                <w:highlight w:val="none"/>
                <w:lang w:val="en-US" w:eastAsia="zh-CN" w:bidi="ar"/>
              </w:rPr>
              <w:t>熟练掌握11大增值服务领域或重点产业“一类事”梳理标准的，</w:t>
            </w:r>
            <w:r>
              <w:rPr>
                <w:rFonts w:hint="eastAsia" w:ascii="宋体" w:hAnsi="宋体" w:eastAsia="宋体" w:cs="宋体"/>
                <w:bCs w:val="0"/>
                <w:color w:val="auto"/>
                <w:sz w:val="21"/>
                <w:szCs w:val="21"/>
                <w:highlight w:val="none"/>
              </w:rPr>
              <w:t>对项目理解能较好满足项目需求的</w:t>
            </w:r>
            <w:r>
              <w:rPr>
                <w:rFonts w:hint="eastAsia" w:ascii="宋体" w:hAnsi="宋体" w:eastAsia="宋体" w:cs="宋体"/>
                <w:bCs w:val="0"/>
                <w:color w:val="auto"/>
                <w:sz w:val="21"/>
                <w:szCs w:val="21"/>
                <w:highlight w:val="none"/>
                <w:lang w:eastAsia="zh-CN"/>
              </w:rPr>
              <w:t>；</w:t>
            </w:r>
          </w:p>
          <w:p w14:paraId="4ABAC4AB">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档（</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：对政务服务</w:t>
            </w:r>
            <w:r>
              <w:rPr>
                <w:rFonts w:hint="eastAsia" w:ascii="宋体" w:hAnsi="宋体" w:eastAsia="宋体" w:cs="宋体"/>
                <w:bCs w:val="0"/>
                <w:color w:val="auto"/>
                <w:sz w:val="21"/>
                <w:szCs w:val="21"/>
                <w:highlight w:val="none"/>
                <w:lang w:val="en-US" w:eastAsia="zh-CN"/>
              </w:rPr>
              <w:t>增值化改革工作</w:t>
            </w:r>
            <w:r>
              <w:rPr>
                <w:rFonts w:hint="eastAsia" w:ascii="宋体" w:hAnsi="宋体" w:eastAsia="宋体" w:cs="宋体"/>
                <w:bCs w:val="0"/>
                <w:color w:val="auto"/>
                <w:sz w:val="21"/>
                <w:szCs w:val="21"/>
                <w:highlight w:val="none"/>
              </w:rPr>
              <w:t>理解深刻、</w:t>
            </w:r>
            <w:r>
              <w:rPr>
                <w:rFonts w:hint="eastAsia" w:ascii="宋体" w:hAnsi="宋体" w:eastAsia="宋体" w:cs="宋体"/>
                <w:bCs w:val="0"/>
                <w:color w:val="auto"/>
                <w:kern w:val="2"/>
                <w:sz w:val="21"/>
                <w:szCs w:val="21"/>
                <w:highlight w:val="none"/>
                <w:lang w:val="en-US" w:eastAsia="zh-CN" w:bidi="ar"/>
              </w:rPr>
              <w:t>熟练掌握11大增值服务领域和重点产业“一类事”梳理标准的，</w:t>
            </w:r>
            <w:r>
              <w:rPr>
                <w:rFonts w:hint="eastAsia" w:ascii="宋体" w:hAnsi="宋体" w:eastAsia="宋体" w:cs="宋体"/>
                <w:bCs w:val="0"/>
                <w:color w:val="auto"/>
                <w:sz w:val="21"/>
                <w:szCs w:val="21"/>
                <w:highlight w:val="none"/>
                <w:lang w:val="en-US" w:eastAsia="zh-CN"/>
              </w:rPr>
              <w:t>并熟悉广西本地相关政策要求，能结合广西地市实际情况进行</w:t>
            </w:r>
            <w:r>
              <w:rPr>
                <w:rFonts w:hint="eastAsia" w:ascii="宋体" w:hAnsi="宋体" w:eastAsia="宋体" w:cs="宋体"/>
                <w:bCs w:val="0"/>
                <w:color w:val="auto"/>
                <w:sz w:val="21"/>
                <w:szCs w:val="21"/>
                <w:highlight w:val="none"/>
              </w:rPr>
              <w:t>阐述</w:t>
            </w:r>
            <w:r>
              <w:rPr>
                <w:rFonts w:hint="eastAsia" w:ascii="宋体" w:hAnsi="宋体" w:eastAsia="宋体" w:cs="宋体"/>
                <w:bCs w:val="0"/>
                <w:color w:val="auto"/>
                <w:sz w:val="21"/>
                <w:szCs w:val="21"/>
                <w:highlight w:val="none"/>
                <w:lang w:val="en-US" w:eastAsia="zh-CN"/>
              </w:rPr>
              <w:t>且非常</w:t>
            </w:r>
            <w:r>
              <w:rPr>
                <w:rFonts w:hint="eastAsia" w:ascii="宋体" w:hAnsi="宋体" w:eastAsia="宋体" w:cs="宋体"/>
                <w:bCs w:val="0"/>
                <w:color w:val="auto"/>
                <w:sz w:val="21"/>
                <w:szCs w:val="21"/>
                <w:highlight w:val="none"/>
              </w:rPr>
              <w:t>清晰，对项目理解能很好满足项目需求的。</w:t>
            </w:r>
          </w:p>
        </w:tc>
        <w:tc>
          <w:tcPr>
            <w:tcW w:w="513" w:type="pct"/>
            <w:vAlign w:val="center"/>
          </w:tcPr>
          <w:p w14:paraId="04183CAF">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20分</w:t>
            </w:r>
          </w:p>
        </w:tc>
      </w:tr>
      <w:tr w14:paraId="7A098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07000794">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2.2</w:t>
            </w:r>
          </w:p>
        </w:tc>
        <w:tc>
          <w:tcPr>
            <w:tcW w:w="1230" w:type="dxa"/>
            <w:vAlign w:val="center"/>
          </w:tcPr>
          <w:p w14:paraId="033AA09E">
            <w:pPr>
              <w:keepNext w:val="0"/>
              <w:keepLines w:val="0"/>
              <w:pageBreakBefore w:val="0"/>
              <w:kinsoku/>
              <w:wordWrap/>
              <w:overflowPunct/>
              <w:topLinePunct w:val="0"/>
              <w:autoSpaceDE/>
              <w:autoSpaceDN/>
              <w:bidi w:val="0"/>
              <w:snapToGrid/>
              <w:spacing w:line="480" w:lineRule="exact"/>
              <w:ind w:left="10" w:hanging="1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项目实施</w:t>
            </w:r>
          </w:p>
        </w:tc>
        <w:tc>
          <w:tcPr>
            <w:tcW w:w="7140" w:type="dxa"/>
            <w:vAlign w:val="center"/>
          </w:tcPr>
          <w:p w14:paraId="3A8CA92B">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根据各报价人提供的项目实施方案（方案内容包括但不限于：①针对本项目的服务</w:t>
            </w:r>
            <w:r>
              <w:rPr>
                <w:rFonts w:hint="eastAsia" w:ascii="宋体" w:hAnsi="宋体" w:eastAsia="宋体" w:cs="宋体"/>
                <w:color w:val="auto"/>
                <w:sz w:val="21"/>
                <w:szCs w:val="21"/>
                <w:highlight w:val="none"/>
                <w:lang w:eastAsia="zh-Hans"/>
              </w:rPr>
              <w:t>内容</w:t>
            </w:r>
            <w:r>
              <w:rPr>
                <w:rFonts w:hint="eastAsia" w:ascii="宋体" w:hAnsi="宋体" w:eastAsia="宋体" w:cs="宋体"/>
                <w:color w:val="auto"/>
                <w:sz w:val="21"/>
                <w:szCs w:val="21"/>
                <w:highlight w:val="none"/>
              </w:rPr>
              <w:t>；②针对本项目的</w:t>
            </w:r>
            <w:r>
              <w:rPr>
                <w:rFonts w:hint="eastAsia" w:ascii="宋体" w:hAnsi="宋体" w:eastAsia="宋体" w:cs="宋体"/>
                <w:color w:val="auto"/>
                <w:sz w:val="21"/>
                <w:szCs w:val="21"/>
                <w:highlight w:val="none"/>
                <w:lang w:eastAsia="zh-Hans"/>
              </w:rPr>
              <w:t>服务流程</w:t>
            </w:r>
            <w:r>
              <w:rPr>
                <w:rFonts w:hint="eastAsia" w:ascii="宋体" w:hAnsi="宋体" w:eastAsia="宋体" w:cs="宋体"/>
                <w:color w:val="auto"/>
                <w:sz w:val="21"/>
                <w:szCs w:val="21"/>
                <w:highlight w:val="none"/>
              </w:rPr>
              <w:t>；③针对本项目的</w:t>
            </w:r>
            <w:r>
              <w:rPr>
                <w:rFonts w:hint="eastAsia" w:ascii="宋体" w:hAnsi="宋体" w:eastAsia="宋体" w:cs="宋体"/>
                <w:color w:val="auto"/>
                <w:sz w:val="21"/>
                <w:szCs w:val="21"/>
                <w:highlight w:val="none"/>
                <w:lang w:eastAsia="zh-Hans"/>
              </w:rPr>
              <w:t>服务时限</w:t>
            </w:r>
            <w:r>
              <w:rPr>
                <w:rFonts w:hint="eastAsia" w:ascii="宋体" w:hAnsi="宋体" w:eastAsia="宋体" w:cs="宋体"/>
                <w:color w:val="auto"/>
                <w:sz w:val="21"/>
                <w:szCs w:val="21"/>
                <w:highlight w:val="none"/>
              </w:rPr>
              <w:t>；④</w:t>
            </w:r>
            <w:r>
              <w:rPr>
                <w:rFonts w:hint="eastAsia" w:ascii="宋体" w:hAnsi="宋体" w:eastAsia="宋体" w:cs="宋体"/>
                <w:color w:val="auto"/>
                <w:sz w:val="21"/>
                <w:szCs w:val="21"/>
                <w:highlight w:val="none"/>
                <w:lang w:eastAsia="zh-Hans"/>
              </w:rPr>
              <w:t>针对本项目的服务成果</w:t>
            </w:r>
            <w:r>
              <w:rPr>
                <w:rFonts w:hint="eastAsia" w:ascii="宋体" w:hAnsi="宋体" w:eastAsia="宋体" w:cs="宋体"/>
                <w:color w:val="auto"/>
                <w:sz w:val="21"/>
                <w:szCs w:val="21"/>
                <w:highlight w:val="none"/>
              </w:rPr>
              <w:t>确定各投标人所属档次及分值，不满足一档要求的，得0分。</w:t>
            </w:r>
          </w:p>
          <w:p w14:paraId="5B8A4C9F">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w:t>
            </w: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：实施方案简单，</w:t>
            </w:r>
            <w:r>
              <w:rPr>
                <w:rFonts w:hint="eastAsia" w:ascii="宋体" w:hAnsi="宋体" w:eastAsia="宋体" w:cs="宋体"/>
                <w:bCs w:val="0"/>
                <w:color w:val="auto"/>
                <w:sz w:val="21"/>
                <w:szCs w:val="21"/>
                <w:highlight w:val="none"/>
                <w:lang w:eastAsia="zh-CN"/>
              </w:rPr>
              <w:t>基本</w:t>
            </w:r>
            <w:r>
              <w:rPr>
                <w:rFonts w:hint="eastAsia" w:ascii="宋体" w:hAnsi="宋体" w:eastAsia="宋体" w:cs="宋体"/>
                <w:bCs w:val="0"/>
                <w:color w:val="auto"/>
                <w:sz w:val="21"/>
                <w:szCs w:val="21"/>
                <w:highlight w:val="none"/>
              </w:rPr>
              <w:t>满足采购要求的；</w:t>
            </w:r>
          </w:p>
          <w:p w14:paraId="42596AA0">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档（</w:t>
            </w: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实施方案简单，实施计划可行，对上述的项目实施方案内容未进行全部阐述或阐述的内容</w:t>
            </w:r>
            <w:r>
              <w:rPr>
                <w:rFonts w:hint="eastAsia" w:ascii="宋体" w:hAnsi="宋体" w:eastAsia="宋体" w:cs="宋体"/>
                <w:bCs w:val="0"/>
                <w:color w:val="auto"/>
                <w:sz w:val="21"/>
                <w:szCs w:val="21"/>
                <w:highlight w:val="none"/>
                <w:lang w:eastAsia="zh-CN"/>
              </w:rPr>
              <w:t>基本</w:t>
            </w:r>
            <w:r>
              <w:rPr>
                <w:rFonts w:hint="eastAsia" w:ascii="宋体" w:hAnsi="宋体" w:eastAsia="宋体" w:cs="宋体"/>
                <w:bCs w:val="0"/>
                <w:color w:val="auto"/>
                <w:sz w:val="21"/>
                <w:szCs w:val="21"/>
                <w:highlight w:val="none"/>
              </w:rPr>
              <w:t>采购要求的；</w:t>
            </w:r>
          </w:p>
          <w:p w14:paraId="0B4DF957">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档（</w:t>
            </w:r>
            <w:r>
              <w:rPr>
                <w:rFonts w:hint="eastAsia" w:ascii="宋体" w:hAnsi="宋体" w:eastAsia="宋体" w:cs="宋体"/>
                <w:b/>
                <w:bCs/>
                <w:color w:val="auto"/>
                <w:sz w:val="21"/>
                <w:szCs w:val="21"/>
                <w:highlight w:val="none"/>
                <w:lang w:eastAsia="zh-CN"/>
              </w:rPr>
              <w:t>2</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：实施方案完整清晰，实施计划完整可行，对上述的项目实施方案内容进行全部阐述但并未贴合项目实际情况进行详细论述或方案未包括具体实施细节及措施</w:t>
            </w:r>
            <w:r>
              <w:rPr>
                <w:rFonts w:hint="eastAsia" w:ascii="宋体" w:hAnsi="宋体" w:eastAsia="宋体" w:cs="宋体"/>
                <w:bCs w:val="0"/>
                <w:color w:val="auto"/>
                <w:sz w:val="21"/>
                <w:szCs w:val="21"/>
                <w:highlight w:val="none"/>
                <w:lang w:eastAsia="zh-CN"/>
              </w:rPr>
              <w:t>，</w:t>
            </w:r>
            <w:r>
              <w:rPr>
                <w:rFonts w:hint="eastAsia" w:ascii="宋体" w:hAnsi="宋体" w:eastAsia="宋体" w:cs="宋体"/>
                <w:bCs w:val="0"/>
                <w:color w:val="auto"/>
                <w:sz w:val="21"/>
                <w:szCs w:val="21"/>
                <w:highlight w:val="none"/>
                <w:lang w:val="en-US" w:eastAsia="zh-CN"/>
              </w:rPr>
              <w:t>能提供部分</w:t>
            </w:r>
            <w:r>
              <w:rPr>
                <w:rFonts w:hint="eastAsia" w:ascii="宋体" w:hAnsi="宋体" w:eastAsia="宋体" w:cs="宋体"/>
                <w:bCs w:val="0"/>
                <w:color w:val="auto"/>
                <w:kern w:val="2"/>
                <w:sz w:val="21"/>
                <w:szCs w:val="21"/>
                <w:highlight w:val="none"/>
                <w:lang w:val="en-US" w:eastAsia="zh-CN" w:bidi="ar"/>
              </w:rPr>
              <w:t>11大领域的增值服务清单和重点产业“一类事”清单的</w:t>
            </w:r>
            <w:r>
              <w:rPr>
                <w:rFonts w:hint="eastAsia" w:ascii="宋体" w:hAnsi="宋体" w:eastAsia="宋体" w:cs="宋体"/>
                <w:bCs w:val="0"/>
                <w:color w:val="auto"/>
                <w:sz w:val="21"/>
                <w:szCs w:val="21"/>
                <w:highlight w:val="none"/>
              </w:rPr>
              <w:t>；</w:t>
            </w:r>
          </w:p>
          <w:p w14:paraId="07D10F18">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档（</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：实施方案清晰、针对性强，实施计划完整明晰、可操作性强，对上述的项目实施方案内容进行了详细阐述且满足采购要求，</w:t>
            </w:r>
            <w:r>
              <w:rPr>
                <w:rFonts w:hint="eastAsia" w:ascii="宋体" w:hAnsi="宋体" w:eastAsia="宋体" w:cs="宋体"/>
                <w:bCs w:val="0"/>
                <w:color w:val="auto"/>
                <w:sz w:val="21"/>
                <w:szCs w:val="21"/>
                <w:highlight w:val="none"/>
                <w:lang w:val="en-US" w:eastAsia="zh-CN"/>
              </w:rPr>
              <w:t>能提供部分</w:t>
            </w:r>
            <w:r>
              <w:rPr>
                <w:rFonts w:hint="eastAsia" w:ascii="宋体" w:hAnsi="宋体" w:eastAsia="宋体" w:cs="宋体"/>
                <w:bCs w:val="0"/>
                <w:color w:val="auto"/>
                <w:kern w:val="2"/>
                <w:sz w:val="21"/>
                <w:szCs w:val="21"/>
                <w:highlight w:val="none"/>
                <w:lang w:val="en-US" w:eastAsia="zh-CN" w:bidi="ar"/>
              </w:rPr>
              <w:t>11大领域的增值服务清单、重点产业“一类事”清单、增值化服务事项清单审核标准和</w:t>
            </w:r>
            <w:r>
              <w:rPr>
                <w:rFonts w:hint="eastAsia" w:ascii="宋体" w:hAnsi="宋体" w:eastAsia="宋体" w:cs="宋体"/>
                <w:bCs w:val="0"/>
                <w:color w:val="auto"/>
                <w:sz w:val="21"/>
                <w:szCs w:val="21"/>
                <w:highlight w:val="none"/>
                <w:lang w:val="en-US" w:eastAsia="zh-CN"/>
              </w:rPr>
              <w:t>部分功能页面及系统设计文档</w:t>
            </w:r>
            <w:r>
              <w:rPr>
                <w:rFonts w:hint="eastAsia" w:ascii="宋体" w:hAnsi="宋体" w:eastAsia="宋体" w:cs="宋体"/>
                <w:bCs w:val="0"/>
                <w:color w:val="auto"/>
                <w:sz w:val="21"/>
                <w:szCs w:val="21"/>
                <w:highlight w:val="none"/>
              </w:rPr>
              <w:t>的。</w:t>
            </w:r>
          </w:p>
        </w:tc>
        <w:tc>
          <w:tcPr>
            <w:tcW w:w="513" w:type="pct"/>
            <w:vAlign w:val="center"/>
          </w:tcPr>
          <w:p w14:paraId="7ABCBE60">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r>
      <w:tr w14:paraId="44F7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4" w:type="pct"/>
            <w:vAlign w:val="center"/>
          </w:tcPr>
          <w:p w14:paraId="015D1C30">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2.3</w:t>
            </w:r>
          </w:p>
        </w:tc>
        <w:tc>
          <w:tcPr>
            <w:tcW w:w="1230" w:type="dxa"/>
            <w:vAlign w:val="center"/>
          </w:tcPr>
          <w:p w14:paraId="738D438E">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rPr>
              <w:t>售后及保密</w:t>
            </w:r>
          </w:p>
        </w:tc>
        <w:tc>
          <w:tcPr>
            <w:tcW w:w="7140" w:type="dxa"/>
            <w:vAlign w:val="center"/>
          </w:tcPr>
          <w:p w14:paraId="71604054">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bCs w:val="0"/>
                <w:color w:val="auto"/>
                <w:sz w:val="21"/>
                <w:szCs w:val="21"/>
                <w:highlight w:val="none"/>
              </w:rPr>
              <w:t>根据各报价人提供的售后及保密措施确定各报价人所属档次及分值，不满足一档要求的，得0分。</w:t>
            </w:r>
          </w:p>
          <w:p w14:paraId="5E53DDD9">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rPr>
              <w:t>一档（</w:t>
            </w: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有售后质量保障措施和保密措施；</w:t>
            </w:r>
          </w:p>
          <w:p w14:paraId="1F56257E">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rPr>
              <w:t>二档（</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项目售后质量保障措施和保密措施较详细、规范，可行性较强；</w:t>
            </w:r>
          </w:p>
          <w:p w14:paraId="7EC1BE83">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三档（</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Cs w:val="0"/>
                <w:color w:val="auto"/>
                <w:sz w:val="21"/>
                <w:szCs w:val="21"/>
                <w:highlight w:val="none"/>
              </w:rPr>
              <w:t>：项目执行全过程质量保障措施和保密措施详细完善、规范且可行性强。</w:t>
            </w:r>
          </w:p>
        </w:tc>
        <w:tc>
          <w:tcPr>
            <w:tcW w:w="513" w:type="pct"/>
            <w:vAlign w:val="center"/>
          </w:tcPr>
          <w:p w14:paraId="0A0C3326">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tc>
      </w:tr>
      <w:tr w14:paraId="4E4A6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4" w:type="pct"/>
            <w:vAlign w:val="center"/>
          </w:tcPr>
          <w:p w14:paraId="54FD8F0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10" w:type="pct"/>
            <w:vAlign w:val="center"/>
          </w:tcPr>
          <w:p w14:paraId="6DDBA1D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tc>
        <w:tc>
          <w:tcPr>
            <w:tcW w:w="3542" w:type="pct"/>
            <w:vAlign w:val="center"/>
          </w:tcPr>
          <w:p w14:paraId="1310AA81">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商务分</w:t>
            </w:r>
          </w:p>
        </w:tc>
        <w:tc>
          <w:tcPr>
            <w:tcW w:w="513" w:type="pct"/>
            <w:vAlign w:val="center"/>
          </w:tcPr>
          <w:p w14:paraId="797F5C69">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w:t>
            </w: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tc>
      </w:tr>
      <w:tr w14:paraId="1AD3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576C92F1">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610" w:type="pct"/>
            <w:vAlign w:val="center"/>
          </w:tcPr>
          <w:p w14:paraId="4ED137E2">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项目案例分</w:t>
            </w:r>
          </w:p>
        </w:tc>
        <w:tc>
          <w:tcPr>
            <w:tcW w:w="3542" w:type="pct"/>
          </w:tcPr>
          <w:p w14:paraId="0705F139">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bCs w:val="0"/>
                <w:color w:val="auto"/>
                <w:sz w:val="21"/>
                <w:szCs w:val="21"/>
                <w:highlight w:val="none"/>
                <w:lang w:val="en-US" w:eastAsia="zh-CN"/>
              </w:rPr>
            </w:pPr>
            <w:r>
              <w:rPr>
                <w:rFonts w:hint="eastAsia" w:ascii="宋体" w:hAnsi="宋体" w:eastAsia="宋体" w:cs="宋体"/>
                <w:bCs w:val="0"/>
                <w:color w:val="auto"/>
                <w:sz w:val="21"/>
                <w:szCs w:val="21"/>
                <w:highlight w:val="none"/>
                <w:lang w:val="en-US" w:eastAsia="zh-CN"/>
              </w:rPr>
              <w:t>供应商近三年以来承担过与本项目服务要求相关的增值服务或产业“一类事”相关的服务应用项目，每个得2分，最高得10分；</w:t>
            </w:r>
          </w:p>
          <w:p w14:paraId="60FAF124">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bCs w:val="0"/>
                <w:color w:val="auto"/>
                <w:sz w:val="21"/>
                <w:szCs w:val="21"/>
                <w:highlight w:val="none"/>
                <w:lang w:val="en-US" w:eastAsia="zh-CN"/>
              </w:rPr>
              <w:t>供应商近三年以来承担过与本项目服务要求相关的增值服务事项清单检查项目，每个得1分，最高得5分。</w:t>
            </w:r>
          </w:p>
          <w:p w14:paraId="3D05B586">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p>
        </w:tc>
        <w:tc>
          <w:tcPr>
            <w:tcW w:w="513" w:type="pct"/>
            <w:vAlign w:val="center"/>
          </w:tcPr>
          <w:p w14:paraId="54AA5879">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p>
        </w:tc>
      </w:tr>
      <w:tr w14:paraId="5682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74C6D4D6">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1131" w:type="dxa"/>
            <w:vAlign w:val="center"/>
          </w:tcPr>
          <w:p w14:paraId="75E19059">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项目实施人员分</w:t>
            </w:r>
          </w:p>
        </w:tc>
        <w:tc>
          <w:tcPr>
            <w:tcW w:w="6567" w:type="dxa"/>
            <w:vAlign w:val="center"/>
          </w:tcPr>
          <w:p w14:paraId="7BFC489F">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根据各报价人提供的项目实施人员情况确定所属档次及分值，不满足一档要求的，得0分；</w:t>
            </w:r>
          </w:p>
          <w:p w14:paraId="18887370">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一档（2分）</w:t>
            </w:r>
            <w:r>
              <w:rPr>
                <w:rFonts w:hint="eastAsia" w:ascii="宋体" w:hAnsi="宋体" w:eastAsia="宋体" w:cs="宋体"/>
                <w:color w:val="auto"/>
                <w:sz w:val="21"/>
                <w:szCs w:val="21"/>
                <w:highlight w:val="none"/>
              </w:rPr>
              <w:t>：拟投入项目人员不足</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（不含本数）</w:t>
            </w:r>
            <w:r>
              <w:rPr>
                <w:rFonts w:hint="eastAsia" w:ascii="宋体" w:hAnsi="宋体" w:eastAsia="宋体" w:cs="宋体"/>
                <w:color w:val="auto"/>
                <w:sz w:val="21"/>
                <w:szCs w:val="21"/>
                <w:highlight w:val="none"/>
              </w:rPr>
              <w:t>的，人员分工不明确，配置不够合理，团队成员无政务服务类项目管理或交付经验；</w:t>
            </w:r>
          </w:p>
          <w:p w14:paraId="318B3C7D">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二档（5分）：</w:t>
            </w:r>
            <w:r>
              <w:rPr>
                <w:rFonts w:hint="eastAsia" w:ascii="宋体" w:hAnsi="宋体" w:eastAsia="宋体" w:cs="宋体"/>
                <w:color w:val="auto"/>
                <w:sz w:val="21"/>
                <w:szCs w:val="21"/>
                <w:highlight w:val="none"/>
              </w:rPr>
              <w:t>项目实施人员</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（含本数）、不足</w:t>
            </w:r>
            <w:r>
              <w:rPr>
                <w:rFonts w:hint="eastAsia" w:ascii="宋体" w:hAnsi="宋体" w:eastAsia="宋体" w:cs="宋体"/>
                <w:color w:val="auto"/>
                <w:sz w:val="21"/>
                <w:szCs w:val="21"/>
                <w:highlight w:val="none"/>
                <w:lang w:val="en-US" w:eastAsia="zh-CN"/>
              </w:rPr>
              <w:t>8人(不含本数）</w:t>
            </w:r>
            <w:r>
              <w:rPr>
                <w:rFonts w:hint="eastAsia" w:ascii="宋体" w:hAnsi="宋体" w:eastAsia="宋体" w:cs="宋体"/>
                <w:color w:val="auto"/>
                <w:sz w:val="21"/>
                <w:szCs w:val="21"/>
                <w:highlight w:val="none"/>
              </w:rPr>
              <w:t>的，人员分工明确，部分团队成员具备政务服务类项目管理或交付经验：</w:t>
            </w:r>
          </w:p>
          <w:p w14:paraId="6A7966A7">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三档（8分）</w:t>
            </w:r>
            <w:r>
              <w:rPr>
                <w:rFonts w:hint="eastAsia" w:ascii="宋体" w:hAnsi="宋体" w:eastAsia="宋体" w:cs="宋体"/>
                <w:color w:val="auto"/>
                <w:sz w:val="21"/>
                <w:szCs w:val="21"/>
                <w:highlight w:val="none"/>
              </w:rPr>
              <w:t>：项目实施人员</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（含本数）</w:t>
            </w:r>
            <w:r>
              <w:rPr>
                <w:rFonts w:hint="eastAsia" w:ascii="宋体" w:hAnsi="宋体" w:eastAsia="宋体" w:cs="宋体"/>
                <w:color w:val="auto"/>
                <w:sz w:val="21"/>
                <w:szCs w:val="21"/>
                <w:highlight w:val="none"/>
              </w:rPr>
              <w:t>及以上，人员分工明确，配置合理，团队成员均具有本科及以上学历，团队负责人具备政务服务类项目管理或交付经验。</w:t>
            </w:r>
          </w:p>
          <w:p w14:paraId="71824045">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bCs w:val="0"/>
                <w:color w:val="auto"/>
                <w:sz w:val="21"/>
                <w:szCs w:val="21"/>
                <w:highlight w:val="none"/>
              </w:rPr>
            </w:pPr>
            <w:r>
              <w:rPr>
                <w:rFonts w:hint="eastAsia" w:ascii="宋体" w:hAnsi="宋体" w:eastAsia="宋体" w:cs="宋体"/>
                <w:b/>
                <w:bCs/>
                <w:color w:val="auto"/>
                <w:sz w:val="21"/>
                <w:szCs w:val="21"/>
                <w:highlight w:val="none"/>
              </w:rPr>
              <w:t>（注：提供人员</w:t>
            </w:r>
            <w:r>
              <w:rPr>
                <w:rFonts w:hint="eastAsia" w:ascii="宋体" w:hAnsi="宋体" w:eastAsia="宋体" w:cs="宋体"/>
                <w:b/>
                <w:bCs/>
                <w:color w:val="auto"/>
                <w:sz w:val="21"/>
                <w:szCs w:val="21"/>
                <w:highlight w:val="none"/>
                <w:lang w:eastAsia="zh-CN"/>
              </w:rPr>
              <w:t>递交截止日前</w:t>
            </w:r>
            <w:r>
              <w:rPr>
                <w:rFonts w:hint="eastAsia" w:ascii="宋体" w:hAnsi="宋体" w:eastAsia="宋体" w:cs="宋体"/>
                <w:b/>
                <w:bCs/>
                <w:color w:val="auto"/>
                <w:sz w:val="21"/>
                <w:szCs w:val="21"/>
                <w:highlight w:val="none"/>
              </w:rPr>
              <w:t>半年内</w:t>
            </w:r>
            <w:r>
              <w:rPr>
                <w:rFonts w:hint="eastAsia" w:ascii="宋体" w:hAnsi="宋体" w:eastAsia="宋体" w:cs="宋体"/>
                <w:b/>
                <w:bCs/>
                <w:color w:val="auto"/>
                <w:sz w:val="21"/>
                <w:szCs w:val="21"/>
                <w:highlight w:val="none"/>
                <w:lang w:eastAsia="zh-CN"/>
              </w:rPr>
              <w:t>任意一个月</w:t>
            </w:r>
            <w:r>
              <w:rPr>
                <w:rFonts w:hint="eastAsia" w:ascii="宋体" w:hAnsi="宋体" w:eastAsia="宋体" w:cs="宋体"/>
                <w:b/>
                <w:bCs/>
                <w:color w:val="auto"/>
                <w:sz w:val="21"/>
                <w:szCs w:val="21"/>
                <w:highlight w:val="none"/>
              </w:rPr>
              <w:t>缴纳社保的证明材料或依法免缴社保或在办依法缴纳社保证明或劳动合同，不提供不得分。）</w:t>
            </w:r>
            <w:r>
              <w:rPr>
                <w:rFonts w:hint="eastAsia" w:ascii="宋体" w:hAnsi="宋体" w:eastAsia="宋体" w:cs="宋体"/>
                <w:color w:val="auto"/>
                <w:sz w:val="21"/>
                <w:szCs w:val="21"/>
                <w:highlight w:val="none"/>
              </w:rPr>
              <w:t>。</w:t>
            </w:r>
          </w:p>
        </w:tc>
        <w:tc>
          <w:tcPr>
            <w:tcW w:w="951" w:type="dxa"/>
            <w:vAlign w:val="center"/>
          </w:tcPr>
          <w:p w14:paraId="5558B040">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8分</w:t>
            </w:r>
          </w:p>
        </w:tc>
      </w:tr>
      <w:tr w14:paraId="186E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3B4134E2">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c>
          <w:tcPr>
            <w:tcW w:w="610" w:type="pct"/>
            <w:vAlign w:val="center"/>
          </w:tcPr>
          <w:p w14:paraId="45A75D7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信誉分</w:t>
            </w:r>
          </w:p>
        </w:tc>
        <w:tc>
          <w:tcPr>
            <w:tcW w:w="3542" w:type="pct"/>
          </w:tcPr>
          <w:p w14:paraId="6154ACC1">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通过ISO9001质量管理体系认证、ISO45001职业健康安全管理体系认证证书，每通过1项得1分，最高得2分；</w:t>
            </w:r>
          </w:p>
        </w:tc>
        <w:tc>
          <w:tcPr>
            <w:tcW w:w="513" w:type="pct"/>
            <w:vAlign w:val="center"/>
          </w:tcPr>
          <w:p w14:paraId="36B82C1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2分</w:t>
            </w:r>
          </w:p>
        </w:tc>
      </w:tr>
      <w:tr w14:paraId="4A02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61E0D891">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230" w:type="dxa"/>
            <w:vAlign w:val="center"/>
          </w:tcPr>
          <w:p w14:paraId="2A8F73E5">
            <w:pPr>
              <w:pStyle w:val="9"/>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tc>
        <w:tc>
          <w:tcPr>
            <w:tcW w:w="7140" w:type="dxa"/>
            <w:vAlign w:val="center"/>
          </w:tcPr>
          <w:p w14:paraId="6E0B75E6">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供应商在响应文件递交截止日前1年内在政府采购活动中存在违约违规情形的（以财政部门出具的书面材料为评分依据），每次扣除3分，最高扣分6分为止（供应商应提交而未提交的，视为提供虚假材料谋取中标）</w:t>
            </w:r>
          </w:p>
        </w:tc>
        <w:tc>
          <w:tcPr>
            <w:tcW w:w="1035" w:type="dxa"/>
            <w:vAlign w:val="center"/>
          </w:tcPr>
          <w:p w14:paraId="1C6A91ED">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-6-0分</w:t>
            </w:r>
          </w:p>
        </w:tc>
      </w:tr>
    </w:tbl>
    <w:p w14:paraId="5420D70E">
      <w:pPr>
        <w:spacing w:line="360" w:lineRule="auto"/>
        <w:ind w:firstLine="562" w:firstLineChars="200"/>
        <w:rPr>
          <w:rFonts w:hint="eastAsia" w:hAnsi="宋体"/>
          <w:b/>
          <w:bCs/>
          <w:color w:val="auto"/>
          <w:sz w:val="28"/>
          <w:szCs w:val="28"/>
          <w:highlight w:val="none"/>
        </w:rPr>
      </w:pPr>
    </w:p>
    <w:p w14:paraId="7B31FBEE">
      <w:pPr>
        <w:spacing w:line="360" w:lineRule="auto"/>
        <w:ind w:firstLine="562" w:firstLineChars="200"/>
        <w:rPr>
          <w:rFonts w:hint="eastAsia" w:hAnsi="宋体"/>
          <w:b/>
          <w:bCs/>
          <w:color w:val="auto"/>
          <w:sz w:val="28"/>
          <w:szCs w:val="28"/>
          <w:highlight w:val="none"/>
        </w:rPr>
      </w:pPr>
    </w:p>
    <w:p w14:paraId="6F2D1F6A">
      <w:pPr>
        <w:spacing w:line="360" w:lineRule="exact"/>
        <w:ind w:firstLine="420"/>
        <w:rPr>
          <w:rFonts w:hint="eastAsia" w:ascii="宋体" w:hAnsi="宋体"/>
          <w:bCs/>
          <w:color w:val="auto"/>
          <w:szCs w:val="20"/>
          <w:highlight w:val="none"/>
        </w:rPr>
      </w:pPr>
    </w:p>
    <w:p w14:paraId="6668223E">
      <w:pPr>
        <w:rPr>
          <w:rFonts w:hint="eastAsia" w:ascii="Arial" w:hAnsi="Arial" w:eastAsia="黑体"/>
          <w:bCs/>
          <w:color w:val="auto"/>
          <w:kern w:val="0"/>
          <w:sz w:val="30"/>
          <w:szCs w:val="30"/>
          <w:highlight w:val="none"/>
        </w:rPr>
      </w:pPr>
      <w:bookmarkStart w:id="25" w:name="_Toc7336"/>
      <w:r>
        <w:rPr>
          <w:rFonts w:hint="eastAsia" w:ascii="Arial" w:hAnsi="Arial" w:eastAsia="黑体"/>
          <w:bCs/>
          <w:color w:val="auto"/>
          <w:kern w:val="0"/>
          <w:sz w:val="30"/>
          <w:szCs w:val="30"/>
          <w:highlight w:val="none"/>
        </w:rPr>
        <w:br w:type="page"/>
      </w:r>
    </w:p>
    <w:p w14:paraId="19D75E45">
      <w:pPr>
        <w:keepNext/>
        <w:keepLines/>
        <w:spacing w:before="260" w:after="260" w:line="413" w:lineRule="auto"/>
        <w:jc w:val="center"/>
        <w:outlineLvl w:val="1"/>
        <w:rPr>
          <w:rFonts w:hint="eastAsia" w:ascii="Arial" w:hAnsi="Arial" w:eastAsia="黑体"/>
          <w:bCs/>
          <w:color w:val="auto"/>
          <w:kern w:val="0"/>
          <w:sz w:val="30"/>
          <w:szCs w:val="30"/>
          <w:highlight w:val="none"/>
        </w:rPr>
        <w:sectPr>
          <w:pgSz w:w="11906" w:h="16838"/>
          <w:pgMar w:top="1134" w:right="1474" w:bottom="1134" w:left="1587" w:header="720" w:footer="720" w:gutter="0"/>
          <w:cols w:space="720" w:num="1"/>
          <w:docGrid w:type="lines" w:linePitch="331" w:charSpace="0"/>
        </w:sectPr>
      </w:pPr>
    </w:p>
    <w:p w14:paraId="4ACEF91D">
      <w:pPr>
        <w:keepNext/>
        <w:keepLines/>
        <w:spacing w:before="260" w:after="260" w:line="413" w:lineRule="auto"/>
        <w:jc w:val="left"/>
        <w:outlineLvl w:val="1"/>
        <w:rPr>
          <w:rFonts w:hint="eastAsia" w:ascii="Arial" w:hAnsi="Arial" w:eastAsia="黑体"/>
          <w:bCs/>
          <w:color w:val="auto"/>
          <w:kern w:val="0"/>
          <w:sz w:val="30"/>
          <w:szCs w:val="30"/>
          <w:highlight w:val="none"/>
          <w:lang w:val="en-US" w:eastAsia="zh-CN"/>
        </w:rPr>
      </w:pPr>
      <w:r>
        <w:rPr>
          <w:rFonts w:hint="eastAsia" w:ascii="Arial" w:hAnsi="Arial" w:eastAsia="黑体"/>
          <w:bCs/>
          <w:color w:val="auto"/>
          <w:kern w:val="0"/>
          <w:sz w:val="30"/>
          <w:szCs w:val="30"/>
          <w:highlight w:val="none"/>
          <w:lang w:eastAsia="zh-CN"/>
        </w:rPr>
        <w:t>分标</w:t>
      </w:r>
      <w:r>
        <w:rPr>
          <w:rFonts w:hint="eastAsia" w:ascii="Arial" w:hAnsi="Arial" w:eastAsia="黑体"/>
          <w:bCs/>
          <w:color w:val="auto"/>
          <w:kern w:val="0"/>
          <w:sz w:val="30"/>
          <w:szCs w:val="30"/>
          <w:highlight w:val="none"/>
          <w:lang w:val="en-US" w:eastAsia="zh-CN"/>
        </w:rPr>
        <w:t>2：</w:t>
      </w:r>
    </w:p>
    <w:tbl>
      <w:tblPr>
        <w:tblStyle w:val="19"/>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131"/>
        <w:gridCol w:w="6567"/>
        <w:gridCol w:w="951"/>
      </w:tblGrid>
      <w:tr w14:paraId="26E3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33" w:type="pct"/>
            <w:vAlign w:val="center"/>
          </w:tcPr>
          <w:p w14:paraId="6E569600">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610" w:type="pct"/>
            <w:vAlign w:val="center"/>
          </w:tcPr>
          <w:p w14:paraId="1413013A">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3542" w:type="pct"/>
            <w:vAlign w:val="center"/>
          </w:tcPr>
          <w:p w14:paraId="4C41FDF0">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评分标准</w:t>
            </w:r>
          </w:p>
        </w:tc>
        <w:tc>
          <w:tcPr>
            <w:tcW w:w="513" w:type="pct"/>
            <w:vAlign w:val="center"/>
          </w:tcPr>
          <w:p w14:paraId="684F7CE6">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3D54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3A2B0761">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610" w:type="pct"/>
            <w:vAlign w:val="center"/>
          </w:tcPr>
          <w:p w14:paraId="24501AF7">
            <w:pPr>
              <w:keepNext w:val="0"/>
              <w:keepLines w:val="0"/>
              <w:pageBreakBefore w:val="0"/>
              <w:tabs>
                <w:tab w:val="left" w:pos="1200"/>
              </w:tabs>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rPr>
              <w:t>价格分</w:t>
            </w:r>
          </w:p>
        </w:tc>
        <w:tc>
          <w:tcPr>
            <w:tcW w:w="3542" w:type="pct"/>
            <w:vAlign w:val="center"/>
          </w:tcPr>
          <w:p w14:paraId="7CBBE96E">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）以进入综合评分的最低评标报价为</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6AE19446">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）评标报价为投标人的投标报价进行政策性扣除后的价格，评标报价只是作为评标时使用。最终中标人的中标金额等于投标报价。</w:t>
            </w:r>
          </w:p>
          <w:p w14:paraId="6B0B47EE">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）按照《政府采购促进中小企业发展暂行办法》（财库〔</w:t>
            </w:r>
            <w:r>
              <w:rPr>
                <w:rFonts w:hint="eastAsia" w:ascii="宋体" w:hAnsi="宋体" w:eastAsia="宋体" w:cs="宋体"/>
                <w:color w:val="auto"/>
                <w:sz w:val="21"/>
                <w:szCs w:val="21"/>
                <w:highlight w:val="none"/>
                <w:lang w:val="en-US" w:eastAsia="zh-CN"/>
              </w:rPr>
              <w:t>2020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号）的规定，</w:t>
            </w:r>
            <w:r>
              <w:rPr>
                <w:rFonts w:hint="eastAsia" w:ascii="宋体" w:hAnsi="宋体" w:eastAsia="宋体" w:cs="宋体"/>
                <w:color w:val="auto"/>
                <w:sz w:val="21"/>
                <w:szCs w:val="21"/>
                <w:highlight w:val="none"/>
                <w:lang w:val="en-US" w:eastAsia="zh-CN"/>
              </w:rPr>
              <w:t>本项目为专门面向中小企业采购的项目（供应商应为中小微企业、监狱企业、残疾人福利性单位），不再执行价格</w:t>
            </w:r>
            <w:r>
              <w:rPr>
                <w:rFonts w:hint="eastAsia" w:ascii="宋体" w:hAnsi="宋体" w:eastAsia="宋体" w:cs="宋体"/>
                <w:color w:val="auto"/>
                <w:sz w:val="21"/>
                <w:szCs w:val="21"/>
                <w:highlight w:val="none"/>
              </w:rPr>
              <w:t>扣除。</w:t>
            </w:r>
          </w:p>
          <w:p w14:paraId="148B581D">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根据《关于推动解决政府采购异常低价问题的通知》（财库〔2026〕2号）的规定，评审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39952517">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政府采购评审中出现下列情形之一的，评审委员会应当启动异常低价投标（响应）审查程序：</w:t>
            </w:r>
          </w:p>
          <w:p w14:paraId="27C0002B">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投标（响应）报价低于全部通过符合性审查供应商投标（响应）报价平均值50%的，即投标（响应）报价&lt;全部通过符合性审查供应商投标（响应）报价平均值×50%；</w:t>
            </w:r>
          </w:p>
          <w:p w14:paraId="7AA5B08D">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投标（响应）报价低于通过符合性审查的次低报价供应商投标（响应）报价50%的，即投标（响应）报价&lt;通过符合性审查的次低报价供应商投标（响应）报价×50%；</w:t>
            </w:r>
          </w:p>
          <w:p w14:paraId="3CC8FE8A">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投标（响应）报价低于采购项目最高限价45%的，即投标（响应）报价&lt;采购项目最高限价×45%；</w:t>
            </w:r>
          </w:p>
          <w:p w14:paraId="49AB55A2">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④评审委员会基于专业判断，认为供应商报价过低，有可能影响产品质量或者不能诚信履约的其他情形。</w:t>
            </w:r>
          </w:p>
          <w:p w14:paraId="3691CEB9">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）价格分计算公式：价格分=（某投标人的最低报价／投标人投标报价）×</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513" w:type="pct"/>
            <w:vAlign w:val="center"/>
          </w:tcPr>
          <w:p w14:paraId="4229E922">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0分</w:t>
            </w:r>
          </w:p>
        </w:tc>
      </w:tr>
      <w:tr w14:paraId="656D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5C8693AB">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10" w:type="pct"/>
            <w:vAlign w:val="center"/>
          </w:tcPr>
          <w:p w14:paraId="4A8F231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tc>
        <w:tc>
          <w:tcPr>
            <w:tcW w:w="3542" w:type="pct"/>
            <w:vAlign w:val="center"/>
          </w:tcPr>
          <w:p w14:paraId="007EAE30">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技术分</w:t>
            </w:r>
          </w:p>
        </w:tc>
        <w:tc>
          <w:tcPr>
            <w:tcW w:w="513" w:type="pct"/>
            <w:vAlign w:val="center"/>
          </w:tcPr>
          <w:p w14:paraId="57C809D3">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55</w:t>
            </w:r>
            <w:r>
              <w:rPr>
                <w:rFonts w:hint="eastAsia" w:ascii="宋体" w:hAnsi="宋体" w:eastAsia="宋体" w:cs="宋体"/>
                <w:b/>
                <w:bCs/>
                <w:color w:val="auto"/>
                <w:kern w:val="0"/>
                <w:sz w:val="21"/>
                <w:szCs w:val="21"/>
                <w:highlight w:val="none"/>
              </w:rPr>
              <w:t>分</w:t>
            </w:r>
          </w:p>
        </w:tc>
      </w:tr>
      <w:tr w14:paraId="22FDD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0A1B13B7">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p>
        </w:tc>
        <w:tc>
          <w:tcPr>
            <w:tcW w:w="610" w:type="pct"/>
            <w:vAlign w:val="center"/>
          </w:tcPr>
          <w:p w14:paraId="37321848">
            <w:pPr>
              <w:keepNext w:val="0"/>
              <w:keepLines w:val="0"/>
              <w:pageBreakBefore w:val="0"/>
              <w:kinsoku/>
              <w:wordWrap/>
              <w:overflowPunct/>
              <w:topLinePunct w:val="0"/>
              <w:autoSpaceDE/>
              <w:autoSpaceDN/>
              <w:bidi w:val="0"/>
              <w:snapToGrid/>
              <w:spacing w:line="480" w:lineRule="exact"/>
              <w:ind w:left="-1"/>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项目理解</w:t>
            </w:r>
          </w:p>
        </w:tc>
        <w:tc>
          <w:tcPr>
            <w:tcW w:w="3542" w:type="pct"/>
            <w:vAlign w:val="center"/>
          </w:tcPr>
          <w:p w14:paraId="1C995A8F">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根据各报价人提供的项目理解确定各投标人所属档次及分值，不满足一档要求的，得0分。</w:t>
            </w:r>
          </w:p>
          <w:p w14:paraId="1CC1DF37">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一档（5分）：基本满足项目需求的；</w:t>
            </w:r>
          </w:p>
          <w:p w14:paraId="680DBC82">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二档（10分）：对政务服务标准化规范化便利化工作有基础理解，对项目理解满足项目需求的；</w:t>
            </w:r>
          </w:p>
          <w:p w14:paraId="77D37BE7">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三档（15分）：对政务服务标准化规范化便利化工作理解较深刻、阐述较清晰，熟练掌握各类政务服务清单检查标准或政务服务标准化体系建设的，对项目理解能较好满足项目需求的；</w:t>
            </w:r>
          </w:p>
          <w:p w14:paraId="61FB0A5B">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四档（20分）：对政务服务标准化规范化便利化工作理解深刻、阐述较清晰，熟练掌握各类政务服务清单检查标准和政务服务标准化体系建设的，并熟悉广西本地相关政策要求，能结合广西地市实际情况进行阐述且非常清晰，对项目理解能很好满足项目需求的。</w:t>
            </w:r>
          </w:p>
          <w:p w14:paraId="7075AFD8">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
                <w:bCs/>
                <w:color w:val="auto"/>
                <w:sz w:val="21"/>
                <w:szCs w:val="21"/>
                <w:highlight w:val="none"/>
                <w:lang w:val="en-US" w:eastAsia="zh-CN"/>
              </w:rPr>
            </w:pPr>
          </w:p>
        </w:tc>
        <w:tc>
          <w:tcPr>
            <w:tcW w:w="513" w:type="pct"/>
            <w:vAlign w:val="center"/>
          </w:tcPr>
          <w:p w14:paraId="0FA1D75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20分</w:t>
            </w:r>
          </w:p>
        </w:tc>
      </w:tr>
      <w:tr w14:paraId="0F83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6CEC1212">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2.2</w:t>
            </w:r>
          </w:p>
        </w:tc>
        <w:tc>
          <w:tcPr>
            <w:tcW w:w="610" w:type="pct"/>
            <w:vAlign w:val="center"/>
          </w:tcPr>
          <w:p w14:paraId="3DAD8436">
            <w:pPr>
              <w:keepNext w:val="0"/>
              <w:keepLines w:val="0"/>
              <w:pageBreakBefore w:val="0"/>
              <w:kinsoku/>
              <w:wordWrap/>
              <w:overflowPunct/>
              <w:topLinePunct w:val="0"/>
              <w:autoSpaceDE/>
              <w:autoSpaceDN/>
              <w:bidi w:val="0"/>
              <w:snapToGrid/>
              <w:spacing w:line="480" w:lineRule="exact"/>
              <w:ind w:left="10" w:hanging="1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服务方案设计</w:t>
            </w:r>
          </w:p>
        </w:tc>
        <w:tc>
          <w:tcPr>
            <w:tcW w:w="3542" w:type="pct"/>
            <w:vAlign w:val="center"/>
          </w:tcPr>
          <w:p w14:paraId="008EDF3B">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项目实施方案（方案内容包括但不限于：①针对本项目的服务内容；②针对本项目的服务流程；③针对本项目的服务时限；④针对本项目的服务成果确定各投标人所属档次及分值，不满足一档要求的，得0分。</w:t>
            </w:r>
          </w:p>
          <w:p w14:paraId="5CC4D86A">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一档（7分）</w:t>
            </w:r>
            <w:r>
              <w:rPr>
                <w:rFonts w:hint="eastAsia" w:ascii="宋体" w:hAnsi="宋体" w:eastAsia="宋体" w:cs="宋体"/>
                <w:color w:val="auto"/>
                <w:sz w:val="21"/>
                <w:szCs w:val="21"/>
                <w:highlight w:val="none"/>
              </w:rPr>
              <w:t>：实施方案简单，基本满足采购要求的；</w:t>
            </w:r>
          </w:p>
          <w:p w14:paraId="274F7ADB">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二档（15分）：</w:t>
            </w:r>
            <w:r>
              <w:rPr>
                <w:rFonts w:hint="eastAsia" w:ascii="宋体" w:hAnsi="宋体" w:eastAsia="宋体" w:cs="宋体"/>
                <w:color w:val="auto"/>
                <w:sz w:val="21"/>
                <w:szCs w:val="21"/>
                <w:highlight w:val="none"/>
              </w:rPr>
              <w:t>实施方案简单，实施计划可行，对上述的项目实施方案内容未进行全部阐述或阐述的内容基本满足采购要求的；</w:t>
            </w:r>
          </w:p>
          <w:p w14:paraId="6C17C475">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三档（22分）：</w:t>
            </w:r>
            <w:r>
              <w:rPr>
                <w:rFonts w:hint="eastAsia" w:ascii="宋体" w:hAnsi="宋体" w:eastAsia="宋体" w:cs="宋体"/>
                <w:color w:val="auto"/>
                <w:sz w:val="21"/>
                <w:szCs w:val="21"/>
                <w:highlight w:val="none"/>
              </w:rPr>
              <w:t>实施方案完整清晰，实施计划完整可行，对上述的项目实施方案内容进行全部阐述但并未贴合项目实际情况进行详细论述或方案未包括具体实施细节及措施，能提供各类政务服务清单检查标准和政务服务技能大比武赛事方案；</w:t>
            </w:r>
          </w:p>
          <w:p w14:paraId="36B1F9EB">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四档（30分）：</w:t>
            </w:r>
            <w:r>
              <w:rPr>
                <w:rFonts w:hint="eastAsia" w:ascii="宋体" w:hAnsi="宋体" w:eastAsia="宋体" w:cs="宋体"/>
                <w:color w:val="auto"/>
                <w:sz w:val="21"/>
                <w:szCs w:val="21"/>
                <w:highlight w:val="none"/>
              </w:rPr>
              <w:t>实施方案清晰、针对性强，实施计划完整明晰、可操作性强，对上述的项目实施方案内容进行了详细阐述且满足采购要求，能提供各类政务服务清单检查标准、政务服务技能大比武赛事方案、政务服务条例（初稿）、大比武赛事的3000道试题和大比武赛事刷题系统的部分功能页面及系统设计文档的。</w:t>
            </w:r>
          </w:p>
        </w:tc>
        <w:tc>
          <w:tcPr>
            <w:tcW w:w="513" w:type="pct"/>
            <w:vAlign w:val="center"/>
          </w:tcPr>
          <w:p w14:paraId="70964A22">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r>
      <w:tr w14:paraId="5DA9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54CFCE18">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2.3</w:t>
            </w:r>
          </w:p>
        </w:tc>
        <w:tc>
          <w:tcPr>
            <w:tcW w:w="610" w:type="pct"/>
            <w:vAlign w:val="center"/>
          </w:tcPr>
          <w:p w14:paraId="54C30D7E">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rPr>
              <w:t>售后及保密</w:t>
            </w:r>
          </w:p>
        </w:tc>
        <w:tc>
          <w:tcPr>
            <w:tcW w:w="3542" w:type="pct"/>
            <w:vAlign w:val="center"/>
          </w:tcPr>
          <w:p w14:paraId="745AF383">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根据各报价人提供的售后及保密措施确定各报价人所属档次及分值，不满足一档要求的，得0分。</w:t>
            </w:r>
          </w:p>
          <w:p w14:paraId="440503F6">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一档（1分）：</w:t>
            </w:r>
            <w:r>
              <w:rPr>
                <w:rFonts w:hint="eastAsia" w:ascii="宋体" w:hAnsi="宋体" w:eastAsia="宋体" w:cs="宋体"/>
                <w:color w:val="auto"/>
                <w:sz w:val="21"/>
                <w:szCs w:val="21"/>
                <w:highlight w:val="none"/>
              </w:rPr>
              <w:t>有售后质量保障措施和保密措施；</w:t>
            </w:r>
          </w:p>
          <w:p w14:paraId="496FE902">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二档（3分）：</w:t>
            </w:r>
            <w:r>
              <w:rPr>
                <w:rFonts w:hint="eastAsia" w:ascii="宋体" w:hAnsi="宋体" w:eastAsia="宋体" w:cs="宋体"/>
                <w:color w:val="auto"/>
                <w:sz w:val="21"/>
                <w:szCs w:val="21"/>
                <w:highlight w:val="none"/>
              </w:rPr>
              <w:t>项目售后质量保障措施和保密措施较详细、规范，可行性较强；</w:t>
            </w:r>
          </w:p>
          <w:p w14:paraId="1A2B4D16">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三档（5分）：</w:t>
            </w:r>
            <w:r>
              <w:rPr>
                <w:rFonts w:hint="eastAsia" w:ascii="宋体" w:hAnsi="宋体" w:eastAsia="宋体" w:cs="宋体"/>
                <w:color w:val="auto"/>
                <w:sz w:val="21"/>
                <w:szCs w:val="21"/>
                <w:highlight w:val="none"/>
              </w:rPr>
              <w:t>项目执行全过程质量保障措施和保密措施详细完善、规范且可行性强。</w:t>
            </w:r>
          </w:p>
        </w:tc>
        <w:tc>
          <w:tcPr>
            <w:tcW w:w="513" w:type="pct"/>
            <w:vAlign w:val="center"/>
          </w:tcPr>
          <w:p w14:paraId="2208F69D">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tc>
      </w:tr>
      <w:tr w14:paraId="094C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64B7356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10" w:type="pct"/>
            <w:vAlign w:val="center"/>
          </w:tcPr>
          <w:p w14:paraId="4A7E3CC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tc>
        <w:tc>
          <w:tcPr>
            <w:tcW w:w="3542" w:type="pct"/>
            <w:vAlign w:val="center"/>
          </w:tcPr>
          <w:p w14:paraId="249512D6">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商务分</w:t>
            </w:r>
          </w:p>
        </w:tc>
        <w:tc>
          <w:tcPr>
            <w:tcW w:w="513" w:type="pct"/>
            <w:vAlign w:val="center"/>
          </w:tcPr>
          <w:p w14:paraId="6B5A82F4">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分</w:t>
            </w:r>
          </w:p>
        </w:tc>
      </w:tr>
      <w:tr w14:paraId="534A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63D90248">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610" w:type="pct"/>
            <w:vAlign w:val="center"/>
          </w:tcPr>
          <w:p w14:paraId="2CA1D1D3">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rPr>
              <w:t>项目</w:t>
            </w:r>
            <w:r>
              <w:rPr>
                <w:rFonts w:hint="eastAsia" w:ascii="宋体" w:hAnsi="宋体" w:eastAsia="宋体" w:cs="宋体"/>
                <w:b/>
                <w:bCs/>
                <w:color w:val="auto"/>
                <w:sz w:val="21"/>
                <w:szCs w:val="21"/>
                <w:highlight w:val="none"/>
                <w:lang w:val="en-US" w:eastAsia="zh-CN"/>
              </w:rPr>
              <w:t>案例</w:t>
            </w:r>
            <w:r>
              <w:rPr>
                <w:rFonts w:hint="eastAsia" w:ascii="宋体" w:hAnsi="宋体" w:eastAsia="宋体" w:cs="宋体"/>
                <w:b/>
                <w:bCs/>
                <w:color w:val="auto"/>
                <w:sz w:val="21"/>
                <w:szCs w:val="21"/>
                <w:highlight w:val="none"/>
              </w:rPr>
              <w:t>分</w:t>
            </w:r>
          </w:p>
        </w:tc>
        <w:tc>
          <w:tcPr>
            <w:tcW w:w="3542" w:type="pct"/>
          </w:tcPr>
          <w:p w14:paraId="38BFDD30">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评委以各报价人所提供的说明材料作为评分依据。</w:t>
            </w:r>
          </w:p>
          <w:p w14:paraId="2E788F96">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供应商近三年以来承担过与本项目服务要求相关的政务服务类服务项目，每个案例1分，共计10分；（响应文件中提供合同复印件或中标、成交通知书复印件）</w:t>
            </w:r>
          </w:p>
        </w:tc>
        <w:tc>
          <w:tcPr>
            <w:tcW w:w="513" w:type="pct"/>
            <w:vAlign w:val="center"/>
          </w:tcPr>
          <w:p w14:paraId="663DAB8F">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r>
      <w:tr w14:paraId="2B15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7E010FBD">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p>
        </w:tc>
        <w:tc>
          <w:tcPr>
            <w:tcW w:w="610" w:type="pct"/>
            <w:vAlign w:val="center"/>
          </w:tcPr>
          <w:p w14:paraId="096E5B98">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rPr>
              <w:t>项目实施人员分</w:t>
            </w:r>
          </w:p>
        </w:tc>
        <w:tc>
          <w:tcPr>
            <w:tcW w:w="3542" w:type="pct"/>
            <w:vAlign w:val="center"/>
          </w:tcPr>
          <w:p w14:paraId="74C02BCC">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w:t>
            </w:r>
            <w:r>
              <w:rPr>
                <w:rFonts w:hint="eastAsia" w:ascii="宋体" w:hAnsi="宋体" w:eastAsia="宋体" w:cs="宋体"/>
                <w:color w:val="auto"/>
                <w:sz w:val="21"/>
                <w:szCs w:val="21"/>
                <w:highlight w:val="none"/>
                <w:lang w:eastAsia="zh-CN"/>
              </w:rPr>
              <w:t>评标委员会</w:t>
            </w:r>
            <w:r>
              <w:rPr>
                <w:rFonts w:hint="eastAsia" w:ascii="宋体" w:hAnsi="宋体" w:eastAsia="宋体" w:cs="宋体"/>
                <w:color w:val="auto"/>
                <w:sz w:val="21"/>
                <w:szCs w:val="21"/>
                <w:highlight w:val="none"/>
              </w:rPr>
              <w:t>根据各报价人提供的项目实施人员情况确定所属档次及分值，并提供报价人为</w:t>
            </w:r>
            <w:r>
              <w:rPr>
                <w:rFonts w:hint="eastAsia" w:ascii="宋体" w:hAnsi="宋体" w:eastAsia="宋体" w:cs="宋体"/>
                <w:b/>
                <w:bCs/>
                <w:color w:val="auto"/>
                <w:sz w:val="21"/>
                <w:szCs w:val="21"/>
                <w:highlight w:val="none"/>
                <w:lang w:eastAsia="zh-CN"/>
              </w:rPr>
              <w:t>递交截止日前</w:t>
            </w:r>
            <w:r>
              <w:rPr>
                <w:rFonts w:hint="eastAsia" w:ascii="宋体" w:hAnsi="宋体" w:eastAsia="宋体" w:cs="宋体"/>
                <w:b/>
                <w:bCs/>
                <w:color w:val="auto"/>
                <w:sz w:val="21"/>
                <w:szCs w:val="21"/>
                <w:highlight w:val="none"/>
              </w:rPr>
              <w:t>近半年内</w:t>
            </w:r>
            <w:r>
              <w:rPr>
                <w:rFonts w:hint="eastAsia" w:ascii="宋体" w:hAnsi="宋体" w:eastAsia="宋体" w:cs="宋体"/>
                <w:b/>
                <w:bCs/>
                <w:color w:val="auto"/>
                <w:sz w:val="21"/>
                <w:szCs w:val="21"/>
                <w:highlight w:val="none"/>
                <w:lang w:eastAsia="zh-CN"/>
              </w:rPr>
              <w:t>任意</w:t>
            </w:r>
            <w:r>
              <w:rPr>
                <w:rFonts w:hint="eastAsia" w:ascii="宋体" w:hAnsi="宋体" w:eastAsia="宋体" w:cs="宋体"/>
                <w:b/>
                <w:bCs/>
                <w:color w:val="auto"/>
                <w:sz w:val="21"/>
                <w:szCs w:val="21"/>
                <w:highlight w:val="none"/>
                <w:lang w:val="en-US" w:eastAsia="zh-CN"/>
              </w:rPr>
              <w:t>1个月</w:t>
            </w:r>
            <w:r>
              <w:rPr>
                <w:rFonts w:hint="eastAsia" w:ascii="宋体" w:hAnsi="宋体" w:eastAsia="宋体" w:cs="宋体"/>
                <w:color w:val="auto"/>
                <w:sz w:val="21"/>
                <w:szCs w:val="21"/>
                <w:highlight w:val="none"/>
              </w:rPr>
              <w:t>缴纳社保的证明材料或依法免缴社保或在办依法缴纳社保的证明方可得分，不满足一档要求的，得0分；</w:t>
            </w:r>
          </w:p>
          <w:p w14:paraId="77E24B88">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一档（2分）</w:t>
            </w:r>
            <w:r>
              <w:rPr>
                <w:rFonts w:hint="eastAsia" w:ascii="宋体" w:hAnsi="宋体" w:eastAsia="宋体" w:cs="宋体"/>
                <w:color w:val="auto"/>
                <w:sz w:val="21"/>
                <w:szCs w:val="21"/>
                <w:highlight w:val="none"/>
              </w:rPr>
              <w:t>：拟投入项目人员不足</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（不含本数）</w:t>
            </w:r>
            <w:r>
              <w:rPr>
                <w:rFonts w:hint="eastAsia" w:ascii="宋体" w:hAnsi="宋体" w:eastAsia="宋体" w:cs="宋体"/>
                <w:color w:val="auto"/>
                <w:sz w:val="21"/>
                <w:szCs w:val="21"/>
                <w:highlight w:val="none"/>
              </w:rPr>
              <w:t>的，人员分工不明确，配置不够合理，团队成员无政务服务类项目管理或交付经验；</w:t>
            </w:r>
          </w:p>
          <w:p w14:paraId="7DEEB10B">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二档（5分）：</w:t>
            </w:r>
            <w:r>
              <w:rPr>
                <w:rFonts w:hint="eastAsia" w:ascii="宋体" w:hAnsi="宋体" w:eastAsia="宋体" w:cs="宋体"/>
                <w:color w:val="auto"/>
                <w:sz w:val="21"/>
                <w:szCs w:val="21"/>
                <w:highlight w:val="none"/>
              </w:rPr>
              <w:t>项目实施人员</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（含本数）、不足</w:t>
            </w:r>
            <w:r>
              <w:rPr>
                <w:rFonts w:hint="eastAsia" w:ascii="宋体" w:hAnsi="宋体" w:eastAsia="宋体" w:cs="宋体"/>
                <w:color w:val="auto"/>
                <w:sz w:val="21"/>
                <w:szCs w:val="21"/>
                <w:highlight w:val="none"/>
                <w:lang w:val="en-US" w:eastAsia="zh-CN"/>
              </w:rPr>
              <w:t>8人(不含本数）</w:t>
            </w:r>
            <w:r>
              <w:rPr>
                <w:rFonts w:hint="eastAsia" w:ascii="宋体" w:hAnsi="宋体" w:eastAsia="宋体" w:cs="宋体"/>
                <w:color w:val="auto"/>
                <w:sz w:val="21"/>
                <w:szCs w:val="21"/>
                <w:highlight w:val="none"/>
              </w:rPr>
              <w:t>的，人员分工明确，部分团队成员具备政务服务类项目管理或交付经验：</w:t>
            </w:r>
          </w:p>
          <w:p w14:paraId="77F729B0">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三档（8分）</w:t>
            </w:r>
            <w:r>
              <w:rPr>
                <w:rFonts w:hint="eastAsia" w:ascii="宋体" w:hAnsi="宋体" w:eastAsia="宋体" w:cs="宋体"/>
                <w:color w:val="auto"/>
                <w:sz w:val="21"/>
                <w:szCs w:val="21"/>
                <w:highlight w:val="none"/>
              </w:rPr>
              <w:t>：项目实施人员</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人</w:t>
            </w:r>
            <w:r>
              <w:rPr>
                <w:rFonts w:hint="eastAsia" w:ascii="宋体" w:hAnsi="宋体" w:eastAsia="宋体" w:cs="宋体"/>
                <w:color w:val="auto"/>
                <w:sz w:val="21"/>
                <w:szCs w:val="21"/>
                <w:highlight w:val="none"/>
                <w:lang w:eastAsia="zh-CN"/>
              </w:rPr>
              <w:t>（含本数）</w:t>
            </w:r>
            <w:r>
              <w:rPr>
                <w:rFonts w:hint="eastAsia" w:ascii="宋体" w:hAnsi="宋体" w:eastAsia="宋体" w:cs="宋体"/>
                <w:color w:val="auto"/>
                <w:sz w:val="21"/>
                <w:szCs w:val="21"/>
                <w:highlight w:val="none"/>
              </w:rPr>
              <w:t>及以上，人员分工明确，配置合理，团队成员均具有本科及以上学历，团队负责人具备政务服务类项目管理或交付经验。</w:t>
            </w:r>
          </w:p>
          <w:p w14:paraId="02292627">
            <w:pPr>
              <w:keepNext w:val="0"/>
              <w:keepLines w:val="0"/>
              <w:pageBreakBefore w:val="0"/>
              <w:kinsoku/>
              <w:wordWrap/>
              <w:overflowPunct/>
              <w:topLinePunct w:val="0"/>
              <w:autoSpaceDE/>
              <w:autoSpaceDN/>
              <w:bidi w:val="0"/>
              <w:snapToGrid/>
              <w:spacing w:line="480" w:lineRule="exact"/>
              <w:ind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（注：提供人员</w:t>
            </w:r>
            <w:r>
              <w:rPr>
                <w:rFonts w:hint="eastAsia" w:ascii="宋体" w:hAnsi="宋体" w:eastAsia="宋体" w:cs="宋体"/>
                <w:b/>
                <w:bCs/>
                <w:color w:val="auto"/>
                <w:sz w:val="21"/>
                <w:szCs w:val="21"/>
                <w:highlight w:val="none"/>
                <w:lang w:eastAsia="zh-CN"/>
              </w:rPr>
              <w:t>递交截止日前</w:t>
            </w:r>
            <w:r>
              <w:rPr>
                <w:rFonts w:hint="eastAsia" w:ascii="宋体" w:hAnsi="宋体" w:eastAsia="宋体" w:cs="宋体"/>
                <w:b/>
                <w:bCs/>
                <w:color w:val="auto"/>
                <w:sz w:val="21"/>
                <w:szCs w:val="21"/>
                <w:highlight w:val="none"/>
              </w:rPr>
              <w:t>半年内</w:t>
            </w:r>
            <w:r>
              <w:rPr>
                <w:rFonts w:hint="eastAsia" w:ascii="宋体" w:hAnsi="宋体" w:eastAsia="宋体" w:cs="宋体"/>
                <w:b/>
                <w:bCs/>
                <w:color w:val="auto"/>
                <w:sz w:val="21"/>
                <w:szCs w:val="21"/>
                <w:highlight w:val="none"/>
                <w:lang w:eastAsia="zh-CN"/>
              </w:rPr>
              <w:t>任意一个月</w:t>
            </w:r>
            <w:r>
              <w:rPr>
                <w:rFonts w:hint="eastAsia" w:ascii="宋体" w:hAnsi="宋体" w:eastAsia="宋体" w:cs="宋体"/>
                <w:b/>
                <w:bCs/>
                <w:color w:val="auto"/>
                <w:sz w:val="21"/>
                <w:szCs w:val="21"/>
                <w:highlight w:val="none"/>
              </w:rPr>
              <w:t>缴纳社保的证明材料或依法免缴社保或在办依法缴纳社保证明或劳动合同，不提供不得分。）</w:t>
            </w:r>
            <w:r>
              <w:rPr>
                <w:rFonts w:hint="eastAsia" w:ascii="宋体" w:hAnsi="宋体" w:eastAsia="宋体" w:cs="宋体"/>
                <w:color w:val="auto"/>
                <w:sz w:val="21"/>
                <w:szCs w:val="21"/>
                <w:highlight w:val="none"/>
              </w:rPr>
              <w:t>。</w:t>
            </w:r>
          </w:p>
        </w:tc>
        <w:tc>
          <w:tcPr>
            <w:tcW w:w="513" w:type="pct"/>
            <w:vAlign w:val="center"/>
          </w:tcPr>
          <w:p w14:paraId="26161867">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9分</w:t>
            </w:r>
          </w:p>
        </w:tc>
      </w:tr>
      <w:tr w14:paraId="6B7A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427BCBAD">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610" w:type="pct"/>
            <w:vAlign w:val="center"/>
          </w:tcPr>
          <w:p w14:paraId="2AB5081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商务资质</w:t>
            </w:r>
            <w:r>
              <w:rPr>
                <w:rFonts w:hint="eastAsia" w:ascii="宋体" w:hAnsi="宋体" w:eastAsia="宋体" w:cs="宋体"/>
                <w:b/>
                <w:bCs/>
                <w:color w:val="auto"/>
                <w:sz w:val="21"/>
                <w:szCs w:val="21"/>
                <w:highlight w:val="none"/>
              </w:rPr>
              <w:t>分</w:t>
            </w:r>
          </w:p>
        </w:tc>
        <w:tc>
          <w:tcPr>
            <w:tcW w:w="3542" w:type="pct"/>
          </w:tcPr>
          <w:p w14:paraId="19D52C3C">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lang w:val="en-US"/>
              </w:rPr>
            </w:pPr>
            <w:r>
              <w:rPr>
                <w:rFonts w:hint="eastAsia" w:ascii="宋体" w:hAnsi="宋体" w:eastAsia="宋体" w:cs="宋体"/>
                <w:color w:val="auto"/>
                <w:sz w:val="21"/>
                <w:szCs w:val="21"/>
                <w:highlight w:val="none"/>
                <w:lang w:val="en-US" w:eastAsia="zh-CN"/>
              </w:rPr>
              <w:t>通过ISO9001质量管理体系认证、ISO45001职业健康安全管理体系认证证书、ISO14001环境管理体系认证证书，每通过1项得2分，最高得6分。</w:t>
            </w:r>
          </w:p>
        </w:tc>
        <w:tc>
          <w:tcPr>
            <w:tcW w:w="513" w:type="pct"/>
            <w:vAlign w:val="center"/>
          </w:tcPr>
          <w:p w14:paraId="56F7326B">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6分</w:t>
            </w:r>
          </w:p>
        </w:tc>
      </w:tr>
      <w:tr w14:paraId="0689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7B4F7475">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610" w:type="pct"/>
            <w:vAlign w:val="center"/>
          </w:tcPr>
          <w:p w14:paraId="1C2029E0">
            <w:pPr>
              <w:pStyle w:val="9"/>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tc>
        <w:tc>
          <w:tcPr>
            <w:tcW w:w="3542" w:type="pct"/>
            <w:vAlign w:val="center"/>
          </w:tcPr>
          <w:p w14:paraId="02D4EF6A">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供应商在响应文件递交截止日前1年内在政府采购活动中存在违约违规情形的（以财政部门出具的书面材料为评分依据），每次扣除3分，最高扣分6分为止（供应商应提交而未提交的，视为提供虚假材料谋取中标）</w:t>
            </w:r>
          </w:p>
        </w:tc>
        <w:tc>
          <w:tcPr>
            <w:tcW w:w="513" w:type="pct"/>
            <w:vAlign w:val="center"/>
          </w:tcPr>
          <w:p w14:paraId="1BC15D3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-6-0分</w:t>
            </w:r>
          </w:p>
        </w:tc>
      </w:tr>
    </w:tbl>
    <w:p w14:paraId="7F649EB2">
      <w:pPr>
        <w:pStyle w:val="2"/>
        <w:rPr>
          <w:rFonts w:hint="default" w:ascii="Arial" w:hAnsi="Arial" w:eastAsia="黑体"/>
          <w:bCs/>
          <w:color w:val="auto"/>
          <w:kern w:val="0"/>
          <w:sz w:val="30"/>
          <w:szCs w:val="30"/>
          <w:highlight w:val="none"/>
          <w:lang w:val="en-US" w:eastAsia="zh-CN"/>
        </w:rPr>
        <w:sectPr>
          <w:pgSz w:w="11906" w:h="16838"/>
          <w:pgMar w:top="1134" w:right="1474" w:bottom="1134" w:left="1587" w:header="720" w:footer="720" w:gutter="0"/>
          <w:cols w:space="720" w:num="1"/>
          <w:docGrid w:type="lines" w:linePitch="331" w:charSpace="0"/>
        </w:sectPr>
      </w:pPr>
    </w:p>
    <w:p w14:paraId="4866C9AA">
      <w:pPr>
        <w:keepNext/>
        <w:keepLines/>
        <w:spacing w:before="260" w:after="260" w:line="413" w:lineRule="auto"/>
        <w:jc w:val="left"/>
        <w:outlineLvl w:val="1"/>
        <w:rPr>
          <w:rFonts w:hint="default" w:ascii="Arial" w:hAnsi="Arial" w:eastAsia="黑体"/>
          <w:bCs/>
          <w:color w:val="auto"/>
          <w:kern w:val="0"/>
          <w:sz w:val="30"/>
          <w:szCs w:val="30"/>
          <w:highlight w:val="none"/>
          <w:lang w:val="en-US" w:eastAsia="zh-CN"/>
        </w:rPr>
      </w:pPr>
      <w:r>
        <w:rPr>
          <w:rFonts w:hint="eastAsia" w:ascii="Arial" w:hAnsi="Arial" w:eastAsia="黑体"/>
          <w:bCs/>
          <w:color w:val="auto"/>
          <w:kern w:val="0"/>
          <w:sz w:val="30"/>
          <w:szCs w:val="30"/>
          <w:highlight w:val="none"/>
          <w:lang w:eastAsia="zh-CN"/>
        </w:rPr>
        <w:t>分标</w:t>
      </w:r>
      <w:r>
        <w:rPr>
          <w:rFonts w:hint="eastAsia" w:ascii="Arial" w:hAnsi="Arial" w:eastAsia="黑体"/>
          <w:bCs/>
          <w:color w:val="auto"/>
          <w:kern w:val="0"/>
          <w:sz w:val="30"/>
          <w:szCs w:val="30"/>
          <w:highlight w:val="none"/>
          <w:lang w:val="en-US" w:eastAsia="zh-CN"/>
        </w:rPr>
        <w:t>3：</w:t>
      </w:r>
    </w:p>
    <w:tbl>
      <w:tblPr>
        <w:tblStyle w:val="19"/>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131"/>
        <w:gridCol w:w="6567"/>
        <w:gridCol w:w="951"/>
      </w:tblGrid>
      <w:tr w14:paraId="4BEA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34" w:type="pct"/>
            <w:vAlign w:val="center"/>
          </w:tcPr>
          <w:p w14:paraId="6753B1F3">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610" w:type="pct"/>
            <w:vAlign w:val="center"/>
          </w:tcPr>
          <w:p w14:paraId="246203AD">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3542" w:type="pct"/>
            <w:vAlign w:val="center"/>
          </w:tcPr>
          <w:p w14:paraId="2115623D">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评分标准</w:t>
            </w:r>
          </w:p>
        </w:tc>
        <w:tc>
          <w:tcPr>
            <w:tcW w:w="513" w:type="pct"/>
            <w:vAlign w:val="center"/>
          </w:tcPr>
          <w:p w14:paraId="48855932">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797E3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pct"/>
            <w:vAlign w:val="center"/>
          </w:tcPr>
          <w:p w14:paraId="00D1CFE5">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1230" w:type="dxa"/>
            <w:vAlign w:val="center"/>
          </w:tcPr>
          <w:p w14:paraId="1E427B78">
            <w:pPr>
              <w:keepNext w:val="0"/>
              <w:keepLines w:val="0"/>
              <w:pageBreakBefore w:val="0"/>
              <w:tabs>
                <w:tab w:val="left" w:pos="1200"/>
              </w:tabs>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rPr>
              <w:t>价格分</w:t>
            </w:r>
          </w:p>
        </w:tc>
        <w:tc>
          <w:tcPr>
            <w:tcW w:w="7140" w:type="dxa"/>
            <w:vAlign w:val="center"/>
          </w:tcPr>
          <w:p w14:paraId="4218C6F0">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）以进入综合评分的最低评标报价为</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0C0C33E3">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）评标报价为投标人的投标报价进行政策性扣除后的价格，评标报价只是作为评标时使用。最终中标人的中标金额等于投标报价。</w:t>
            </w:r>
          </w:p>
          <w:p w14:paraId="216F7370">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）按照《政府采购促进中小企业发展暂行办法》（财库〔</w:t>
            </w:r>
            <w:r>
              <w:rPr>
                <w:rFonts w:hint="eastAsia" w:ascii="宋体" w:hAnsi="宋体" w:eastAsia="宋体" w:cs="宋体"/>
                <w:color w:val="auto"/>
                <w:sz w:val="21"/>
                <w:szCs w:val="21"/>
                <w:highlight w:val="none"/>
                <w:lang w:val="en-US" w:eastAsia="zh-CN"/>
              </w:rPr>
              <w:t>2020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号）的规定，</w:t>
            </w:r>
            <w:r>
              <w:rPr>
                <w:rFonts w:hint="eastAsia" w:ascii="宋体" w:hAnsi="宋体" w:eastAsia="宋体" w:cs="宋体"/>
                <w:color w:val="auto"/>
                <w:sz w:val="21"/>
                <w:szCs w:val="21"/>
                <w:highlight w:val="none"/>
                <w:lang w:val="en-US" w:eastAsia="zh-CN"/>
              </w:rPr>
              <w:t>本项目为专门面向中小企业采购的项目（供应商应为中小微企业、监狱企业、残疾人福利性单位），不再执行价格</w:t>
            </w:r>
            <w:r>
              <w:rPr>
                <w:rFonts w:hint="eastAsia" w:ascii="宋体" w:hAnsi="宋体" w:eastAsia="宋体" w:cs="宋体"/>
                <w:color w:val="auto"/>
                <w:sz w:val="21"/>
                <w:szCs w:val="21"/>
                <w:highlight w:val="none"/>
              </w:rPr>
              <w:t>扣除。</w:t>
            </w:r>
          </w:p>
          <w:p w14:paraId="69675ED8">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根据《关于推动解决政府采购异常低价问题的通知》（财库〔2026〕2号）的规定，评审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551DA5FD">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政府采购评审中出现下列情形之一的，评审委员会应当启动异常低价投标（响应）审查程序：</w:t>
            </w:r>
          </w:p>
          <w:p w14:paraId="3877C8CA">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投标（响应）报价低于全部通过符合性审查供应商投标（响应）报价平均值50%的，即投标（响应）报价&lt;全部通过符合性审查供应商投标（响应）报价平均值×50%；</w:t>
            </w:r>
          </w:p>
          <w:p w14:paraId="14A2453D">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投标（响应）报价低于通过符合性审查的次低报价供应商投标（响应）报价50%的，即投标（响应）报价&lt;通过符合性审查的次低报价供应商投标（响应）报价×50%；</w:t>
            </w:r>
          </w:p>
          <w:p w14:paraId="4C6DBDB9">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投标（响应）报价低于采购项目最高限价45%的，即投标（响应）报价&lt;采购项目最高限价×45%；</w:t>
            </w:r>
          </w:p>
          <w:p w14:paraId="5511F697">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④评审委员会基于专业判断，认为供应商报价过低，有可能影响产品质量或者不能诚信履约的其他情形。</w:t>
            </w:r>
          </w:p>
          <w:p w14:paraId="5741D17B">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）价格分计算公式：价格分=（某投标人的最低报价／投标人投标报价）×</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513" w:type="pct"/>
            <w:vAlign w:val="center"/>
          </w:tcPr>
          <w:p w14:paraId="1B823EF5">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0分</w:t>
            </w:r>
          </w:p>
        </w:tc>
      </w:tr>
      <w:tr w14:paraId="18221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4" w:type="pct"/>
            <w:vAlign w:val="center"/>
          </w:tcPr>
          <w:p w14:paraId="7AEEC4F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10" w:type="pct"/>
            <w:vAlign w:val="center"/>
          </w:tcPr>
          <w:p w14:paraId="61BA7639">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tc>
        <w:tc>
          <w:tcPr>
            <w:tcW w:w="3542" w:type="pct"/>
            <w:vAlign w:val="center"/>
          </w:tcPr>
          <w:p w14:paraId="5558DA4A">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技术分</w:t>
            </w:r>
          </w:p>
        </w:tc>
        <w:tc>
          <w:tcPr>
            <w:tcW w:w="513" w:type="pct"/>
            <w:vAlign w:val="center"/>
          </w:tcPr>
          <w:p w14:paraId="1712F2F6">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50</w:t>
            </w:r>
            <w:r>
              <w:rPr>
                <w:rFonts w:hint="eastAsia" w:ascii="宋体" w:hAnsi="宋体" w:eastAsia="宋体" w:cs="宋体"/>
                <w:b/>
                <w:bCs/>
                <w:color w:val="auto"/>
                <w:kern w:val="0"/>
                <w:sz w:val="21"/>
                <w:szCs w:val="21"/>
                <w:highlight w:val="none"/>
              </w:rPr>
              <w:t>分</w:t>
            </w:r>
          </w:p>
        </w:tc>
      </w:tr>
      <w:tr w14:paraId="1D2A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4BB55BA8">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p>
        </w:tc>
        <w:tc>
          <w:tcPr>
            <w:tcW w:w="1230" w:type="dxa"/>
            <w:vAlign w:val="center"/>
          </w:tcPr>
          <w:p w14:paraId="3E922E54">
            <w:pPr>
              <w:keepNext w:val="0"/>
              <w:keepLines w:val="0"/>
              <w:pageBreakBefore w:val="0"/>
              <w:kinsoku/>
              <w:wordWrap/>
              <w:overflowPunct/>
              <w:topLinePunct w:val="0"/>
              <w:autoSpaceDE/>
              <w:autoSpaceDN/>
              <w:bidi w:val="0"/>
              <w:snapToGrid/>
              <w:spacing w:line="480" w:lineRule="exact"/>
              <w:ind w:left="-1"/>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对项目情况的理解和工作方案合理性</w:t>
            </w:r>
          </w:p>
        </w:tc>
        <w:tc>
          <w:tcPr>
            <w:tcW w:w="7140" w:type="dxa"/>
            <w:vAlign w:val="center"/>
          </w:tcPr>
          <w:p w14:paraId="6F6EBEB0">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一档（5分）：</w:t>
            </w:r>
            <w:r>
              <w:rPr>
                <w:rFonts w:hint="eastAsia" w:ascii="宋体" w:hAnsi="宋体" w:eastAsia="宋体" w:cs="宋体"/>
                <w:color w:val="auto"/>
                <w:kern w:val="2"/>
                <w:sz w:val="21"/>
                <w:szCs w:val="21"/>
                <w:highlight w:val="none"/>
                <w:lang w:val="en-US" w:eastAsia="zh-CN" w:bidi="ar-SA"/>
              </w:rPr>
              <w:t>提出了针对性工作方案，对项目环境及情况较为了解，工作思路及需求分析符合要求。</w:t>
            </w:r>
          </w:p>
          <w:p w14:paraId="0DE36E06">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二档（10分）：</w:t>
            </w:r>
            <w:r>
              <w:rPr>
                <w:rFonts w:hint="eastAsia" w:ascii="宋体" w:hAnsi="宋体" w:eastAsia="宋体" w:cs="宋体"/>
                <w:color w:val="auto"/>
                <w:kern w:val="2"/>
                <w:sz w:val="21"/>
                <w:szCs w:val="21"/>
                <w:highlight w:val="none"/>
                <w:lang w:val="en-US" w:eastAsia="zh-Hans" w:bidi="ar-SA"/>
              </w:rPr>
              <w:t>在一档的基础上，</w:t>
            </w:r>
            <w:r>
              <w:rPr>
                <w:rFonts w:hint="eastAsia" w:ascii="宋体" w:hAnsi="宋体" w:eastAsia="宋体" w:cs="宋体"/>
                <w:color w:val="auto"/>
                <w:kern w:val="2"/>
                <w:sz w:val="21"/>
                <w:szCs w:val="21"/>
                <w:highlight w:val="none"/>
                <w:lang w:val="en-US" w:eastAsia="zh-CN" w:bidi="ar-SA"/>
              </w:rPr>
              <w:t>对本项目的总体需求的理解程度、项目范围把握准确程度较高，抽查指标设计较为全面，基本符合国家相关要求和发展趋势。</w:t>
            </w:r>
          </w:p>
          <w:p w14:paraId="3CF205A8">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三档（15分）：</w:t>
            </w:r>
            <w:r>
              <w:rPr>
                <w:rFonts w:hint="eastAsia" w:ascii="宋体" w:hAnsi="宋体" w:eastAsia="宋体" w:cs="宋体"/>
                <w:color w:val="auto"/>
                <w:kern w:val="2"/>
                <w:sz w:val="21"/>
                <w:szCs w:val="21"/>
                <w:highlight w:val="none"/>
                <w:lang w:val="en-US" w:eastAsia="zh-Hans" w:bidi="ar-SA"/>
              </w:rPr>
              <w:t>在二档的基础上，对采购人现状及业务、技术需求有充分认识和理解</w:t>
            </w:r>
            <w:r>
              <w:rPr>
                <w:rFonts w:hint="eastAsia" w:ascii="宋体" w:hAnsi="宋体" w:eastAsia="宋体" w:cs="宋体"/>
                <w:color w:val="auto"/>
                <w:kern w:val="2"/>
                <w:sz w:val="21"/>
                <w:szCs w:val="21"/>
                <w:highlight w:val="none"/>
                <w:lang w:val="en-US" w:eastAsia="zh-CN" w:bidi="ar-SA"/>
              </w:rPr>
              <w:t>，对全国抽查指标体系解读与理解情况了解全面，抽查指标设计全面，贴合国办相关要求和发展趋势，业务模式满足招标要求并且别具特色，抽查措施成熟先进，</w:t>
            </w:r>
            <w:r>
              <w:rPr>
                <w:rFonts w:hint="eastAsia" w:ascii="宋体" w:hAnsi="宋体" w:eastAsia="宋体" w:cs="宋体"/>
                <w:color w:val="auto"/>
                <w:kern w:val="2"/>
                <w:sz w:val="21"/>
                <w:szCs w:val="21"/>
                <w:highlight w:val="none"/>
                <w:lang w:val="en-US" w:eastAsia="zh-Hans" w:bidi="ar-SA"/>
              </w:rPr>
              <w:t>符合广西实际，</w:t>
            </w:r>
            <w:r>
              <w:rPr>
                <w:rFonts w:hint="eastAsia" w:ascii="宋体" w:hAnsi="宋体" w:eastAsia="宋体" w:cs="宋体"/>
                <w:color w:val="auto"/>
                <w:kern w:val="2"/>
                <w:sz w:val="21"/>
                <w:szCs w:val="21"/>
                <w:highlight w:val="none"/>
                <w:lang w:val="en-US" w:eastAsia="zh-CN" w:bidi="ar-SA"/>
              </w:rPr>
              <w:t>设计全面完善。</w:t>
            </w:r>
          </w:p>
          <w:p w14:paraId="068EACA0">
            <w:pPr>
              <w:pStyle w:val="2"/>
              <w:keepNext w:val="0"/>
              <w:keepLines w:val="0"/>
              <w:pageBreakBefore w:val="0"/>
              <w:kinsoku/>
              <w:wordWrap/>
              <w:overflowPunct/>
              <w:topLinePunct w:val="0"/>
              <w:autoSpaceDE/>
              <w:autoSpaceDN/>
              <w:bidi w:val="0"/>
              <w:snapToGrid/>
              <w:spacing w:line="480" w:lineRule="exact"/>
              <w:ind w:left="0" w:lef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注：不满足一档得0分。</w:t>
            </w:r>
          </w:p>
        </w:tc>
        <w:tc>
          <w:tcPr>
            <w:tcW w:w="513" w:type="pct"/>
            <w:vAlign w:val="center"/>
          </w:tcPr>
          <w:p w14:paraId="568840F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p>
        </w:tc>
      </w:tr>
      <w:tr w14:paraId="10F7B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4CDA567F">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2.2</w:t>
            </w:r>
          </w:p>
        </w:tc>
        <w:tc>
          <w:tcPr>
            <w:tcW w:w="1230" w:type="dxa"/>
            <w:vAlign w:val="center"/>
          </w:tcPr>
          <w:p w14:paraId="216E0792">
            <w:pPr>
              <w:keepNext w:val="0"/>
              <w:keepLines w:val="0"/>
              <w:pageBreakBefore w:val="0"/>
              <w:kinsoku/>
              <w:wordWrap/>
              <w:overflowPunct/>
              <w:topLinePunct w:val="0"/>
              <w:autoSpaceDE/>
              <w:autoSpaceDN/>
              <w:bidi w:val="0"/>
              <w:snapToGrid/>
              <w:spacing w:line="480" w:lineRule="exact"/>
              <w:ind w:left="10" w:hanging="1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实施计划安排</w:t>
            </w:r>
          </w:p>
        </w:tc>
        <w:tc>
          <w:tcPr>
            <w:tcW w:w="7140" w:type="dxa"/>
            <w:vAlign w:val="center"/>
          </w:tcPr>
          <w:p w14:paraId="271700C8">
            <w:pPr>
              <w:keepNext w:val="0"/>
              <w:keepLines w:val="0"/>
              <w:pageBreakBefore w:val="0"/>
              <w:widowControl w:val="0"/>
              <w:kinsoku/>
              <w:wordWrap/>
              <w:overflowPunct/>
              <w:topLinePunct w:val="0"/>
              <w:autoSpaceDE/>
              <w:autoSpaceDN/>
              <w:bidi w:val="0"/>
              <w:adjustRightInd w:val="0"/>
              <w:snapToGrid/>
              <w:spacing w:line="48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一档（3分）：</w:t>
            </w:r>
            <w:r>
              <w:rPr>
                <w:rFonts w:hint="eastAsia" w:ascii="宋体" w:hAnsi="宋体" w:eastAsia="宋体" w:cs="宋体"/>
                <w:color w:val="auto"/>
                <w:kern w:val="2"/>
                <w:sz w:val="21"/>
                <w:szCs w:val="21"/>
                <w:highlight w:val="none"/>
                <w:lang w:val="en-US" w:eastAsia="zh-CN" w:bidi="ar-SA"/>
              </w:rPr>
              <w:t>具有实施计划，计划安排基本满足项目需求；</w:t>
            </w:r>
          </w:p>
          <w:p w14:paraId="56565C19">
            <w:pPr>
              <w:keepNext w:val="0"/>
              <w:keepLines w:val="0"/>
              <w:pageBreakBefore w:val="0"/>
              <w:widowControl w:val="0"/>
              <w:kinsoku/>
              <w:wordWrap/>
              <w:overflowPunct/>
              <w:topLinePunct w:val="0"/>
              <w:autoSpaceDE/>
              <w:autoSpaceDN/>
              <w:bidi w:val="0"/>
              <w:adjustRightInd w:val="0"/>
              <w:snapToGrid/>
              <w:spacing w:line="48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二档（6分）：</w:t>
            </w:r>
            <w:r>
              <w:rPr>
                <w:rFonts w:hint="eastAsia" w:ascii="宋体" w:hAnsi="宋体" w:eastAsia="宋体" w:cs="宋体"/>
                <w:color w:val="auto"/>
                <w:kern w:val="2"/>
                <w:sz w:val="21"/>
                <w:szCs w:val="21"/>
                <w:highlight w:val="none"/>
                <w:lang w:val="en-US" w:eastAsia="zh-CN" w:bidi="ar-SA"/>
              </w:rPr>
              <w:t>实施计划安排合理，具有组织方案、人员培训、进度安排方面的内容；</w:t>
            </w:r>
          </w:p>
          <w:p w14:paraId="65D878DD">
            <w:pPr>
              <w:keepNext w:val="0"/>
              <w:keepLines w:val="0"/>
              <w:pageBreakBefore w:val="0"/>
              <w:widowControl w:val="0"/>
              <w:kinsoku/>
              <w:wordWrap/>
              <w:overflowPunct/>
              <w:topLinePunct w:val="0"/>
              <w:autoSpaceDE/>
              <w:autoSpaceDN/>
              <w:bidi w:val="0"/>
              <w:adjustRightInd w:val="0"/>
              <w:snapToGrid/>
              <w:spacing w:line="48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三档（8分）</w:t>
            </w:r>
            <w:r>
              <w:rPr>
                <w:rFonts w:hint="eastAsia" w:ascii="宋体" w:hAnsi="宋体" w:eastAsia="宋体" w:cs="宋体"/>
                <w:color w:val="auto"/>
                <w:kern w:val="2"/>
                <w:sz w:val="21"/>
                <w:szCs w:val="21"/>
                <w:highlight w:val="none"/>
                <w:lang w:val="en-US" w:eastAsia="zh-CN" w:bidi="ar-SA"/>
              </w:rPr>
              <w:t>：实施计划安排详细合理，组织方案、人员培训、进度安排方面措施明确可行；</w:t>
            </w:r>
          </w:p>
          <w:p w14:paraId="37C53F3F">
            <w:pPr>
              <w:keepNext w:val="0"/>
              <w:keepLines w:val="0"/>
              <w:pageBreakBefore w:val="0"/>
              <w:widowControl w:val="0"/>
              <w:kinsoku/>
              <w:wordWrap/>
              <w:overflowPunct/>
              <w:topLinePunct w:val="0"/>
              <w:autoSpaceDE/>
              <w:autoSpaceDN/>
              <w:bidi w:val="0"/>
              <w:adjustRightInd w:val="0"/>
              <w:snapToGrid/>
              <w:spacing w:line="480" w:lineRule="exact"/>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四档（10分）</w:t>
            </w:r>
            <w:r>
              <w:rPr>
                <w:rFonts w:hint="eastAsia" w:ascii="宋体" w:hAnsi="宋体" w:eastAsia="宋体" w:cs="宋体"/>
                <w:color w:val="auto"/>
                <w:kern w:val="2"/>
                <w:sz w:val="21"/>
                <w:szCs w:val="21"/>
                <w:highlight w:val="none"/>
                <w:lang w:val="en-US" w:eastAsia="zh-CN" w:bidi="ar-SA"/>
              </w:rPr>
              <w:t>：实施计划安排详细合理，组织方案、人员培训、进度安排方面措施明确可行，细致周到。</w:t>
            </w:r>
          </w:p>
          <w:p w14:paraId="791E6B91">
            <w:pPr>
              <w:pStyle w:val="2"/>
              <w:keepNext w:val="0"/>
              <w:keepLines w:val="0"/>
              <w:pageBreakBefore w:val="0"/>
              <w:kinsoku/>
              <w:wordWrap/>
              <w:overflowPunct/>
              <w:topLinePunct w:val="0"/>
              <w:autoSpaceDE/>
              <w:autoSpaceDN/>
              <w:bidi w:val="0"/>
              <w:snapToGrid/>
              <w:spacing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注：不满足一档得0分。</w:t>
            </w:r>
          </w:p>
        </w:tc>
        <w:tc>
          <w:tcPr>
            <w:tcW w:w="513" w:type="pct"/>
            <w:vAlign w:val="center"/>
          </w:tcPr>
          <w:p w14:paraId="0D0185D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r>
      <w:tr w14:paraId="44A87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4" w:type="pct"/>
            <w:vAlign w:val="center"/>
          </w:tcPr>
          <w:p w14:paraId="26D75411">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2.3</w:t>
            </w:r>
          </w:p>
        </w:tc>
        <w:tc>
          <w:tcPr>
            <w:tcW w:w="1230" w:type="dxa"/>
            <w:vAlign w:val="center"/>
          </w:tcPr>
          <w:p w14:paraId="520A0276">
            <w:pPr>
              <w:keepNext w:val="0"/>
              <w:keepLines w:val="0"/>
              <w:pageBreakBefore w:val="0"/>
              <w:kinsoku/>
              <w:wordWrap/>
              <w:overflowPunct/>
              <w:topLinePunct w:val="0"/>
              <w:autoSpaceDE/>
              <w:autoSpaceDN/>
              <w:bidi w:val="0"/>
              <w:snapToGrid/>
              <w:spacing w:line="480" w:lineRule="exact"/>
              <w:ind w:left="1" w:leftChars="-95" w:hanging="200" w:hangingChars="95"/>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2"/>
                <w:sz w:val="21"/>
                <w:szCs w:val="21"/>
                <w:highlight w:val="none"/>
                <w:lang w:val="en-US" w:eastAsia="zh-CN" w:bidi="ar-SA"/>
              </w:rPr>
              <w:t>项目售后服务及项目重点、难点分析及解决方案</w:t>
            </w:r>
          </w:p>
        </w:tc>
        <w:tc>
          <w:tcPr>
            <w:tcW w:w="7140" w:type="dxa"/>
            <w:vAlign w:val="center"/>
          </w:tcPr>
          <w:p w14:paraId="6C84B704">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一档（1分）：</w:t>
            </w:r>
            <w:r>
              <w:rPr>
                <w:rFonts w:hint="eastAsia" w:ascii="宋体" w:hAnsi="宋体" w:eastAsia="宋体" w:cs="宋体"/>
                <w:b w:val="0"/>
                <w:bCs w:val="0"/>
                <w:color w:val="auto"/>
                <w:kern w:val="2"/>
                <w:sz w:val="21"/>
                <w:szCs w:val="21"/>
                <w:highlight w:val="none"/>
                <w:lang w:val="en-US" w:eastAsia="zh-CN" w:bidi="ar-SA"/>
              </w:rPr>
              <w:t>售后服务和难点分析解决方案基本满足项目需求；</w:t>
            </w:r>
          </w:p>
          <w:p w14:paraId="36651F84">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二档（3分）：</w:t>
            </w:r>
            <w:r>
              <w:rPr>
                <w:rFonts w:hint="eastAsia" w:ascii="宋体" w:hAnsi="宋体" w:eastAsia="宋体" w:cs="宋体"/>
                <w:b w:val="0"/>
                <w:bCs w:val="0"/>
                <w:color w:val="auto"/>
                <w:kern w:val="2"/>
                <w:sz w:val="21"/>
                <w:szCs w:val="21"/>
                <w:highlight w:val="none"/>
                <w:lang w:val="en-US" w:eastAsia="zh-CN" w:bidi="ar-SA"/>
              </w:rPr>
              <w:t>对本项目重点、难点分析情况合理，具有技术支持渠道；</w:t>
            </w:r>
          </w:p>
          <w:p w14:paraId="4538A1F1">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三档（5分）：</w:t>
            </w:r>
            <w:r>
              <w:rPr>
                <w:rFonts w:hint="eastAsia" w:ascii="宋体" w:hAnsi="宋体" w:eastAsia="宋体" w:cs="宋体"/>
                <w:b w:val="0"/>
                <w:bCs w:val="0"/>
                <w:color w:val="auto"/>
                <w:kern w:val="2"/>
                <w:sz w:val="21"/>
                <w:szCs w:val="21"/>
                <w:highlight w:val="none"/>
                <w:lang w:val="en-US" w:eastAsia="zh-CN" w:bidi="ar-SA"/>
              </w:rPr>
              <w:t>对本项目重点、难点分析切合实际，解决方案科学、合理、完整度高、可操作性强，提供完善的技术支持渠道和成熟的售后服务管理体系。</w:t>
            </w:r>
          </w:p>
          <w:p w14:paraId="17065BAF">
            <w:pPr>
              <w:pStyle w:val="2"/>
              <w:keepNext w:val="0"/>
              <w:keepLines w:val="0"/>
              <w:pageBreakBefore w:val="0"/>
              <w:kinsoku/>
              <w:wordWrap/>
              <w:overflowPunct/>
              <w:topLinePunct w:val="0"/>
              <w:autoSpaceDE/>
              <w:autoSpaceDN/>
              <w:bidi w:val="0"/>
              <w:snapToGrid/>
              <w:spacing w:line="480" w:lineRule="exact"/>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注：不满足一档得0分。</w:t>
            </w:r>
          </w:p>
        </w:tc>
        <w:tc>
          <w:tcPr>
            <w:tcW w:w="513" w:type="pct"/>
            <w:vAlign w:val="center"/>
          </w:tcPr>
          <w:p w14:paraId="3679DA97">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p>
        </w:tc>
      </w:tr>
      <w:tr w14:paraId="50F3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4" w:type="pct"/>
            <w:vAlign w:val="center"/>
          </w:tcPr>
          <w:p w14:paraId="5626D20D">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w:t>
            </w:r>
          </w:p>
        </w:tc>
        <w:tc>
          <w:tcPr>
            <w:tcW w:w="1230" w:type="dxa"/>
            <w:vAlign w:val="center"/>
          </w:tcPr>
          <w:p w14:paraId="713175FC">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val="0"/>
                <w:bCs w:val="0"/>
                <w:color w:val="auto"/>
                <w:sz w:val="21"/>
                <w:szCs w:val="21"/>
                <w:highlight w:val="none"/>
              </w:rPr>
            </w:pPr>
            <w:r>
              <w:rPr>
                <w:rFonts w:hint="eastAsia" w:ascii="宋体" w:hAnsi="宋体" w:eastAsia="宋体" w:cs="宋体"/>
                <w:b/>
                <w:bCs/>
                <w:color w:val="auto"/>
                <w:kern w:val="2"/>
                <w:sz w:val="21"/>
                <w:szCs w:val="21"/>
                <w:highlight w:val="none"/>
                <w:lang w:val="en-US" w:eastAsia="zh-CN" w:bidi="ar-SA"/>
              </w:rPr>
              <w:t>项目管理制度</w:t>
            </w:r>
          </w:p>
        </w:tc>
        <w:tc>
          <w:tcPr>
            <w:tcW w:w="7140" w:type="dxa"/>
            <w:vAlign w:val="center"/>
          </w:tcPr>
          <w:p w14:paraId="0CBC33F9">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一档（1分）:</w:t>
            </w:r>
            <w:r>
              <w:rPr>
                <w:rFonts w:hint="eastAsia" w:ascii="宋体" w:hAnsi="宋体" w:eastAsia="宋体" w:cs="宋体"/>
                <w:b w:val="0"/>
                <w:bCs w:val="0"/>
                <w:color w:val="auto"/>
                <w:kern w:val="2"/>
                <w:sz w:val="21"/>
                <w:szCs w:val="21"/>
                <w:highlight w:val="none"/>
                <w:lang w:val="en-US" w:eastAsia="zh-CN" w:bidi="ar-SA"/>
              </w:rPr>
              <w:t>项目管理制度不全，风险控制管理、质量保障措施、项目管理制度、文档管理措施、项目成员管理制度等内容严重缺漏；</w:t>
            </w:r>
          </w:p>
          <w:p w14:paraId="0246F1AF">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二档（3分）:</w:t>
            </w:r>
            <w:r>
              <w:rPr>
                <w:rFonts w:hint="eastAsia" w:ascii="宋体" w:hAnsi="宋体" w:eastAsia="宋体" w:cs="宋体"/>
                <w:b w:val="0"/>
                <w:bCs w:val="0"/>
                <w:color w:val="auto"/>
                <w:kern w:val="2"/>
                <w:sz w:val="21"/>
                <w:szCs w:val="21"/>
                <w:highlight w:val="none"/>
                <w:lang w:val="en-US" w:eastAsia="zh-CN" w:bidi="ar-SA"/>
              </w:rPr>
              <w:t>项目管理制度较为全面，风险控制管理、质量保障措施、项目管理制度、文档管理措施、项目成员管理制度等内容不全；</w:t>
            </w:r>
          </w:p>
          <w:p w14:paraId="7EFD9E7F">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三档（5分）:</w:t>
            </w:r>
            <w:r>
              <w:rPr>
                <w:rFonts w:hint="eastAsia" w:ascii="宋体" w:hAnsi="宋体" w:eastAsia="宋体" w:cs="宋体"/>
                <w:b w:val="0"/>
                <w:bCs w:val="0"/>
                <w:color w:val="auto"/>
                <w:kern w:val="2"/>
                <w:sz w:val="21"/>
                <w:szCs w:val="21"/>
                <w:highlight w:val="none"/>
                <w:lang w:val="en-US" w:eastAsia="zh-CN" w:bidi="ar-SA"/>
              </w:rPr>
              <w:t>项目管理制度全面，具有明确的风险控制管理、质量保障措施、项目管理制度、文档管理措施、项目成员管理制度。</w:t>
            </w:r>
          </w:p>
          <w:p w14:paraId="74F9188A">
            <w:pPr>
              <w:pStyle w:val="2"/>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注：不满足一档得0分。</w:t>
            </w:r>
          </w:p>
        </w:tc>
        <w:tc>
          <w:tcPr>
            <w:tcW w:w="513" w:type="pct"/>
            <w:vAlign w:val="center"/>
          </w:tcPr>
          <w:p w14:paraId="50818480">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5分</w:t>
            </w:r>
          </w:p>
        </w:tc>
      </w:tr>
      <w:tr w14:paraId="7316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4" w:type="pct"/>
            <w:vAlign w:val="center"/>
          </w:tcPr>
          <w:p w14:paraId="3A5647CE">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w:t>
            </w:r>
          </w:p>
        </w:tc>
        <w:tc>
          <w:tcPr>
            <w:tcW w:w="1230" w:type="dxa"/>
            <w:vAlign w:val="center"/>
          </w:tcPr>
          <w:p w14:paraId="329CD040">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技术工具配置</w:t>
            </w:r>
          </w:p>
        </w:tc>
        <w:tc>
          <w:tcPr>
            <w:tcW w:w="7140" w:type="dxa"/>
            <w:vAlign w:val="center"/>
          </w:tcPr>
          <w:p w14:paraId="7DFF97C8">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具有支撑本项目的技术服务工具，如，信息检测类、对标诊断、智能信息采集类、互联网监测类技术服务工具。能够具备上述4类服务工具的，得15分；具备2-3类的，得10分；具备1类的，得5分；不具备上述各类服务工具的，不得分。</w:t>
            </w:r>
          </w:p>
          <w:p w14:paraId="67B795B7">
            <w:pPr>
              <w:keepNext w:val="0"/>
              <w:keepLines w:val="0"/>
              <w:pageBreakBefore w:val="0"/>
              <w:widowControl w:val="0"/>
              <w:numPr>
                <w:ilvl w:val="0"/>
                <w:numId w:val="0"/>
              </w:numPr>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【评审时要求提供技术服务工具证明材料复印件，并提供上述正在使用中的技术服务工具的页面截图，不满足上述要求的本项不得分】</w:t>
            </w:r>
          </w:p>
        </w:tc>
        <w:tc>
          <w:tcPr>
            <w:tcW w:w="513" w:type="pct"/>
            <w:vAlign w:val="center"/>
          </w:tcPr>
          <w:p w14:paraId="0B3BF29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15分</w:t>
            </w:r>
          </w:p>
        </w:tc>
      </w:tr>
      <w:tr w14:paraId="7938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4" w:type="pct"/>
            <w:vAlign w:val="center"/>
          </w:tcPr>
          <w:p w14:paraId="3F93B318">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10" w:type="pct"/>
            <w:vAlign w:val="center"/>
          </w:tcPr>
          <w:p w14:paraId="5216269E">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tc>
        <w:tc>
          <w:tcPr>
            <w:tcW w:w="3542" w:type="pct"/>
            <w:vAlign w:val="center"/>
          </w:tcPr>
          <w:p w14:paraId="5D1CEF48">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商务分</w:t>
            </w:r>
          </w:p>
        </w:tc>
        <w:tc>
          <w:tcPr>
            <w:tcW w:w="513" w:type="pct"/>
            <w:vAlign w:val="center"/>
          </w:tcPr>
          <w:p w14:paraId="2FA11F1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r>
      <w:tr w14:paraId="2EEB6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31084E91">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610" w:type="pct"/>
            <w:vAlign w:val="center"/>
          </w:tcPr>
          <w:p w14:paraId="05959E0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2"/>
                <w:sz w:val="21"/>
                <w:szCs w:val="21"/>
                <w:highlight w:val="none"/>
                <w:lang w:val="en-US" w:eastAsia="zh-CN" w:bidi="ar-SA"/>
              </w:rPr>
              <w:t>人员配置</w:t>
            </w:r>
          </w:p>
        </w:tc>
        <w:tc>
          <w:tcPr>
            <w:tcW w:w="3542" w:type="pct"/>
          </w:tcPr>
          <w:p w14:paraId="32DF5718">
            <w:pPr>
              <w:keepNext w:val="0"/>
              <w:keepLines w:val="0"/>
              <w:pageBreakBefore w:val="0"/>
              <w:widowControl w:val="0"/>
              <w:kinsoku/>
              <w:wordWrap/>
              <w:overflowPunct/>
              <w:topLinePunct w:val="0"/>
              <w:autoSpaceDE/>
              <w:autoSpaceDN/>
              <w:bidi w:val="0"/>
              <w:adjustRightInd w:val="0"/>
              <w:snapToGrid/>
              <w:spacing w:line="48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1）本项目拟投入人员中，具有高级大数据分析师证书的，每提供一人得1分，最高得4分。</w:t>
            </w:r>
          </w:p>
          <w:p w14:paraId="41D08D48">
            <w:pPr>
              <w:keepNext w:val="0"/>
              <w:keepLines w:val="0"/>
              <w:pageBreakBefore w:val="0"/>
              <w:widowControl w:val="0"/>
              <w:kinsoku/>
              <w:wordWrap/>
              <w:overflowPunct/>
              <w:topLinePunct w:val="0"/>
              <w:autoSpaceDE/>
              <w:autoSpaceDN/>
              <w:bidi w:val="0"/>
              <w:adjustRightInd w:val="0"/>
              <w:snapToGrid/>
              <w:spacing w:line="480" w:lineRule="exact"/>
              <w:ind w:left="0" w:leftChars="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2）本项目拟投入人员中，具有国家信息安全水平考试证书的，一级证书得1分；二级证书得3分；三级证书得4分，每提供一人得1分，满分4分；多位人员拥有对应等级证书可累计得分，但是最高累计不超过4分。</w:t>
            </w:r>
          </w:p>
          <w:p w14:paraId="0FAED59E">
            <w:pPr>
              <w:keepNext w:val="0"/>
              <w:keepLines w:val="0"/>
              <w:pageBreakBefore w:val="0"/>
              <w:widowControl w:val="0"/>
              <w:kinsoku/>
              <w:wordWrap/>
              <w:overflowPunct/>
              <w:topLinePunct w:val="0"/>
              <w:autoSpaceDE/>
              <w:autoSpaceDN/>
              <w:bidi w:val="0"/>
              <w:adjustRightInd w:val="0"/>
              <w:snapToGrid/>
              <w:spacing w:line="480" w:lineRule="exact"/>
              <w:ind w:firstLine="420" w:firstLineChars="200"/>
              <w:jc w:val="both"/>
              <w:rPr>
                <w:rFonts w:hint="eastAsia" w:ascii="宋体" w:hAnsi="宋体" w:eastAsia="宋体" w:cs="宋体"/>
                <w:bCs/>
                <w:color w:val="auto"/>
                <w:sz w:val="21"/>
                <w:szCs w:val="21"/>
                <w:highlight w:val="none"/>
              </w:rPr>
            </w:pPr>
            <w:r>
              <w:rPr>
                <w:rFonts w:hint="eastAsia" w:ascii="宋体" w:hAnsi="宋体" w:eastAsia="宋体" w:cs="宋体"/>
                <w:color w:val="auto"/>
                <w:kern w:val="2"/>
                <w:sz w:val="21"/>
                <w:szCs w:val="21"/>
                <w:highlight w:val="none"/>
                <w:lang w:val="en-US" w:eastAsia="zh-CN" w:bidi="ar-SA"/>
              </w:rPr>
              <w:t>3）拟投入本项目的项目负责人具有不少于3年相关政务服务、政府网站评估或数据采集工作实施管理经验的，得6分（提供投标人盖章证明文件及承诺函）。</w:t>
            </w:r>
          </w:p>
        </w:tc>
        <w:tc>
          <w:tcPr>
            <w:tcW w:w="513" w:type="pct"/>
            <w:vAlign w:val="center"/>
          </w:tcPr>
          <w:p w14:paraId="2B1F6C4C">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分</w:t>
            </w:r>
          </w:p>
        </w:tc>
      </w:tr>
      <w:tr w14:paraId="4673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404CEB85">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610" w:type="pct"/>
            <w:vAlign w:val="center"/>
          </w:tcPr>
          <w:p w14:paraId="39BD4E53">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研究能力</w:t>
            </w:r>
          </w:p>
        </w:tc>
        <w:tc>
          <w:tcPr>
            <w:tcW w:w="3542" w:type="pct"/>
          </w:tcPr>
          <w:p w14:paraId="206273EF">
            <w:pPr>
              <w:keepNext w:val="0"/>
              <w:keepLines w:val="0"/>
              <w:pageBreakBefore w:val="0"/>
              <w:widowControl w:val="0"/>
              <w:kinsoku/>
              <w:wordWrap/>
              <w:overflowPunct/>
              <w:topLinePunct w:val="0"/>
              <w:autoSpaceDE/>
              <w:autoSpaceDN/>
              <w:bidi w:val="0"/>
              <w:adjustRightInd w:val="0"/>
              <w:snapToGrid/>
              <w:spacing w:line="48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1）团队成员发表过包含政务服务、数据分析</w:t>
            </w:r>
            <w:r>
              <w:rPr>
                <w:rFonts w:hint="eastAsia" w:ascii="宋体" w:hAnsi="宋体" w:eastAsia="宋体" w:cs="宋体"/>
                <w:color w:val="auto"/>
                <w:kern w:val="0"/>
                <w:sz w:val="21"/>
                <w:szCs w:val="21"/>
                <w:highlight w:val="none"/>
                <w:lang w:val="en-US" w:eastAsia="zh-CN" w:bidi="ar-SA"/>
              </w:rPr>
              <w:t>或政府网站等</w:t>
            </w:r>
            <w:r>
              <w:rPr>
                <w:rFonts w:hint="eastAsia" w:ascii="宋体" w:hAnsi="宋体" w:eastAsia="宋体" w:cs="宋体"/>
                <w:color w:val="auto"/>
                <w:kern w:val="2"/>
                <w:sz w:val="21"/>
                <w:szCs w:val="21"/>
                <w:highlight w:val="none"/>
                <w:lang w:val="en-US" w:eastAsia="zh-CN" w:bidi="ar-SA"/>
              </w:rPr>
              <w:t>内容的论文，每篇2分，满分4分。（论文作者中需注明本人姓名，需提供期刊编号、文章编号及国家新闻出版署和中国知网查询结果截图并加盖投标人公章）</w:t>
            </w:r>
          </w:p>
          <w:p w14:paraId="7C4AA5E3">
            <w:pPr>
              <w:keepNext w:val="0"/>
              <w:keepLines w:val="0"/>
              <w:pageBreakBefore w:val="0"/>
              <w:widowControl w:val="0"/>
              <w:kinsoku/>
              <w:wordWrap/>
              <w:overflowPunct/>
              <w:topLinePunct w:val="0"/>
              <w:autoSpaceDE/>
              <w:autoSpaceDN/>
              <w:bidi w:val="0"/>
              <w:adjustRightInd w:val="0"/>
              <w:snapToGrid/>
              <w:spacing w:line="48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2）团队成员参与或研究成果用于国家政务服务、政府网站或政务新媒体政策或标准规范制定，被直接引用的（需提供研究成果的采纳证明），每个文件得2分，最高得4分。</w:t>
            </w:r>
          </w:p>
          <w:p w14:paraId="09A7DB80">
            <w:pPr>
              <w:keepNext w:val="0"/>
              <w:keepLines w:val="0"/>
              <w:pageBreakBefore w:val="0"/>
              <w:widowControl w:val="0"/>
              <w:kinsoku/>
              <w:wordWrap/>
              <w:overflowPunct/>
              <w:topLinePunct w:val="0"/>
              <w:autoSpaceDE/>
              <w:autoSpaceDN/>
              <w:bidi w:val="0"/>
              <w:adjustRightInd w:val="0"/>
              <w:snapToGrid/>
              <w:spacing w:line="480" w:lineRule="exact"/>
              <w:ind w:firstLine="422" w:firstLineChars="200"/>
              <w:jc w:val="both"/>
              <w:rPr>
                <w:rFonts w:hint="eastAsia" w:ascii="宋体" w:hAnsi="宋体" w:eastAsia="宋体" w:cs="宋体"/>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评审时要求提供人员的相关资格证书复印件，提供在本单位任职的相关证明材料（如加盖政府有关部门印章的打印日期在本项目评审截止日前半年任意一个月的《投保单》或《社会保险参保人员证明》或聘书复印件或劳动合同复印件）】</w:t>
            </w:r>
          </w:p>
        </w:tc>
        <w:tc>
          <w:tcPr>
            <w:tcW w:w="513" w:type="pct"/>
            <w:vAlign w:val="center"/>
          </w:tcPr>
          <w:p w14:paraId="135AD69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8分</w:t>
            </w:r>
          </w:p>
        </w:tc>
      </w:tr>
      <w:tr w14:paraId="79676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2590A69A">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c>
          <w:tcPr>
            <w:tcW w:w="610" w:type="pct"/>
            <w:vAlign w:val="center"/>
          </w:tcPr>
          <w:p w14:paraId="641B339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相关项目经验</w:t>
            </w:r>
          </w:p>
        </w:tc>
        <w:tc>
          <w:tcPr>
            <w:tcW w:w="3542" w:type="pct"/>
          </w:tcPr>
          <w:p w14:paraId="70D6BFD5">
            <w:pPr>
              <w:keepNext w:val="0"/>
              <w:keepLines w:val="0"/>
              <w:pageBreakBefore w:val="0"/>
              <w:widowControl w:val="0"/>
              <w:kinsoku/>
              <w:wordWrap/>
              <w:overflowPunct/>
              <w:topLinePunct w:val="0"/>
              <w:autoSpaceDE/>
              <w:autoSpaceDN/>
              <w:bidi w:val="0"/>
              <w:adjustRightInd w:val="0"/>
              <w:snapToGrid/>
              <w:spacing w:line="480" w:lineRule="exact"/>
              <w:ind w:firstLine="420" w:firstLineChars="200"/>
              <w:jc w:val="both"/>
              <w:rPr>
                <w:rFonts w:hint="eastAsia" w:ascii="宋体" w:hAnsi="宋体" w:eastAsia="宋体" w:cs="宋体"/>
                <w:bCs/>
                <w:color w:val="auto"/>
                <w:sz w:val="21"/>
                <w:szCs w:val="21"/>
                <w:highlight w:val="none"/>
              </w:rPr>
            </w:pPr>
            <w:r>
              <w:rPr>
                <w:rFonts w:hint="eastAsia" w:ascii="宋体" w:hAnsi="宋体" w:eastAsia="宋体" w:cs="宋体"/>
                <w:color w:val="auto"/>
                <w:kern w:val="2"/>
                <w:sz w:val="21"/>
                <w:szCs w:val="21"/>
                <w:highlight w:val="none"/>
                <w:lang w:val="en-US" w:eastAsia="zh-CN" w:bidi="ar-SA"/>
              </w:rPr>
              <w:t>近3年内提供政务服务或政府网站评估检查类、数据采集类服务的，每个项目得4分（以提供中标/成交通知书或合同复印件为准），满分8分。</w:t>
            </w:r>
          </w:p>
        </w:tc>
        <w:tc>
          <w:tcPr>
            <w:tcW w:w="513" w:type="pct"/>
            <w:vAlign w:val="center"/>
          </w:tcPr>
          <w:p w14:paraId="1FE6BE29">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8分</w:t>
            </w:r>
          </w:p>
        </w:tc>
      </w:tr>
      <w:tr w14:paraId="64CC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4" w:type="pct"/>
            <w:vAlign w:val="center"/>
          </w:tcPr>
          <w:p w14:paraId="48A7544E">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1230" w:type="dxa"/>
            <w:vAlign w:val="center"/>
          </w:tcPr>
          <w:p w14:paraId="2F724BB0">
            <w:pPr>
              <w:pStyle w:val="9"/>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tc>
        <w:tc>
          <w:tcPr>
            <w:tcW w:w="7140" w:type="dxa"/>
            <w:vAlign w:val="center"/>
          </w:tcPr>
          <w:p w14:paraId="06E1585C">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供应商在响应文件递交截止日前1年内在政府采购活动中存在违约违规情形的（以财政部门出具的书面材料为评分依据），每次扣除3分，最高扣分6分为止（供应商应提交而未提交的，视为提供虚假材料谋取中标）</w:t>
            </w:r>
          </w:p>
        </w:tc>
        <w:tc>
          <w:tcPr>
            <w:tcW w:w="1035" w:type="dxa"/>
            <w:vAlign w:val="center"/>
          </w:tcPr>
          <w:p w14:paraId="5F30BF9E">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-6-0分</w:t>
            </w:r>
          </w:p>
        </w:tc>
      </w:tr>
    </w:tbl>
    <w:p w14:paraId="20DD875C">
      <w:pPr>
        <w:keepNext/>
        <w:keepLines/>
        <w:spacing w:before="260" w:after="260" w:line="413" w:lineRule="auto"/>
        <w:jc w:val="left"/>
        <w:outlineLvl w:val="1"/>
        <w:rPr>
          <w:rFonts w:hint="default" w:ascii="Arial" w:hAnsi="Arial" w:eastAsia="黑体"/>
          <w:bCs/>
          <w:color w:val="auto"/>
          <w:kern w:val="0"/>
          <w:sz w:val="30"/>
          <w:szCs w:val="30"/>
          <w:highlight w:val="none"/>
          <w:lang w:val="en-US" w:eastAsia="zh-CN"/>
        </w:rPr>
        <w:sectPr>
          <w:pgSz w:w="11906" w:h="16838"/>
          <w:pgMar w:top="1134" w:right="1474" w:bottom="1134" w:left="1587" w:header="720" w:footer="720" w:gutter="0"/>
          <w:cols w:space="720" w:num="1"/>
          <w:docGrid w:type="lines" w:linePitch="331" w:charSpace="0"/>
        </w:sectPr>
      </w:pPr>
    </w:p>
    <w:p w14:paraId="14F4FCF5">
      <w:pPr>
        <w:keepNext/>
        <w:keepLines/>
        <w:spacing w:before="260" w:after="260" w:line="413" w:lineRule="auto"/>
        <w:jc w:val="left"/>
        <w:outlineLvl w:val="1"/>
        <w:rPr>
          <w:rFonts w:hint="default" w:ascii="Arial" w:hAnsi="Arial" w:eastAsia="黑体"/>
          <w:bCs/>
          <w:color w:val="auto"/>
          <w:kern w:val="0"/>
          <w:sz w:val="30"/>
          <w:szCs w:val="30"/>
          <w:highlight w:val="none"/>
          <w:lang w:val="en-US" w:eastAsia="zh-CN"/>
        </w:rPr>
      </w:pPr>
      <w:r>
        <w:rPr>
          <w:rFonts w:hint="eastAsia" w:ascii="Arial" w:hAnsi="Arial" w:eastAsia="黑体"/>
          <w:bCs/>
          <w:color w:val="auto"/>
          <w:kern w:val="0"/>
          <w:sz w:val="30"/>
          <w:szCs w:val="30"/>
          <w:highlight w:val="none"/>
          <w:lang w:eastAsia="zh-CN"/>
        </w:rPr>
        <w:t>分标</w:t>
      </w:r>
      <w:r>
        <w:rPr>
          <w:rFonts w:hint="eastAsia" w:ascii="Arial" w:hAnsi="Arial" w:eastAsia="黑体"/>
          <w:bCs/>
          <w:color w:val="auto"/>
          <w:kern w:val="0"/>
          <w:sz w:val="30"/>
          <w:szCs w:val="30"/>
          <w:highlight w:val="none"/>
          <w:lang w:val="en-US" w:eastAsia="zh-CN"/>
        </w:rPr>
        <w:t>4：</w:t>
      </w:r>
    </w:p>
    <w:tbl>
      <w:tblPr>
        <w:tblStyle w:val="19"/>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131"/>
        <w:gridCol w:w="6567"/>
        <w:gridCol w:w="951"/>
      </w:tblGrid>
      <w:tr w14:paraId="7ACB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33" w:type="pct"/>
            <w:vAlign w:val="center"/>
          </w:tcPr>
          <w:p w14:paraId="574A1C17">
            <w:pPr>
              <w:keepNext w:val="0"/>
              <w:keepLines w:val="0"/>
              <w:pageBreakBefore w:val="0"/>
              <w:widowControl/>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610" w:type="pct"/>
            <w:vAlign w:val="center"/>
          </w:tcPr>
          <w:p w14:paraId="0C054C3C">
            <w:pPr>
              <w:keepNext w:val="0"/>
              <w:keepLines w:val="0"/>
              <w:pageBreakBefore w:val="0"/>
              <w:widowControl/>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3542" w:type="pct"/>
            <w:vAlign w:val="center"/>
          </w:tcPr>
          <w:p w14:paraId="181972E1">
            <w:pPr>
              <w:keepNext w:val="0"/>
              <w:keepLines w:val="0"/>
              <w:pageBreakBefore w:val="0"/>
              <w:widowControl/>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评分标准</w:t>
            </w:r>
          </w:p>
        </w:tc>
        <w:tc>
          <w:tcPr>
            <w:tcW w:w="513" w:type="pct"/>
            <w:vAlign w:val="center"/>
          </w:tcPr>
          <w:p w14:paraId="644A9693">
            <w:pPr>
              <w:keepNext w:val="0"/>
              <w:keepLines w:val="0"/>
              <w:pageBreakBefore w:val="0"/>
              <w:widowControl/>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0BDC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215CCD5B">
            <w:pPr>
              <w:keepNext w:val="0"/>
              <w:keepLines w:val="0"/>
              <w:pageBreakBefore w:val="0"/>
              <w:widowControl/>
              <w:wordWrap/>
              <w:overflowPunct/>
              <w:topLinePunct w:val="0"/>
              <w:bidi w:val="0"/>
              <w:snapToGrid/>
              <w:spacing w:line="4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610" w:type="pct"/>
            <w:vAlign w:val="center"/>
          </w:tcPr>
          <w:p w14:paraId="01ECF49C">
            <w:pPr>
              <w:keepNext w:val="0"/>
              <w:keepLines w:val="0"/>
              <w:pageBreakBefore w:val="0"/>
              <w:tabs>
                <w:tab w:val="left" w:pos="1200"/>
              </w:tabs>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rPr>
              <w:t>价格分</w:t>
            </w:r>
          </w:p>
        </w:tc>
        <w:tc>
          <w:tcPr>
            <w:tcW w:w="3542" w:type="pct"/>
            <w:vAlign w:val="center"/>
          </w:tcPr>
          <w:p w14:paraId="0D787625">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）以进入综合评分的最低评标报价为</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w:t>
            </w:r>
          </w:p>
          <w:p w14:paraId="14CDC83E">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）评标报价为投标人的投标报价进行政策性扣除后的价格，评标报价只是作为评标时使用。最终中标人的中标金额等于投标报价。</w:t>
            </w:r>
          </w:p>
          <w:p w14:paraId="3E67845E">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）按照《政府采购促进中小企业发展管理办法》（财库〔2020〕46号）及</w:t>
            </w:r>
            <w:r>
              <w:rPr>
                <w:rFonts w:hint="eastAsia" w:ascii="宋体" w:hAnsi="宋体" w:eastAsia="宋体" w:cs="宋体"/>
                <w:color w:val="auto"/>
                <w:sz w:val="21"/>
                <w:szCs w:val="21"/>
                <w:highlight w:val="none"/>
                <w:lang w:val="en-US" w:eastAsia="zh-CN"/>
              </w:rPr>
              <w:t>《</w:t>
            </w:r>
            <w:bookmarkStart w:id="26" w:name="OLE_LINK1"/>
            <w:r>
              <w:rPr>
                <w:rFonts w:hint="eastAsia" w:ascii="宋体" w:hAnsi="宋体" w:eastAsia="宋体" w:cs="宋体"/>
                <w:color w:val="auto"/>
                <w:sz w:val="21"/>
                <w:szCs w:val="21"/>
                <w:highlight w:val="none"/>
                <w:lang w:val="en-US" w:eastAsia="zh-CN"/>
              </w:rPr>
              <w:t>广西壮族自治区财政厅关于持续优化政府采购营商环境推动高质量发展的通知</w:t>
            </w:r>
            <w:bookmarkEnd w:id="26"/>
            <w:r>
              <w:rPr>
                <w:rFonts w:hint="eastAsia" w:ascii="宋体" w:hAnsi="宋体" w:eastAsia="宋体" w:cs="宋体"/>
                <w:color w:val="auto"/>
                <w:sz w:val="21"/>
                <w:szCs w:val="21"/>
                <w:highlight w:val="none"/>
                <w:lang w:val="en-US" w:eastAsia="zh-CN"/>
              </w:rPr>
              <w:t>》（桂财采〔2024〕55号）</w:t>
            </w:r>
            <w:r>
              <w:rPr>
                <w:rFonts w:hint="eastAsia" w:ascii="宋体" w:hAnsi="宋体" w:eastAsia="宋体" w:cs="宋体"/>
                <w:color w:val="auto"/>
                <w:sz w:val="21"/>
                <w:szCs w:val="21"/>
                <w:highlight w:val="none"/>
              </w:rPr>
              <w:t>的规定，投标人在其投标文件中提供《中小企业声明函》，且其提供的货物全部由符合政策要求的小型、微型企业制造，即货物由小型、微型企业生产且使用该小型、微型企业商号或者注册商标，对其投标价格给予20%的扣除。</w:t>
            </w:r>
          </w:p>
          <w:p w14:paraId="0ADDD66B">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6E1BF7A">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26112325">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根据《关于推动解决政府采购异常低价问题的通知》（财库〔2026〕2号）的规定，评审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2BE38D57">
            <w:pPr>
              <w:keepNext w:val="0"/>
              <w:keepLines w:val="0"/>
              <w:pageBreakBefore w:val="0"/>
              <w:wordWrap/>
              <w:overflowPunct/>
              <w:topLinePunct w:val="0"/>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政府采购评审中出现下列情形之一的，评审委员会应当启动异常低价投标（响应）审查程序：</w:t>
            </w:r>
          </w:p>
          <w:p w14:paraId="0BB5F7B3">
            <w:pPr>
              <w:keepNext w:val="0"/>
              <w:keepLines w:val="0"/>
              <w:pageBreakBefore w:val="0"/>
              <w:wordWrap/>
              <w:overflowPunct/>
              <w:topLinePunct w:val="0"/>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投标（响应）报价低于全部通过符合性审查供应商投标（响应）报价平均值50%的，即投标（响应）报价&lt;全部通过符合性审查供应商投标（响应）报价平均值×50%；</w:t>
            </w:r>
          </w:p>
          <w:p w14:paraId="789C0683">
            <w:pPr>
              <w:keepNext w:val="0"/>
              <w:keepLines w:val="0"/>
              <w:pageBreakBefore w:val="0"/>
              <w:wordWrap/>
              <w:overflowPunct/>
              <w:topLinePunct w:val="0"/>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投标（响应）报价低于通过符合性审查的次低报价供应商投标（响应）报价50%的，即投标（响应）报价&lt;通过符合性审查的次低报价供应商投标（响应）报价×50%；</w:t>
            </w:r>
          </w:p>
          <w:p w14:paraId="6F93B8C1">
            <w:pPr>
              <w:keepNext w:val="0"/>
              <w:keepLines w:val="0"/>
              <w:pageBreakBefore w:val="0"/>
              <w:wordWrap/>
              <w:overflowPunct/>
              <w:topLinePunct w:val="0"/>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投标（响应）报价低于采购项目最高限价45%的，即投标（响应）报价&lt;采购项目最高限价×45%；</w:t>
            </w:r>
          </w:p>
          <w:p w14:paraId="16D85B1A">
            <w:pPr>
              <w:keepNext w:val="0"/>
              <w:keepLines w:val="0"/>
              <w:pageBreakBefore w:val="0"/>
              <w:wordWrap/>
              <w:overflowPunct/>
              <w:topLinePunct w:val="0"/>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④评审委员会基于专业判断，认为供应商报价过低，有可能影响产品质量或者不能诚信履约的其他情形。</w:t>
            </w:r>
          </w:p>
          <w:p w14:paraId="6095222D">
            <w:pPr>
              <w:keepNext w:val="0"/>
              <w:keepLines w:val="0"/>
              <w:pageBreakBefore w:val="0"/>
              <w:wordWrap/>
              <w:overflowPunct/>
              <w:topLinePunct w:val="0"/>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）政策性扣除计算方法。</w:t>
            </w:r>
          </w:p>
          <w:p w14:paraId="23034357">
            <w:pPr>
              <w:keepNext w:val="0"/>
              <w:keepLines w:val="0"/>
              <w:pageBreakBefore w:val="0"/>
              <w:wordWrap/>
              <w:overflowPunct/>
              <w:topLinePunct w:val="0"/>
              <w:bidi w:val="0"/>
              <w:snapToGrid/>
              <w:spacing w:line="480" w:lineRule="exact"/>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被评定为监狱企业或者残疾人福利性单位或者其提供的货物全部由符合政策要求的小型、微型企业制造，即货物由小型、微型企业生产且使用该小型、微型企业商号或者注册商标的，该投标人的投标报价给予 20% 的扣除，扣除后的价格为评标报价，即评标报价=投标报价×（1-20%）；接受大中型企业与小微企业组成联合体或者允许大中型企业向一家或者多家小微企业分包的采购项目，对于联合协议或者分包意向协议约定小微企业的合同份额占到合同总金额 30%以上的，对联合体或者大中型企业的报价给予 6%的扣除，用扣除后的价格参加评审，扣除后的价格为评标报价，即评标报价=投标报价×（1－6%）；除上述情况外，评标报价=投标报价。</w:t>
            </w:r>
          </w:p>
          <w:p w14:paraId="35F5D9FA">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）价格分计算公式：价格分=（某投标人的最低报价／投标人投标报价）×</w:t>
            </w:r>
            <w:r>
              <w:rPr>
                <w:rFonts w:hint="eastAsia" w:ascii="宋体" w:hAnsi="宋体" w:eastAsia="宋体" w:cs="宋体"/>
                <w:color w:val="auto"/>
                <w:sz w:val="21"/>
                <w:szCs w:val="21"/>
                <w:highlight w:val="none"/>
                <w:lang w:val="en-US" w:eastAsia="zh-CN"/>
              </w:rPr>
              <w:t>25</w:t>
            </w:r>
            <w:r>
              <w:rPr>
                <w:rFonts w:hint="eastAsia" w:ascii="宋体" w:hAnsi="宋体" w:eastAsia="宋体" w:cs="宋体"/>
                <w:color w:val="auto"/>
                <w:sz w:val="21"/>
                <w:szCs w:val="21"/>
                <w:highlight w:val="none"/>
              </w:rPr>
              <w:t>分</w:t>
            </w:r>
          </w:p>
        </w:tc>
        <w:tc>
          <w:tcPr>
            <w:tcW w:w="513" w:type="pct"/>
            <w:vAlign w:val="center"/>
          </w:tcPr>
          <w:p w14:paraId="69B53EEE">
            <w:pPr>
              <w:keepNext w:val="0"/>
              <w:keepLines w:val="0"/>
              <w:pageBreakBefore w:val="0"/>
              <w:widowControl/>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分</w:t>
            </w:r>
          </w:p>
        </w:tc>
      </w:tr>
      <w:tr w14:paraId="4E19C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45DE245B">
            <w:pPr>
              <w:keepNext w:val="0"/>
              <w:keepLines w:val="0"/>
              <w:pageBreakBefore w:val="0"/>
              <w:wordWrap/>
              <w:overflowPunct/>
              <w:topLinePunct w:val="0"/>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10" w:type="pct"/>
            <w:vAlign w:val="center"/>
          </w:tcPr>
          <w:p w14:paraId="3ED3657C">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tc>
        <w:tc>
          <w:tcPr>
            <w:tcW w:w="3542" w:type="pct"/>
            <w:vAlign w:val="center"/>
          </w:tcPr>
          <w:p w14:paraId="0C28B4B3">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技术分</w:t>
            </w:r>
          </w:p>
        </w:tc>
        <w:tc>
          <w:tcPr>
            <w:tcW w:w="513" w:type="pct"/>
            <w:vAlign w:val="center"/>
          </w:tcPr>
          <w:p w14:paraId="68443142">
            <w:pPr>
              <w:keepNext w:val="0"/>
              <w:keepLines w:val="0"/>
              <w:pageBreakBefore w:val="0"/>
              <w:widowControl/>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50</w:t>
            </w:r>
            <w:r>
              <w:rPr>
                <w:rFonts w:hint="eastAsia" w:ascii="宋体" w:hAnsi="宋体" w:eastAsia="宋体" w:cs="宋体"/>
                <w:b/>
                <w:bCs/>
                <w:color w:val="auto"/>
                <w:kern w:val="0"/>
                <w:sz w:val="21"/>
                <w:szCs w:val="21"/>
                <w:highlight w:val="none"/>
              </w:rPr>
              <w:t>分</w:t>
            </w:r>
          </w:p>
        </w:tc>
      </w:tr>
      <w:tr w14:paraId="282F0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67A522C3">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p>
        </w:tc>
        <w:tc>
          <w:tcPr>
            <w:tcW w:w="610" w:type="pct"/>
            <w:vAlign w:val="center"/>
          </w:tcPr>
          <w:p w14:paraId="131A38A7">
            <w:pPr>
              <w:keepNext w:val="0"/>
              <w:keepLines w:val="0"/>
              <w:pageBreakBefore w:val="0"/>
              <w:wordWrap/>
              <w:overflowPunct/>
              <w:topLinePunct w:val="0"/>
              <w:bidi w:val="0"/>
              <w:snapToGrid/>
              <w:spacing w:line="480" w:lineRule="exact"/>
              <w:ind w:left="-1"/>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实施技方案分</w:t>
            </w:r>
          </w:p>
        </w:tc>
        <w:tc>
          <w:tcPr>
            <w:tcW w:w="3542" w:type="pct"/>
            <w:vAlign w:val="center"/>
          </w:tcPr>
          <w:p w14:paraId="05C562AF">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①季度检查和年度评估实施路线（6分）</w:t>
            </w:r>
          </w:p>
          <w:p w14:paraId="478C79F0">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一档（6分）：实施路线清晰、时间节点明确、覆盖范围完整、各阶段任务可追溯；</w:t>
            </w:r>
          </w:p>
          <w:p w14:paraId="1B636856">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二档（3分）：实施路线较清晰、时间节点基本明确；</w:t>
            </w:r>
          </w:p>
          <w:p w14:paraId="783DC121">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三档（1分）：实施路线笼统或不完整；</w:t>
            </w:r>
          </w:p>
          <w:p w14:paraId="6FFC9447">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不满足本项最低要求的，得0分。</w:t>
            </w:r>
          </w:p>
          <w:p w14:paraId="6BC6125F">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②项目执行组织措施（5分）</w:t>
            </w:r>
          </w:p>
          <w:p w14:paraId="2050908B">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一档（5分）：组织架构明确、岗位职责分工清晰、内外部沟通协调机制健全；</w:t>
            </w:r>
          </w:p>
          <w:p w14:paraId="7D34E5B4">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二档（3分）：组织架构较明确、分工基本清晰；</w:t>
            </w:r>
          </w:p>
          <w:p w14:paraId="249EA279">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三档（1分）：组织措施笼统；</w:t>
            </w:r>
          </w:p>
          <w:p w14:paraId="110156F2">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不满足本项最低要求的，得0分。</w:t>
            </w:r>
          </w:p>
          <w:p w14:paraId="1C9ED434">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③项目执行保障措施（5分）</w:t>
            </w:r>
          </w:p>
          <w:p w14:paraId="10966ED3">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一档（5分）：质量控制、进度控制、风险识别与应对措施具体可操作；</w:t>
            </w:r>
          </w:p>
          <w:p w14:paraId="729C73E0">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二档（3分）：保障措施较具体；</w:t>
            </w:r>
          </w:p>
          <w:p w14:paraId="2DE75B8F">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三档（1分）：保障措施笼统；</w:t>
            </w:r>
          </w:p>
          <w:p w14:paraId="5FD984CB">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不满足本项最低要求的，得0分。</w:t>
            </w:r>
          </w:p>
          <w:p w14:paraId="25D5E9D0">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④评估指标体系（4分）</w:t>
            </w:r>
          </w:p>
          <w:p w14:paraId="7209BAE1">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一档（4分）：提供评估指标，指标维度完整、科学合理、可量化考核；</w:t>
            </w:r>
          </w:p>
          <w:p w14:paraId="43012D2E">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二档（2分）：提供评估指标但较简单；</w:t>
            </w:r>
          </w:p>
          <w:p w14:paraId="24405BC6">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rPr>
              <w:t>三档（</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分）：未提供评估指标。</w:t>
            </w:r>
          </w:p>
          <w:p w14:paraId="1CA54C37">
            <w:pPr>
              <w:pStyle w:val="2"/>
              <w:keepNext w:val="0"/>
              <w:keepLines w:val="0"/>
              <w:pageBreakBefore w:val="0"/>
              <w:wordWrap/>
              <w:overflowPunct/>
              <w:topLinePunct w:val="0"/>
              <w:bidi w:val="0"/>
              <w:snapToGrid/>
              <w:spacing w:line="480" w:lineRule="exact"/>
              <w:ind w:left="0" w:lef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rPr>
              <w:t>不满足本项最低要求的，得0分。</w:t>
            </w:r>
          </w:p>
        </w:tc>
        <w:tc>
          <w:tcPr>
            <w:tcW w:w="513" w:type="pct"/>
            <w:vAlign w:val="center"/>
          </w:tcPr>
          <w:p w14:paraId="6F498FA7">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r>
      <w:tr w14:paraId="2678B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0CFD98A0">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2.2</w:t>
            </w:r>
          </w:p>
        </w:tc>
        <w:tc>
          <w:tcPr>
            <w:tcW w:w="610" w:type="pct"/>
            <w:vAlign w:val="center"/>
          </w:tcPr>
          <w:p w14:paraId="370BAD1C">
            <w:pPr>
              <w:keepNext w:val="0"/>
              <w:keepLines w:val="0"/>
              <w:pageBreakBefore w:val="0"/>
              <w:wordWrap/>
              <w:overflowPunct/>
              <w:topLinePunct w:val="0"/>
              <w:bidi w:val="0"/>
              <w:snapToGrid/>
              <w:spacing w:line="480" w:lineRule="exact"/>
              <w:ind w:left="10" w:hanging="10"/>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售后服务及应急保障方案分</w:t>
            </w:r>
          </w:p>
        </w:tc>
        <w:tc>
          <w:tcPr>
            <w:tcW w:w="3542" w:type="pct"/>
            <w:vAlign w:val="center"/>
          </w:tcPr>
          <w:p w14:paraId="4441221B">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①售后服务机构及人员配置（5分）</w:t>
            </w:r>
          </w:p>
          <w:p w14:paraId="1DBA860D">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一档（5分）：明确售后服务机构名称、地址、联系电话、联系人及电子邮箱的；</w:t>
            </w:r>
          </w:p>
          <w:p w14:paraId="02870318">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二档（3分）：提供部分信息的；</w:t>
            </w:r>
          </w:p>
          <w:p w14:paraId="7DED3F90">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三档（</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提供简单的信息</w:t>
            </w:r>
            <w:r>
              <w:rPr>
                <w:rFonts w:hint="eastAsia" w:ascii="宋体" w:hAnsi="宋体" w:eastAsia="宋体" w:cs="宋体"/>
                <w:color w:val="auto"/>
                <w:kern w:val="0"/>
                <w:sz w:val="21"/>
                <w:szCs w:val="21"/>
                <w:highlight w:val="none"/>
              </w:rPr>
              <w:t>。</w:t>
            </w:r>
          </w:p>
          <w:p w14:paraId="6EDE2A02">
            <w:pPr>
              <w:pStyle w:val="2"/>
              <w:keepNext w:val="0"/>
              <w:keepLines w:val="0"/>
              <w:pageBreakBefore w:val="0"/>
              <w:wordWrap/>
              <w:overflowPunct/>
              <w:topLinePunct w:val="0"/>
              <w:bidi w:val="0"/>
              <w:snapToGrid/>
              <w:spacing w:line="480" w:lineRule="exact"/>
              <w:ind w:left="0" w:leftChars="0" w:firstLine="211" w:firstLineChars="100"/>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不</w:t>
            </w:r>
            <w:r>
              <w:rPr>
                <w:rFonts w:hint="eastAsia" w:ascii="宋体" w:hAnsi="宋体" w:eastAsia="宋体" w:cs="宋体"/>
                <w:b/>
                <w:bCs/>
                <w:color w:val="auto"/>
                <w:kern w:val="0"/>
                <w:sz w:val="21"/>
                <w:szCs w:val="21"/>
                <w:highlight w:val="none"/>
                <w:lang w:eastAsia="zh-CN"/>
              </w:rPr>
              <w:t>提供</w:t>
            </w:r>
            <w:r>
              <w:rPr>
                <w:rFonts w:hint="eastAsia" w:ascii="宋体" w:hAnsi="宋体" w:eastAsia="宋体" w:cs="宋体"/>
                <w:b/>
                <w:bCs/>
                <w:color w:val="auto"/>
                <w:kern w:val="0"/>
                <w:sz w:val="21"/>
                <w:szCs w:val="21"/>
                <w:highlight w:val="none"/>
              </w:rPr>
              <w:t>的，得0分。</w:t>
            </w:r>
          </w:p>
          <w:p w14:paraId="0247D2DE">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②服务响应及保障措施（5分）</w:t>
            </w:r>
          </w:p>
          <w:p w14:paraId="4607ABF2">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一档（5分）：明确服务响应时限（如2小时内响应、24小时内到达现场或远程解决）、服务方式具体、服务承诺明确的；</w:t>
            </w:r>
          </w:p>
          <w:p w14:paraId="26C6E20F">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二档（3分）：响应时限较明确的；</w:t>
            </w:r>
          </w:p>
          <w:p w14:paraId="7CA0A2CB">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三档（</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w:t>
            </w:r>
            <w:r>
              <w:rPr>
                <w:rFonts w:hint="eastAsia" w:ascii="宋体" w:hAnsi="宋体" w:eastAsia="宋体" w:cs="宋体"/>
                <w:color w:val="auto"/>
                <w:kern w:val="0"/>
                <w:sz w:val="21"/>
                <w:szCs w:val="21"/>
                <w:highlight w:val="none"/>
                <w:lang w:eastAsia="zh-CN"/>
              </w:rPr>
              <w:t>响应时限不</w:t>
            </w:r>
            <w:r>
              <w:rPr>
                <w:rFonts w:hint="eastAsia" w:ascii="宋体" w:hAnsi="宋体" w:eastAsia="宋体" w:cs="宋体"/>
                <w:color w:val="auto"/>
                <w:kern w:val="0"/>
                <w:sz w:val="21"/>
                <w:szCs w:val="21"/>
                <w:highlight w:val="none"/>
              </w:rPr>
              <w:t>明确的。</w:t>
            </w:r>
          </w:p>
          <w:p w14:paraId="4F84437F">
            <w:pPr>
              <w:pStyle w:val="2"/>
              <w:keepNext w:val="0"/>
              <w:keepLines w:val="0"/>
              <w:pageBreakBefore w:val="0"/>
              <w:wordWrap/>
              <w:overflowPunct/>
              <w:topLinePunct w:val="0"/>
              <w:bidi w:val="0"/>
              <w:snapToGrid/>
              <w:spacing w:line="480" w:lineRule="exact"/>
              <w:ind w:left="0" w:leftChars="0" w:firstLine="211" w:firstLineChars="100"/>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不</w:t>
            </w:r>
            <w:r>
              <w:rPr>
                <w:rFonts w:hint="eastAsia" w:ascii="宋体" w:hAnsi="宋体" w:eastAsia="宋体" w:cs="宋体"/>
                <w:b/>
                <w:bCs/>
                <w:color w:val="auto"/>
                <w:kern w:val="0"/>
                <w:sz w:val="21"/>
                <w:szCs w:val="21"/>
                <w:highlight w:val="none"/>
                <w:lang w:eastAsia="zh-CN"/>
              </w:rPr>
              <w:t>提供</w:t>
            </w:r>
            <w:r>
              <w:rPr>
                <w:rFonts w:hint="eastAsia" w:ascii="宋体" w:hAnsi="宋体" w:eastAsia="宋体" w:cs="宋体"/>
                <w:b/>
                <w:bCs/>
                <w:color w:val="auto"/>
                <w:kern w:val="0"/>
                <w:sz w:val="21"/>
                <w:szCs w:val="21"/>
                <w:highlight w:val="none"/>
              </w:rPr>
              <w:t>的，得0分。</w:t>
            </w:r>
          </w:p>
          <w:p w14:paraId="1AF7067E">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③应急保障方案（5分）</w:t>
            </w:r>
          </w:p>
          <w:p w14:paraId="3950D814">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一档（5分）：应急预案完整、应急处置流程清晰、有备选方案的；</w:t>
            </w:r>
          </w:p>
          <w:p w14:paraId="4AC96341">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二档（3分）：应急预案较完整的；</w:t>
            </w:r>
          </w:p>
          <w:p w14:paraId="49D02662">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rPr>
              <w:t>三档（</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分）：提供的</w:t>
            </w:r>
            <w:r>
              <w:rPr>
                <w:rFonts w:hint="eastAsia" w:ascii="宋体" w:hAnsi="宋体" w:eastAsia="宋体" w:cs="宋体"/>
                <w:color w:val="auto"/>
                <w:kern w:val="0"/>
                <w:sz w:val="21"/>
                <w:szCs w:val="21"/>
                <w:highlight w:val="none"/>
                <w:lang w:eastAsia="zh-CN"/>
              </w:rPr>
              <w:t>应急预案简单</w:t>
            </w:r>
            <w:r>
              <w:rPr>
                <w:rFonts w:hint="eastAsia" w:ascii="宋体" w:hAnsi="宋体" w:eastAsia="宋体" w:cs="宋体"/>
                <w:color w:val="auto"/>
                <w:kern w:val="0"/>
                <w:sz w:val="21"/>
                <w:szCs w:val="21"/>
                <w:highlight w:val="none"/>
              </w:rPr>
              <w:t>。</w:t>
            </w:r>
          </w:p>
          <w:p w14:paraId="621D76FF">
            <w:pPr>
              <w:pStyle w:val="2"/>
              <w:keepNext w:val="0"/>
              <w:keepLines w:val="0"/>
              <w:pageBreakBefore w:val="0"/>
              <w:wordWrap/>
              <w:overflowPunct/>
              <w:topLinePunct w:val="0"/>
              <w:bidi w:val="0"/>
              <w:snapToGrid/>
              <w:spacing w:line="480" w:lineRule="exac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rPr>
              <w:t>不</w:t>
            </w:r>
            <w:r>
              <w:rPr>
                <w:rFonts w:hint="eastAsia" w:ascii="宋体" w:hAnsi="宋体" w:eastAsia="宋体" w:cs="宋体"/>
                <w:b/>
                <w:bCs/>
                <w:color w:val="auto"/>
                <w:kern w:val="0"/>
                <w:sz w:val="21"/>
                <w:szCs w:val="21"/>
                <w:highlight w:val="none"/>
                <w:lang w:eastAsia="zh-CN"/>
              </w:rPr>
              <w:t>提供</w:t>
            </w:r>
            <w:r>
              <w:rPr>
                <w:rFonts w:hint="eastAsia" w:ascii="宋体" w:hAnsi="宋体" w:eastAsia="宋体" w:cs="宋体"/>
                <w:b/>
                <w:bCs/>
                <w:color w:val="auto"/>
                <w:kern w:val="0"/>
                <w:sz w:val="21"/>
                <w:szCs w:val="21"/>
                <w:highlight w:val="none"/>
              </w:rPr>
              <w:t>的，得0分。</w:t>
            </w:r>
          </w:p>
        </w:tc>
        <w:tc>
          <w:tcPr>
            <w:tcW w:w="513" w:type="pct"/>
            <w:vAlign w:val="center"/>
          </w:tcPr>
          <w:p w14:paraId="47A45106">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p>
        </w:tc>
      </w:tr>
      <w:tr w14:paraId="14E2E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43DB2C41">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2.3</w:t>
            </w:r>
          </w:p>
        </w:tc>
        <w:tc>
          <w:tcPr>
            <w:tcW w:w="610" w:type="pct"/>
            <w:vAlign w:val="center"/>
          </w:tcPr>
          <w:p w14:paraId="2D6939CA">
            <w:pPr>
              <w:keepNext w:val="0"/>
              <w:keepLines w:val="0"/>
              <w:pageBreakBefore w:val="0"/>
              <w:wordWrap/>
              <w:overflowPunct/>
              <w:topLinePunct w:val="0"/>
              <w:bidi w:val="0"/>
              <w:snapToGrid/>
              <w:spacing w:line="480" w:lineRule="exact"/>
              <w:ind w:left="0" w:leftChars="-95" w:hanging="199" w:hangingChars="95"/>
              <w:jc w:val="left"/>
              <w:rPr>
                <w:rFonts w:hint="eastAsia" w:ascii="宋体" w:hAnsi="宋体" w:eastAsia="宋体" w:cs="宋体"/>
                <w:b/>
                <w:bCs/>
                <w:color w:val="auto"/>
                <w:kern w:val="0"/>
                <w:sz w:val="21"/>
                <w:szCs w:val="21"/>
                <w:highlight w:val="none"/>
              </w:rPr>
            </w:pPr>
            <w:r>
              <w:rPr>
                <w:rFonts w:hint="eastAsia" w:ascii="宋体" w:hAnsi="宋体" w:eastAsia="宋体" w:cs="宋体"/>
                <w:color w:val="auto"/>
                <w:sz w:val="21"/>
                <w:szCs w:val="21"/>
                <w:highlight w:val="none"/>
                <w:lang w:val="en-US" w:eastAsia="zh-CN"/>
              </w:rPr>
              <w:t>保密及廉洁管理方案分</w:t>
            </w:r>
          </w:p>
        </w:tc>
        <w:tc>
          <w:tcPr>
            <w:tcW w:w="3542" w:type="pct"/>
            <w:vAlign w:val="center"/>
          </w:tcPr>
          <w:p w14:paraId="177C25B5">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①保密管理制度（5分）</w:t>
            </w:r>
          </w:p>
          <w:p w14:paraId="3447624E">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一档（5分）：保密制度健全、保密范围和涉密事项明确、保密措施具体可落实的；</w:t>
            </w:r>
          </w:p>
          <w:p w14:paraId="3C223BA4">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二档（3分）：保密制度较健全的；</w:t>
            </w:r>
          </w:p>
          <w:p w14:paraId="52319456">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三档（</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分）：保密制度较健全</w:t>
            </w:r>
            <w:r>
              <w:rPr>
                <w:rFonts w:hint="eastAsia" w:ascii="宋体" w:hAnsi="宋体" w:eastAsia="宋体" w:cs="宋体"/>
                <w:color w:val="auto"/>
                <w:kern w:val="0"/>
                <w:sz w:val="21"/>
                <w:szCs w:val="21"/>
                <w:highlight w:val="none"/>
                <w:lang w:eastAsia="zh-CN"/>
              </w:rPr>
              <w:t>简单</w:t>
            </w:r>
            <w:r>
              <w:rPr>
                <w:rFonts w:hint="eastAsia" w:ascii="宋体" w:hAnsi="宋体" w:eastAsia="宋体" w:cs="宋体"/>
                <w:color w:val="auto"/>
                <w:kern w:val="0"/>
                <w:sz w:val="21"/>
                <w:szCs w:val="21"/>
                <w:highlight w:val="none"/>
              </w:rPr>
              <w:t>的。</w:t>
            </w:r>
          </w:p>
          <w:p w14:paraId="46858995">
            <w:pPr>
              <w:pStyle w:val="2"/>
              <w:keepNext w:val="0"/>
              <w:keepLines w:val="0"/>
              <w:pageBreakBefore w:val="0"/>
              <w:wordWrap/>
              <w:overflowPunct/>
              <w:topLinePunct w:val="0"/>
              <w:bidi w:val="0"/>
              <w:snapToGrid/>
              <w:spacing w:line="480" w:lineRule="exact"/>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rPr>
              <w:t>不</w:t>
            </w:r>
            <w:r>
              <w:rPr>
                <w:rFonts w:hint="eastAsia" w:ascii="宋体" w:hAnsi="宋体" w:eastAsia="宋体" w:cs="宋体"/>
                <w:b/>
                <w:bCs/>
                <w:color w:val="auto"/>
                <w:kern w:val="0"/>
                <w:sz w:val="21"/>
                <w:szCs w:val="21"/>
                <w:highlight w:val="none"/>
                <w:lang w:eastAsia="zh-CN"/>
              </w:rPr>
              <w:t>提供</w:t>
            </w:r>
            <w:r>
              <w:rPr>
                <w:rFonts w:hint="eastAsia" w:ascii="宋体" w:hAnsi="宋体" w:eastAsia="宋体" w:cs="宋体"/>
                <w:b/>
                <w:bCs/>
                <w:color w:val="auto"/>
                <w:kern w:val="0"/>
                <w:sz w:val="21"/>
                <w:szCs w:val="21"/>
                <w:highlight w:val="none"/>
              </w:rPr>
              <w:t>的，得0分。</w:t>
            </w:r>
          </w:p>
          <w:p w14:paraId="06FD1297">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②保密承诺（5分）</w:t>
            </w:r>
          </w:p>
          <w:p w14:paraId="725E5CB9">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一档（5分）：提供由法定代表人或授权代表签字并加盖单位公章的保密承诺书的；</w:t>
            </w:r>
          </w:p>
          <w:p w14:paraId="3D8D3633">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w:t>
            </w:r>
            <w:r>
              <w:rPr>
                <w:rFonts w:hint="eastAsia" w:ascii="宋体" w:hAnsi="宋体" w:eastAsia="宋体" w:cs="宋体"/>
                <w:color w:val="auto"/>
                <w:kern w:val="0"/>
                <w:sz w:val="21"/>
                <w:szCs w:val="21"/>
                <w:highlight w:val="none"/>
                <w:lang w:val="en-US" w:eastAsia="zh-CN"/>
              </w:rPr>
              <w:t>0</w:t>
            </w:r>
            <w:r>
              <w:rPr>
                <w:rFonts w:hint="eastAsia" w:ascii="宋体" w:hAnsi="宋体" w:eastAsia="宋体" w:cs="宋体"/>
                <w:color w:val="auto"/>
                <w:kern w:val="0"/>
                <w:sz w:val="21"/>
                <w:szCs w:val="21"/>
                <w:highlight w:val="none"/>
              </w:rPr>
              <w:t>分）：未提供的。</w:t>
            </w:r>
          </w:p>
          <w:p w14:paraId="705FC968">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③廉洁管理方案（5分）</w:t>
            </w:r>
          </w:p>
          <w:p w14:paraId="26244FE6">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一档（5分）：廉洁制度完善、有监督制约机制和违规追责措施的；</w:t>
            </w:r>
          </w:p>
          <w:p w14:paraId="39597A80">
            <w:pPr>
              <w:keepNext w:val="0"/>
              <w:keepLines w:val="0"/>
              <w:pageBreakBefore w:val="0"/>
              <w:wordWrap/>
              <w:overflowPunct/>
              <w:topLinePunct w:val="0"/>
              <w:bidi w:val="0"/>
              <w:snapToGrid/>
              <w:spacing w:line="480" w:lineRule="exact"/>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二档（3分）：廉洁方案较完善的；</w:t>
            </w:r>
          </w:p>
          <w:p w14:paraId="435384EB">
            <w:pPr>
              <w:pStyle w:val="2"/>
              <w:keepNext w:val="0"/>
              <w:keepLines w:val="0"/>
              <w:pageBreakBefore w:val="0"/>
              <w:wordWrap/>
              <w:overflowPunct/>
              <w:topLinePunct w:val="0"/>
              <w:bidi w:val="0"/>
              <w:snapToGrid/>
              <w:spacing w:line="480" w:lineRule="exact"/>
              <w:ind w:left="0" w:leftChars="0"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三档（</w:t>
            </w: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分）：廉洁方案</w:t>
            </w:r>
            <w:r>
              <w:rPr>
                <w:rFonts w:hint="eastAsia" w:ascii="宋体" w:hAnsi="宋体" w:eastAsia="宋体" w:cs="宋体"/>
                <w:color w:val="auto"/>
                <w:kern w:val="0"/>
                <w:sz w:val="21"/>
                <w:szCs w:val="21"/>
                <w:highlight w:val="none"/>
                <w:lang w:eastAsia="zh-CN"/>
              </w:rPr>
              <w:t>简单。</w:t>
            </w:r>
          </w:p>
          <w:p w14:paraId="34B1EE1F">
            <w:pPr>
              <w:pStyle w:val="2"/>
              <w:keepNext w:val="0"/>
              <w:keepLines w:val="0"/>
              <w:pageBreakBefore w:val="0"/>
              <w:wordWrap/>
              <w:overflowPunct/>
              <w:topLinePunct w:val="0"/>
              <w:bidi w:val="0"/>
              <w:snapToGrid/>
              <w:spacing w:line="480" w:lineRule="exact"/>
              <w:ind w:left="0" w:leftChars="0"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不</w:t>
            </w:r>
            <w:r>
              <w:rPr>
                <w:rFonts w:hint="eastAsia" w:ascii="宋体" w:hAnsi="宋体" w:eastAsia="宋体" w:cs="宋体"/>
                <w:b/>
                <w:bCs/>
                <w:color w:val="auto"/>
                <w:kern w:val="0"/>
                <w:sz w:val="21"/>
                <w:szCs w:val="21"/>
                <w:highlight w:val="none"/>
                <w:lang w:eastAsia="zh-CN"/>
              </w:rPr>
              <w:t>提供</w:t>
            </w:r>
            <w:r>
              <w:rPr>
                <w:rFonts w:hint="eastAsia" w:ascii="宋体" w:hAnsi="宋体" w:eastAsia="宋体" w:cs="宋体"/>
                <w:b/>
                <w:bCs/>
                <w:color w:val="auto"/>
                <w:kern w:val="0"/>
                <w:sz w:val="21"/>
                <w:szCs w:val="21"/>
                <w:highlight w:val="none"/>
              </w:rPr>
              <w:t>的，得0分。</w:t>
            </w:r>
          </w:p>
        </w:tc>
        <w:tc>
          <w:tcPr>
            <w:tcW w:w="513" w:type="pct"/>
            <w:vAlign w:val="center"/>
          </w:tcPr>
          <w:p w14:paraId="41EC24C1">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p>
        </w:tc>
      </w:tr>
      <w:tr w14:paraId="188E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60157FB9">
            <w:pPr>
              <w:keepNext w:val="0"/>
              <w:keepLines w:val="0"/>
              <w:pageBreakBefore w:val="0"/>
              <w:wordWrap/>
              <w:overflowPunct/>
              <w:topLinePunct w:val="0"/>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10" w:type="pct"/>
            <w:vAlign w:val="center"/>
          </w:tcPr>
          <w:p w14:paraId="254F62FD">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tc>
        <w:tc>
          <w:tcPr>
            <w:tcW w:w="3542" w:type="pct"/>
            <w:vAlign w:val="center"/>
          </w:tcPr>
          <w:p w14:paraId="66BA127C">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商务分</w:t>
            </w:r>
          </w:p>
        </w:tc>
        <w:tc>
          <w:tcPr>
            <w:tcW w:w="513" w:type="pct"/>
            <w:vAlign w:val="center"/>
          </w:tcPr>
          <w:p w14:paraId="25ACB8D6">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分</w:t>
            </w:r>
          </w:p>
        </w:tc>
      </w:tr>
      <w:tr w14:paraId="6477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38BDE87F">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610" w:type="pct"/>
            <w:vAlign w:val="center"/>
          </w:tcPr>
          <w:p w14:paraId="5DA45E25">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成功案例</w:t>
            </w:r>
          </w:p>
        </w:tc>
        <w:tc>
          <w:tcPr>
            <w:tcW w:w="3542" w:type="pct"/>
          </w:tcPr>
          <w:p w14:paraId="181ED8CB">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①投标人提供近三年（以合同签订时间为准，自本项目响应文件递交截止之日起前推三年）开展过政府网站成功案例的（关于政府网站检查检测、政府网站绩效评估的成功案例），每提供1个得2分，满分6分。</w:t>
            </w:r>
          </w:p>
          <w:p w14:paraId="6C6954C7">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②投标人提供近三年（以合同签订时间为准，自本项目响应文件递交截止之日起前推三年）开展过政府网站成功案例的（关于政府网站检查检测、政府网站绩效评估的成功案例），每提供1个得1分，满分5分。</w:t>
            </w:r>
          </w:p>
          <w:p w14:paraId="6E4F6FC6">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须提供中标通知书或合同复印件并加盖公章。</w:t>
            </w:r>
          </w:p>
        </w:tc>
        <w:tc>
          <w:tcPr>
            <w:tcW w:w="513" w:type="pct"/>
            <w:vAlign w:val="center"/>
          </w:tcPr>
          <w:p w14:paraId="2AC3F6AC">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14</w:t>
            </w:r>
            <w:r>
              <w:rPr>
                <w:rFonts w:hint="eastAsia" w:ascii="宋体" w:hAnsi="宋体" w:eastAsia="宋体" w:cs="宋体"/>
                <w:b/>
                <w:bCs/>
                <w:color w:val="auto"/>
                <w:sz w:val="21"/>
                <w:szCs w:val="21"/>
                <w:highlight w:val="none"/>
              </w:rPr>
              <w:t>分</w:t>
            </w:r>
          </w:p>
        </w:tc>
      </w:tr>
      <w:tr w14:paraId="5C1E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0C70CDB4">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610" w:type="pct"/>
            <w:vAlign w:val="center"/>
          </w:tcPr>
          <w:p w14:paraId="2DC8F385">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企业综合状况</w:t>
            </w:r>
          </w:p>
        </w:tc>
        <w:tc>
          <w:tcPr>
            <w:tcW w:w="3542" w:type="pct"/>
          </w:tcPr>
          <w:p w14:paraId="5EB2B246">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①具有ISO9001质量管理体系认证的，得2分。</w:t>
            </w:r>
          </w:p>
          <w:p w14:paraId="3B0C769C">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②具有ISO27001信息安全管理体系认证的，得2分。</w:t>
            </w:r>
          </w:p>
          <w:p w14:paraId="1EB1FF70">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须提供证书复印件加盖公章。</w:t>
            </w:r>
          </w:p>
        </w:tc>
        <w:tc>
          <w:tcPr>
            <w:tcW w:w="513" w:type="pct"/>
            <w:vAlign w:val="center"/>
          </w:tcPr>
          <w:p w14:paraId="42BA312B">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4分</w:t>
            </w:r>
          </w:p>
        </w:tc>
      </w:tr>
      <w:tr w14:paraId="09A75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7D2F1F7C">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c>
          <w:tcPr>
            <w:tcW w:w="610" w:type="pct"/>
            <w:vAlign w:val="center"/>
          </w:tcPr>
          <w:p w14:paraId="7D1C0059">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项目实施人员</w:t>
            </w:r>
          </w:p>
        </w:tc>
        <w:tc>
          <w:tcPr>
            <w:tcW w:w="3542" w:type="pct"/>
          </w:tcPr>
          <w:p w14:paraId="13433F07">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①针对本项目拟投入10名及以上、少于15名工作人员的，得2分；拟投入15名及以上工作人员的，得4分。</w:t>
            </w:r>
          </w:p>
          <w:p w14:paraId="23F49BDE">
            <w:pPr>
              <w:keepNext w:val="0"/>
              <w:keepLines w:val="0"/>
              <w:pageBreakBefore w:val="0"/>
              <w:widowControl/>
              <w:kinsoku w:val="0"/>
              <w:wordWrap/>
              <w:overflowPunct/>
              <w:topLinePunct w:val="0"/>
              <w:autoSpaceDE w:val="0"/>
              <w:autoSpaceDN w:val="0"/>
              <w:bidi w:val="0"/>
              <w:adjustRightInd w:val="0"/>
              <w:snapToGrid/>
              <w:spacing w:line="480" w:lineRule="exact"/>
              <w:ind w:firstLine="420" w:firstLineChars="200"/>
              <w:jc w:val="both"/>
              <w:textAlignment w:val="baseline"/>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②拟投入人员具有信息系统项目管理师证书的，每投入1人得2分，最高可得6分。</w:t>
            </w:r>
          </w:p>
          <w:p w14:paraId="5B8DE17E">
            <w:pPr>
              <w:keepNext w:val="0"/>
              <w:keepLines w:val="0"/>
              <w:pageBreakBefore w:val="0"/>
              <w:widowControl/>
              <w:kinsoku w:val="0"/>
              <w:wordWrap/>
              <w:overflowPunct/>
              <w:topLinePunct w:val="0"/>
              <w:autoSpaceDE w:val="0"/>
              <w:autoSpaceDN w:val="0"/>
              <w:bidi w:val="0"/>
              <w:adjustRightInd w:val="0"/>
              <w:snapToGrid/>
              <w:spacing w:line="480" w:lineRule="exact"/>
              <w:ind w:firstLine="422" w:firstLineChars="200"/>
              <w:jc w:val="both"/>
              <w:textAlignment w:val="baseline"/>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lang w:val="en-US" w:eastAsia="zh-CN"/>
              </w:rPr>
              <w:t>拟投入人员须为本科及以上学历、计算机相关专业。提供拟投入人员的劳动合同复印件或递交截止前半年内任意一个月的社会保险缴纳证明。</w:t>
            </w:r>
          </w:p>
        </w:tc>
        <w:tc>
          <w:tcPr>
            <w:tcW w:w="513" w:type="pct"/>
            <w:vAlign w:val="center"/>
          </w:tcPr>
          <w:p w14:paraId="3D9E2BCD">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10分</w:t>
            </w:r>
          </w:p>
        </w:tc>
      </w:tr>
      <w:tr w14:paraId="044C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1BD4D820">
            <w:pPr>
              <w:keepNext w:val="0"/>
              <w:keepLines w:val="0"/>
              <w:pageBreakBefore w:val="0"/>
              <w:wordWrap/>
              <w:overflowPunct/>
              <w:topLinePunct w:val="0"/>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610" w:type="pct"/>
            <w:vAlign w:val="center"/>
          </w:tcPr>
          <w:p w14:paraId="3BC1499E">
            <w:pPr>
              <w:pStyle w:val="9"/>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tc>
        <w:tc>
          <w:tcPr>
            <w:tcW w:w="3542" w:type="pct"/>
            <w:vAlign w:val="center"/>
          </w:tcPr>
          <w:p w14:paraId="428E7D8F">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供应商在响应文件递交截止日前1年内在政府采购活动中存在违约违规情形的（以财政部门出具的书面材料为评分依据），每次扣除3分，最高扣分6分为止（供应商应提交而未提交的，视为提供虚假材料谋取中标）</w:t>
            </w:r>
          </w:p>
        </w:tc>
        <w:tc>
          <w:tcPr>
            <w:tcW w:w="513" w:type="pct"/>
            <w:vAlign w:val="center"/>
          </w:tcPr>
          <w:p w14:paraId="37751AE7">
            <w:pPr>
              <w:keepNext w:val="0"/>
              <w:keepLines w:val="0"/>
              <w:pageBreakBefore w:val="0"/>
              <w:wordWrap/>
              <w:overflowPunct/>
              <w:topLinePunct w:val="0"/>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-6-0分</w:t>
            </w:r>
          </w:p>
        </w:tc>
      </w:tr>
    </w:tbl>
    <w:p w14:paraId="1BE334D8">
      <w:pPr>
        <w:keepNext/>
        <w:keepLines/>
        <w:spacing w:before="260" w:after="260" w:line="413" w:lineRule="auto"/>
        <w:jc w:val="left"/>
        <w:outlineLvl w:val="1"/>
        <w:rPr>
          <w:rFonts w:hint="default" w:ascii="Arial" w:hAnsi="Arial" w:eastAsia="黑体"/>
          <w:bCs/>
          <w:color w:val="auto"/>
          <w:kern w:val="0"/>
          <w:sz w:val="30"/>
          <w:szCs w:val="30"/>
          <w:highlight w:val="none"/>
          <w:lang w:val="en-US" w:eastAsia="zh-CN"/>
        </w:rPr>
        <w:sectPr>
          <w:pgSz w:w="11906" w:h="16838"/>
          <w:pgMar w:top="1134" w:right="1474" w:bottom="1134" w:left="1587" w:header="720" w:footer="720" w:gutter="0"/>
          <w:cols w:space="720" w:num="1"/>
          <w:docGrid w:type="lines" w:linePitch="331" w:charSpace="0"/>
        </w:sectPr>
      </w:pPr>
    </w:p>
    <w:p w14:paraId="1B6E6E1E">
      <w:pPr>
        <w:keepNext/>
        <w:keepLines/>
        <w:spacing w:before="260" w:after="260" w:line="413" w:lineRule="auto"/>
        <w:jc w:val="left"/>
        <w:outlineLvl w:val="1"/>
        <w:rPr>
          <w:rFonts w:hint="eastAsia" w:ascii="Arial" w:hAnsi="Arial" w:eastAsia="黑体"/>
          <w:bCs/>
          <w:color w:val="auto"/>
          <w:kern w:val="0"/>
          <w:sz w:val="30"/>
          <w:szCs w:val="30"/>
          <w:highlight w:val="none"/>
          <w:lang w:val="en-US" w:eastAsia="zh-CN"/>
        </w:rPr>
      </w:pPr>
      <w:r>
        <w:rPr>
          <w:rFonts w:hint="eastAsia" w:ascii="Arial" w:hAnsi="Arial" w:eastAsia="黑体"/>
          <w:bCs/>
          <w:color w:val="auto"/>
          <w:kern w:val="0"/>
          <w:sz w:val="30"/>
          <w:szCs w:val="30"/>
          <w:highlight w:val="none"/>
          <w:lang w:eastAsia="zh-CN"/>
        </w:rPr>
        <w:t>分标</w:t>
      </w:r>
      <w:r>
        <w:rPr>
          <w:rFonts w:hint="eastAsia" w:ascii="Arial" w:hAnsi="Arial" w:eastAsia="黑体"/>
          <w:bCs/>
          <w:color w:val="auto"/>
          <w:kern w:val="0"/>
          <w:sz w:val="30"/>
          <w:szCs w:val="30"/>
          <w:highlight w:val="none"/>
          <w:lang w:val="en-US" w:eastAsia="zh-CN"/>
        </w:rPr>
        <w:t>5：</w:t>
      </w:r>
    </w:p>
    <w:tbl>
      <w:tblPr>
        <w:tblStyle w:val="19"/>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131"/>
        <w:gridCol w:w="6567"/>
        <w:gridCol w:w="951"/>
      </w:tblGrid>
      <w:tr w14:paraId="16EF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33" w:type="pct"/>
            <w:vAlign w:val="center"/>
          </w:tcPr>
          <w:p w14:paraId="0E5F7539">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610" w:type="pct"/>
            <w:vAlign w:val="center"/>
          </w:tcPr>
          <w:p w14:paraId="330863CF">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3542" w:type="pct"/>
            <w:vAlign w:val="center"/>
          </w:tcPr>
          <w:p w14:paraId="1A273E0C">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评分标准</w:t>
            </w:r>
          </w:p>
        </w:tc>
        <w:tc>
          <w:tcPr>
            <w:tcW w:w="513" w:type="pct"/>
            <w:vAlign w:val="center"/>
          </w:tcPr>
          <w:p w14:paraId="692072D4">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4BB3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386A23D5">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610" w:type="pct"/>
            <w:vAlign w:val="center"/>
          </w:tcPr>
          <w:p w14:paraId="560540B3">
            <w:pPr>
              <w:keepNext w:val="0"/>
              <w:keepLines w:val="0"/>
              <w:pageBreakBefore w:val="0"/>
              <w:tabs>
                <w:tab w:val="left" w:pos="1200"/>
              </w:tabs>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rPr>
              <w:t>价格分</w:t>
            </w:r>
          </w:p>
        </w:tc>
        <w:tc>
          <w:tcPr>
            <w:tcW w:w="3542" w:type="pct"/>
            <w:vAlign w:val="center"/>
          </w:tcPr>
          <w:p w14:paraId="5CA87D25">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）以进入综合评分的最低评标报价为</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0</w:t>
            </w:r>
            <w:r>
              <w:rPr>
                <w:rFonts w:hint="eastAsia" w:ascii="宋体" w:hAnsi="宋体" w:eastAsia="宋体" w:cs="宋体"/>
                <w:color w:val="auto"/>
                <w:sz w:val="21"/>
                <w:szCs w:val="21"/>
                <w:highlight w:val="none"/>
              </w:rPr>
              <w:t>分。</w:t>
            </w:r>
          </w:p>
          <w:p w14:paraId="48B00D44">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）评标报价为投标人的投标报价进行政策性扣除后的价格，评标报价只是作为评标时使用。最终中标人的中标金额等于投标报价。</w:t>
            </w:r>
          </w:p>
          <w:p w14:paraId="62B81FD5">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）按照《政府采购促进中小企业发展暂行办法》（财库〔</w:t>
            </w:r>
            <w:r>
              <w:rPr>
                <w:rFonts w:hint="eastAsia" w:ascii="宋体" w:hAnsi="宋体" w:eastAsia="宋体" w:cs="宋体"/>
                <w:color w:val="auto"/>
                <w:sz w:val="21"/>
                <w:szCs w:val="21"/>
                <w:highlight w:val="none"/>
                <w:lang w:val="en-US" w:eastAsia="zh-CN"/>
              </w:rPr>
              <w:t>2020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号）的规定，</w:t>
            </w:r>
            <w:r>
              <w:rPr>
                <w:rFonts w:hint="eastAsia" w:ascii="宋体" w:hAnsi="宋体" w:eastAsia="宋体" w:cs="宋体"/>
                <w:color w:val="auto"/>
                <w:sz w:val="21"/>
                <w:szCs w:val="21"/>
                <w:highlight w:val="none"/>
                <w:lang w:val="en-US" w:eastAsia="zh-CN"/>
              </w:rPr>
              <w:t>本项目为专门面向中小企业采购的项目（供应商应为中小微企业、监狱企业、残疾人福利性单位），不再执行价格</w:t>
            </w:r>
            <w:r>
              <w:rPr>
                <w:rFonts w:hint="eastAsia" w:ascii="宋体" w:hAnsi="宋体" w:eastAsia="宋体" w:cs="宋体"/>
                <w:color w:val="auto"/>
                <w:sz w:val="21"/>
                <w:szCs w:val="21"/>
                <w:highlight w:val="none"/>
              </w:rPr>
              <w:t>扣除。</w:t>
            </w:r>
          </w:p>
          <w:p w14:paraId="698EB07D">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根据《关于推动解决政府采购异常低价问题的通知》（财库〔2026〕2号）的规定，评审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52F545AF">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政府采购评审中出现下列情形之一的，评审委员会应当启动异常低价投标（响应）审查程序：</w:t>
            </w:r>
          </w:p>
          <w:p w14:paraId="6A057FB4">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投标（响应）报价低于全部通过符合性审查供应商投标（响应）报价平均值50%的，即投标（响应）报价&lt;全部通过符合性审查供应商投标（响应）报价平均值×50%；</w:t>
            </w:r>
          </w:p>
          <w:p w14:paraId="36EBC002">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投标（响应）报价低于通过符合性审查的次低报价供应商投标（响应）报价50%的，即投标（响应）报价&lt;通过符合性审查的次低报价供应商投标（响应）报价×50%；</w:t>
            </w:r>
          </w:p>
          <w:p w14:paraId="78F5BFE9">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投标（响应）报价低于采购项目最高限价45%的，即投标（响应）报价&lt;采购项目最高限价×45%；</w:t>
            </w:r>
          </w:p>
          <w:p w14:paraId="222BF83E">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④评审委员会基于专业判断，认为供应商报价过低，有可能影响产品质量或者不能诚信履约的其他情形。</w:t>
            </w:r>
          </w:p>
          <w:p w14:paraId="01D714F9">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）价格分计算公式：</w:t>
            </w:r>
            <w:r>
              <w:rPr>
                <w:rFonts w:hint="eastAsia" w:ascii="宋体" w:hAnsi="宋体" w:eastAsia="宋体" w:cs="宋体"/>
                <w:b/>
                <w:bCs/>
                <w:color w:val="auto"/>
                <w:sz w:val="21"/>
                <w:szCs w:val="21"/>
                <w:highlight w:val="none"/>
              </w:rPr>
              <w:t>价格分=（某投标人的最低报价／投标人投标报价）×</w:t>
            </w: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c>
          <w:tcPr>
            <w:tcW w:w="513" w:type="pct"/>
            <w:vAlign w:val="center"/>
          </w:tcPr>
          <w:p w14:paraId="44C87B5C">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r>
      <w:tr w14:paraId="23EA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74E3844A">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10" w:type="pct"/>
            <w:vAlign w:val="center"/>
          </w:tcPr>
          <w:p w14:paraId="4F6F46E6">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tc>
        <w:tc>
          <w:tcPr>
            <w:tcW w:w="3542" w:type="pct"/>
            <w:vAlign w:val="center"/>
          </w:tcPr>
          <w:p w14:paraId="7D3641DB">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技术分</w:t>
            </w:r>
          </w:p>
        </w:tc>
        <w:tc>
          <w:tcPr>
            <w:tcW w:w="513" w:type="pct"/>
            <w:vAlign w:val="center"/>
          </w:tcPr>
          <w:p w14:paraId="5427E8A1">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46</w:t>
            </w:r>
            <w:r>
              <w:rPr>
                <w:rFonts w:hint="eastAsia" w:ascii="宋体" w:hAnsi="宋体" w:eastAsia="宋体" w:cs="宋体"/>
                <w:b/>
                <w:bCs/>
                <w:color w:val="auto"/>
                <w:kern w:val="0"/>
                <w:sz w:val="21"/>
                <w:szCs w:val="21"/>
                <w:highlight w:val="none"/>
              </w:rPr>
              <w:t>分</w:t>
            </w:r>
          </w:p>
        </w:tc>
      </w:tr>
      <w:tr w14:paraId="68A47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65D62376">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p>
        </w:tc>
        <w:tc>
          <w:tcPr>
            <w:tcW w:w="610" w:type="pct"/>
            <w:vAlign w:val="center"/>
          </w:tcPr>
          <w:p w14:paraId="01DD14E5">
            <w:pPr>
              <w:keepNext w:val="0"/>
              <w:keepLines w:val="0"/>
              <w:pageBreakBefore w:val="0"/>
              <w:widowControl w:val="0"/>
              <w:kinsoku/>
              <w:wordWrap/>
              <w:overflowPunct/>
              <w:topLinePunct w:val="0"/>
              <w:autoSpaceDE/>
              <w:autoSpaceDN/>
              <w:bidi w:val="0"/>
              <w:adjustRightInd/>
              <w:snapToGrid/>
              <w:spacing w:line="480" w:lineRule="exact"/>
              <w:ind w:left="-1"/>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kern w:val="2"/>
                <w:sz w:val="21"/>
                <w:szCs w:val="21"/>
                <w:highlight w:val="none"/>
                <w:lang w:val="en-US" w:eastAsia="zh-CN" w:bidi="ar-SA"/>
              </w:rPr>
              <w:t>服务方案</w:t>
            </w:r>
          </w:p>
        </w:tc>
        <w:tc>
          <w:tcPr>
            <w:tcW w:w="3542" w:type="pct"/>
            <w:vAlign w:val="center"/>
          </w:tcPr>
          <w:p w14:paraId="1FD6C7E0">
            <w:pPr>
              <w:pStyle w:val="6"/>
              <w:keepNext w:val="0"/>
              <w:keepLines w:val="0"/>
              <w:pageBreakBefore w:val="0"/>
              <w:widowControl w:val="0"/>
              <w:kinsoku/>
              <w:wordWrap/>
              <w:overflowPunct/>
              <w:topLinePunct w:val="0"/>
              <w:autoSpaceDE/>
              <w:autoSpaceDN/>
              <w:bidi w:val="0"/>
              <w:adjustRightInd/>
              <w:snapToGrid/>
              <w:spacing w:after="0" w:line="480" w:lineRule="exact"/>
              <w:ind w:left="0" w:leftChars="0" w:firstLine="420"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评标委员会根据投标人项目服务方案与需求的吻合程度进行分档，然后在该档进行独立打分。</w:t>
            </w:r>
          </w:p>
          <w:p w14:paraId="13EBDAD1">
            <w:pPr>
              <w:keepNext w:val="0"/>
              <w:keepLines w:val="0"/>
              <w:pageBreakBefore w:val="0"/>
              <w:kinsoku/>
              <w:wordWrap/>
              <w:overflowPunct/>
              <w:topLinePunct w:val="0"/>
              <w:autoSpaceDE/>
              <w:autoSpaceDN/>
              <w:bidi w:val="0"/>
              <w:snapToGrid/>
              <w:spacing w:line="480" w:lineRule="exact"/>
              <w:ind w:firstLine="422" w:firstLineChars="200"/>
              <w:rPr>
                <w:rFonts w:hint="eastAsia"/>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一档（</w:t>
            </w:r>
            <w:r>
              <w:rPr>
                <w:rFonts w:hint="eastAsia" w:ascii="宋体" w:hAnsi="宋体" w:cs="宋体"/>
                <w:b/>
                <w:bCs/>
                <w:color w:val="auto"/>
                <w:kern w:val="2"/>
                <w:sz w:val="21"/>
                <w:szCs w:val="21"/>
                <w:highlight w:val="none"/>
                <w:lang w:val="en-US" w:eastAsia="zh-CN" w:bidi="ar-SA"/>
              </w:rPr>
              <w:t>4</w:t>
            </w:r>
            <w:r>
              <w:rPr>
                <w:rFonts w:hint="eastAsia" w:ascii="宋体" w:hAnsi="宋体" w:eastAsia="宋体" w:cs="宋体"/>
                <w:b/>
                <w:bCs/>
                <w:color w:val="auto"/>
                <w:kern w:val="2"/>
                <w:sz w:val="21"/>
                <w:szCs w:val="21"/>
                <w:highlight w:val="none"/>
                <w:lang w:val="en-US" w:eastAsia="zh-CN" w:bidi="ar-SA"/>
              </w:rPr>
              <w:t>分）：</w:t>
            </w:r>
            <w:r>
              <w:rPr>
                <w:rFonts w:hint="eastAsia" w:ascii="宋体" w:hAnsi="宋体" w:eastAsia="宋体" w:cs="宋体"/>
                <w:color w:val="auto"/>
                <w:kern w:val="2"/>
                <w:sz w:val="21"/>
                <w:szCs w:val="21"/>
                <w:highlight w:val="none"/>
                <w:lang w:val="en-US" w:eastAsia="zh-CN" w:bidi="ar-SA"/>
              </w:rPr>
              <w:t>基本满足采购需求。</w:t>
            </w:r>
          </w:p>
          <w:p w14:paraId="3C375248">
            <w:pPr>
              <w:pStyle w:val="6"/>
              <w:keepNext w:val="0"/>
              <w:keepLines w:val="0"/>
              <w:pageBreakBefore w:val="0"/>
              <w:widowControl w:val="0"/>
              <w:kinsoku/>
              <w:wordWrap/>
              <w:overflowPunct/>
              <w:topLinePunct w:val="0"/>
              <w:autoSpaceDE/>
              <w:autoSpaceDN/>
              <w:bidi w:val="0"/>
              <w:adjustRightInd/>
              <w:snapToGrid/>
              <w:spacing w:after="0" w:line="480" w:lineRule="exact"/>
              <w:ind w:left="0" w:leftChars="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一档（</w:t>
            </w:r>
            <w:r>
              <w:rPr>
                <w:rFonts w:hint="eastAsia" w:ascii="宋体" w:hAnsi="宋体" w:cs="宋体"/>
                <w:b/>
                <w:bCs/>
                <w:color w:val="auto"/>
                <w:kern w:val="2"/>
                <w:sz w:val="21"/>
                <w:szCs w:val="21"/>
                <w:highlight w:val="none"/>
                <w:lang w:val="en-US" w:eastAsia="zh-CN" w:bidi="ar-SA"/>
              </w:rPr>
              <w:t>9</w:t>
            </w:r>
            <w:r>
              <w:rPr>
                <w:rFonts w:hint="eastAsia" w:ascii="宋体" w:hAnsi="宋体" w:eastAsia="宋体" w:cs="宋体"/>
                <w:b/>
                <w:bCs/>
                <w:color w:val="auto"/>
                <w:kern w:val="2"/>
                <w:sz w:val="21"/>
                <w:szCs w:val="21"/>
                <w:highlight w:val="none"/>
                <w:lang w:val="en-US" w:eastAsia="zh-CN" w:bidi="ar-SA"/>
              </w:rPr>
              <w:t>分）：</w:t>
            </w:r>
            <w:r>
              <w:rPr>
                <w:rFonts w:hint="eastAsia" w:ascii="宋体" w:hAnsi="宋体" w:eastAsia="宋体" w:cs="宋体"/>
                <w:color w:val="auto"/>
                <w:kern w:val="2"/>
                <w:sz w:val="21"/>
                <w:szCs w:val="21"/>
                <w:highlight w:val="none"/>
                <w:lang w:val="en-US" w:eastAsia="zh-CN" w:bidi="ar-SA"/>
              </w:rPr>
              <w:t>供应商对政务服务“好差评”甄别项目背景有简单理解，对政务服务大厅与网上政务等工作的需求理解、重点难点分析内容简单，服务方案简单，服务思路及服务方法论述一般，质量管控措施有一定保障，有简单的应急措施，实施方案基本满足项目需求；：供应商针对本项目制订的培训计划、考核方式、目标等人员岗前培训方案内容一般，实施性不强；针对本业务开展1次岗前培训。</w:t>
            </w:r>
          </w:p>
          <w:p w14:paraId="772C980E">
            <w:pPr>
              <w:pStyle w:val="6"/>
              <w:keepNext w:val="0"/>
              <w:keepLines w:val="0"/>
              <w:pageBreakBefore w:val="0"/>
              <w:widowControl w:val="0"/>
              <w:kinsoku/>
              <w:wordWrap/>
              <w:overflowPunct/>
              <w:topLinePunct w:val="0"/>
              <w:autoSpaceDE/>
              <w:autoSpaceDN/>
              <w:bidi w:val="0"/>
              <w:adjustRightInd/>
              <w:snapToGrid/>
              <w:spacing w:after="0" w:line="480" w:lineRule="exact"/>
              <w:ind w:left="0" w:leftChars="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二档（</w:t>
            </w:r>
            <w:r>
              <w:rPr>
                <w:rFonts w:hint="eastAsia" w:ascii="宋体" w:hAnsi="宋体" w:cs="宋体"/>
                <w:b/>
                <w:bCs/>
                <w:color w:val="auto"/>
                <w:kern w:val="2"/>
                <w:sz w:val="21"/>
                <w:szCs w:val="21"/>
                <w:highlight w:val="none"/>
                <w:lang w:val="en-US" w:eastAsia="zh-CN" w:bidi="ar-SA"/>
              </w:rPr>
              <w:t>14</w:t>
            </w:r>
            <w:r>
              <w:rPr>
                <w:rFonts w:hint="eastAsia" w:ascii="宋体" w:hAnsi="宋体" w:eastAsia="宋体" w:cs="宋体"/>
                <w:b/>
                <w:bCs/>
                <w:color w:val="auto"/>
                <w:kern w:val="2"/>
                <w:sz w:val="21"/>
                <w:szCs w:val="21"/>
                <w:highlight w:val="none"/>
                <w:lang w:val="en-US" w:eastAsia="zh-CN" w:bidi="ar-SA"/>
              </w:rPr>
              <w:t>分）：</w:t>
            </w:r>
            <w:r>
              <w:rPr>
                <w:rFonts w:hint="eastAsia" w:ascii="宋体" w:hAnsi="宋体" w:eastAsia="宋体" w:cs="宋体"/>
                <w:color w:val="auto"/>
                <w:kern w:val="2"/>
                <w:sz w:val="21"/>
                <w:szCs w:val="21"/>
                <w:highlight w:val="none"/>
                <w:lang w:val="en-US" w:eastAsia="zh-CN" w:bidi="ar-SA"/>
              </w:rPr>
              <w:t>供应商对政务服务“好差评”甄别项目背景有较好的理解，对政务服务大厅与网上政务等工作需求理解、重点难点分析内容详细，服务方案详细，服务思路及服务方法论述详细，质量管控措施有保障，有详细的应急措施，实施方案完全满足项目需求；供应商针对本项目制订的培训计划、考核方式、目标等人员岗前培训方案内容完整、可实施性较强；针对本业务开展1次岗前培训，3次岗中培训。</w:t>
            </w:r>
          </w:p>
          <w:p w14:paraId="2EC66A06">
            <w:pPr>
              <w:pStyle w:val="6"/>
              <w:keepNext w:val="0"/>
              <w:keepLines w:val="0"/>
              <w:pageBreakBefore w:val="0"/>
              <w:widowControl w:val="0"/>
              <w:kinsoku/>
              <w:wordWrap/>
              <w:overflowPunct/>
              <w:topLinePunct w:val="0"/>
              <w:autoSpaceDE/>
              <w:autoSpaceDN/>
              <w:bidi w:val="0"/>
              <w:adjustRightInd/>
              <w:snapToGrid/>
              <w:spacing w:after="0" w:line="480" w:lineRule="exact"/>
              <w:ind w:left="0" w:leftChars="0"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三档（</w:t>
            </w:r>
            <w:r>
              <w:rPr>
                <w:rFonts w:hint="eastAsia" w:ascii="宋体" w:hAnsi="宋体" w:cs="宋体"/>
                <w:b/>
                <w:bCs/>
                <w:color w:val="auto"/>
                <w:kern w:val="2"/>
                <w:sz w:val="21"/>
                <w:szCs w:val="21"/>
                <w:highlight w:val="none"/>
                <w:lang w:val="en-US" w:eastAsia="zh-CN" w:bidi="ar-SA"/>
              </w:rPr>
              <w:t>18</w:t>
            </w:r>
            <w:r>
              <w:rPr>
                <w:rFonts w:hint="eastAsia" w:ascii="宋体" w:hAnsi="宋体" w:eastAsia="宋体" w:cs="宋体"/>
                <w:b/>
                <w:bCs/>
                <w:color w:val="auto"/>
                <w:kern w:val="2"/>
                <w:sz w:val="21"/>
                <w:szCs w:val="21"/>
                <w:highlight w:val="none"/>
                <w:lang w:val="en-US" w:eastAsia="zh-CN" w:bidi="ar-SA"/>
              </w:rPr>
              <w:t>分）</w:t>
            </w:r>
            <w:r>
              <w:rPr>
                <w:rFonts w:hint="eastAsia" w:ascii="宋体" w:hAnsi="宋体" w:eastAsia="宋体" w:cs="宋体"/>
                <w:color w:val="auto"/>
                <w:kern w:val="2"/>
                <w:sz w:val="21"/>
                <w:szCs w:val="21"/>
                <w:highlight w:val="none"/>
                <w:lang w:val="en-US" w:eastAsia="zh-CN" w:bidi="ar-SA"/>
              </w:rPr>
              <w:t>：供应商对政务服务“好差评”甄别项目背景有细致的了解，包括，对政务服务大厅与网上政务等工作需求理解、重点难点分析内容详细完善，服务方案详细完善，服务思路及服务方法论述详细完善，针对项目实施方案及系统功能提出优化方案，并具有一定可操作性，质量管控措施保障有力，有详细完善的应急措施，有同类政务服务质量分析报告，有政务服务质量问访的脚本、政务服务大厅的“体验官”测评脚本，能全面确保实施方案完全满足项目需求。供应商针对本项目制订的培训计划、考核方式、目标及言行规范、人员业务知识、服务礼仪、12345业务平台操作等技能培训方案优秀，内容丰富，合理性、科学性、针对性强；针对本业务开展1次岗前培训，6次以上岗中培训。</w:t>
            </w:r>
          </w:p>
          <w:p w14:paraId="0AE17003">
            <w:pPr>
              <w:pStyle w:val="6"/>
              <w:keepNext w:val="0"/>
              <w:keepLines w:val="0"/>
              <w:pageBreakBefore w:val="0"/>
              <w:widowControl w:val="0"/>
              <w:kinsoku/>
              <w:wordWrap/>
              <w:overflowPunct/>
              <w:topLinePunct w:val="0"/>
              <w:autoSpaceDE/>
              <w:autoSpaceDN/>
              <w:bidi w:val="0"/>
              <w:adjustRightInd/>
              <w:snapToGrid/>
              <w:spacing w:after="0" w:line="480" w:lineRule="exact"/>
              <w:ind w:left="0" w:leftChars="0" w:firstLine="422" w:firstLineChars="200"/>
              <w:jc w:val="both"/>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注：不提供服务方案或服务方案不符合需求的得0分</w:t>
            </w:r>
          </w:p>
        </w:tc>
        <w:tc>
          <w:tcPr>
            <w:tcW w:w="513" w:type="pct"/>
            <w:vAlign w:val="center"/>
          </w:tcPr>
          <w:p w14:paraId="668AE1B0">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分</w:t>
            </w:r>
          </w:p>
        </w:tc>
      </w:tr>
      <w:tr w14:paraId="3D5D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54468B79">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2.2</w:t>
            </w:r>
          </w:p>
        </w:tc>
        <w:tc>
          <w:tcPr>
            <w:tcW w:w="610" w:type="pct"/>
            <w:vAlign w:val="center"/>
          </w:tcPr>
          <w:p w14:paraId="1BC755D8">
            <w:pPr>
              <w:keepNext w:val="0"/>
              <w:keepLines w:val="0"/>
              <w:pageBreakBefore w:val="0"/>
              <w:kinsoku/>
              <w:wordWrap/>
              <w:overflowPunct/>
              <w:topLinePunct w:val="0"/>
              <w:autoSpaceDE/>
              <w:autoSpaceDN/>
              <w:bidi w:val="0"/>
              <w:snapToGrid/>
              <w:spacing w:line="480" w:lineRule="exact"/>
              <w:ind w:left="10" w:hanging="1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2"/>
                <w:sz w:val="21"/>
                <w:szCs w:val="21"/>
                <w:highlight w:val="none"/>
                <w:lang w:val="en-US" w:eastAsia="zh-CN" w:bidi="ar-SA"/>
              </w:rPr>
              <w:t>人员管理规章制度</w:t>
            </w:r>
          </w:p>
        </w:tc>
        <w:tc>
          <w:tcPr>
            <w:tcW w:w="3542" w:type="pct"/>
            <w:vAlign w:val="center"/>
          </w:tcPr>
          <w:p w14:paraId="28D601EF">
            <w:pPr>
              <w:pStyle w:val="6"/>
              <w:keepNext w:val="0"/>
              <w:keepLines w:val="0"/>
              <w:pageBreakBefore w:val="0"/>
              <w:kinsoku/>
              <w:wordWrap/>
              <w:overflowPunct/>
              <w:topLinePunct w:val="0"/>
              <w:autoSpaceDE/>
              <w:autoSpaceDN/>
              <w:bidi w:val="0"/>
              <w:snapToGrid/>
              <w:spacing w:after="0" w:line="480" w:lineRule="exact"/>
              <w:ind w:left="0" w:leftChars="0"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一档(2分) :</w:t>
            </w:r>
            <w:r>
              <w:rPr>
                <w:rFonts w:hint="eastAsia" w:ascii="宋体" w:hAnsi="宋体" w:eastAsia="宋体" w:cs="宋体"/>
                <w:color w:val="auto"/>
                <w:kern w:val="2"/>
                <w:sz w:val="21"/>
                <w:szCs w:val="21"/>
                <w:highlight w:val="none"/>
                <w:lang w:val="en-US" w:eastAsia="zh-CN" w:bidi="ar-SA"/>
              </w:rPr>
              <w:t>为本项目建立有相关的人员管理规章制度，内容简单，满足要求。提供3份以内相关制度。</w:t>
            </w:r>
          </w:p>
          <w:p w14:paraId="20A948BE">
            <w:pPr>
              <w:pStyle w:val="6"/>
              <w:keepNext w:val="0"/>
              <w:keepLines w:val="0"/>
              <w:pageBreakBefore w:val="0"/>
              <w:kinsoku/>
              <w:wordWrap/>
              <w:overflowPunct/>
              <w:topLinePunct w:val="0"/>
              <w:autoSpaceDE/>
              <w:autoSpaceDN/>
              <w:bidi w:val="0"/>
              <w:snapToGrid/>
              <w:spacing w:after="0" w:line="480" w:lineRule="exact"/>
              <w:ind w:left="0" w:leftChars="0"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二档(</w:t>
            </w:r>
            <w:r>
              <w:rPr>
                <w:rFonts w:hint="eastAsia" w:ascii="宋体" w:hAnsi="宋体" w:cs="宋体"/>
                <w:b/>
                <w:bCs/>
                <w:color w:val="auto"/>
                <w:kern w:val="2"/>
                <w:sz w:val="21"/>
                <w:szCs w:val="21"/>
                <w:highlight w:val="none"/>
                <w:lang w:val="en-US" w:eastAsia="zh-CN" w:bidi="ar-SA"/>
              </w:rPr>
              <w:t>6</w:t>
            </w:r>
            <w:r>
              <w:rPr>
                <w:rFonts w:hint="eastAsia" w:ascii="宋体" w:hAnsi="宋体" w:eastAsia="宋体" w:cs="宋体"/>
                <w:b/>
                <w:bCs/>
                <w:color w:val="auto"/>
                <w:kern w:val="2"/>
                <w:sz w:val="21"/>
                <w:szCs w:val="21"/>
                <w:highlight w:val="none"/>
                <w:lang w:val="en-US" w:eastAsia="zh-CN" w:bidi="ar-SA"/>
              </w:rPr>
              <w:t>分) :</w:t>
            </w:r>
            <w:r>
              <w:rPr>
                <w:rFonts w:hint="eastAsia" w:ascii="宋体" w:hAnsi="宋体" w:eastAsia="宋体" w:cs="宋体"/>
                <w:color w:val="auto"/>
                <w:kern w:val="2"/>
                <w:sz w:val="21"/>
                <w:szCs w:val="21"/>
                <w:highlight w:val="none"/>
                <w:lang w:val="en-US" w:eastAsia="zh-CN" w:bidi="ar-SA"/>
              </w:rPr>
              <w:t>为本项目建立基本完善的人员管理规章制度，制度、管理相对详细，可操作较强，满足要求。提供5份以内相关制度。</w:t>
            </w:r>
          </w:p>
          <w:p w14:paraId="3F210FCA">
            <w:pPr>
              <w:pStyle w:val="6"/>
              <w:keepNext w:val="0"/>
              <w:keepLines w:val="0"/>
              <w:pageBreakBefore w:val="0"/>
              <w:kinsoku/>
              <w:wordWrap/>
              <w:overflowPunct/>
              <w:topLinePunct w:val="0"/>
              <w:autoSpaceDE/>
              <w:autoSpaceDN/>
              <w:bidi w:val="0"/>
              <w:snapToGrid/>
              <w:spacing w:after="0" w:line="480" w:lineRule="exact"/>
              <w:ind w:left="0" w:leftChars="0" w:firstLine="422"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三档(</w:t>
            </w:r>
            <w:r>
              <w:rPr>
                <w:rFonts w:hint="eastAsia" w:ascii="宋体" w:hAnsi="宋体" w:cs="宋体"/>
                <w:b/>
                <w:bCs/>
                <w:color w:val="auto"/>
                <w:kern w:val="2"/>
                <w:sz w:val="21"/>
                <w:szCs w:val="21"/>
                <w:highlight w:val="none"/>
                <w:lang w:val="en-US" w:eastAsia="zh-CN" w:bidi="ar-SA"/>
              </w:rPr>
              <w:t>8</w:t>
            </w:r>
            <w:r>
              <w:rPr>
                <w:rFonts w:hint="eastAsia" w:ascii="宋体" w:hAnsi="宋体" w:eastAsia="宋体" w:cs="宋体"/>
                <w:b/>
                <w:bCs/>
                <w:color w:val="auto"/>
                <w:kern w:val="2"/>
                <w:sz w:val="21"/>
                <w:szCs w:val="21"/>
                <w:highlight w:val="none"/>
                <w:lang w:val="en-US" w:eastAsia="zh-CN" w:bidi="ar-SA"/>
              </w:rPr>
              <w:t>分) :</w:t>
            </w:r>
            <w:r>
              <w:rPr>
                <w:rFonts w:hint="eastAsia" w:ascii="宋体" w:hAnsi="宋体" w:eastAsia="宋体" w:cs="宋体"/>
                <w:color w:val="auto"/>
                <w:kern w:val="2"/>
                <w:sz w:val="21"/>
                <w:szCs w:val="21"/>
                <w:highlight w:val="none"/>
                <w:lang w:val="en-US" w:eastAsia="zh-CN" w:bidi="ar-SA"/>
              </w:rPr>
              <w:t>为本项目建立完善、详细、可行的人员管理规章制度，其中各部门管理制度、各岗位职责等管理内容丰富、可行性强，针对性强，完整、齐全。提供5份以上相关制度</w:t>
            </w:r>
          </w:p>
          <w:p w14:paraId="7011D720">
            <w:pPr>
              <w:pStyle w:val="2"/>
              <w:keepNext w:val="0"/>
              <w:keepLines w:val="0"/>
              <w:pageBreakBefore w:val="0"/>
              <w:kinsoku/>
              <w:wordWrap/>
              <w:overflowPunct/>
              <w:topLinePunct w:val="0"/>
              <w:autoSpaceDE/>
              <w:autoSpaceDN/>
              <w:bidi w:val="0"/>
              <w:snapToGrid/>
              <w:spacing w:line="480" w:lineRule="exact"/>
              <w:ind w:left="0" w:leftChars="0" w:firstLine="0" w:firstLineChars="0"/>
              <w:rPr>
                <w:rFonts w:hint="default" w:ascii="宋体" w:hAnsi="宋体" w:eastAsia="宋体" w:cs="宋体"/>
                <w:color w:val="auto"/>
                <w:sz w:val="21"/>
                <w:szCs w:val="21"/>
                <w:highlight w:val="none"/>
                <w:lang w:val="en-US"/>
              </w:rPr>
            </w:pPr>
            <w:r>
              <w:rPr>
                <w:rFonts w:hint="eastAsia" w:ascii="宋体" w:hAnsi="宋体" w:eastAsia="宋体" w:cs="宋体"/>
                <w:b/>
                <w:bCs/>
                <w:color w:val="auto"/>
                <w:kern w:val="2"/>
                <w:sz w:val="21"/>
                <w:szCs w:val="21"/>
                <w:highlight w:val="none"/>
                <w:lang w:val="en-US" w:eastAsia="zh-CN" w:bidi="ar-SA"/>
              </w:rPr>
              <w:t>注：不满足一档得0分。</w:t>
            </w:r>
          </w:p>
        </w:tc>
        <w:tc>
          <w:tcPr>
            <w:tcW w:w="513" w:type="pct"/>
            <w:vAlign w:val="center"/>
          </w:tcPr>
          <w:p w14:paraId="2767E0D3">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分</w:t>
            </w:r>
          </w:p>
        </w:tc>
      </w:tr>
      <w:tr w14:paraId="1FF0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150AD85C">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2.3</w:t>
            </w:r>
            <w:r>
              <w:rPr>
                <w:rFonts w:hint="eastAsia" w:ascii="宋体" w:hAnsi="宋体" w:eastAsia="宋体" w:cs="宋体"/>
                <w:color w:val="auto"/>
                <w:kern w:val="0"/>
                <w:sz w:val="21"/>
                <w:szCs w:val="21"/>
                <w:highlight w:val="none"/>
                <w:lang w:val="en-US" w:eastAsia="zh-CN"/>
              </w:rPr>
              <w:t xml:space="preserve">    </w:t>
            </w:r>
          </w:p>
        </w:tc>
        <w:tc>
          <w:tcPr>
            <w:tcW w:w="610" w:type="pct"/>
            <w:vAlign w:val="center"/>
          </w:tcPr>
          <w:p w14:paraId="348F656F">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2"/>
                <w:sz w:val="21"/>
                <w:szCs w:val="21"/>
                <w:highlight w:val="none"/>
                <w:lang w:val="en-US" w:eastAsia="zh-CN" w:bidi="ar-SA"/>
              </w:rPr>
              <w:t>人员配备</w:t>
            </w:r>
          </w:p>
        </w:tc>
        <w:tc>
          <w:tcPr>
            <w:tcW w:w="3542" w:type="pct"/>
            <w:vAlign w:val="center"/>
          </w:tcPr>
          <w:p w14:paraId="494EA0BE">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①提供拟投入本项目服务人员具有半年及以上政务服务热线或政务回访服务工作经验，要求提供服务单位主管部门盖章等相关证明及投标人在投标截止时间半年内任意一个月的社保缴费凭证或依法不用缴纳、免缴社保的凭证或劳动合同，本次所列拟投入的人员为中标后服务项目进驻人员。满足项目人员每提供1人得1分，最多5分，有符合前述条件的储备人员可随时上岗的，每提供1人得1分，最多5分。最多得10分。</w:t>
            </w:r>
          </w:p>
          <w:p w14:paraId="4FCFB128">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②供应商提供的本项目服务人员中具备工信部相关部门颁发的客服职业能力等级证书（不限等级）的，每人得2分，最多得6分。</w:t>
            </w:r>
          </w:p>
          <w:p w14:paraId="5460E178">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③供应商提供的本项目服务人员中具有二级乙等及以上普通话等级证书，每人得1分，最多得4分。</w:t>
            </w:r>
          </w:p>
        </w:tc>
        <w:tc>
          <w:tcPr>
            <w:tcW w:w="513" w:type="pct"/>
            <w:vAlign w:val="center"/>
          </w:tcPr>
          <w:p w14:paraId="432FC37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r>
      <w:tr w14:paraId="3526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5DA5F0CF">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10" w:type="pct"/>
            <w:vAlign w:val="center"/>
          </w:tcPr>
          <w:p w14:paraId="73008E1D">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tc>
        <w:tc>
          <w:tcPr>
            <w:tcW w:w="3542" w:type="pct"/>
            <w:vAlign w:val="center"/>
          </w:tcPr>
          <w:p w14:paraId="01BCFA5A">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商务分</w:t>
            </w:r>
          </w:p>
        </w:tc>
        <w:tc>
          <w:tcPr>
            <w:tcW w:w="513" w:type="pct"/>
            <w:vAlign w:val="center"/>
          </w:tcPr>
          <w:p w14:paraId="1D106DCB">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24</w:t>
            </w:r>
            <w:r>
              <w:rPr>
                <w:rFonts w:hint="eastAsia" w:ascii="宋体" w:hAnsi="宋体" w:eastAsia="宋体" w:cs="宋体"/>
                <w:b/>
                <w:bCs/>
                <w:color w:val="auto"/>
                <w:sz w:val="21"/>
                <w:szCs w:val="21"/>
                <w:highlight w:val="none"/>
              </w:rPr>
              <w:t>分</w:t>
            </w:r>
          </w:p>
        </w:tc>
      </w:tr>
      <w:tr w14:paraId="6D30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3C6D15AB">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610" w:type="pct"/>
            <w:vAlign w:val="center"/>
          </w:tcPr>
          <w:p w14:paraId="16233520">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color w:val="auto"/>
                <w:kern w:val="2"/>
                <w:sz w:val="21"/>
                <w:szCs w:val="21"/>
                <w:highlight w:val="none"/>
                <w:lang w:val="en-US" w:eastAsia="zh-CN" w:bidi="ar-SA"/>
              </w:rPr>
              <w:t>服务业绩</w:t>
            </w:r>
          </w:p>
        </w:tc>
        <w:tc>
          <w:tcPr>
            <w:tcW w:w="3542" w:type="pct"/>
          </w:tcPr>
          <w:p w14:paraId="420E7609">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bCs/>
                <w:color w:val="auto"/>
                <w:sz w:val="21"/>
                <w:szCs w:val="21"/>
                <w:highlight w:val="none"/>
              </w:rPr>
            </w:pPr>
            <w:r>
              <w:rPr>
                <w:rFonts w:hint="eastAsia" w:ascii="宋体" w:hAnsi="宋体" w:eastAsia="宋体" w:cs="宋体"/>
                <w:color w:val="auto"/>
                <w:kern w:val="2"/>
                <w:sz w:val="21"/>
                <w:szCs w:val="21"/>
                <w:highlight w:val="none"/>
                <w:lang w:val="en-US" w:eastAsia="zh-CN" w:bidi="ar-SA"/>
              </w:rPr>
              <w:t>提供近三年以来同类型服务项目的业绩（同类项目指政务回访服务或政务热线话务运营服务经验，以中标通知书或合同关键页为准），每个项目3分；提供近三年以来回访类服务项目、热线话务运营服务的业绩，每个项目得1分；同一个业绩不重复计分。满分21分。</w:t>
            </w:r>
          </w:p>
        </w:tc>
        <w:tc>
          <w:tcPr>
            <w:tcW w:w="513" w:type="pct"/>
            <w:vAlign w:val="center"/>
          </w:tcPr>
          <w:p w14:paraId="4C24765E">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21</w:t>
            </w:r>
            <w:r>
              <w:rPr>
                <w:rFonts w:hint="eastAsia" w:ascii="宋体" w:hAnsi="宋体" w:eastAsia="宋体" w:cs="宋体"/>
                <w:b/>
                <w:bCs/>
                <w:color w:val="auto"/>
                <w:sz w:val="21"/>
                <w:szCs w:val="21"/>
                <w:highlight w:val="none"/>
              </w:rPr>
              <w:t>分</w:t>
            </w:r>
          </w:p>
        </w:tc>
      </w:tr>
      <w:tr w14:paraId="4132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49CEACD3">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610" w:type="pct"/>
            <w:vAlign w:val="center"/>
          </w:tcPr>
          <w:p w14:paraId="30E99E0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资质证书</w:t>
            </w:r>
          </w:p>
        </w:tc>
        <w:tc>
          <w:tcPr>
            <w:tcW w:w="3542" w:type="pct"/>
          </w:tcPr>
          <w:p w14:paraId="0C4F7531">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供应商具有有效的ISO 27001信息安全管理体系认证证书得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w:t>
            </w:r>
          </w:p>
          <w:p w14:paraId="29FA9A01">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供应商具有有效的ISO 90001质量管理体系认证证书得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w:t>
            </w:r>
          </w:p>
          <w:p w14:paraId="44597DE5">
            <w:pPr>
              <w:pStyle w:val="6"/>
              <w:keepNext w:val="0"/>
              <w:keepLines w:val="0"/>
              <w:pageBreakBefore w:val="0"/>
              <w:kinsoku/>
              <w:wordWrap/>
              <w:overflowPunct/>
              <w:topLinePunct w:val="0"/>
              <w:autoSpaceDE/>
              <w:autoSpaceDN/>
              <w:bidi w:val="0"/>
              <w:snapToGrid/>
              <w:spacing w:after="0" w:line="480" w:lineRule="exact"/>
              <w:ind w:left="0" w:leftChars="0" w:firstLine="420" w:firstLineChars="200"/>
              <w:jc w:val="both"/>
              <w:rPr>
                <w:rFonts w:hint="eastAsia" w:ascii="宋体" w:hAnsi="宋体" w:eastAsia="宋体" w:cs="宋体"/>
                <w:bCs/>
                <w:color w:val="auto"/>
                <w:sz w:val="21"/>
                <w:szCs w:val="21"/>
                <w:highlight w:val="none"/>
              </w:rPr>
            </w:pPr>
            <w:r>
              <w:rPr>
                <w:rFonts w:hint="eastAsia" w:ascii="宋体" w:hAnsi="宋体" w:eastAsia="宋体" w:cs="宋体"/>
                <w:color w:val="auto"/>
                <w:kern w:val="2"/>
                <w:sz w:val="21"/>
                <w:szCs w:val="21"/>
                <w:highlight w:val="none"/>
                <w:lang w:val="en-US" w:eastAsia="zh-CN" w:bidi="ar-SA"/>
              </w:rPr>
              <w:t>供应商具有有效的ISO 45001职业健康安全管理体系认证证书得</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分。</w:t>
            </w:r>
          </w:p>
        </w:tc>
        <w:tc>
          <w:tcPr>
            <w:tcW w:w="513" w:type="pct"/>
            <w:vAlign w:val="center"/>
          </w:tcPr>
          <w:p w14:paraId="7C85132B">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en-US" w:eastAsia="zh-CN"/>
              </w:rPr>
              <w:t>分</w:t>
            </w:r>
          </w:p>
        </w:tc>
      </w:tr>
      <w:tr w14:paraId="275E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3C8AD10F">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610" w:type="pct"/>
            <w:vAlign w:val="center"/>
          </w:tcPr>
          <w:p w14:paraId="0F31FA79">
            <w:pPr>
              <w:pStyle w:val="9"/>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tc>
        <w:tc>
          <w:tcPr>
            <w:tcW w:w="3542" w:type="pct"/>
            <w:vAlign w:val="center"/>
          </w:tcPr>
          <w:p w14:paraId="43FBE86B">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供应商在响应文件递交截止日前1年内在政府采购活动中存在违约违规情形的（以财政部门出具的书面材料为评分依据），每次扣除3分，最高扣分6分为止（供应商应提交而未提交的，视为提供虚假材料谋取中标）</w:t>
            </w:r>
          </w:p>
        </w:tc>
        <w:tc>
          <w:tcPr>
            <w:tcW w:w="513" w:type="pct"/>
            <w:vAlign w:val="center"/>
          </w:tcPr>
          <w:p w14:paraId="0B064A3B">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-6-0分</w:t>
            </w:r>
          </w:p>
        </w:tc>
      </w:tr>
    </w:tbl>
    <w:p w14:paraId="04B9A224">
      <w:pPr>
        <w:pStyle w:val="2"/>
        <w:rPr>
          <w:rFonts w:hint="eastAsia" w:ascii="Arial" w:hAnsi="Arial" w:eastAsia="黑体"/>
          <w:bCs/>
          <w:color w:val="auto"/>
          <w:kern w:val="0"/>
          <w:sz w:val="30"/>
          <w:szCs w:val="30"/>
          <w:highlight w:val="none"/>
          <w:lang w:val="en-US" w:eastAsia="zh-CN"/>
        </w:rPr>
      </w:pPr>
    </w:p>
    <w:p w14:paraId="3CF14A5E">
      <w:pPr>
        <w:pStyle w:val="2"/>
        <w:rPr>
          <w:rFonts w:hint="default" w:ascii="Arial" w:hAnsi="Arial" w:eastAsia="黑体"/>
          <w:bCs/>
          <w:color w:val="auto"/>
          <w:kern w:val="0"/>
          <w:sz w:val="30"/>
          <w:szCs w:val="30"/>
          <w:highlight w:val="none"/>
          <w:lang w:val="en-US" w:eastAsia="zh-CN"/>
        </w:rPr>
        <w:sectPr>
          <w:pgSz w:w="11906" w:h="16838"/>
          <w:pgMar w:top="1134" w:right="1474" w:bottom="1134" w:left="1587" w:header="720" w:footer="720" w:gutter="0"/>
          <w:cols w:space="720" w:num="1"/>
          <w:docGrid w:type="lines" w:linePitch="331" w:charSpace="0"/>
        </w:sectPr>
      </w:pPr>
    </w:p>
    <w:p w14:paraId="663B93D6">
      <w:pPr>
        <w:keepNext/>
        <w:keepLines/>
        <w:spacing w:before="260" w:after="260" w:line="413" w:lineRule="auto"/>
        <w:jc w:val="left"/>
        <w:outlineLvl w:val="1"/>
        <w:rPr>
          <w:rFonts w:hint="eastAsia" w:ascii="Arial" w:hAnsi="Arial" w:eastAsia="黑体"/>
          <w:bCs/>
          <w:color w:val="auto"/>
          <w:kern w:val="0"/>
          <w:sz w:val="30"/>
          <w:szCs w:val="30"/>
          <w:highlight w:val="none"/>
          <w:lang w:val="en-US" w:eastAsia="zh-CN"/>
        </w:rPr>
      </w:pPr>
      <w:r>
        <w:rPr>
          <w:rFonts w:hint="eastAsia" w:ascii="Arial" w:hAnsi="Arial" w:eastAsia="黑体"/>
          <w:bCs/>
          <w:color w:val="auto"/>
          <w:kern w:val="0"/>
          <w:sz w:val="30"/>
          <w:szCs w:val="30"/>
          <w:highlight w:val="none"/>
          <w:lang w:eastAsia="zh-CN"/>
        </w:rPr>
        <w:t>分标</w:t>
      </w:r>
      <w:r>
        <w:rPr>
          <w:rFonts w:hint="eastAsia" w:ascii="Arial" w:hAnsi="Arial" w:eastAsia="黑体"/>
          <w:bCs/>
          <w:color w:val="auto"/>
          <w:kern w:val="0"/>
          <w:sz w:val="30"/>
          <w:szCs w:val="30"/>
          <w:highlight w:val="none"/>
          <w:lang w:val="en-US" w:eastAsia="zh-CN"/>
        </w:rPr>
        <w:t>6：</w:t>
      </w:r>
    </w:p>
    <w:tbl>
      <w:tblPr>
        <w:tblStyle w:val="19"/>
        <w:tblW w:w="51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131"/>
        <w:gridCol w:w="6567"/>
        <w:gridCol w:w="951"/>
      </w:tblGrid>
      <w:tr w14:paraId="776E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33" w:type="pct"/>
            <w:vAlign w:val="center"/>
          </w:tcPr>
          <w:p w14:paraId="06B3A3F2">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610" w:type="pct"/>
            <w:vAlign w:val="center"/>
          </w:tcPr>
          <w:p w14:paraId="32B17CAA">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评审因素</w:t>
            </w:r>
          </w:p>
        </w:tc>
        <w:tc>
          <w:tcPr>
            <w:tcW w:w="3542" w:type="pct"/>
            <w:vAlign w:val="center"/>
          </w:tcPr>
          <w:p w14:paraId="763B0D5A">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评分标准</w:t>
            </w:r>
          </w:p>
        </w:tc>
        <w:tc>
          <w:tcPr>
            <w:tcW w:w="513" w:type="pct"/>
            <w:vAlign w:val="center"/>
          </w:tcPr>
          <w:p w14:paraId="1D632664">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分值</w:t>
            </w:r>
          </w:p>
        </w:tc>
      </w:tr>
      <w:tr w14:paraId="7F49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2E15CD32">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p>
        </w:tc>
        <w:tc>
          <w:tcPr>
            <w:tcW w:w="610" w:type="pct"/>
            <w:vAlign w:val="center"/>
          </w:tcPr>
          <w:p w14:paraId="6C45E545">
            <w:pPr>
              <w:keepNext w:val="0"/>
              <w:keepLines w:val="0"/>
              <w:pageBreakBefore w:val="0"/>
              <w:tabs>
                <w:tab w:val="left" w:pos="1200"/>
              </w:tabs>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color w:val="auto"/>
                <w:sz w:val="21"/>
                <w:szCs w:val="21"/>
                <w:highlight w:val="none"/>
              </w:rPr>
              <w:t>价格分</w:t>
            </w:r>
          </w:p>
        </w:tc>
        <w:tc>
          <w:tcPr>
            <w:tcW w:w="3542" w:type="pct"/>
            <w:vAlign w:val="center"/>
          </w:tcPr>
          <w:p w14:paraId="19DF70EE">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）以进入综合评分的最低评标报价为</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p w14:paraId="249A44B2">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）评标报价为投标人的投标报价进行政策性扣除后的价格，评标报价只是作为评标时使用。最终中标人的中标金额等于投标报价。</w:t>
            </w:r>
          </w:p>
          <w:p w14:paraId="088923D2">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）按照《政府采购促进中小企业发展暂行办法》（财库〔</w:t>
            </w:r>
            <w:r>
              <w:rPr>
                <w:rFonts w:hint="eastAsia" w:ascii="宋体" w:hAnsi="宋体" w:eastAsia="宋体" w:cs="宋体"/>
                <w:color w:val="auto"/>
                <w:sz w:val="21"/>
                <w:szCs w:val="21"/>
                <w:highlight w:val="none"/>
                <w:lang w:val="en-US" w:eastAsia="zh-CN"/>
              </w:rPr>
              <w:t>2020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46</w:t>
            </w:r>
            <w:r>
              <w:rPr>
                <w:rFonts w:hint="eastAsia" w:ascii="宋体" w:hAnsi="宋体" w:eastAsia="宋体" w:cs="宋体"/>
                <w:color w:val="auto"/>
                <w:sz w:val="21"/>
                <w:szCs w:val="21"/>
                <w:highlight w:val="none"/>
              </w:rPr>
              <w:t>号）的规定，</w:t>
            </w:r>
            <w:r>
              <w:rPr>
                <w:rFonts w:hint="eastAsia" w:ascii="宋体" w:hAnsi="宋体" w:eastAsia="宋体" w:cs="宋体"/>
                <w:color w:val="auto"/>
                <w:sz w:val="21"/>
                <w:szCs w:val="21"/>
                <w:highlight w:val="none"/>
                <w:lang w:val="en-US" w:eastAsia="zh-CN"/>
              </w:rPr>
              <w:t>本项目为专门面向中小企业采购的项目（供应商应为中小微企业、监狱企业、残疾人福利性单位），不再执行价格</w:t>
            </w:r>
            <w:r>
              <w:rPr>
                <w:rFonts w:hint="eastAsia" w:ascii="宋体" w:hAnsi="宋体" w:eastAsia="宋体" w:cs="宋体"/>
                <w:color w:val="auto"/>
                <w:sz w:val="21"/>
                <w:szCs w:val="21"/>
                <w:highlight w:val="none"/>
              </w:rPr>
              <w:t>扣除。</w:t>
            </w:r>
          </w:p>
          <w:p w14:paraId="57571593">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根据《关于推动解决政府采购异常低价问题的通知》（财库〔2026〕2号）的规定，评审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将其作为无效投标处理。</w:t>
            </w:r>
          </w:p>
          <w:p w14:paraId="07B0A127">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政府采购评审中出现下列情形之一的，评审委员会应当启动异常低价投标（响应）审查程序：</w:t>
            </w:r>
          </w:p>
          <w:p w14:paraId="11EADD21">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rPr>
              <w:t>投标（响应）报价低于全部通过符合性审查供应商投标（响应）报价平均值50%的，即投标（响应）报价&lt;全部通过符合性审查供应商投标（响应）报价平均值×50%；</w:t>
            </w:r>
          </w:p>
          <w:p w14:paraId="187356DB">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投标（响应）报价低于通过符合性审查的次低报价供应商投标（响应）报价50%的，即投标（响应）报价&lt;通过符合性审查的次低报价供应商投标（响应）报价×50%；</w:t>
            </w:r>
          </w:p>
          <w:p w14:paraId="756CC724">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rPr>
              <w:t>投标（响应）报价低于采购项目最高限价45%的，即投标（响应）报价&lt;采购项目最高限价×45%；</w:t>
            </w:r>
          </w:p>
          <w:p w14:paraId="3AE39D4B">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④评审委员会基于专业判断，认为供应商报价过低，有可能影响产品质量或者不能诚信履约的其他情形。</w:t>
            </w:r>
          </w:p>
          <w:p w14:paraId="30441C1D">
            <w:pPr>
              <w:keepNext w:val="0"/>
              <w:keepLines w:val="0"/>
              <w:pageBreakBefore w:val="0"/>
              <w:numPr>
                <w:ilvl w:val="0"/>
                <w:numId w:val="0"/>
              </w:numPr>
              <w:kinsoku/>
              <w:wordWrap/>
              <w:overflowPunct/>
              <w:topLinePunct w:val="0"/>
              <w:autoSpaceDE/>
              <w:autoSpaceDN/>
              <w:bidi w:val="0"/>
              <w:adjustRightInd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）价格分计算公式：</w:t>
            </w:r>
            <w:r>
              <w:rPr>
                <w:rFonts w:hint="eastAsia" w:ascii="宋体" w:hAnsi="宋体" w:eastAsia="宋体" w:cs="宋体"/>
                <w:b/>
                <w:bCs/>
                <w:color w:val="auto"/>
                <w:sz w:val="21"/>
                <w:szCs w:val="21"/>
                <w:highlight w:val="none"/>
              </w:rPr>
              <w:t>价格分=（某投标人的最低报价／投标人投标报价）×</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c>
          <w:tcPr>
            <w:tcW w:w="513" w:type="pct"/>
            <w:vAlign w:val="center"/>
          </w:tcPr>
          <w:p w14:paraId="6F03BA0B">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r>
      <w:tr w14:paraId="7674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33" w:type="pct"/>
            <w:vAlign w:val="center"/>
          </w:tcPr>
          <w:p w14:paraId="572B1CAE">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610" w:type="pct"/>
            <w:vAlign w:val="center"/>
          </w:tcPr>
          <w:p w14:paraId="6318F336">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w:t>
            </w:r>
          </w:p>
        </w:tc>
        <w:tc>
          <w:tcPr>
            <w:tcW w:w="3542" w:type="pct"/>
            <w:vAlign w:val="center"/>
          </w:tcPr>
          <w:p w14:paraId="4CA86505">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技术分</w:t>
            </w:r>
          </w:p>
        </w:tc>
        <w:tc>
          <w:tcPr>
            <w:tcW w:w="513" w:type="pct"/>
            <w:vAlign w:val="center"/>
          </w:tcPr>
          <w:p w14:paraId="7AD997D5">
            <w:pPr>
              <w:keepNext w:val="0"/>
              <w:keepLines w:val="0"/>
              <w:pageBreakBefore w:val="0"/>
              <w:widowControl/>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52</w:t>
            </w:r>
            <w:r>
              <w:rPr>
                <w:rFonts w:hint="eastAsia" w:ascii="宋体" w:hAnsi="宋体" w:eastAsia="宋体" w:cs="宋体"/>
                <w:b/>
                <w:bCs/>
                <w:color w:val="auto"/>
                <w:kern w:val="0"/>
                <w:sz w:val="21"/>
                <w:szCs w:val="21"/>
                <w:highlight w:val="none"/>
              </w:rPr>
              <w:t>分</w:t>
            </w:r>
          </w:p>
        </w:tc>
      </w:tr>
      <w:tr w14:paraId="1229F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26DDEA3B">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2.1</w:t>
            </w:r>
          </w:p>
        </w:tc>
        <w:tc>
          <w:tcPr>
            <w:tcW w:w="610" w:type="pct"/>
            <w:vAlign w:val="center"/>
          </w:tcPr>
          <w:p w14:paraId="4B622596">
            <w:pPr>
              <w:keepNext w:val="0"/>
              <w:keepLines w:val="0"/>
              <w:pageBreakBefore w:val="0"/>
              <w:widowControl w:val="0"/>
              <w:kinsoku/>
              <w:wordWrap/>
              <w:overflowPunct/>
              <w:topLinePunct w:val="0"/>
              <w:autoSpaceDE/>
              <w:autoSpaceDN/>
              <w:bidi w:val="0"/>
              <w:adjustRightInd/>
              <w:snapToGrid/>
              <w:spacing w:line="480" w:lineRule="exact"/>
              <w:ind w:left="-1"/>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对项目情况的理解和工作方案合理性</w:t>
            </w:r>
          </w:p>
        </w:tc>
        <w:tc>
          <w:tcPr>
            <w:tcW w:w="3542" w:type="pct"/>
            <w:vAlign w:val="center"/>
          </w:tcPr>
          <w:p w14:paraId="5C28C940">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一档（5分）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提出了针对性工作方案，对项目环境及情况较为了解，工作思路及需求分析符合要求。</w:t>
            </w:r>
          </w:p>
          <w:p w14:paraId="4EB39EF9">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二档（10分）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在一档的基础上，对本项目的总体需求的理解程度、项目范围把握准确程度较高，抽查指标设计较为全面，基本符合国家相关要求和发展趋势。</w:t>
            </w:r>
          </w:p>
          <w:p w14:paraId="78826348">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三档（15分）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在二档的基础上，对采购人现状及业务、技术需求有充分认识和理解，对“高效办成一件事”及重点事项“回头看”工作要求理解情况了解全面，贴合国办相关要求和发展趋势，业务模式满足招标要求并且别具特色，检查措施成熟先进，符合广西实际，设计全面完善。</w:t>
            </w:r>
          </w:p>
          <w:p w14:paraId="1559A137">
            <w:pPr>
              <w:pStyle w:val="2"/>
              <w:keepNext w:val="0"/>
              <w:keepLines w:val="0"/>
              <w:pageBreakBefore w:val="0"/>
              <w:kinsoku/>
              <w:wordWrap/>
              <w:overflowPunct/>
              <w:topLinePunct w:val="0"/>
              <w:autoSpaceDE/>
              <w:autoSpaceDN/>
              <w:bidi w:val="0"/>
              <w:snapToGrid/>
              <w:spacing w:line="480" w:lineRule="exact"/>
              <w:ind w:left="0" w:leftChars="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注：不提供方案不得分</w:t>
            </w:r>
          </w:p>
        </w:tc>
        <w:tc>
          <w:tcPr>
            <w:tcW w:w="513" w:type="pct"/>
            <w:vAlign w:val="center"/>
          </w:tcPr>
          <w:p w14:paraId="1B8344A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rPr>
              <w:t>分</w:t>
            </w:r>
          </w:p>
        </w:tc>
      </w:tr>
      <w:tr w14:paraId="101C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1DE8188D">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2.2</w:t>
            </w:r>
          </w:p>
        </w:tc>
        <w:tc>
          <w:tcPr>
            <w:tcW w:w="610" w:type="pct"/>
            <w:vAlign w:val="center"/>
          </w:tcPr>
          <w:p w14:paraId="1E04F0C0">
            <w:pPr>
              <w:keepNext w:val="0"/>
              <w:keepLines w:val="0"/>
              <w:pageBreakBefore w:val="0"/>
              <w:kinsoku/>
              <w:wordWrap/>
              <w:overflowPunct/>
              <w:topLinePunct w:val="0"/>
              <w:autoSpaceDE/>
              <w:autoSpaceDN/>
              <w:bidi w:val="0"/>
              <w:snapToGrid/>
              <w:spacing w:line="480" w:lineRule="exact"/>
              <w:ind w:left="10" w:hanging="10"/>
              <w:jc w:val="center"/>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实施计划安排</w:t>
            </w:r>
          </w:p>
        </w:tc>
        <w:tc>
          <w:tcPr>
            <w:tcW w:w="3542" w:type="pct"/>
            <w:vAlign w:val="center"/>
          </w:tcPr>
          <w:p w14:paraId="62C7CB69">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一档（2分）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具有实施计划，计划安排基本满足项目需求；</w:t>
            </w:r>
          </w:p>
          <w:p w14:paraId="46C1F5C8">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二档（4分）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实施计划安排合理，具有组织方案、人员培训、进度安排方面的内容；</w:t>
            </w:r>
          </w:p>
          <w:p w14:paraId="1AC65F36">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三档（6分）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实施计划安排详细合理，组织方案、人员培训、进度安排方面措施明确可行，细致周到。</w:t>
            </w:r>
          </w:p>
          <w:p w14:paraId="5E78BDE3">
            <w:pPr>
              <w:pStyle w:val="2"/>
              <w:keepNext w:val="0"/>
              <w:keepLines w:val="0"/>
              <w:pageBreakBefore w:val="0"/>
              <w:kinsoku/>
              <w:wordWrap/>
              <w:overflowPunct/>
              <w:topLinePunct w:val="0"/>
              <w:autoSpaceDE/>
              <w:autoSpaceDN/>
              <w:bidi w:val="0"/>
              <w:snapToGrid/>
              <w:spacing w:line="480" w:lineRule="exact"/>
              <w:ind w:left="0" w:leftChars="0" w:firstLine="0" w:firstLineChars="0"/>
              <w:jc w:val="left"/>
              <w:rPr>
                <w:rFonts w:hint="eastAsia" w:ascii="宋体" w:hAnsi="宋体" w:eastAsia="宋体" w:cs="宋体"/>
                <w:color w:val="auto"/>
                <w:sz w:val="21"/>
                <w:szCs w:val="21"/>
                <w:highlight w:val="none"/>
                <w:lang w:val="en-US"/>
              </w:rPr>
            </w:pPr>
            <w:r>
              <w:rPr>
                <w:rFonts w:hint="eastAsia" w:ascii="宋体" w:hAnsi="宋体" w:eastAsia="宋体" w:cs="宋体"/>
                <w:b/>
                <w:bCs/>
                <w:color w:val="auto"/>
                <w:kern w:val="2"/>
                <w:sz w:val="21"/>
                <w:szCs w:val="21"/>
                <w:highlight w:val="none"/>
                <w:lang w:val="en-US" w:eastAsia="zh-CN" w:bidi="ar-SA"/>
              </w:rPr>
              <w:t>注：不提供方案不得分</w:t>
            </w:r>
          </w:p>
        </w:tc>
        <w:tc>
          <w:tcPr>
            <w:tcW w:w="513" w:type="pct"/>
            <w:vAlign w:val="center"/>
          </w:tcPr>
          <w:p w14:paraId="0801FADD">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p>
        </w:tc>
      </w:tr>
      <w:tr w14:paraId="4EE18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0D04658B">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2.3</w:t>
            </w:r>
            <w:r>
              <w:rPr>
                <w:rFonts w:hint="eastAsia" w:ascii="宋体" w:hAnsi="宋体" w:eastAsia="宋体" w:cs="宋体"/>
                <w:color w:val="auto"/>
                <w:kern w:val="0"/>
                <w:sz w:val="21"/>
                <w:szCs w:val="21"/>
                <w:highlight w:val="none"/>
                <w:lang w:val="en-US" w:eastAsia="zh-CN"/>
              </w:rPr>
              <w:t xml:space="preserve">    </w:t>
            </w:r>
          </w:p>
        </w:tc>
        <w:tc>
          <w:tcPr>
            <w:tcW w:w="610" w:type="pct"/>
            <w:vAlign w:val="center"/>
          </w:tcPr>
          <w:p w14:paraId="6E72DC9E">
            <w:pPr>
              <w:keepNext w:val="0"/>
              <w:keepLines w:val="0"/>
              <w:pageBreakBefore w:val="0"/>
              <w:kinsoku/>
              <w:wordWrap/>
              <w:overflowPunct/>
              <w:topLinePunct w:val="0"/>
              <w:autoSpaceDE/>
              <w:autoSpaceDN/>
              <w:bidi w:val="0"/>
              <w:snapToGrid/>
              <w:spacing w:line="480" w:lineRule="exact"/>
              <w:ind w:left="0" w:leftChars="-95" w:hanging="199" w:hangingChars="95"/>
              <w:jc w:val="center"/>
              <w:rPr>
                <w:rFonts w:hint="eastAsia" w:ascii="宋体" w:hAnsi="宋体" w:eastAsia="宋体" w:cs="宋体"/>
                <w:b/>
                <w:bCs/>
                <w:color w:val="auto"/>
                <w:kern w:val="0"/>
                <w:sz w:val="21"/>
                <w:szCs w:val="21"/>
                <w:highlight w:val="none"/>
              </w:rPr>
            </w:pPr>
            <w:r>
              <w:rPr>
                <w:rFonts w:hint="eastAsia" w:ascii="宋体" w:hAnsi="宋体" w:eastAsia="宋体" w:cs="宋体"/>
                <w:color w:val="auto"/>
                <w:sz w:val="21"/>
                <w:szCs w:val="21"/>
                <w:highlight w:val="none"/>
              </w:rPr>
              <w:t>项目售后服务及项目重点、难点分析及解决方案</w:t>
            </w:r>
          </w:p>
        </w:tc>
        <w:tc>
          <w:tcPr>
            <w:tcW w:w="3542" w:type="pct"/>
            <w:vAlign w:val="center"/>
          </w:tcPr>
          <w:p w14:paraId="025C8C52">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一档（3分）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售后服务和难点分析解决方案基本满足项目需求；</w:t>
            </w:r>
          </w:p>
          <w:p w14:paraId="13674DD5">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二档（6分）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对本项目重点、难点分析情况合理，具有技术支持渠道；</w:t>
            </w:r>
          </w:p>
          <w:p w14:paraId="7401B2B3">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三档（8分）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对本项目重点、难点分析切合实际，解决方案科学、合理、完整度高、可操作性强，提供完善的技术支持渠道和成熟的售后服务管理体系。</w:t>
            </w:r>
          </w:p>
          <w:p w14:paraId="77700E71">
            <w:pPr>
              <w:pStyle w:val="2"/>
              <w:keepNext w:val="0"/>
              <w:keepLines w:val="0"/>
              <w:pageBreakBefore w:val="0"/>
              <w:kinsoku/>
              <w:wordWrap/>
              <w:overflowPunct/>
              <w:topLinePunct w:val="0"/>
              <w:autoSpaceDE/>
              <w:autoSpaceDN/>
              <w:bidi w:val="0"/>
              <w:snapToGrid/>
              <w:spacing w:line="480" w:lineRule="exact"/>
              <w:ind w:left="0" w:leftChars="0" w:firstLine="0" w:firstLineChars="0"/>
              <w:jc w:val="left"/>
              <w:rPr>
                <w:rFonts w:hint="eastAsia" w:ascii="宋体" w:hAnsi="宋体" w:eastAsia="宋体" w:cs="宋体"/>
                <w:color w:val="auto"/>
                <w:sz w:val="21"/>
                <w:szCs w:val="21"/>
                <w:highlight w:val="none"/>
              </w:rPr>
            </w:pPr>
            <w:r>
              <w:rPr>
                <w:rFonts w:hint="eastAsia" w:ascii="宋体" w:hAnsi="宋体" w:eastAsia="宋体" w:cs="宋体"/>
                <w:b/>
                <w:bCs/>
                <w:color w:val="auto"/>
                <w:kern w:val="2"/>
                <w:sz w:val="21"/>
                <w:szCs w:val="21"/>
                <w:highlight w:val="none"/>
                <w:lang w:val="en-US" w:eastAsia="zh-CN" w:bidi="ar-SA"/>
              </w:rPr>
              <w:t>注：不提供方案不得分</w:t>
            </w:r>
          </w:p>
        </w:tc>
        <w:tc>
          <w:tcPr>
            <w:tcW w:w="513" w:type="pct"/>
            <w:vAlign w:val="center"/>
          </w:tcPr>
          <w:p w14:paraId="136131C7">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分</w:t>
            </w:r>
          </w:p>
        </w:tc>
      </w:tr>
      <w:tr w14:paraId="776D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66A9F0BA">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2.4</w:t>
            </w:r>
          </w:p>
        </w:tc>
        <w:tc>
          <w:tcPr>
            <w:tcW w:w="610" w:type="pct"/>
            <w:vAlign w:val="center"/>
          </w:tcPr>
          <w:p w14:paraId="1AC87FD4">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项目管理制度</w:t>
            </w:r>
          </w:p>
        </w:tc>
        <w:tc>
          <w:tcPr>
            <w:tcW w:w="3542" w:type="pct"/>
            <w:vAlign w:val="center"/>
          </w:tcPr>
          <w:p w14:paraId="07CD05FA">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项目管理制度不全，风险控制管理、质量保障措施、项目管理制度、文档管理措施、项目成员管理制度等内容严重缺漏；</w:t>
            </w:r>
          </w:p>
          <w:p w14:paraId="0FFA4AD4">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项目管理制度较为全面，风险控制管理、质量保障措施、项目管理制度、文档管理措施、项目成员管理制度等内容不全；</w:t>
            </w:r>
          </w:p>
          <w:p w14:paraId="4769F8A5">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w:t>
            </w:r>
            <w:r>
              <w:rPr>
                <w:rFonts w:hint="eastAsia" w:ascii="宋体" w:hAnsi="宋体" w:eastAsia="宋体" w:cs="宋体"/>
                <w:b/>
                <w:bCs/>
                <w:color w:val="auto"/>
                <w:sz w:val="21"/>
                <w:szCs w:val="21"/>
                <w:highlight w:val="none"/>
                <w:lang w:val="en-US" w:eastAsia="zh-CN"/>
              </w:rPr>
              <w:t>8</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项目管理制度全面，具有明确的风险控制管理、质量保障措施、项目管理制度、文档管理措施、项目成员管理制度。</w:t>
            </w:r>
          </w:p>
          <w:p w14:paraId="464F11E7">
            <w:pPr>
              <w:pStyle w:val="2"/>
              <w:keepNext w:val="0"/>
              <w:keepLines w:val="0"/>
              <w:pageBreakBefore w:val="0"/>
              <w:kinsoku/>
              <w:wordWrap/>
              <w:overflowPunct/>
              <w:topLinePunct w:val="0"/>
              <w:autoSpaceDE/>
              <w:autoSpaceDN/>
              <w:bidi w:val="0"/>
              <w:snapToGrid/>
              <w:spacing w:line="480" w:lineRule="exact"/>
              <w:ind w:left="0" w:leftChars="0" w:firstLine="0" w:firstLineChars="0"/>
              <w:jc w:val="left"/>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注：不提供方案不得分。</w:t>
            </w:r>
          </w:p>
        </w:tc>
        <w:tc>
          <w:tcPr>
            <w:tcW w:w="513" w:type="pct"/>
            <w:vAlign w:val="center"/>
          </w:tcPr>
          <w:p w14:paraId="52612872">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8分</w:t>
            </w:r>
          </w:p>
        </w:tc>
      </w:tr>
      <w:tr w14:paraId="231C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15993DA9">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2.5</w:t>
            </w:r>
          </w:p>
        </w:tc>
        <w:tc>
          <w:tcPr>
            <w:tcW w:w="610" w:type="pct"/>
            <w:vAlign w:val="center"/>
          </w:tcPr>
          <w:p w14:paraId="2562B086">
            <w:pPr>
              <w:keepNext w:val="0"/>
              <w:keepLines w:val="0"/>
              <w:pageBreakBefore w:val="0"/>
              <w:kinsoku/>
              <w:wordWrap/>
              <w:overflowPunct/>
              <w:topLinePunct w:val="0"/>
              <w:autoSpaceDE/>
              <w:autoSpaceDN/>
              <w:bidi w:val="0"/>
              <w:snapToGrid/>
              <w:spacing w:line="480" w:lineRule="exact"/>
              <w:ind w:left="1" w:leftChars="-95" w:hanging="200" w:hangingChars="95"/>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工作成果情况</w:t>
            </w:r>
          </w:p>
        </w:tc>
        <w:tc>
          <w:tcPr>
            <w:tcW w:w="3542" w:type="pct"/>
            <w:vAlign w:val="center"/>
          </w:tcPr>
          <w:p w14:paraId="56FE9516">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由评委根据各供应商提供的预检查报告，确定各供应商所属档次及分值。不满足一档要求或未提供的不得分。</w:t>
            </w:r>
          </w:p>
          <w:p w14:paraId="57D1D139">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一档（5分）：</w:t>
            </w:r>
            <w:r>
              <w:rPr>
                <w:rFonts w:hint="eastAsia" w:ascii="宋体" w:hAnsi="宋体" w:eastAsia="宋体" w:cs="宋体"/>
                <w:color w:val="auto"/>
                <w:sz w:val="21"/>
                <w:szCs w:val="21"/>
                <w:highlight w:val="none"/>
              </w:rPr>
              <w:t>有简单的预检查报告示例，可操作性不强、内容不全面。</w:t>
            </w:r>
          </w:p>
          <w:p w14:paraId="7B778436">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二档（10分）：</w:t>
            </w:r>
            <w:r>
              <w:rPr>
                <w:rFonts w:hint="eastAsia" w:ascii="宋体" w:hAnsi="宋体" w:eastAsia="宋体" w:cs="宋体"/>
                <w:color w:val="auto"/>
                <w:sz w:val="21"/>
                <w:szCs w:val="21"/>
                <w:highlight w:val="none"/>
              </w:rPr>
              <w:t>有较为详细的预检查报告示例，有一定的可操作性、内容较为详实的，基本符合项目要求，提升建议合理但不够先进的。</w:t>
            </w:r>
          </w:p>
          <w:p w14:paraId="52F114F5">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三档（15分）：</w:t>
            </w:r>
            <w:r>
              <w:rPr>
                <w:rFonts w:hint="eastAsia" w:ascii="宋体" w:hAnsi="宋体" w:eastAsia="宋体" w:cs="宋体"/>
                <w:color w:val="auto"/>
                <w:sz w:val="21"/>
                <w:szCs w:val="21"/>
                <w:highlight w:val="none"/>
              </w:rPr>
              <w:t>有详细的预检查报告示例，可操作性强、内容详实，全面符合项目要求，提升建议合理较为先进的；对项目的初步检查及最终服务成果的验收有详细的工作方案，对与采购人的沟通及项目的后续服务有明确可行的预案，对服务质量有明确的保证承诺。</w:t>
            </w:r>
          </w:p>
          <w:p w14:paraId="6F3D965E">
            <w:pPr>
              <w:pStyle w:val="2"/>
              <w:keepNext w:val="0"/>
              <w:keepLines w:val="0"/>
              <w:pageBreakBefore w:val="0"/>
              <w:kinsoku/>
              <w:wordWrap/>
              <w:overflowPunct/>
              <w:topLinePunct w:val="0"/>
              <w:autoSpaceDE/>
              <w:autoSpaceDN/>
              <w:bidi w:val="0"/>
              <w:snapToGrid/>
              <w:spacing w:line="480" w:lineRule="exact"/>
              <w:ind w:left="0" w:leftChars="0" w:firstLine="0" w:firstLineChars="0"/>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注：不提供方案不得分。</w:t>
            </w:r>
          </w:p>
        </w:tc>
        <w:tc>
          <w:tcPr>
            <w:tcW w:w="513" w:type="pct"/>
            <w:vAlign w:val="center"/>
          </w:tcPr>
          <w:p w14:paraId="4FD49E93">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15分</w:t>
            </w:r>
          </w:p>
        </w:tc>
      </w:tr>
      <w:tr w14:paraId="0F74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33" w:type="pct"/>
            <w:vAlign w:val="center"/>
          </w:tcPr>
          <w:p w14:paraId="6EF211EC">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610" w:type="pct"/>
            <w:vAlign w:val="center"/>
          </w:tcPr>
          <w:p w14:paraId="185A3DEE">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tc>
        <w:tc>
          <w:tcPr>
            <w:tcW w:w="3542" w:type="pct"/>
            <w:vAlign w:val="center"/>
          </w:tcPr>
          <w:p w14:paraId="59B845DB">
            <w:pPr>
              <w:keepNext w:val="0"/>
              <w:keepLines w:val="0"/>
              <w:pageBreakBefore w:val="0"/>
              <w:kinsoku/>
              <w:wordWrap/>
              <w:overflowPunct/>
              <w:topLinePunct w:val="0"/>
              <w:autoSpaceDE/>
              <w:autoSpaceDN/>
              <w:bidi w:val="0"/>
              <w:snapToGrid/>
              <w:spacing w:line="48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商务分</w:t>
            </w:r>
          </w:p>
        </w:tc>
        <w:tc>
          <w:tcPr>
            <w:tcW w:w="513" w:type="pct"/>
            <w:vAlign w:val="center"/>
          </w:tcPr>
          <w:p w14:paraId="08F233FF">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分</w:t>
            </w:r>
          </w:p>
        </w:tc>
      </w:tr>
      <w:tr w14:paraId="48D7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148BF3D8">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3.1</w:t>
            </w:r>
          </w:p>
        </w:tc>
        <w:tc>
          <w:tcPr>
            <w:tcW w:w="610" w:type="pct"/>
            <w:vAlign w:val="center"/>
          </w:tcPr>
          <w:p w14:paraId="56E152E3">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color w:val="auto"/>
                <w:sz w:val="21"/>
                <w:szCs w:val="21"/>
                <w:highlight w:val="none"/>
              </w:rPr>
              <w:t>综合实力</w:t>
            </w:r>
          </w:p>
        </w:tc>
        <w:tc>
          <w:tcPr>
            <w:tcW w:w="3542" w:type="pct"/>
          </w:tcPr>
          <w:p w14:paraId="76BA403B">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具有有效期内ISO9001质量管理体系认证证书的，得</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分；须提供相关证明材料，否则不予计分。</w:t>
            </w:r>
          </w:p>
        </w:tc>
        <w:tc>
          <w:tcPr>
            <w:tcW w:w="513" w:type="pct"/>
            <w:vAlign w:val="center"/>
          </w:tcPr>
          <w:p w14:paraId="562FC2A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分</w:t>
            </w:r>
          </w:p>
        </w:tc>
      </w:tr>
      <w:tr w14:paraId="0211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2B237DA5">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3.2</w:t>
            </w:r>
          </w:p>
        </w:tc>
        <w:tc>
          <w:tcPr>
            <w:tcW w:w="610" w:type="pct"/>
            <w:vAlign w:val="center"/>
          </w:tcPr>
          <w:p w14:paraId="408568E5">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sz w:val="21"/>
                <w:szCs w:val="21"/>
                <w:highlight w:val="none"/>
              </w:rPr>
              <w:t>人员配置</w:t>
            </w:r>
          </w:p>
        </w:tc>
        <w:tc>
          <w:tcPr>
            <w:tcW w:w="3542" w:type="pct"/>
          </w:tcPr>
          <w:p w14:paraId="07DC8F20">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1）拟投入本项目的项目负责人具有不少于10年的相关政务服务、政府网站、政务公开等类型评估工作实施管理经验之一，</w:t>
            </w:r>
            <w:r>
              <w:rPr>
                <w:rFonts w:hint="eastAsia" w:ascii="宋体" w:hAnsi="宋体" w:eastAsia="宋体" w:cs="宋体"/>
                <w:b/>
                <w:bCs/>
                <w:color w:val="auto"/>
                <w:sz w:val="21"/>
                <w:szCs w:val="21"/>
                <w:highlight w:val="none"/>
              </w:rPr>
              <w:t>得</w:t>
            </w: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分（提供投标人盖章证明文件及承诺函）</w:t>
            </w:r>
            <w:r>
              <w:rPr>
                <w:rFonts w:hint="eastAsia" w:ascii="宋体" w:hAnsi="宋体" w:eastAsia="宋体" w:cs="宋体"/>
                <w:color w:val="auto"/>
                <w:sz w:val="21"/>
                <w:szCs w:val="21"/>
                <w:highlight w:val="none"/>
              </w:rPr>
              <w:t>。</w:t>
            </w:r>
          </w:p>
          <w:p w14:paraId="7899AB12">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2）拟投入团队人员中成员中具有工业和信息化部教育与考试中心颁发的高级大数据分析师证书，每提供一个证书得1分，最多可</w:t>
            </w:r>
            <w:r>
              <w:rPr>
                <w:rFonts w:hint="eastAsia" w:ascii="宋体" w:hAnsi="宋体" w:eastAsia="宋体" w:cs="宋体"/>
                <w:b/>
                <w:bCs/>
                <w:color w:val="auto"/>
                <w:sz w:val="21"/>
                <w:szCs w:val="21"/>
                <w:highlight w:val="none"/>
              </w:rPr>
              <w:t>得</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rPr>
              <w:t>；具有人社部门或工信部门颁发有效的的信息安全工程师证书，或中国信息安全测评中心颁发的国家信息安全水平考试证书的，每提供一个证书得1分，最多可</w:t>
            </w:r>
            <w:r>
              <w:rPr>
                <w:rFonts w:hint="eastAsia" w:ascii="宋体" w:hAnsi="宋体" w:eastAsia="宋体" w:cs="宋体"/>
                <w:b/>
                <w:bCs/>
                <w:color w:val="auto"/>
                <w:sz w:val="21"/>
                <w:szCs w:val="21"/>
                <w:highlight w:val="none"/>
              </w:rPr>
              <w:t>得</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rPr>
              <w:t>；团队成员发表过包含政务服务、数据分析或政府网站等内容的论文，每篇1分，最多可得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r>
              <w:rPr>
                <w:rFonts w:hint="eastAsia" w:ascii="宋体" w:hAnsi="宋体" w:eastAsia="宋体" w:cs="宋体"/>
                <w:b/>
                <w:bCs/>
                <w:color w:val="auto"/>
                <w:sz w:val="21"/>
                <w:szCs w:val="21"/>
                <w:highlight w:val="none"/>
              </w:rPr>
              <w:t>满分9分</w:t>
            </w:r>
            <w:r>
              <w:rPr>
                <w:rFonts w:hint="eastAsia" w:ascii="宋体" w:hAnsi="宋体" w:eastAsia="宋体" w:cs="宋体"/>
                <w:color w:val="auto"/>
                <w:sz w:val="21"/>
                <w:szCs w:val="21"/>
                <w:highlight w:val="none"/>
              </w:rPr>
              <w:t>。</w:t>
            </w:r>
          </w:p>
          <w:p w14:paraId="2812DDCD">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【评审时要求提供人员的相关资格证书复印件，提供在本单位任职的相关证明材料（如加盖政府有关部门印章的打印日期在本项目评审截止日之前</w:t>
            </w:r>
            <w:r>
              <w:rPr>
                <w:rFonts w:hint="eastAsia" w:ascii="宋体" w:hAnsi="宋体" w:eastAsia="宋体" w:cs="宋体"/>
                <w:b/>
                <w:bCs/>
                <w:color w:val="auto"/>
                <w:sz w:val="21"/>
                <w:szCs w:val="21"/>
                <w:highlight w:val="none"/>
                <w:lang w:eastAsia="zh-CN"/>
              </w:rPr>
              <w:t>半年内</w:t>
            </w:r>
            <w:r>
              <w:rPr>
                <w:rFonts w:hint="eastAsia" w:ascii="宋体" w:hAnsi="宋体" w:eastAsia="宋体" w:cs="宋体"/>
                <w:b/>
                <w:bCs/>
                <w:color w:val="auto"/>
                <w:sz w:val="21"/>
                <w:szCs w:val="21"/>
                <w:highlight w:val="none"/>
              </w:rPr>
              <w:t>以来任意一个月的《投保单》或《社会保险参保人员证明》</w:t>
            </w:r>
            <w:r>
              <w:rPr>
                <w:rFonts w:hint="eastAsia" w:ascii="宋体" w:hAnsi="宋体" w:eastAsia="宋体" w:cs="宋体"/>
                <w:b/>
                <w:bCs/>
                <w:color w:val="auto"/>
                <w:sz w:val="21"/>
                <w:szCs w:val="21"/>
                <w:highlight w:val="none"/>
                <w:lang w:eastAsia="zh-CN"/>
              </w:rPr>
              <w:t>或劳动合同</w:t>
            </w:r>
            <w:r>
              <w:rPr>
                <w:rFonts w:hint="eastAsia" w:ascii="宋体" w:hAnsi="宋体" w:eastAsia="宋体" w:cs="宋体"/>
                <w:b/>
                <w:bCs/>
                <w:color w:val="auto"/>
                <w:sz w:val="21"/>
                <w:szCs w:val="21"/>
                <w:highlight w:val="none"/>
              </w:rPr>
              <w:t>等复印件）。论文作者中需注明本人姓名，需提供期刊编号、文章编号及国家新闻出版署</w:t>
            </w:r>
            <w:r>
              <w:rPr>
                <w:rFonts w:hint="eastAsia" w:ascii="宋体" w:hAnsi="宋体" w:eastAsia="宋体" w:cs="宋体"/>
                <w:b/>
                <w:bCs/>
                <w:color w:val="auto"/>
                <w:sz w:val="21"/>
                <w:szCs w:val="21"/>
                <w:highlight w:val="none"/>
                <w:lang w:eastAsia="zh-CN"/>
              </w:rPr>
              <w:t>或</w:t>
            </w:r>
            <w:r>
              <w:rPr>
                <w:rFonts w:hint="eastAsia" w:ascii="宋体" w:hAnsi="宋体" w:eastAsia="宋体" w:cs="宋体"/>
                <w:b/>
                <w:bCs/>
                <w:color w:val="auto"/>
                <w:sz w:val="21"/>
                <w:szCs w:val="21"/>
                <w:highlight w:val="none"/>
              </w:rPr>
              <w:t>中国知网查询结果截图并加盖投标人公章。不满足上述要求的本项不得分。】</w:t>
            </w:r>
          </w:p>
        </w:tc>
        <w:tc>
          <w:tcPr>
            <w:tcW w:w="513" w:type="pct"/>
            <w:vAlign w:val="center"/>
          </w:tcPr>
          <w:p w14:paraId="30CE507F">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11分</w:t>
            </w:r>
          </w:p>
        </w:tc>
      </w:tr>
      <w:tr w14:paraId="207A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400AD8D9">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3.3</w:t>
            </w:r>
          </w:p>
        </w:tc>
        <w:tc>
          <w:tcPr>
            <w:tcW w:w="610" w:type="pct"/>
            <w:vAlign w:val="center"/>
          </w:tcPr>
          <w:p w14:paraId="026C344D">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strike/>
                <w:dstrike w:val="0"/>
                <w:color w:val="auto"/>
                <w:sz w:val="21"/>
                <w:szCs w:val="21"/>
                <w:highlight w:val="none"/>
                <w:lang w:val="en-US" w:eastAsia="zh-CN"/>
              </w:rPr>
            </w:pPr>
            <w:r>
              <w:rPr>
                <w:rFonts w:hint="eastAsia" w:ascii="宋体" w:hAnsi="宋体" w:eastAsia="宋体" w:cs="宋体"/>
                <w:color w:val="auto"/>
                <w:sz w:val="21"/>
                <w:szCs w:val="21"/>
                <w:highlight w:val="none"/>
              </w:rPr>
              <w:t>专家顾问团队</w:t>
            </w:r>
          </w:p>
        </w:tc>
        <w:tc>
          <w:tcPr>
            <w:tcW w:w="3542" w:type="pct"/>
          </w:tcPr>
          <w:p w14:paraId="4C5770AA">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color w:val="auto"/>
                <w:sz w:val="21"/>
                <w:szCs w:val="21"/>
                <w:highlight w:val="none"/>
              </w:rPr>
            </w:pPr>
          </w:p>
          <w:p w14:paraId="27BDDDFE">
            <w:pPr>
              <w:keepNext w:val="0"/>
              <w:keepLines w:val="0"/>
              <w:pageBreakBefore w:val="0"/>
              <w:kinsoku/>
              <w:wordWrap/>
              <w:overflowPunct/>
              <w:topLinePunct w:val="0"/>
              <w:autoSpaceDE/>
              <w:autoSpaceDN/>
              <w:bidi w:val="0"/>
              <w:snapToGrid/>
              <w:spacing w:line="480" w:lineRule="exact"/>
              <w:ind w:firstLine="420" w:firstLineChars="200"/>
              <w:rPr>
                <w:rFonts w:hint="eastAsia" w:ascii="宋体" w:hAnsi="宋体" w:eastAsia="宋体" w:cs="宋体"/>
                <w:bCs/>
                <w:strike/>
                <w:dstrike w:val="0"/>
                <w:color w:val="auto"/>
                <w:sz w:val="21"/>
                <w:szCs w:val="21"/>
                <w:highlight w:val="none"/>
              </w:rPr>
            </w:pPr>
            <w:r>
              <w:rPr>
                <w:rFonts w:hint="eastAsia" w:ascii="宋体" w:hAnsi="宋体" w:eastAsia="宋体" w:cs="宋体"/>
                <w:color w:val="auto"/>
                <w:sz w:val="21"/>
                <w:szCs w:val="21"/>
                <w:highlight w:val="none"/>
              </w:rPr>
              <w:t>拟投入本项目的专家顾问团队参与或研究成果用于国家政务公开、政务服务、政府网站、政务新媒体的政策制定，被直接引用的，每个政策得2分，最高可得6分。【注：提供人员简历</w:t>
            </w:r>
            <w:r>
              <w:rPr>
                <w:rFonts w:hint="eastAsia" w:ascii="宋体" w:hAnsi="宋体" w:eastAsia="宋体" w:cs="宋体"/>
                <w:color w:val="auto"/>
                <w:sz w:val="21"/>
                <w:szCs w:val="21"/>
                <w:highlight w:val="none"/>
                <w:lang w:eastAsia="zh-CN"/>
              </w:rPr>
              <w:t>和</w:t>
            </w:r>
            <w:r>
              <w:rPr>
                <w:rFonts w:hint="eastAsia" w:ascii="宋体" w:hAnsi="宋体" w:eastAsia="宋体" w:cs="宋体"/>
                <w:color w:val="auto"/>
                <w:sz w:val="21"/>
                <w:szCs w:val="21"/>
                <w:highlight w:val="none"/>
              </w:rPr>
              <w:t>相关工作证明材料、研究成果须与相应政策对应（提供对照表及对应说明）作为计分依据，上述资料需加盖供应商公章，否则不得分。】</w:t>
            </w:r>
          </w:p>
        </w:tc>
        <w:tc>
          <w:tcPr>
            <w:tcW w:w="513" w:type="pct"/>
            <w:vAlign w:val="center"/>
          </w:tcPr>
          <w:p w14:paraId="167D7860">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6分</w:t>
            </w:r>
          </w:p>
        </w:tc>
      </w:tr>
      <w:tr w14:paraId="4062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1E6AD022">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3.4</w:t>
            </w:r>
          </w:p>
        </w:tc>
        <w:tc>
          <w:tcPr>
            <w:tcW w:w="610" w:type="pct"/>
            <w:vAlign w:val="center"/>
          </w:tcPr>
          <w:p w14:paraId="4ECC86D1">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strike/>
                <w:dstrike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业绩分</w:t>
            </w:r>
          </w:p>
        </w:tc>
        <w:tc>
          <w:tcPr>
            <w:tcW w:w="3542" w:type="pct"/>
          </w:tcPr>
          <w:p w14:paraId="683DA314">
            <w:pPr>
              <w:keepNext w:val="0"/>
              <w:keepLines w:val="0"/>
              <w:pageBreakBefore w:val="0"/>
              <w:kinsoku/>
              <w:wordWrap/>
              <w:overflowPunct/>
              <w:topLinePunct w:val="0"/>
              <w:autoSpaceDE/>
              <w:autoSpaceDN/>
              <w:bidi w:val="0"/>
              <w:snapToGrid/>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lang w:val="en-US" w:eastAsia="zh-CN"/>
              </w:rPr>
              <w:t>2023</w:t>
            </w:r>
            <w:r>
              <w:rPr>
                <w:rFonts w:hint="eastAsia" w:ascii="宋体" w:hAnsi="宋体" w:eastAsia="宋体" w:cs="宋体"/>
                <w:color w:val="auto"/>
                <w:sz w:val="21"/>
                <w:szCs w:val="21"/>
                <w:highlight w:val="none"/>
              </w:rPr>
              <w:t>年以来同类业绩的</w:t>
            </w:r>
            <w:r>
              <w:rPr>
                <w:rFonts w:hint="eastAsia" w:ascii="宋体" w:hAnsi="宋体" w:eastAsia="宋体" w:cs="宋体"/>
                <w:color w:val="auto"/>
                <w:sz w:val="21"/>
                <w:szCs w:val="21"/>
                <w:highlight w:val="none"/>
                <w:lang w:eastAsia="zh-CN"/>
              </w:rPr>
              <w:t>证明。</w:t>
            </w:r>
            <w:r>
              <w:rPr>
                <w:rFonts w:hint="eastAsia" w:ascii="宋体" w:hAnsi="宋体" w:eastAsia="宋体" w:cs="宋体"/>
                <w:color w:val="auto"/>
                <w:sz w:val="21"/>
                <w:szCs w:val="21"/>
                <w:highlight w:val="none"/>
              </w:rPr>
              <w:t>每项得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分，满分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70E9CFB8">
            <w:pPr>
              <w:keepNext w:val="0"/>
              <w:keepLines w:val="0"/>
              <w:pageBreakBefore w:val="0"/>
              <w:kinsoku/>
              <w:wordWrap/>
              <w:overflowPunct/>
              <w:topLinePunct w:val="0"/>
              <w:autoSpaceDE/>
              <w:autoSpaceDN/>
              <w:bidi w:val="0"/>
              <w:snapToGrid/>
              <w:spacing w:line="480" w:lineRule="exact"/>
              <w:ind w:firstLine="422" w:firstLineChars="200"/>
              <w:rPr>
                <w:rFonts w:hint="eastAsia" w:ascii="宋体" w:hAnsi="宋体" w:eastAsia="宋体" w:cs="宋体"/>
                <w:bCs/>
                <w:strike/>
                <w:dstrike w:val="0"/>
                <w:color w:val="auto"/>
                <w:sz w:val="21"/>
                <w:szCs w:val="21"/>
                <w:highlight w:val="none"/>
              </w:rPr>
            </w:pPr>
            <w:r>
              <w:rPr>
                <w:rFonts w:hint="eastAsia" w:ascii="宋体" w:hAnsi="宋体" w:eastAsia="宋体" w:cs="宋体"/>
                <w:b/>
                <w:bCs/>
                <w:color w:val="auto"/>
                <w:sz w:val="21"/>
                <w:szCs w:val="21"/>
                <w:highlight w:val="none"/>
              </w:rPr>
              <w:t>注：</w:t>
            </w:r>
            <w:r>
              <w:rPr>
                <w:rFonts w:hint="eastAsia" w:ascii="宋体" w:hAnsi="宋体" w:eastAsia="宋体" w:cs="宋体"/>
                <w:b/>
                <w:bCs/>
                <w:color w:val="auto"/>
                <w:sz w:val="21"/>
                <w:szCs w:val="21"/>
                <w:highlight w:val="none"/>
                <w:lang w:val="en-US" w:eastAsia="zh-CN"/>
              </w:rPr>
              <w:t>①</w:t>
            </w:r>
            <w:r>
              <w:rPr>
                <w:rFonts w:hint="eastAsia" w:ascii="宋体" w:hAnsi="宋体" w:eastAsia="宋体" w:cs="宋体"/>
                <w:b/>
                <w:bCs/>
                <w:color w:val="auto"/>
                <w:sz w:val="21"/>
                <w:szCs w:val="21"/>
                <w:highlight w:val="none"/>
              </w:rPr>
              <w:t>同类服务业绩是指：近三年内为市级以上党委、政府提供过相关政务服务或政府网站等相关服务；</w:t>
            </w:r>
            <w:r>
              <w:rPr>
                <w:rFonts w:hint="eastAsia" w:ascii="宋体" w:hAnsi="宋体" w:eastAsia="宋体" w:cs="宋体"/>
                <w:b/>
                <w:bCs/>
                <w:color w:val="auto"/>
                <w:sz w:val="21"/>
                <w:szCs w:val="21"/>
                <w:highlight w:val="none"/>
                <w:lang w:val="en-US" w:eastAsia="zh-CN"/>
              </w:rPr>
              <w:t>②</w:t>
            </w:r>
            <w:r>
              <w:rPr>
                <w:rFonts w:hint="eastAsia" w:ascii="宋体" w:hAnsi="宋体" w:eastAsia="宋体" w:cs="宋体"/>
                <w:b/>
                <w:bCs/>
                <w:color w:val="auto"/>
                <w:sz w:val="21"/>
                <w:szCs w:val="21"/>
                <w:highlight w:val="none"/>
              </w:rPr>
              <w:t>须提供有效的项目合同复印件或项目中标</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通知书。</w:t>
            </w:r>
          </w:p>
        </w:tc>
        <w:tc>
          <w:tcPr>
            <w:tcW w:w="513" w:type="pct"/>
            <w:vAlign w:val="center"/>
          </w:tcPr>
          <w:p w14:paraId="1C538208">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10分</w:t>
            </w:r>
          </w:p>
        </w:tc>
      </w:tr>
      <w:tr w14:paraId="0A7E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333" w:type="pct"/>
            <w:vAlign w:val="center"/>
          </w:tcPr>
          <w:p w14:paraId="21074893">
            <w:pPr>
              <w:keepNext w:val="0"/>
              <w:keepLines w:val="0"/>
              <w:pageBreakBefore w:val="0"/>
              <w:kinsoku/>
              <w:wordWrap/>
              <w:overflowPunct/>
              <w:topLinePunct w:val="0"/>
              <w:autoSpaceDE/>
              <w:autoSpaceDN/>
              <w:bidi w:val="0"/>
              <w:adjustRightInd w:val="0"/>
              <w:snapToGrid/>
              <w:spacing w:line="480" w:lineRule="exact"/>
              <w:ind w:left="-105" w:leftChars="-50" w:right="-105" w:rightChars="-5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w:t>
            </w:r>
          </w:p>
        </w:tc>
        <w:tc>
          <w:tcPr>
            <w:tcW w:w="610" w:type="pct"/>
            <w:vAlign w:val="center"/>
          </w:tcPr>
          <w:p w14:paraId="1F8E7A34">
            <w:pPr>
              <w:pStyle w:val="9"/>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其他</w:t>
            </w:r>
          </w:p>
        </w:tc>
        <w:tc>
          <w:tcPr>
            <w:tcW w:w="3542" w:type="pct"/>
            <w:vAlign w:val="center"/>
          </w:tcPr>
          <w:p w14:paraId="76BBF097">
            <w:pPr>
              <w:keepNext w:val="0"/>
              <w:keepLines w:val="0"/>
              <w:pageBreakBefore w:val="0"/>
              <w:kinsoku/>
              <w:wordWrap/>
              <w:overflowPunct/>
              <w:topLinePunct w:val="0"/>
              <w:autoSpaceDE/>
              <w:autoSpaceDN/>
              <w:bidi w:val="0"/>
              <w:snapToGrid/>
              <w:spacing w:line="48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供应商在响应文件递交截止日前1年内在政府采购活动中存在违约违规情形的（以财政部门出具的书面材料为评分依据），每次扣除3分，最高扣分6分为止（供应商应提交而未提交的，视为提供虚假材料谋取中标）</w:t>
            </w:r>
          </w:p>
        </w:tc>
        <w:tc>
          <w:tcPr>
            <w:tcW w:w="513" w:type="pct"/>
            <w:vAlign w:val="center"/>
          </w:tcPr>
          <w:p w14:paraId="329174D6">
            <w:pPr>
              <w:keepNext w:val="0"/>
              <w:keepLines w:val="0"/>
              <w:pageBreakBefore w:val="0"/>
              <w:kinsoku/>
              <w:wordWrap/>
              <w:overflowPunct/>
              <w:topLinePunct w:val="0"/>
              <w:autoSpaceDE/>
              <w:autoSpaceDN/>
              <w:bidi w:val="0"/>
              <w:snapToGrid/>
              <w:spacing w:line="4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-6-0分</w:t>
            </w:r>
          </w:p>
        </w:tc>
      </w:tr>
    </w:tbl>
    <w:p w14:paraId="5856A798">
      <w:pPr>
        <w:pStyle w:val="2"/>
        <w:rPr>
          <w:rFonts w:hint="default"/>
          <w:color w:val="auto"/>
          <w:highlight w:val="none"/>
          <w:lang w:val="en-US" w:eastAsia="zh-CN"/>
        </w:rPr>
        <w:sectPr>
          <w:pgSz w:w="11906" w:h="16838"/>
          <w:pgMar w:top="1134" w:right="1474" w:bottom="1134" w:left="1587" w:header="720" w:footer="720" w:gutter="0"/>
          <w:cols w:space="720" w:num="1"/>
          <w:docGrid w:type="lines" w:linePitch="331" w:charSpace="0"/>
        </w:sectPr>
      </w:pPr>
    </w:p>
    <w:p w14:paraId="52B3A838">
      <w:pPr>
        <w:keepNext/>
        <w:keepLines/>
        <w:spacing w:before="260" w:after="260" w:line="413" w:lineRule="auto"/>
        <w:jc w:val="center"/>
        <w:outlineLvl w:val="1"/>
        <w:rPr>
          <w:rFonts w:ascii="Arial" w:hAnsi="Arial" w:eastAsia="黑体"/>
          <w:bCs/>
          <w:color w:val="auto"/>
          <w:kern w:val="0"/>
          <w:sz w:val="30"/>
          <w:szCs w:val="30"/>
          <w:highlight w:val="none"/>
        </w:rPr>
      </w:pPr>
      <w:r>
        <w:rPr>
          <w:rFonts w:hint="eastAsia" w:ascii="Arial" w:hAnsi="Arial" w:eastAsia="黑体"/>
          <w:bCs/>
          <w:color w:val="auto"/>
          <w:kern w:val="0"/>
          <w:sz w:val="30"/>
          <w:szCs w:val="30"/>
          <w:highlight w:val="none"/>
        </w:rPr>
        <w:t>第四节</w:t>
      </w:r>
      <w:r>
        <w:rPr>
          <w:rFonts w:ascii="Arial" w:hAnsi="Arial" w:eastAsia="黑体"/>
          <w:bCs/>
          <w:color w:val="auto"/>
          <w:kern w:val="0"/>
          <w:sz w:val="30"/>
          <w:szCs w:val="30"/>
          <w:highlight w:val="none"/>
        </w:rPr>
        <w:t xml:space="preserve"> </w:t>
      </w:r>
      <w:r>
        <w:rPr>
          <w:rFonts w:hint="eastAsia" w:ascii="Arial" w:hAnsi="Arial" w:eastAsia="黑体"/>
          <w:bCs/>
          <w:color w:val="auto"/>
          <w:kern w:val="0"/>
          <w:sz w:val="30"/>
          <w:szCs w:val="30"/>
          <w:highlight w:val="none"/>
        </w:rPr>
        <w:t>中标候选人推荐原则</w:t>
      </w:r>
      <w:bookmarkEnd w:id="25"/>
    </w:p>
    <w:p w14:paraId="4BA59102">
      <w:pPr>
        <w:numPr>
          <w:ilvl w:val="0"/>
          <w:numId w:val="5"/>
        </w:numPr>
        <w:spacing w:line="360" w:lineRule="auto"/>
        <w:contextualSpacing/>
        <w:rPr>
          <w:rFonts w:hint="eastAsia" w:ascii="宋体" w:hAnsi="宋体"/>
          <w:b/>
          <w:bCs/>
          <w:color w:val="auto"/>
          <w:kern w:val="0"/>
          <w:sz w:val="24"/>
          <w:highlight w:val="none"/>
        </w:rPr>
      </w:pPr>
      <w:r>
        <w:rPr>
          <w:rFonts w:hint="eastAsia" w:ascii="宋体" w:hAnsi="宋体"/>
          <w:b/>
          <w:bCs/>
          <w:color w:val="auto"/>
          <w:kern w:val="0"/>
          <w:sz w:val="24"/>
          <w:highlight w:val="none"/>
        </w:rPr>
        <w:t>综合评分法</w:t>
      </w:r>
    </w:p>
    <w:p w14:paraId="2F3B8471">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评标委员会将根据总得分由高到低排列次序并推荐中标候选人。总得分相同的，以投标报价由低到高顺序排列。得分相同且投标报价相同的并列，投标文件满足招标文件全部实质性要求，且按照评审因素的量化指标评审得分最高的投标人为排名第一的中标候选人。</w:t>
      </w:r>
    </w:p>
    <w:p w14:paraId="18012E6E">
      <w:pPr>
        <w:spacing w:line="360" w:lineRule="auto"/>
        <w:ind w:firstLine="482" w:firstLineChars="200"/>
        <w:rPr>
          <w:rFonts w:hint="eastAsia" w:ascii="宋体" w:hAnsi="宋体"/>
          <w:color w:val="auto"/>
          <w:kern w:val="0"/>
          <w:sz w:val="20"/>
          <w:szCs w:val="20"/>
          <w:highlight w:val="none"/>
        </w:rPr>
      </w:pPr>
      <w:r>
        <w:rPr>
          <w:rFonts w:hint="eastAsia" w:ascii="宋体" w:hAnsi="宋体"/>
          <w:b/>
          <w:bCs/>
          <w:color w:val="auto"/>
          <w:kern w:val="0"/>
          <w:sz w:val="24"/>
          <w:highlight w:val="none"/>
        </w:rPr>
        <w:t>（二）最低评标报价法</w:t>
      </w:r>
    </w:p>
    <w:p w14:paraId="48F6C02E">
      <w:pPr>
        <w:tabs>
          <w:tab w:val="left" w:pos="2472"/>
        </w:tabs>
        <w:spacing w:line="480" w:lineRule="exact"/>
        <w:ind w:firstLine="420" w:firstLineChars="200"/>
        <w:rPr>
          <w:rFonts w:ascii="宋体" w:hAnsi="Courier New"/>
          <w:color w:val="auto"/>
          <w:kern w:val="0"/>
          <w:szCs w:val="21"/>
          <w:highlight w:val="none"/>
        </w:rPr>
      </w:pPr>
      <w:r>
        <w:rPr>
          <w:rFonts w:hint="eastAsia" w:ascii="宋体" w:hAnsi="宋体"/>
          <w:color w:val="auto"/>
          <w:kern w:val="0"/>
          <w:szCs w:val="21"/>
          <w:highlight w:val="none"/>
        </w:rPr>
        <w:t>评标委员会将按照有效报价从低到高排序并推荐中标候选人。</w:t>
      </w:r>
      <w:r>
        <w:rPr>
          <w:rFonts w:hint="eastAsia" w:ascii="宋体" w:hAnsi="Courier New"/>
          <w:color w:val="auto"/>
          <w:kern w:val="0"/>
          <w:szCs w:val="21"/>
          <w:highlight w:val="none"/>
        </w:rPr>
        <w:t>投标报价相同的并列，投标文件满足招标文件全部实质性要求且投标报价最低的投标人为排名第一的中标候选人；评标价相同且前述指标均相同时，由评标委员会各成员对评标价相同的供应商，当场投票表决，得票多者优先，并依照次序确定1家中标供应商。</w:t>
      </w:r>
    </w:p>
    <w:p w14:paraId="004D60E4">
      <w:pPr>
        <w:keepNext/>
        <w:keepLines/>
        <w:spacing w:line="360" w:lineRule="auto"/>
        <w:ind w:firstLine="600" w:firstLineChars="200"/>
        <w:jc w:val="center"/>
        <w:outlineLvl w:val="1"/>
        <w:rPr>
          <w:rFonts w:ascii="Arial" w:hAnsi="Arial" w:eastAsia="黑体"/>
          <w:bCs/>
          <w:color w:val="auto"/>
          <w:kern w:val="0"/>
          <w:sz w:val="30"/>
          <w:szCs w:val="30"/>
          <w:highlight w:val="none"/>
        </w:rPr>
      </w:pPr>
      <w:bookmarkStart w:id="27" w:name="_Toc28938"/>
      <w:r>
        <w:rPr>
          <w:rFonts w:hint="eastAsia" w:ascii="Arial" w:hAnsi="Arial" w:eastAsia="黑体"/>
          <w:bCs/>
          <w:color w:val="auto"/>
          <w:kern w:val="0"/>
          <w:sz w:val="30"/>
          <w:szCs w:val="30"/>
          <w:highlight w:val="none"/>
        </w:rPr>
        <w:t>第五节</w:t>
      </w:r>
      <w:r>
        <w:rPr>
          <w:rFonts w:ascii="Arial" w:hAnsi="Arial" w:eastAsia="黑体"/>
          <w:bCs/>
          <w:color w:val="auto"/>
          <w:kern w:val="0"/>
          <w:sz w:val="30"/>
          <w:szCs w:val="30"/>
          <w:highlight w:val="none"/>
        </w:rPr>
        <w:t xml:space="preserve"> </w:t>
      </w:r>
      <w:r>
        <w:rPr>
          <w:rFonts w:hint="eastAsia" w:ascii="Arial" w:hAnsi="Arial" w:eastAsia="黑体"/>
          <w:bCs/>
          <w:color w:val="auto"/>
          <w:kern w:val="0"/>
          <w:sz w:val="30"/>
          <w:szCs w:val="30"/>
          <w:highlight w:val="none"/>
        </w:rPr>
        <w:t>评标报告</w:t>
      </w:r>
      <w:bookmarkEnd w:id="27"/>
    </w:p>
    <w:p w14:paraId="13070144">
      <w:pPr>
        <w:adjustRightInd w:val="0"/>
        <w:spacing w:line="360" w:lineRule="auto"/>
        <w:ind w:firstLine="482" w:firstLineChars="200"/>
        <w:rPr>
          <w:rFonts w:hint="eastAsia" w:ascii="宋体" w:hAnsi="宋体"/>
          <w:b/>
          <w:bCs/>
          <w:color w:val="auto"/>
          <w:kern w:val="0"/>
          <w:sz w:val="24"/>
          <w:highlight w:val="none"/>
        </w:rPr>
      </w:pPr>
      <w:r>
        <w:rPr>
          <w:rFonts w:hint="eastAsia" w:ascii="宋体" w:hAnsi="宋体"/>
          <w:b/>
          <w:bCs/>
          <w:color w:val="auto"/>
          <w:kern w:val="0"/>
          <w:sz w:val="24"/>
          <w:highlight w:val="none"/>
        </w:rPr>
        <w:t>（一）评标报告与推荐中标候选人</w:t>
      </w:r>
    </w:p>
    <w:p w14:paraId="1F616B21">
      <w:pPr>
        <w:tabs>
          <w:tab w:val="left" w:pos="2472"/>
        </w:tabs>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评标委员会根据原始评标记录和评标结果编写评标报告，并通过电子交易平台向采购人、采购代理机构提交。</w:t>
      </w:r>
    </w:p>
    <w:p w14:paraId="503061FD">
      <w:pPr>
        <w:widowControl/>
        <w:spacing w:line="360" w:lineRule="auto"/>
        <w:ind w:firstLine="482" w:firstLineChars="200"/>
        <w:jc w:val="left"/>
        <w:rPr>
          <w:rFonts w:hint="eastAsia" w:ascii="宋体" w:hAnsi="宋体"/>
          <w:b/>
          <w:bCs/>
          <w:color w:val="auto"/>
          <w:sz w:val="24"/>
          <w:highlight w:val="none"/>
        </w:rPr>
      </w:pPr>
      <w:r>
        <w:rPr>
          <w:rFonts w:hint="eastAsia" w:ascii="宋体" w:hAnsi="宋体"/>
          <w:b/>
          <w:bCs/>
          <w:color w:val="auto"/>
          <w:sz w:val="24"/>
          <w:highlight w:val="none"/>
        </w:rPr>
        <w:t>（二）评标争议事项处理</w:t>
      </w:r>
    </w:p>
    <w:p w14:paraId="00728718">
      <w:pPr>
        <w:tabs>
          <w:tab w:val="left" w:pos="2472"/>
        </w:tabs>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评标委员会成员对需要共同认定的事项存在争议的，应当按照少数服从多数的原则作出结论。持不同意见的评标委员会成员应当在评标报告上签署不同意见及理由，否则视为同意评标报告。</w:t>
      </w:r>
    </w:p>
    <w:p w14:paraId="2CA46EE6">
      <w:pPr>
        <w:widowControl/>
        <w:jc w:val="left"/>
        <w:rPr>
          <w:b/>
          <w:color w:val="auto"/>
          <w:szCs w:val="21"/>
          <w:highlight w:val="none"/>
        </w:rPr>
        <w:sectPr>
          <w:pgSz w:w="11906" w:h="16838"/>
          <w:pgMar w:top="1134" w:right="1474" w:bottom="1134" w:left="1587" w:header="720" w:footer="720" w:gutter="0"/>
          <w:cols w:space="720" w:num="1"/>
          <w:docGrid w:type="lines" w:linePitch="331" w:charSpace="0"/>
        </w:sectPr>
      </w:pPr>
    </w:p>
    <w:p w14:paraId="516CCAB5">
      <w:pPr>
        <w:tabs>
          <w:tab w:val="left" w:pos="2472"/>
        </w:tabs>
        <w:spacing w:line="460" w:lineRule="exact"/>
        <w:jc w:val="center"/>
        <w:rPr>
          <w:b/>
          <w:color w:val="auto"/>
          <w:kern w:val="0"/>
          <w:sz w:val="36"/>
          <w:szCs w:val="20"/>
          <w:highlight w:val="none"/>
        </w:rPr>
      </w:pPr>
    </w:p>
    <w:p w14:paraId="01EB9542">
      <w:pPr>
        <w:tabs>
          <w:tab w:val="left" w:pos="2472"/>
        </w:tabs>
        <w:spacing w:line="460" w:lineRule="exact"/>
        <w:jc w:val="center"/>
        <w:rPr>
          <w:b/>
          <w:color w:val="auto"/>
          <w:kern w:val="0"/>
          <w:sz w:val="36"/>
          <w:szCs w:val="20"/>
          <w:highlight w:val="none"/>
        </w:rPr>
      </w:pPr>
    </w:p>
    <w:p w14:paraId="1617BEC9">
      <w:pPr>
        <w:tabs>
          <w:tab w:val="left" w:pos="2472"/>
        </w:tabs>
        <w:spacing w:line="460" w:lineRule="exact"/>
        <w:jc w:val="center"/>
        <w:rPr>
          <w:b/>
          <w:color w:val="auto"/>
          <w:kern w:val="0"/>
          <w:sz w:val="36"/>
          <w:szCs w:val="20"/>
          <w:highlight w:val="none"/>
        </w:rPr>
      </w:pPr>
    </w:p>
    <w:p w14:paraId="320474C2">
      <w:pPr>
        <w:tabs>
          <w:tab w:val="left" w:pos="2472"/>
        </w:tabs>
        <w:spacing w:line="460" w:lineRule="exact"/>
        <w:jc w:val="center"/>
        <w:rPr>
          <w:b/>
          <w:color w:val="auto"/>
          <w:kern w:val="0"/>
          <w:sz w:val="36"/>
          <w:szCs w:val="20"/>
          <w:highlight w:val="none"/>
        </w:rPr>
      </w:pPr>
    </w:p>
    <w:p w14:paraId="7ECC131B">
      <w:pPr>
        <w:tabs>
          <w:tab w:val="left" w:pos="2472"/>
        </w:tabs>
        <w:spacing w:line="460" w:lineRule="exact"/>
        <w:jc w:val="center"/>
        <w:rPr>
          <w:b/>
          <w:color w:val="auto"/>
          <w:kern w:val="0"/>
          <w:sz w:val="36"/>
          <w:szCs w:val="20"/>
          <w:highlight w:val="none"/>
        </w:rPr>
      </w:pPr>
    </w:p>
    <w:p w14:paraId="54209C95">
      <w:pPr>
        <w:tabs>
          <w:tab w:val="left" w:pos="2472"/>
        </w:tabs>
        <w:spacing w:line="460" w:lineRule="exact"/>
        <w:jc w:val="center"/>
        <w:rPr>
          <w:b/>
          <w:color w:val="auto"/>
          <w:kern w:val="0"/>
          <w:sz w:val="36"/>
          <w:szCs w:val="20"/>
          <w:highlight w:val="none"/>
        </w:rPr>
      </w:pPr>
    </w:p>
    <w:p w14:paraId="3FA62330">
      <w:pPr>
        <w:tabs>
          <w:tab w:val="left" w:pos="2472"/>
        </w:tabs>
        <w:spacing w:line="460" w:lineRule="exact"/>
        <w:jc w:val="center"/>
        <w:rPr>
          <w:b/>
          <w:color w:val="auto"/>
          <w:kern w:val="0"/>
          <w:sz w:val="36"/>
          <w:szCs w:val="20"/>
          <w:highlight w:val="none"/>
        </w:rPr>
      </w:pPr>
    </w:p>
    <w:p w14:paraId="640167D5">
      <w:pPr>
        <w:tabs>
          <w:tab w:val="left" w:pos="2472"/>
        </w:tabs>
        <w:spacing w:line="460" w:lineRule="exact"/>
        <w:jc w:val="center"/>
        <w:rPr>
          <w:b/>
          <w:color w:val="auto"/>
          <w:kern w:val="0"/>
          <w:sz w:val="36"/>
          <w:szCs w:val="20"/>
          <w:highlight w:val="none"/>
        </w:rPr>
      </w:pPr>
    </w:p>
    <w:p w14:paraId="05C06F50">
      <w:pPr>
        <w:tabs>
          <w:tab w:val="left" w:pos="2472"/>
        </w:tabs>
        <w:spacing w:line="460" w:lineRule="exact"/>
        <w:jc w:val="center"/>
        <w:rPr>
          <w:b/>
          <w:color w:val="auto"/>
          <w:kern w:val="0"/>
          <w:sz w:val="36"/>
          <w:szCs w:val="20"/>
          <w:highlight w:val="none"/>
        </w:rPr>
      </w:pPr>
    </w:p>
    <w:p w14:paraId="3102D6EC">
      <w:pPr>
        <w:tabs>
          <w:tab w:val="left" w:pos="2472"/>
        </w:tabs>
        <w:spacing w:line="460" w:lineRule="exact"/>
        <w:jc w:val="center"/>
        <w:rPr>
          <w:b/>
          <w:color w:val="auto"/>
          <w:kern w:val="0"/>
          <w:sz w:val="36"/>
          <w:szCs w:val="20"/>
          <w:highlight w:val="none"/>
        </w:rPr>
      </w:pPr>
    </w:p>
    <w:p w14:paraId="0B02CA59">
      <w:pPr>
        <w:tabs>
          <w:tab w:val="left" w:pos="2472"/>
        </w:tabs>
        <w:spacing w:line="460" w:lineRule="exact"/>
        <w:jc w:val="center"/>
        <w:rPr>
          <w:b/>
          <w:color w:val="auto"/>
          <w:kern w:val="0"/>
          <w:sz w:val="36"/>
          <w:szCs w:val="20"/>
          <w:highlight w:val="none"/>
        </w:rPr>
      </w:pPr>
    </w:p>
    <w:p w14:paraId="5B6AA354">
      <w:pPr>
        <w:tabs>
          <w:tab w:val="left" w:pos="2472"/>
        </w:tabs>
        <w:spacing w:line="460" w:lineRule="exact"/>
        <w:jc w:val="center"/>
        <w:rPr>
          <w:b/>
          <w:color w:val="auto"/>
          <w:kern w:val="0"/>
          <w:sz w:val="36"/>
          <w:szCs w:val="20"/>
          <w:highlight w:val="none"/>
        </w:rPr>
      </w:pPr>
    </w:p>
    <w:p w14:paraId="3DEE447E">
      <w:pPr>
        <w:tabs>
          <w:tab w:val="left" w:pos="2472"/>
        </w:tabs>
        <w:spacing w:line="460" w:lineRule="exact"/>
        <w:jc w:val="center"/>
        <w:rPr>
          <w:b/>
          <w:color w:val="auto"/>
          <w:kern w:val="0"/>
          <w:sz w:val="36"/>
          <w:szCs w:val="20"/>
          <w:highlight w:val="none"/>
        </w:rPr>
      </w:pPr>
    </w:p>
    <w:p w14:paraId="11DAD608">
      <w:pPr>
        <w:tabs>
          <w:tab w:val="left" w:pos="2472"/>
        </w:tabs>
        <w:spacing w:line="460" w:lineRule="exact"/>
        <w:jc w:val="center"/>
        <w:outlineLvl w:val="0"/>
        <w:rPr>
          <w:b/>
          <w:color w:val="auto"/>
          <w:kern w:val="0"/>
          <w:sz w:val="36"/>
          <w:szCs w:val="20"/>
          <w:highlight w:val="none"/>
        </w:rPr>
      </w:pPr>
      <w:bookmarkStart w:id="28" w:name="_Toc2306"/>
      <w:r>
        <w:rPr>
          <w:rFonts w:hint="eastAsia"/>
          <w:b/>
          <w:color w:val="auto"/>
          <w:kern w:val="0"/>
          <w:sz w:val="36"/>
          <w:szCs w:val="20"/>
          <w:highlight w:val="none"/>
        </w:rPr>
        <w:t>第五章</w:t>
      </w:r>
      <w:r>
        <w:rPr>
          <w:b/>
          <w:color w:val="auto"/>
          <w:kern w:val="0"/>
          <w:sz w:val="36"/>
          <w:szCs w:val="20"/>
          <w:highlight w:val="none"/>
        </w:rPr>
        <w:t xml:space="preserve"> </w:t>
      </w:r>
      <w:r>
        <w:rPr>
          <w:rFonts w:hint="eastAsia"/>
          <w:b/>
          <w:color w:val="auto"/>
          <w:kern w:val="0"/>
          <w:sz w:val="36"/>
          <w:szCs w:val="20"/>
          <w:highlight w:val="none"/>
        </w:rPr>
        <w:t>拟签订的合同文本</w:t>
      </w:r>
      <w:bookmarkEnd w:id="28"/>
    </w:p>
    <w:p w14:paraId="5856ACF3">
      <w:pPr>
        <w:widowControl/>
        <w:jc w:val="left"/>
        <w:rPr>
          <w:rFonts w:ascii="宋体" w:hAnsi="Courier New"/>
          <w:bCs/>
          <w:color w:val="auto"/>
          <w:szCs w:val="20"/>
          <w:highlight w:val="none"/>
        </w:rPr>
        <w:sectPr>
          <w:pgSz w:w="11906" w:h="16838"/>
          <w:pgMar w:top="1134" w:right="1134" w:bottom="1134" w:left="1134" w:header="720" w:footer="720" w:gutter="0"/>
          <w:cols w:space="720" w:num="1"/>
          <w:docGrid w:type="lines" w:linePitch="331" w:charSpace="0"/>
        </w:sectPr>
      </w:pPr>
    </w:p>
    <w:p w14:paraId="391EACD9">
      <w:pPr>
        <w:spacing w:line="360" w:lineRule="auto"/>
        <w:rPr>
          <w:rFonts w:hint="eastAsia" w:ascii="方正仿宋_GB2312" w:hAnsi="楷体" w:eastAsia="方正仿宋_GB2312"/>
          <w:color w:val="auto"/>
          <w:sz w:val="24"/>
          <w:highlight w:val="none"/>
        </w:rPr>
      </w:pPr>
    </w:p>
    <w:p w14:paraId="510EADA8">
      <w:pPr>
        <w:spacing w:line="360" w:lineRule="auto"/>
        <w:ind w:firstLine="420"/>
        <w:jc w:val="center"/>
        <w:rPr>
          <w:rFonts w:hint="eastAsia" w:ascii="宋体" w:hAnsi="宋体"/>
          <w:b/>
          <w:bCs/>
          <w:color w:val="auto"/>
          <w:sz w:val="52"/>
          <w:szCs w:val="52"/>
          <w:highlight w:val="none"/>
        </w:rPr>
      </w:pPr>
      <w:r>
        <w:rPr>
          <w:rFonts w:hint="eastAsia" w:ascii="宋体" w:hAnsi="宋体"/>
          <w:b/>
          <w:bCs/>
          <w:color w:val="auto"/>
          <w:sz w:val="52"/>
          <w:szCs w:val="52"/>
          <w:highlight w:val="none"/>
        </w:rPr>
        <w:t>广西壮族自治区政府采购合同</w:t>
      </w:r>
    </w:p>
    <w:p w14:paraId="1A16645B">
      <w:pPr>
        <w:spacing w:line="360" w:lineRule="auto"/>
        <w:ind w:firstLine="420"/>
        <w:jc w:val="right"/>
        <w:rPr>
          <w:rFonts w:hint="eastAsia" w:ascii="宋体" w:hAnsi="宋体"/>
          <w:b/>
          <w:bCs/>
          <w:color w:val="auto"/>
          <w:sz w:val="52"/>
          <w:szCs w:val="52"/>
          <w:highlight w:val="none"/>
        </w:rPr>
      </w:pPr>
      <w:r>
        <w:rPr>
          <w:rFonts w:hint="eastAsia" w:ascii="宋体" w:hAnsi="宋体"/>
          <w:color w:val="auto"/>
          <w:sz w:val="30"/>
          <w:szCs w:val="30"/>
          <w:highlight w:val="none"/>
        </w:rPr>
        <w:t>中小企业预留合同：</w:t>
      </w:r>
      <w:r>
        <w:rPr>
          <w:rFonts w:hint="eastAsia" w:ascii="MS Mincho" w:hAnsi="MS Mincho" w:cs="MS Mincho"/>
          <w:color w:val="auto"/>
          <w:sz w:val="30"/>
          <w:szCs w:val="30"/>
          <w:highlight w:val="none"/>
        </w:rPr>
        <w:t>□</w:t>
      </w:r>
      <w:r>
        <w:rPr>
          <w:rFonts w:hint="eastAsia" w:ascii="宋体" w:hAnsi="宋体"/>
          <w:color w:val="auto"/>
          <w:sz w:val="30"/>
          <w:szCs w:val="30"/>
          <w:highlight w:val="none"/>
        </w:rPr>
        <w:t>是 □否</w:t>
      </w:r>
    </w:p>
    <w:p w14:paraId="3CA064E8">
      <w:pPr>
        <w:spacing w:line="360" w:lineRule="auto"/>
        <w:rPr>
          <w:rFonts w:hint="eastAsia" w:ascii="宋体" w:hAnsi="宋体"/>
          <w:b/>
          <w:bCs/>
          <w:color w:val="auto"/>
          <w:sz w:val="72"/>
          <w:szCs w:val="20"/>
          <w:highlight w:val="none"/>
        </w:rPr>
      </w:pPr>
    </w:p>
    <w:p w14:paraId="396E63CD">
      <w:pPr>
        <w:pStyle w:val="6"/>
        <w:spacing w:line="360" w:lineRule="auto"/>
        <w:rPr>
          <w:color w:val="auto"/>
          <w:highlight w:val="none"/>
        </w:rPr>
      </w:pPr>
    </w:p>
    <w:p w14:paraId="0CA3DBAD">
      <w:pPr>
        <w:spacing w:line="360" w:lineRule="auto"/>
        <w:rPr>
          <w:color w:val="auto"/>
          <w:highlight w:val="none"/>
        </w:rPr>
      </w:pPr>
    </w:p>
    <w:p w14:paraId="7559D535">
      <w:pPr>
        <w:tabs>
          <w:tab w:val="left" w:pos="5640"/>
        </w:tabs>
        <w:snapToGrid w:val="0"/>
        <w:spacing w:line="360" w:lineRule="auto"/>
        <w:ind w:left="1115" w:leftChars="531" w:firstLine="562" w:firstLineChars="175"/>
        <w:jc w:val="left"/>
        <w:rPr>
          <w:rFonts w:hint="eastAsia" w:ascii="宋体" w:hAnsi="宋体"/>
          <w:b/>
          <w:bCs/>
          <w:color w:val="auto"/>
          <w:sz w:val="32"/>
          <w:szCs w:val="32"/>
          <w:highlight w:val="none"/>
        </w:rPr>
      </w:pPr>
      <w:r>
        <w:rPr>
          <w:rFonts w:hint="eastAsia" w:ascii="宋体" w:hAnsi="宋体"/>
          <w:b/>
          <w:bCs/>
          <w:color w:val="auto"/>
          <w:sz w:val="32"/>
          <w:szCs w:val="32"/>
          <w:highlight w:val="none"/>
        </w:rPr>
        <w:t xml:space="preserve">项目名称： </w:t>
      </w:r>
    </w:p>
    <w:p w14:paraId="0E634118">
      <w:pPr>
        <w:tabs>
          <w:tab w:val="left" w:pos="5640"/>
        </w:tabs>
        <w:snapToGrid w:val="0"/>
        <w:spacing w:line="360" w:lineRule="auto"/>
        <w:ind w:left="1115" w:leftChars="531" w:firstLine="562" w:firstLineChars="175"/>
        <w:jc w:val="left"/>
        <w:rPr>
          <w:rFonts w:hint="eastAsia" w:ascii="宋体" w:hAnsi="宋体"/>
          <w:b/>
          <w:bCs/>
          <w:color w:val="auto"/>
          <w:sz w:val="32"/>
          <w:szCs w:val="32"/>
          <w:highlight w:val="none"/>
        </w:rPr>
      </w:pPr>
      <w:r>
        <w:rPr>
          <w:rFonts w:hint="eastAsia" w:ascii="宋体" w:hAnsi="宋体"/>
          <w:b/>
          <w:bCs/>
          <w:color w:val="auto"/>
          <w:sz w:val="32"/>
          <w:szCs w:val="32"/>
          <w:highlight w:val="none"/>
        </w:rPr>
        <w:t>项目编号：</w:t>
      </w:r>
    </w:p>
    <w:p w14:paraId="79F0AEF2">
      <w:pPr>
        <w:tabs>
          <w:tab w:val="left" w:pos="5640"/>
        </w:tabs>
        <w:snapToGrid w:val="0"/>
        <w:spacing w:line="360" w:lineRule="auto"/>
        <w:ind w:left="1115" w:leftChars="531" w:firstLine="562" w:firstLineChars="175"/>
        <w:jc w:val="left"/>
        <w:rPr>
          <w:rFonts w:hint="eastAsia" w:ascii="宋体" w:hAnsi="宋体"/>
          <w:b/>
          <w:bCs/>
          <w:color w:val="auto"/>
          <w:sz w:val="32"/>
          <w:szCs w:val="32"/>
          <w:highlight w:val="none"/>
        </w:rPr>
      </w:pPr>
      <w:r>
        <w:rPr>
          <w:rFonts w:hint="eastAsia" w:ascii="宋体" w:hAnsi="宋体"/>
          <w:b/>
          <w:bCs/>
          <w:color w:val="auto"/>
          <w:sz w:val="32"/>
          <w:szCs w:val="32"/>
          <w:highlight w:val="none"/>
        </w:rPr>
        <w:t xml:space="preserve">采购计划文号： </w:t>
      </w:r>
    </w:p>
    <w:p w14:paraId="1FE7F8D2">
      <w:pPr>
        <w:tabs>
          <w:tab w:val="left" w:pos="5640"/>
        </w:tabs>
        <w:snapToGrid w:val="0"/>
        <w:spacing w:line="360" w:lineRule="auto"/>
        <w:ind w:left="1115" w:leftChars="531" w:firstLine="562" w:firstLineChars="175"/>
        <w:jc w:val="left"/>
        <w:rPr>
          <w:rFonts w:hint="eastAsia" w:ascii="宋体" w:hAnsi="宋体"/>
          <w:b/>
          <w:bCs/>
          <w:color w:val="auto"/>
          <w:sz w:val="32"/>
          <w:szCs w:val="32"/>
          <w:highlight w:val="none"/>
        </w:rPr>
      </w:pPr>
      <w:r>
        <w:rPr>
          <w:rFonts w:hint="eastAsia" w:ascii="宋体" w:hAnsi="宋体"/>
          <w:b/>
          <w:bCs/>
          <w:color w:val="auto"/>
          <w:sz w:val="32"/>
          <w:szCs w:val="32"/>
          <w:highlight w:val="none"/>
        </w:rPr>
        <w:t xml:space="preserve">合同编号： </w:t>
      </w:r>
    </w:p>
    <w:p w14:paraId="582AED6B">
      <w:pPr>
        <w:tabs>
          <w:tab w:val="left" w:pos="2835"/>
        </w:tabs>
        <w:spacing w:line="360" w:lineRule="auto"/>
        <w:ind w:left="1115" w:leftChars="531" w:firstLine="527" w:firstLineChars="175"/>
        <w:jc w:val="left"/>
        <w:rPr>
          <w:rFonts w:ascii="宋体" w:hAnsi="Courier New"/>
          <w:b/>
          <w:color w:val="auto"/>
          <w:sz w:val="30"/>
          <w:szCs w:val="30"/>
          <w:highlight w:val="none"/>
        </w:rPr>
      </w:pPr>
    </w:p>
    <w:p w14:paraId="3784D5AE">
      <w:pPr>
        <w:tabs>
          <w:tab w:val="left" w:pos="2835"/>
        </w:tabs>
        <w:spacing w:line="360" w:lineRule="auto"/>
        <w:ind w:left="1115" w:leftChars="531" w:firstLine="527" w:firstLineChars="175"/>
        <w:jc w:val="left"/>
        <w:rPr>
          <w:rFonts w:ascii="宋体" w:hAnsi="Courier New"/>
          <w:b/>
          <w:color w:val="auto"/>
          <w:sz w:val="30"/>
          <w:szCs w:val="30"/>
          <w:highlight w:val="none"/>
        </w:rPr>
      </w:pPr>
    </w:p>
    <w:p w14:paraId="14986555">
      <w:pPr>
        <w:spacing w:line="360" w:lineRule="auto"/>
        <w:ind w:left="1115" w:leftChars="531" w:firstLine="367" w:firstLineChars="175"/>
        <w:rPr>
          <w:color w:val="auto"/>
          <w:highlight w:val="none"/>
        </w:rPr>
      </w:pPr>
    </w:p>
    <w:p w14:paraId="0B103FD3">
      <w:pPr>
        <w:tabs>
          <w:tab w:val="left" w:pos="2835"/>
        </w:tabs>
        <w:spacing w:line="360" w:lineRule="auto"/>
        <w:ind w:left="1115" w:leftChars="531" w:firstLine="527" w:firstLineChars="175"/>
        <w:jc w:val="left"/>
        <w:rPr>
          <w:rFonts w:ascii="宋体" w:hAnsi="Courier New"/>
          <w:b/>
          <w:color w:val="auto"/>
          <w:sz w:val="30"/>
          <w:szCs w:val="30"/>
          <w:highlight w:val="none"/>
        </w:rPr>
      </w:pPr>
    </w:p>
    <w:p w14:paraId="68AD4B63">
      <w:pPr>
        <w:spacing w:line="360" w:lineRule="auto"/>
        <w:ind w:left="1115" w:leftChars="531" w:firstLine="562" w:firstLineChars="175"/>
        <w:rPr>
          <w:rFonts w:hint="eastAsia" w:eastAsia="宋体"/>
          <w:b/>
          <w:color w:val="auto"/>
          <w:sz w:val="32"/>
          <w:szCs w:val="32"/>
          <w:highlight w:val="none"/>
          <w:lang w:eastAsia="zh-CN"/>
        </w:rPr>
      </w:pPr>
      <w:r>
        <w:rPr>
          <w:rFonts w:hint="eastAsia"/>
          <w:b/>
          <w:color w:val="auto"/>
          <w:sz w:val="32"/>
          <w:szCs w:val="32"/>
          <w:highlight w:val="none"/>
        </w:rPr>
        <w:t>采购单位（甲方）：</w:t>
      </w:r>
      <w:r>
        <w:rPr>
          <w:rFonts w:hint="eastAsia"/>
          <w:b/>
          <w:color w:val="auto"/>
          <w:sz w:val="32"/>
          <w:szCs w:val="32"/>
          <w:highlight w:val="none"/>
          <w:u w:val="single"/>
          <w:lang w:eastAsia="zh-CN"/>
        </w:rPr>
        <w:t xml:space="preserve">广西壮族自治区大数据发展局  </w:t>
      </w:r>
    </w:p>
    <w:p w14:paraId="168EF3CB">
      <w:pPr>
        <w:spacing w:line="360" w:lineRule="auto"/>
        <w:ind w:left="1115" w:leftChars="531" w:firstLine="562" w:firstLineChars="175"/>
        <w:rPr>
          <w:b/>
          <w:color w:val="auto"/>
          <w:sz w:val="32"/>
          <w:szCs w:val="32"/>
          <w:highlight w:val="none"/>
          <w:u w:val="single"/>
        </w:rPr>
      </w:pPr>
      <w:r>
        <w:rPr>
          <w:rFonts w:hint="eastAsia"/>
          <w:b/>
          <w:color w:val="auto"/>
          <w:sz w:val="32"/>
          <w:szCs w:val="32"/>
          <w:highlight w:val="none"/>
        </w:rPr>
        <w:t>供 应 商（乙方）：</w:t>
      </w:r>
      <w:r>
        <w:rPr>
          <w:rFonts w:hint="eastAsia"/>
          <w:color w:val="auto"/>
          <w:sz w:val="32"/>
          <w:szCs w:val="32"/>
          <w:highlight w:val="none"/>
          <w:u w:val="single"/>
        </w:rPr>
        <w:t xml:space="preserve">                    </w:t>
      </w:r>
    </w:p>
    <w:p w14:paraId="04EBD2CC">
      <w:pPr>
        <w:keepNext/>
        <w:keepLines/>
        <w:spacing w:line="360" w:lineRule="auto"/>
        <w:jc w:val="center"/>
        <w:rPr>
          <w:rFonts w:hint="eastAsia" w:ascii="宋体" w:hAnsi="宋体" w:cs="宋体"/>
          <w:color w:val="auto"/>
          <w:szCs w:val="21"/>
          <w:highlight w:val="none"/>
          <w:lang w:bidi="ar"/>
        </w:rPr>
      </w:pPr>
    </w:p>
    <w:p w14:paraId="6F768616">
      <w:pPr>
        <w:keepNext/>
        <w:keepLines/>
        <w:spacing w:line="360" w:lineRule="auto"/>
        <w:jc w:val="center"/>
        <w:rPr>
          <w:rFonts w:hint="eastAsia" w:ascii="宋体" w:hAnsi="宋体" w:cs="宋体"/>
          <w:color w:val="auto"/>
          <w:szCs w:val="21"/>
          <w:highlight w:val="none"/>
          <w:lang w:bidi="ar"/>
        </w:rPr>
      </w:pPr>
    </w:p>
    <w:p w14:paraId="491DFE60">
      <w:pPr>
        <w:keepNext/>
        <w:keepLines/>
        <w:spacing w:line="360" w:lineRule="auto"/>
        <w:jc w:val="center"/>
        <w:rPr>
          <w:rFonts w:hint="eastAsia" w:ascii="宋体" w:hAnsi="宋体" w:cs="宋体"/>
          <w:color w:val="auto"/>
          <w:szCs w:val="21"/>
          <w:highlight w:val="none"/>
          <w:lang w:bidi="ar"/>
        </w:rPr>
      </w:pPr>
    </w:p>
    <w:p w14:paraId="1A375AFE">
      <w:pPr>
        <w:keepNext/>
        <w:keepLines/>
        <w:spacing w:line="360" w:lineRule="auto"/>
        <w:jc w:val="center"/>
        <w:rPr>
          <w:rFonts w:hint="eastAsia" w:ascii="宋体" w:hAnsi="宋体" w:cs="宋体"/>
          <w:color w:val="auto"/>
          <w:sz w:val="24"/>
          <w:highlight w:val="none"/>
        </w:rPr>
      </w:pPr>
      <w:r>
        <w:rPr>
          <w:rFonts w:hint="eastAsia" w:ascii="宋体" w:hAnsi="宋体" w:cs="宋体"/>
          <w:color w:val="auto"/>
          <w:szCs w:val="21"/>
          <w:highlight w:val="none"/>
          <w:lang w:bidi="ar"/>
        </w:rPr>
        <w:t>合同使用说明：根据《中华人民共和国政府采购法》《中华人民共和国民法典》等法律法规规定，</w:t>
      </w:r>
    </w:p>
    <w:p w14:paraId="195CD361">
      <w:pPr>
        <w:tabs>
          <w:tab w:val="left" w:pos="2835"/>
        </w:tabs>
        <w:spacing w:line="360" w:lineRule="auto"/>
        <w:ind w:left="798" w:leftChars="380" w:firstLine="65" w:firstLineChars="31"/>
        <w:jc w:val="left"/>
        <w:rPr>
          <w:rFonts w:ascii="宋体" w:hAnsi="Courier New"/>
          <w:color w:val="auto"/>
          <w:sz w:val="28"/>
          <w:szCs w:val="28"/>
          <w:highlight w:val="none"/>
        </w:rPr>
      </w:pPr>
      <w:r>
        <w:rPr>
          <w:rFonts w:hint="eastAsia" w:ascii="宋体" w:hAnsi="宋体" w:cs="宋体"/>
          <w:color w:val="auto"/>
          <w:szCs w:val="21"/>
          <w:highlight w:val="none"/>
          <w:lang w:bidi="ar"/>
        </w:rPr>
        <w:t>按照招标文件规定条款和中标人投标文件及其承诺，甲乙双方签订本合同。</w:t>
      </w:r>
    </w:p>
    <w:p w14:paraId="5AC24755">
      <w:pPr>
        <w:pStyle w:val="9"/>
        <w:spacing w:line="360" w:lineRule="auto"/>
        <w:jc w:val="center"/>
        <w:rPr>
          <w:rStyle w:val="27"/>
          <w:b/>
          <w:color w:val="auto"/>
          <w:sz w:val="44"/>
          <w:szCs w:val="44"/>
          <w:highlight w:val="none"/>
        </w:rPr>
        <w:sectPr>
          <w:pgSz w:w="11906" w:h="16838"/>
          <w:pgMar w:top="1440" w:right="1080" w:bottom="1440" w:left="1080" w:header="720" w:footer="720" w:gutter="0"/>
          <w:cols w:space="720" w:num="1"/>
          <w:docGrid w:linePitch="331" w:charSpace="0"/>
        </w:sectPr>
      </w:pPr>
    </w:p>
    <w:p w14:paraId="33DB53EA">
      <w:pPr>
        <w:pStyle w:val="9"/>
        <w:spacing w:line="360" w:lineRule="auto"/>
        <w:jc w:val="center"/>
        <w:rPr>
          <w:rStyle w:val="27"/>
          <w:b/>
          <w:color w:val="auto"/>
          <w:sz w:val="44"/>
          <w:szCs w:val="44"/>
          <w:highlight w:val="none"/>
        </w:rPr>
      </w:pPr>
      <w:r>
        <w:rPr>
          <w:rStyle w:val="27"/>
          <w:rFonts w:hint="eastAsia"/>
          <w:b/>
          <w:color w:val="auto"/>
          <w:sz w:val="44"/>
          <w:szCs w:val="44"/>
          <w:highlight w:val="none"/>
        </w:rPr>
        <w:t>目  录</w:t>
      </w:r>
    </w:p>
    <w:p w14:paraId="30FC14A2">
      <w:pPr>
        <w:pStyle w:val="9"/>
        <w:spacing w:line="360" w:lineRule="auto"/>
        <w:jc w:val="center"/>
        <w:rPr>
          <w:rStyle w:val="27"/>
          <w:b/>
          <w:color w:val="auto"/>
          <w:sz w:val="44"/>
          <w:szCs w:val="44"/>
          <w:highlight w:val="none"/>
        </w:rPr>
      </w:pPr>
    </w:p>
    <w:p w14:paraId="22600289">
      <w:pPr>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rPr>
        <w:t>一、采购合同文本</w:t>
      </w:r>
    </w:p>
    <w:p w14:paraId="5BC42717">
      <w:pPr>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rPr>
        <w:t>二、合同附件</w:t>
      </w:r>
    </w:p>
    <w:p w14:paraId="2BDEE0D1">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中标通知书</w:t>
      </w:r>
    </w:p>
    <w:p w14:paraId="3B77147E">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采购文件的更改通知（如有）</w:t>
      </w:r>
    </w:p>
    <w:p w14:paraId="2D5C8C87">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技术需求</w:t>
      </w:r>
    </w:p>
    <w:p w14:paraId="283A00FB">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中标人澄清函（如有）</w:t>
      </w:r>
    </w:p>
    <w:p w14:paraId="6C71680B">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投标函</w:t>
      </w:r>
    </w:p>
    <w:p w14:paraId="722B3030">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开标一览表</w:t>
      </w:r>
    </w:p>
    <w:p w14:paraId="16630DA4">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技术需求偏离表、商务条款偏离表</w:t>
      </w:r>
    </w:p>
    <w:p w14:paraId="7263D5D8">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中小企业声明函等（如有）</w:t>
      </w:r>
    </w:p>
    <w:p w14:paraId="0ED1B656">
      <w:pPr>
        <w:numPr>
          <w:ilvl w:val="0"/>
          <w:numId w:val="6"/>
        </w:numPr>
        <w:spacing w:line="360" w:lineRule="auto"/>
        <w:rPr>
          <w:rFonts w:hint="eastAsia" w:ascii="宋体" w:hAnsi="宋体" w:cs="宋体"/>
          <w:color w:val="auto"/>
          <w:sz w:val="28"/>
          <w:szCs w:val="28"/>
          <w:highlight w:val="none"/>
        </w:rPr>
      </w:pPr>
      <w:r>
        <w:rPr>
          <w:rFonts w:hint="eastAsia" w:ascii="宋体" w:hAnsi="宋体" w:cs="宋体"/>
          <w:color w:val="auto"/>
          <w:sz w:val="28"/>
          <w:szCs w:val="28"/>
          <w:highlight w:val="none"/>
        </w:rPr>
        <w:t>其他材料</w:t>
      </w:r>
    </w:p>
    <w:p w14:paraId="2D84A37E">
      <w:pPr>
        <w:widowControl/>
        <w:spacing w:line="360" w:lineRule="auto"/>
        <w:jc w:val="left"/>
        <w:rPr>
          <w:color w:val="auto"/>
          <w:highlight w:val="none"/>
        </w:rPr>
      </w:pPr>
      <w:r>
        <w:rPr>
          <w:color w:val="auto"/>
          <w:highlight w:val="none"/>
        </w:rPr>
        <w:br w:type="page"/>
      </w:r>
    </w:p>
    <w:p w14:paraId="496DB318">
      <w:pPr>
        <w:snapToGrid w:val="0"/>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合同文本</w:t>
      </w:r>
    </w:p>
    <w:p w14:paraId="1D9E6687">
      <w:pPr>
        <w:pStyle w:val="6"/>
        <w:spacing w:line="360" w:lineRule="auto"/>
        <w:ind w:firstLine="5880" w:firstLineChars="2800"/>
        <w:rPr>
          <w:rFonts w:hint="eastAsia" w:ascii="宋体" w:hAnsi="宋体" w:cs="宋体"/>
          <w:color w:val="auto"/>
          <w:szCs w:val="21"/>
          <w:highlight w:val="none"/>
        </w:rPr>
      </w:pPr>
      <w:r>
        <w:rPr>
          <w:rFonts w:hint="eastAsia" w:ascii="宋体" w:hAnsi="宋体" w:cs="宋体"/>
          <w:color w:val="auto"/>
          <w:szCs w:val="21"/>
          <w:highlight w:val="none"/>
        </w:rPr>
        <w:t>合同编号：</w:t>
      </w:r>
    </w:p>
    <w:p w14:paraId="081F207D">
      <w:pPr>
        <w:spacing w:line="360" w:lineRule="auto"/>
        <w:rPr>
          <w:rFonts w:hint="eastAsia" w:ascii="宋体" w:hAnsi="宋体" w:cs="宋体"/>
          <w:color w:val="auto"/>
          <w:szCs w:val="21"/>
          <w:highlight w:val="none"/>
        </w:rPr>
      </w:pPr>
    </w:p>
    <w:p w14:paraId="442FFE01">
      <w:pPr>
        <w:spacing w:line="360" w:lineRule="auto"/>
        <w:ind w:right="800"/>
        <w:rPr>
          <w:rFonts w:hint="eastAsia" w:ascii="宋体" w:hAnsi="宋体" w:cs="宋体"/>
          <w:bCs/>
          <w:color w:val="auto"/>
          <w:szCs w:val="21"/>
          <w:highlight w:val="none"/>
          <w:u w:val="single"/>
        </w:rPr>
      </w:pPr>
      <w:r>
        <w:rPr>
          <w:rFonts w:hint="eastAsia" w:ascii="宋体" w:hAnsi="宋体" w:cs="宋体"/>
          <w:color w:val="auto"/>
          <w:szCs w:val="21"/>
          <w:highlight w:val="none"/>
        </w:rPr>
        <w:t>采购计划号：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457F381A">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采购人（甲方）：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供应商（乙方）：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DB120AF">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p w14:paraId="770D4340">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签订地点：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签订时间：</w:t>
      </w:r>
      <w:r>
        <w:rPr>
          <w:rFonts w:hint="eastAsia" w:ascii="宋体" w:hAnsi="宋体" w:cs="宋体"/>
          <w:color w:val="auto"/>
          <w:szCs w:val="21"/>
          <w:highlight w:val="none"/>
          <w:u w:val="single"/>
        </w:rPr>
        <w:t xml:space="preserve">                        </w:t>
      </w:r>
    </w:p>
    <w:p w14:paraId="421B60E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本合同为中小企业预留合同：</w:t>
      </w:r>
      <w:r>
        <w:rPr>
          <w:rFonts w:hint="eastAsia" w:ascii="宋体" w:hAnsi="宋体" w:cs="宋体"/>
          <w:color w:val="auto"/>
          <w:szCs w:val="21"/>
          <w:highlight w:val="none"/>
          <w:u w:val="single"/>
        </w:rPr>
        <w:t>（是/否）</w:t>
      </w:r>
      <w:r>
        <w:rPr>
          <w:rFonts w:hint="eastAsia" w:ascii="宋体" w:hAnsi="宋体" w:cs="宋体"/>
          <w:color w:val="auto"/>
          <w:szCs w:val="21"/>
          <w:highlight w:val="none"/>
        </w:rPr>
        <w:t>。</w:t>
      </w:r>
    </w:p>
    <w:p w14:paraId="7D649F69">
      <w:pPr>
        <w:spacing w:line="360" w:lineRule="auto"/>
        <w:ind w:firstLine="420" w:firstLineChars="200"/>
        <w:rPr>
          <w:rFonts w:hint="eastAsia" w:ascii="宋体" w:hAnsi="宋体" w:cs="宋体"/>
          <w:color w:val="auto"/>
          <w:szCs w:val="21"/>
          <w:highlight w:val="none"/>
        </w:rPr>
      </w:pPr>
    </w:p>
    <w:p w14:paraId="4D81C8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根据《中华人民共和国政府采购法》《中华人民共和国民法典》等法律法规规定，按照招标文件规定条款和乙方投标文件及其承诺，甲乙双方签订本合同。</w:t>
      </w:r>
    </w:p>
    <w:p w14:paraId="71E96129">
      <w:pPr>
        <w:pStyle w:val="3"/>
        <w:jc w:val="left"/>
        <w:rPr>
          <w:rFonts w:hint="eastAsia" w:ascii="宋体" w:hAnsi="宋体" w:cs="宋体"/>
          <w:color w:val="auto"/>
          <w:sz w:val="21"/>
          <w:szCs w:val="21"/>
          <w:highlight w:val="none"/>
        </w:rPr>
      </w:pPr>
      <w:bookmarkStart w:id="29" w:name="_Toc177716530"/>
      <w:r>
        <w:rPr>
          <w:rFonts w:hint="eastAsia" w:ascii="宋体" w:hAnsi="宋体" w:cs="宋体"/>
          <w:color w:val="auto"/>
          <w:sz w:val="21"/>
          <w:szCs w:val="21"/>
          <w:highlight w:val="none"/>
        </w:rPr>
        <w:t>第一条　合同标的</w:t>
      </w:r>
      <w:bookmarkEnd w:id="29"/>
    </w:p>
    <w:tbl>
      <w:tblPr>
        <w:tblStyle w:val="19"/>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3267"/>
        <w:gridCol w:w="958"/>
        <w:gridCol w:w="1778"/>
        <w:gridCol w:w="1920"/>
        <w:gridCol w:w="1272"/>
      </w:tblGrid>
      <w:tr w14:paraId="77F80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74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D5E6E1">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序号</w:t>
            </w:r>
          </w:p>
        </w:tc>
        <w:tc>
          <w:tcPr>
            <w:tcW w:w="3267"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9D684F7">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标的名称</w:t>
            </w:r>
          </w:p>
        </w:tc>
        <w:tc>
          <w:tcPr>
            <w:tcW w:w="95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60C09F7">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数量及单位</w:t>
            </w:r>
          </w:p>
        </w:tc>
        <w:tc>
          <w:tcPr>
            <w:tcW w:w="177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DF81168">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单价（元）</w:t>
            </w:r>
          </w:p>
        </w:tc>
        <w:tc>
          <w:tcPr>
            <w:tcW w:w="1920"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1416804">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单项合价（元）</w:t>
            </w:r>
          </w:p>
        </w:tc>
        <w:tc>
          <w:tcPr>
            <w:tcW w:w="1272"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7B8AD5A">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备注</w:t>
            </w:r>
          </w:p>
        </w:tc>
      </w:tr>
      <w:tr w14:paraId="31B2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48" w:type="dxa"/>
            <w:tcBorders>
              <w:top w:val="single" w:color="auto" w:sz="4" w:space="0"/>
              <w:left w:val="single" w:color="auto" w:sz="4" w:space="0"/>
              <w:bottom w:val="single" w:color="auto" w:sz="4" w:space="0"/>
              <w:right w:val="single" w:color="auto" w:sz="4" w:space="0"/>
            </w:tcBorders>
            <w:vAlign w:val="center"/>
          </w:tcPr>
          <w:p w14:paraId="23691B4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3267" w:type="dxa"/>
            <w:tcBorders>
              <w:top w:val="single" w:color="auto" w:sz="4" w:space="0"/>
              <w:left w:val="single" w:color="auto" w:sz="4" w:space="0"/>
              <w:bottom w:val="single" w:color="auto" w:sz="4" w:space="0"/>
              <w:right w:val="single" w:color="auto" w:sz="4" w:space="0"/>
            </w:tcBorders>
            <w:vAlign w:val="center"/>
          </w:tcPr>
          <w:p w14:paraId="0BE1D9C7">
            <w:pPr>
              <w:spacing w:line="360" w:lineRule="auto"/>
              <w:jc w:val="center"/>
              <w:rPr>
                <w:rFonts w:hint="eastAsia" w:ascii="宋体" w:hAnsi="宋体" w:cs="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vAlign w:val="center"/>
          </w:tcPr>
          <w:p w14:paraId="35CA3E6A">
            <w:pPr>
              <w:spacing w:line="360" w:lineRule="auto"/>
              <w:jc w:val="center"/>
              <w:rPr>
                <w:rFonts w:hint="eastAsia" w:ascii="宋体" w:hAnsi="宋体" w:cs="宋体"/>
                <w:color w:val="auto"/>
                <w:szCs w:val="21"/>
                <w:highlight w:val="none"/>
              </w:rPr>
            </w:pPr>
          </w:p>
        </w:tc>
        <w:tc>
          <w:tcPr>
            <w:tcW w:w="1778" w:type="dxa"/>
            <w:tcBorders>
              <w:top w:val="single" w:color="auto" w:sz="4" w:space="0"/>
              <w:left w:val="single" w:color="auto" w:sz="4" w:space="0"/>
              <w:bottom w:val="single" w:color="auto" w:sz="4" w:space="0"/>
              <w:right w:val="single" w:color="auto" w:sz="4" w:space="0"/>
            </w:tcBorders>
            <w:vAlign w:val="center"/>
          </w:tcPr>
          <w:p w14:paraId="1D4E858A">
            <w:pPr>
              <w:spacing w:line="360" w:lineRule="auto"/>
              <w:jc w:val="center"/>
              <w:rPr>
                <w:rFonts w:hint="eastAsia" w:ascii="宋体" w:hAnsi="宋体" w:cs="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4411DE03">
            <w:pPr>
              <w:spacing w:line="360" w:lineRule="auto"/>
              <w:jc w:val="center"/>
              <w:rPr>
                <w:rFonts w:hint="eastAsia" w:ascii="宋体" w:hAnsi="宋体" w:cs="宋体"/>
                <w:color w:val="auto"/>
                <w:szCs w:val="21"/>
                <w:highlight w:val="none"/>
              </w:rPr>
            </w:pPr>
          </w:p>
        </w:tc>
        <w:tc>
          <w:tcPr>
            <w:tcW w:w="1272" w:type="dxa"/>
            <w:tcBorders>
              <w:top w:val="single" w:color="auto" w:sz="4" w:space="0"/>
              <w:left w:val="single" w:color="auto" w:sz="4" w:space="0"/>
              <w:bottom w:val="single" w:color="auto" w:sz="4" w:space="0"/>
              <w:right w:val="single" w:color="auto" w:sz="4" w:space="0"/>
            </w:tcBorders>
            <w:vAlign w:val="center"/>
          </w:tcPr>
          <w:p w14:paraId="24D2BE19">
            <w:pPr>
              <w:spacing w:line="360" w:lineRule="auto"/>
              <w:jc w:val="center"/>
              <w:rPr>
                <w:rFonts w:hint="eastAsia" w:ascii="宋体" w:hAnsi="宋体" w:cs="宋体"/>
                <w:color w:val="auto"/>
                <w:szCs w:val="21"/>
                <w:highlight w:val="none"/>
              </w:rPr>
            </w:pPr>
          </w:p>
        </w:tc>
      </w:tr>
      <w:tr w14:paraId="3CDD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48" w:type="dxa"/>
            <w:tcBorders>
              <w:top w:val="single" w:color="auto" w:sz="4" w:space="0"/>
              <w:left w:val="single" w:color="auto" w:sz="4" w:space="0"/>
              <w:bottom w:val="single" w:color="auto" w:sz="4" w:space="0"/>
              <w:right w:val="single" w:color="auto" w:sz="4" w:space="0"/>
            </w:tcBorders>
            <w:vAlign w:val="center"/>
          </w:tcPr>
          <w:p w14:paraId="632DD8C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3267" w:type="dxa"/>
            <w:tcBorders>
              <w:top w:val="single" w:color="auto" w:sz="4" w:space="0"/>
              <w:left w:val="single" w:color="auto" w:sz="4" w:space="0"/>
              <w:bottom w:val="single" w:color="auto" w:sz="4" w:space="0"/>
              <w:right w:val="single" w:color="auto" w:sz="4" w:space="0"/>
            </w:tcBorders>
            <w:vAlign w:val="center"/>
          </w:tcPr>
          <w:p w14:paraId="60CF3F71">
            <w:pPr>
              <w:spacing w:line="360" w:lineRule="auto"/>
              <w:jc w:val="center"/>
              <w:rPr>
                <w:rFonts w:hint="eastAsia" w:ascii="宋体" w:hAnsi="宋体" w:cs="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vAlign w:val="center"/>
          </w:tcPr>
          <w:p w14:paraId="3EE42C28">
            <w:pPr>
              <w:spacing w:line="360" w:lineRule="auto"/>
              <w:jc w:val="center"/>
              <w:rPr>
                <w:rFonts w:hint="eastAsia" w:ascii="宋体" w:hAnsi="宋体" w:cs="宋体"/>
                <w:color w:val="auto"/>
                <w:szCs w:val="21"/>
                <w:highlight w:val="none"/>
              </w:rPr>
            </w:pPr>
          </w:p>
        </w:tc>
        <w:tc>
          <w:tcPr>
            <w:tcW w:w="1778" w:type="dxa"/>
            <w:tcBorders>
              <w:top w:val="single" w:color="auto" w:sz="4" w:space="0"/>
              <w:left w:val="single" w:color="auto" w:sz="4" w:space="0"/>
              <w:bottom w:val="single" w:color="auto" w:sz="4" w:space="0"/>
              <w:right w:val="single" w:color="auto" w:sz="4" w:space="0"/>
            </w:tcBorders>
            <w:vAlign w:val="center"/>
          </w:tcPr>
          <w:p w14:paraId="385699AD">
            <w:pPr>
              <w:spacing w:line="360" w:lineRule="auto"/>
              <w:jc w:val="center"/>
              <w:rPr>
                <w:rFonts w:hint="eastAsia" w:ascii="宋体" w:hAnsi="宋体" w:cs="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3FC9BB18">
            <w:pPr>
              <w:spacing w:line="360" w:lineRule="auto"/>
              <w:jc w:val="center"/>
              <w:rPr>
                <w:rFonts w:hint="eastAsia" w:ascii="宋体" w:hAnsi="宋体" w:cs="宋体"/>
                <w:color w:val="auto"/>
                <w:szCs w:val="21"/>
                <w:highlight w:val="none"/>
              </w:rPr>
            </w:pPr>
          </w:p>
        </w:tc>
        <w:tc>
          <w:tcPr>
            <w:tcW w:w="1272" w:type="dxa"/>
            <w:tcBorders>
              <w:top w:val="single" w:color="auto" w:sz="4" w:space="0"/>
              <w:left w:val="single" w:color="auto" w:sz="4" w:space="0"/>
              <w:bottom w:val="single" w:color="auto" w:sz="4" w:space="0"/>
              <w:right w:val="single" w:color="auto" w:sz="4" w:space="0"/>
            </w:tcBorders>
            <w:vAlign w:val="center"/>
          </w:tcPr>
          <w:p w14:paraId="71011C9B">
            <w:pPr>
              <w:spacing w:line="360" w:lineRule="auto"/>
              <w:jc w:val="center"/>
              <w:rPr>
                <w:rFonts w:hint="eastAsia" w:ascii="宋体" w:hAnsi="宋体" w:cs="宋体"/>
                <w:color w:val="auto"/>
                <w:szCs w:val="21"/>
                <w:highlight w:val="none"/>
              </w:rPr>
            </w:pPr>
          </w:p>
        </w:tc>
      </w:tr>
      <w:tr w14:paraId="48F1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48" w:type="dxa"/>
            <w:tcBorders>
              <w:top w:val="single" w:color="auto" w:sz="4" w:space="0"/>
              <w:left w:val="single" w:color="auto" w:sz="4" w:space="0"/>
              <w:bottom w:val="single" w:color="auto" w:sz="4" w:space="0"/>
              <w:right w:val="single" w:color="auto" w:sz="4" w:space="0"/>
            </w:tcBorders>
            <w:vAlign w:val="center"/>
          </w:tcPr>
          <w:p w14:paraId="1AC7578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3267" w:type="dxa"/>
            <w:tcBorders>
              <w:top w:val="single" w:color="auto" w:sz="4" w:space="0"/>
              <w:left w:val="single" w:color="auto" w:sz="4" w:space="0"/>
              <w:bottom w:val="single" w:color="auto" w:sz="4" w:space="0"/>
              <w:right w:val="single" w:color="auto" w:sz="4" w:space="0"/>
            </w:tcBorders>
            <w:vAlign w:val="center"/>
          </w:tcPr>
          <w:p w14:paraId="31C71BD3">
            <w:pPr>
              <w:spacing w:line="360" w:lineRule="auto"/>
              <w:jc w:val="center"/>
              <w:rPr>
                <w:rFonts w:hint="eastAsia" w:ascii="宋体" w:hAnsi="宋体" w:cs="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vAlign w:val="center"/>
          </w:tcPr>
          <w:p w14:paraId="05B78059">
            <w:pPr>
              <w:spacing w:line="360" w:lineRule="auto"/>
              <w:jc w:val="center"/>
              <w:rPr>
                <w:rFonts w:hint="eastAsia" w:ascii="宋体" w:hAnsi="宋体" w:cs="宋体"/>
                <w:color w:val="auto"/>
                <w:szCs w:val="21"/>
                <w:highlight w:val="none"/>
              </w:rPr>
            </w:pPr>
          </w:p>
        </w:tc>
        <w:tc>
          <w:tcPr>
            <w:tcW w:w="1778" w:type="dxa"/>
            <w:tcBorders>
              <w:top w:val="single" w:color="auto" w:sz="4" w:space="0"/>
              <w:left w:val="single" w:color="auto" w:sz="4" w:space="0"/>
              <w:bottom w:val="single" w:color="auto" w:sz="4" w:space="0"/>
              <w:right w:val="single" w:color="auto" w:sz="4" w:space="0"/>
            </w:tcBorders>
            <w:vAlign w:val="center"/>
          </w:tcPr>
          <w:p w14:paraId="79A7467E">
            <w:pPr>
              <w:spacing w:line="360" w:lineRule="auto"/>
              <w:jc w:val="center"/>
              <w:rPr>
                <w:rFonts w:hint="eastAsia" w:ascii="宋体" w:hAnsi="宋体" w:cs="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6347BFC1">
            <w:pPr>
              <w:spacing w:line="360" w:lineRule="auto"/>
              <w:jc w:val="center"/>
              <w:rPr>
                <w:rFonts w:hint="eastAsia" w:ascii="宋体" w:hAnsi="宋体" w:cs="宋体"/>
                <w:color w:val="auto"/>
                <w:szCs w:val="21"/>
                <w:highlight w:val="none"/>
              </w:rPr>
            </w:pPr>
          </w:p>
        </w:tc>
        <w:tc>
          <w:tcPr>
            <w:tcW w:w="1272" w:type="dxa"/>
            <w:tcBorders>
              <w:top w:val="single" w:color="auto" w:sz="4" w:space="0"/>
              <w:left w:val="single" w:color="auto" w:sz="4" w:space="0"/>
              <w:bottom w:val="single" w:color="auto" w:sz="4" w:space="0"/>
              <w:right w:val="single" w:color="auto" w:sz="4" w:space="0"/>
            </w:tcBorders>
            <w:vAlign w:val="center"/>
          </w:tcPr>
          <w:p w14:paraId="59805FFE">
            <w:pPr>
              <w:spacing w:line="360" w:lineRule="auto"/>
              <w:jc w:val="center"/>
              <w:rPr>
                <w:rFonts w:hint="eastAsia" w:ascii="宋体" w:hAnsi="宋体" w:cs="宋体"/>
                <w:color w:val="auto"/>
                <w:szCs w:val="21"/>
                <w:highlight w:val="none"/>
              </w:rPr>
            </w:pPr>
          </w:p>
        </w:tc>
      </w:tr>
      <w:tr w14:paraId="34FB3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748" w:type="dxa"/>
            <w:tcBorders>
              <w:top w:val="single" w:color="auto" w:sz="4" w:space="0"/>
              <w:left w:val="single" w:color="auto" w:sz="4" w:space="0"/>
              <w:bottom w:val="single" w:color="auto" w:sz="4" w:space="0"/>
              <w:right w:val="single" w:color="auto" w:sz="4" w:space="0"/>
            </w:tcBorders>
            <w:vAlign w:val="center"/>
          </w:tcPr>
          <w:p w14:paraId="40CBA89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3267" w:type="dxa"/>
            <w:tcBorders>
              <w:top w:val="single" w:color="auto" w:sz="4" w:space="0"/>
              <w:left w:val="single" w:color="auto" w:sz="4" w:space="0"/>
              <w:bottom w:val="single" w:color="auto" w:sz="4" w:space="0"/>
              <w:right w:val="single" w:color="auto" w:sz="4" w:space="0"/>
            </w:tcBorders>
            <w:vAlign w:val="center"/>
          </w:tcPr>
          <w:p w14:paraId="77F2809F">
            <w:pPr>
              <w:spacing w:line="360" w:lineRule="auto"/>
              <w:jc w:val="center"/>
              <w:rPr>
                <w:rFonts w:hint="eastAsia" w:ascii="宋体" w:hAnsi="宋体" w:cs="宋体"/>
                <w:color w:val="auto"/>
                <w:szCs w:val="21"/>
                <w:highlight w:val="none"/>
              </w:rPr>
            </w:pPr>
          </w:p>
        </w:tc>
        <w:tc>
          <w:tcPr>
            <w:tcW w:w="958" w:type="dxa"/>
            <w:tcBorders>
              <w:top w:val="single" w:color="auto" w:sz="4" w:space="0"/>
              <w:left w:val="single" w:color="auto" w:sz="4" w:space="0"/>
              <w:bottom w:val="single" w:color="auto" w:sz="4" w:space="0"/>
              <w:right w:val="single" w:color="auto" w:sz="4" w:space="0"/>
            </w:tcBorders>
            <w:vAlign w:val="center"/>
          </w:tcPr>
          <w:p w14:paraId="3570A1BE">
            <w:pPr>
              <w:spacing w:line="360" w:lineRule="auto"/>
              <w:jc w:val="center"/>
              <w:rPr>
                <w:rFonts w:hint="eastAsia" w:ascii="宋体" w:hAnsi="宋体" w:cs="宋体"/>
                <w:color w:val="auto"/>
                <w:szCs w:val="21"/>
                <w:highlight w:val="none"/>
              </w:rPr>
            </w:pPr>
          </w:p>
        </w:tc>
        <w:tc>
          <w:tcPr>
            <w:tcW w:w="1778" w:type="dxa"/>
            <w:tcBorders>
              <w:top w:val="single" w:color="auto" w:sz="4" w:space="0"/>
              <w:left w:val="single" w:color="auto" w:sz="4" w:space="0"/>
              <w:bottom w:val="single" w:color="auto" w:sz="4" w:space="0"/>
              <w:right w:val="single" w:color="auto" w:sz="4" w:space="0"/>
            </w:tcBorders>
            <w:vAlign w:val="center"/>
          </w:tcPr>
          <w:p w14:paraId="7E91E601">
            <w:pPr>
              <w:spacing w:line="360" w:lineRule="auto"/>
              <w:jc w:val="center"/>
              <w:rPr>
                <w:rFonts w:hint="eastAsia" w:ascii="宋体" w:hAnsi="宋体" w:cs="宋体"/>
                <w:color w:val="auto"/>
                <w:szCs w:val="21"/>
                <w:highlight w:val="none"/>
              </w:rPr>
            </w:pPr>
          </w:p>
        </w:tc>
        <w:tc>
          <w:tcPr>
            <w:tcW w:w="1920" w:type="dxa"/>
            <w:tcBorders>
              <w:top w:val="single" w:color="auto" w:sz="4" w:space="0"/>
              <w:left w:val="single" w:color="auto" w:sz="4" w:space="0"/>
              <w:bottom w:val="single" w:color="auto" w:sz="4" w:space="0"/>
              <w:right w:val="single" w:color="auto" w:sz="4" w:space="0"/>
            </w:tcBorders>
            <w:vAlign w:val="center"/>
          </w:tcPr>
          <w:p w14:paraId="77AC4F0E">
            <w:pPr>
              <w:spacing w:line="360" w:lineRule="auto"/>
              <w:jc w:val="center"/>
              <w:rPr>
                <w:rFonts w:hint="eastAsia" w:ascii="宋体" w:hAnsi="宋体" w:cs="宋体"/>
                <w:color w:val="auto"/>
                <w:szCs w:val="21"/>
                <w:highlight w:val="none"/>
              </w:rPr>
            </w:pPr>
          </w:p>
        </w:tc>
        <w:tc>
          <w:tcPr>
            <w:tcW w:w="1272" w:type="dxa"/>
            <w:tcBorders>
              <w:top w:val="single" w:color="auto" w:sz="4" w:space="0"/>
              <w:left w:val="single" w:color="auto" w:sz="4" w:space="0"/>
              <w:bottom w:val="single" w:color="auto" w:sz="4" w:space="0"/>
              <w:right w:val="single" w:color="auto" w:sz="4" w:space="0"/>
            </w:tcBorders>
            <w:vAlign w:val="center"/>
          </w:tcPr>
          <w:p w14:paraId="414F9DC0">
            <w:pPr>
              <w:spacing w:line="360" w:lineRule="auto"/>
              <w:jc w:val="center"/>
              <w:rPr>
                <w:rFonts w:hint="eastAsia" w:ascii="宋体" w:hAnsi="宋体" w:cs="宋体"/>
                <w:color w:val="auto"/>
                <w:szCs w:val="21"/>
                <w:highlight w:val="none"/>
              </w:rPr>
            </w:pPr>
          </w:p>
        </w:tc>
      </w:tr>
      <w:tr w14:paraId="6931F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943" w:type="dxa"/>
            <w:gridSpan w:val="6"/>
            <w:tcBorders>
              <w:top w:val="single" w:color="auto" w:sz="4" w:space="0"/>
              <w:left w:val="single" w:color="auto" w:sz="4" w:space="0"/>
              <w:bottom w:val="single" w:color="auto" w:sz="4" w:space="0"/>
              <w:right w:val="single" w:color="auto" w:sz="4" w:space="0"/>
            </w:tcBorders>
            <w:vAlign w:val="center"/>
          </w:tcPr>
          <w:p w14:paraId="4BB4B9B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合同总金额（包含所有费用）：</w:t>
            </w:r>
            <w:r>
              <w:rPr>
                <w:rFonts w:hint="eastAsia" w:ascii="宋体" w:hAnsi="宋体" w:cs="宋体"/>
                <w:color w:val="auto"/>
                <w:szCs w:val="21"/>
                <w:highlight w:val="none"/>
                <w:u w:val="single"/>
              </w:rPr>
              <w:t>（大写）                        （小写）（¥                     ）</w:t>
            </w:r>
          </w:p>
        </w:tc>
      </w:tr>
    </w:tbl>
    <w:p w14:paraId="37F32F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说明：具体详见附件《开标一览表》《技术需求偏离表》，合同总金额包含但并不限于本项目各项建设内容及其他相关服务等的费用和所需缴纳的所有价格、税、费。在合同实施时，甲方将不予支付乙方没有列入的项目费用，并认为此项目的费用已包括在合同总金额中。</w:t>
      </w:r>
    </w:p>
    <w:p w14:paraId="31C1807B">
      <w:pPr>
        <w:pStyle w:val="3"/>
        <w:jc w:val="left"/>
        <w:rPr>
          <w:rFonts w:hint="eastAsia" w:ascii="宋体" w:hAnsi="宋体" w:cs="宋体"/>
          <w:color w:val="auto"/>
          <w:sz w:val="21"/>
          <w:szCs w:val="21"/>
          <w:highlight w:val="none"/>
        </w:rPr>
      </w:pPr>
      <w:bookmarkStart w:id="30" w:name="_Toc177716531"/>
      <w:r>
        <w:rPr>
          <w:rFonts w:hint="eastAsia" w:ascii="宋体" w:hAnsi="宋体" w:cs="宋体"/>
          <w:color w:val="auto"/>
          <w:sz w:val="21"/>
          <w:szCs w:val="21"/>
          <w:highlight w:val="none"/>
        </w:rPr>
        <w:t>第二条　质量保证</w:t>
      </w:r>
      <w:bookmarkEnd w:id="30"/>
    </w:p>
    <w:p w14:paraId="1D51F85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乙方所提供的服务及其他相关服务的内容</w:t>
      </w:r>
      <w:r>
        <w:rPr>
          <w:rFonts w:hint="eastAsia" w:ascii="宋体" w:hAnsi="宋体" w:cs="宋体"/>
          <w:color w:val="auto"/>
          <w:szCs w:val="21"/>
          <w:highlight w:val="none"/>
          <w:lang w:eastAsia="zh-Hans"/>
        </w:rPr>
        <w:t>、数量、质量等</w:t>
      </w:r>
      <w:r>
        <w:rPr>
          <w:rFonts w:hint="eastAsia" w:ascii="宋体" w:hAnsi="宋体" w:cs="宋体"/>
          <w:color w:val="auto"/>
          <w:szCs w:val="21"/>
          <w:highlight w:val="none"/>
        </w:rPr>
        <w:t>必须与投标文件承诺相一致，具有国家强制性标准的，还必须符合国家强制性标准的规定，没有国家强制性标准但有其他强制性标准的，必须符合其他强制性标准的规定。</w:t>
      </w:r>
    </w:p>
    <w:p w14:paraId="018B6800">
      <w:pPr>
        <w:pStyle w:val="3"/>
        <w:jc w:val="left"/>
        <w:rPr>
          <w:rFonts w:hint="eastAsia" w:ascii="宋体" w:hAnsi="宋体" w:cs="宋体"/>
          <w:color w:val="auto"/>
          <w:sz w:val="21"/>
          <w:szCs w:val="21"/>
          <w:highlight w:val="none"/>
        </w:rPr>
      </w:pPr>
      <w:bookmarkStart w:id="31" w:name="_Toc177716532"/>
      <w:r>
        <w:rPr>
          <w:rFonts w:hint="eastAsia" w:ascii="宋体" w:hAnsi="宋体" w:cs="宋体"/>
          <w:color w:val="auto"/>
          <w:sz w:val="21"/>
          <w:szCs w:val="21"/>
          <w:highlight w:val="none"/>
        </w:rPr>
        <w:t>第三条　权利保证</w:t>
      </w:r>
      <w:bookmarkEnd w:id="31"/>
    </w:p>
    <w:p w14:paraId="4E95AB6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1.乙方应保证所提供服务在使用时不会侵犯任何第三方的专利权、商标权、工业设计权等知识产权及其他合法权利，且所有权、处分权等没有受到任何限制。</w:t>
      </w:r>
    </w:p>
    <w:p w14:paraId="4904533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26E6A6FE">
      <w:pPr>
        <w:spacing w:line="360" w:lineRule="auto"/>
        <w:ind w:firstLine="420" w:firstLineChars="200"/>
        <w:rPr>
          <w:rFonts w:hint="eastAsia" w:ascii="宋体" w:hAnsi="宋体" w:cs="宋体"/>
          <w:color w:val="auto"/>
          <w:szCs w:val="21"/>
          <w:highlight w:val="none"/>
        </w:rPr>
      </w:pPr>
      <w:bookmarkStart w:id="32" w:name="_Toc177716533"/>
      <w:r>
        <w:rPr>
          <w:rFonts w:hint="eastAsia" w:ascii="宋体" w:hAnsi="宋体" w:cs="宋体"/>
          <w:color w:val="auto"/>
          <w:szCs w:val="21"/>
          <w:highlight w:val="none"/>
        </w:rPr>
        <w:t>3.知识产权归属：本次项目成果归甲方（或甲方单位）所有，乙方不得擅自对外发表、出版。</w:t>
      </w:r>
    </w:p>
    <w:p w14:paraId="61C6CDE5">
      <w:pPr>
        <w:pStyle w:val="3"/>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第四条  交付和验收</w:t>
      </w:r>
      <w:bookmarkEnd w:id="32"/>
    </w:p>
    <w:p w14:paraId="392865CC">
      <w:pPr>
        <w:numPr>
          <w:ilvl w:val="0"/>
          <w:numId w:val="7"/>
        </w:num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交付时间：</w:t>
      </w:r>
      <w:r>
        <w:rPr>
          <w:rFonts w:hint="eastAsia" w:ascii="宋体" w:hAnsi="宋体" w:cs="宋体"/>
          <w:color w:val="auto"/>
          <w:szCs w:val="21"/>
          <w:highlight w:val="none"/>
          <w:u w:val="single"/>
        </w:rPr>
        <w:t xml:space="preserve">  （按中标人承诺）   </w:t>
      </w:r>
      <w:r>
        <w:rPr>
          <w:rFonts w:hint="eastAsia" w:ascii="宋体" w:hAnsi="宋体" w:cs="宋体"/>
          <w:color w:val="auto"/>
          <w:szCs w:val="21"/>
          <w:highlight w:val="none"/>
        </w:rPr>
        <w:t>，交付地点：</w:t>
      </w:r>
      <w:r>
        <w:rPr>
          <w:rFonts w:hint="eastAsia" w:ascii="宋体" w:hAnsi="宋体" w:cs="宋体"/>
          <w:color w:val="auto"/>
          <w:szCs w:val="21"/>
          <w:highlight w:val="none"/>
          <w:u w:val="single"/>
        </w:rPr>
        <w:t xml:space="preserve">  （按采购文件要求）   </w:t>
      </w:r>
      <w:r>
        <w:rPr>
          <w:rFonts w:hint="eastAsia" w:ascii="宋体" w:hAnsi="宋体" w:cs="宋体"/>
          <w:color w:val="auto"/>
          <w:szCs w:val="21"/>
          <w:highlight w:val="none"/>
        </w:rPr>
        <w:t>。</w:t>
      </w:r>
    </w:p>
    <w:p w14:paraId="7C74F84E">
      <w:pPr>
        <w:numPr>
          <w:ilvl w:val="0"/>
          <w:numId w:val="7"/>
        </w:numPr>
        <w:tabs>
          <w:tab w:val="left" w:pos="0"/>
        </w:tabs>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lang w:eastAsia="zh-Hans"/>
        </w:rPr>
        <w:t>乙方应按投标文件的承诺向甲方提供相应的服务，并提供所服务内容的相关技术资料。</w:t>
      </w:r>
    </w:p>
    <w:p w14:paraId="0CF456E3">
      <w:pPr>
        <w:numPr>
          <w:ilvl w:val="0"/>
          <w:numId w:val="7"/>
        </w:numPr>
        <w:tabs>
          <w:tab w:val="left" w:pos="0"/>
        </w:tabs>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lang w:eastAsia="zh-Hans"/>
        </w:rPr>
        <w:t>乙方提供不符合投标文件和本合同规定的服务成果，甲方有权拒绝接受。</w:t>
      </w:r>
    </w:p>
    <w:p w14:paraId="465002E2">
      <w:pPr>
        <w:numPr>
          <w:ilvl w:val="0"/>
          <w:numId w:val="7"/>
        </w:numPr>
        <w:tabs>
          <w:tab w:val="left" w:pos="0"/>
        </w:tabs>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lang w:eastAsia="zh-Hans"/>
        </w:rPr>
        <w:t>乙方完成服务后应及时书面通知甲方进行验收，</w:t>
      </w:r>
      <w:r>
        <w:rPr>
          <w:rFonts w:hint="eastAsia" w:ascii="宋体" w:hAnsi="宋体" w:cs="宋体"/>
          <w:color w:val="auto"/>
          <w:szCs w:val="21"/>
          <w:highlight w:val="none"/>
        </w:rPr>
        <w:t>最终</w:t>
      </w:r>
      <w:r>
        <w:rPr>
          <w:rFonts w:hint="eastAsia" w:ascii="宋体" w:hAnsi="宋体" w:cs="宋体"/>
          <w:color w:val="auto"/>
          <w:szCs w:val="21"/>
          <w:highlight w:val="none"/>
          <w:lang w:eastAsia="zh-Hans"/>
        </w:rPr>
        <w:t>验收合格后由甲乙双方签署</w:t>
      </w:r>
      <w:r>
        <w:rPr>
          <w:rFonts w:hint="eastAsia" w:ascii="宋体" w:hAnsi="宋体" w:cs="宋体"/>
          <w:color w:val="auto"/>
          <w:kern w:val="0"/>
          <w:szCs w:val="21"/>
          <w:highlight w:val="none"/>
        </w:rPr>
        <w:t>合同验收书</w:t>
      </w:r>
      <w:r>
        <w:rPr>
          <w:rFonts w:hint="eastAsia" w:ascii="宋体" w:hAnsi="宋体" w:cs="宋体"/>
          <w:color w:val="auto"/>
          <w:szCs w:val="21"/>
          <w:highlight w:val="none"/>
          <w:lang w:eastAsia="zh-Hans"/>
        </w:rPr>
        <w:t>并加盖</w:t>
      </w:r>
      <w:r>
        <w:rPr>
          <w:rFonts w:hint="eastAsia" w:ascii="宋体" w:hAnsi="宋体" w:cs="宋体"/>
          <w:color w:val="auto"/>
          <w:szCs w:val="21"/>
          <w:highlight w:val="none"/>
        </w:rPr>
        <w:t>双方</w:t>
      </w:r>
      <w:r>
        <w:rPr>
          <w:rFonts w:hint="eastAsia" w:ascii="宋体" w:hAnsi="宋体" w:cs="宋体"/>
          <w:color w:val="auto"/>
          <w:szCs w:val="21"/>
          <w:highlight w:val="none"/>
          <w:lang w:eastAsia="zh-Hans"/>
        </w:rPr>
        <w:t>公章，甲乙双方各执一份。</w:t>
      </w:r>
    </w:p>
    <w:p w14:paraId="14B59035">
      <w:pPr>
        <w:numPr>
          <w:ilvl w:val="0"/>
          <w:numId w:val="7"/>
        </w:numPr>
        <w:tabs>
          <w:tab w:val="left" w:pos="0"/>
        </w:tabs>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lang w:eastAsia="zh-Hans"/>
        </w:rPr>
        <w:t>甲乙双方应按照《广西壮族自治区政府采购项目履约验收管理办法》、双方合同、投标文件</w:t>
      </w:r>
      <w:r>
        <w:rPr>
          <w:rFonts w:hint="eastAsia" w:ascii="宋体" w:hAnsi="宋体" w:cs="宋体"/>
          <w:color w:val="auto"/>
          <w:szCs w:val="21"/>
          <w:highlight w:val="none"/>
        </w:rPr>
        <w:t>、</w:t>
      </w:r>
      <w:r>
        <w:rPr>
          <w:rFonts w:hint="eastAsia" w:ascii="宋体" w:hAnsi="宋体" w:cs="宋体"/>
          <w:color w:val="auto"/>
          <w:kern w:val="0"/>
          <w:szCs w:val="21"/>
          <w:highlight w:val="none"/>
        </w:rPr>
        <w:t>自治区公安厅验收标准</w:t>
      </w:r>
      <w:r>
        <w:rPr>
          <w:rFonts w:hint="eastAsia" w:ascii="宋体" w:hAnsi="宋体" w:cs="宋体"/>
          <w:color w:val="auto"/>
          <w:szCs w:val="21"/>
          <w:highlight w:val="none"/>
        </w:rPr>
        <w:t>进行</w:t>
      </w:r>
      <w:r>
        <w:rPr>
          <w:rFonts w:hint="eastAsia" w:ascii="宋体" w:hAnsi="宋体" w:cs="宋体"/>
          <w:color w:val="auto"/>
          <w:szCs w:val="21"/>
          <w:highlight w:val="none"/>
          <w:lang w:eastAsia="zh-Hans"/>
        </w:rPr>
        <w:t>验收。</w:t>
      </w:r>
    </w:p>
    <w:p w14:paraId="6DCCB0AC">
      <w:pPr>
        <w:numPr>
          <w:ilvl w:val="0"/>
          <w:numId w:val="7"/>
        </w:numPr>
        <w:tabs>
          <w:tab w:val="left" w:pos="0"/>
        </w:tabs>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lang w:eastAsia="zh-Hans"/>
        </w:rPr>
        <w:t>甲方在初步验收或者最终验收过程中如发现乙方提供的服务成果不满足投标文件及本合同规定的，可暂缓向乙方付款，直到乙方及时完善并提交相应的服务成果且经甲方验收合格后，方可办理付款。</w:t>
      </w:r>
    </w:p>
    <w:p w14:paraId="5CA45152">
      <w:pPr>
        <w:numPr>
          <w:ilvl w:val="0"/>
          <w:numId w:val="7"/>
        </w:numPr>
        <w:tabs>
          <w:tab w:val="left" w:pos="0"/>
        </w:tabs>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lang w:eastAsia="zh-Hans"/>
        </w:rPr>
        <w:t>甲方验收时以书面形式提出异议的，乙方应自收到甲方书面异议后五个工作日内及时予以解决，否则甲方有权不出具服务验收合格单。</w:t>
      </w:r>
    </w:p>
    <w:p w14:paraId="4EF2CDD2">
      <w:pPr>
        <w:pStyle w:val="17"/>
        <w:numPr>
          <w:ilvl w:val="0"/>
          <w:numId w:val="7"/>
        </w:numPr>
        <w:tabs>
          <w:tab w:val="left" w:pos="0"/>
        </w:tabs>
        <w:spacing w:after="0" w:line="360" w:lineRule="auto"/>
        <w:ind w:firstLine="420" w:firstLineChars="200"/>
        <w:rPr>
          <w:rFonts w:hint="eastAsia" w:ascii="宋体" w:hAnsi="宋体" w:cs="宋体"/>
          <w:color w:val="auto"/>
          <w:szCs w:val="21"/>
          <w:highlight w:val="none"/>
          <w:u w:val="single"/>
          <w:lang w:eastAsia="zh-Hans"/>
        </w:rPr>
      </w:pPr>
      <w:r>
        <w:rPr>
          <w:rFonts w:hint="eastAsia" w:ascii="宋体" w:hAnsi="宋体" w:cs="宋体"/>
          <w:color w:val="auto"/>
          <w:szCs w:val="21"/>
          <w:highlight w:val="none"/>
          <w:u w:val="single"/>
          <w:lang w:eastAsia="zh-Hans"/>
        </w:rPr>
        <w:t>若在签署最终验收文件后12周内，</w:t>
      </w:r>
      <w:r>
        <w:rPr>
          <w:rFonts w:hint="eastAsia" w:ascii="宋体" w:hAnsi="宋体" w:cs="宋体"/>
          <w:color w:val="auto"/>
          <w:szCs w:val="21"/>
          <w:highlight w:val="none"/>
          <w:u w:val="single"/>
        </w:rPr>
        <w:t>甲方发现了乙方所实施的</w:t>
      </w:r>
      <w:r>
        <w:rPr>
          <w:rFonts w:hint="eastAsia" w:ascii="宋体" w:hAnsi="宋体" w:cs="宋体"/>
          <w:color w:val="auto"/>
          <w:szCs w:val="21"/>
          <w:highlight w:val="none"/>
          <w:u w:val="single"/>
          <w:lang w:eastAsia="zh-Hans"/>
        </w:rPr>
        <w:t>该项目有一条及以上达不到本项目招标文件规定的技术及服务要求时，乙方应在</w:t>
      </w:r>
      <w:r>
        <w:rPr>
          <w:rFonts w:hint="eastAsia" w:ascii="宋体" w:hAnsi="宋体" w:cs="宋体"/>
          <w:color w:val="auto"/>
          <w:szCs w:val="21"/>
          <w:highlight w:val="none"/>
          <w:u w:val="single"/>
        </w:rPr>
        <w:t>甲方通知的时间内</w:t>
      </w:r>
      <w:r>
        <w:rPr>
          <w:rFonts w:hint="eastAsia" w:ascii="宋体" w:hAnsi="宋体" w:cs="宋体"/>
          <w:color w:val="auto"/>
          <w:szCs w:val="21"/>
          <w:highlight w:val="none"/>
          <w:u w:val="single"/>
          <w:lang w:eastAsia="zh-Hans"/>
        </w:rPr>
        <w:t>采取有效措施，使该项目完全达到规定的技术及服务要求，在此期间的一切费用由乙方承担，如在此期间内仍达不到规定的技术性及服务要求时，将按合同中</w:t>
      </w:r>
      <w:r>
        <w:rPr>
          <w:rFonts w:hint="eastAsia" w:ascii="宋体" w:hAnsi="宋体" w:cs="宋体"/>
          <w:color w:val="auto"/>
          <w:szCs w:val="21"/>
          <w:highlight w:val="none"/>
          <w:u w:val="single"/>
        </w:rPr>
        <w:t>第九条第3点</w:t>
      </w:r>
      <w:r>
        <w:rPr>
          <w:rFonts w:hint="eastAsia" w:ascii="宋体" w:hAnsi="宋体" w:cs="宋体"/>
          <w:color w:val="auto"/>
          <w:szCs w:val="21"/>
          <w:highlight w:val="none"/>
          <w:u w:val="single"/>
          <w:lang w:eastAsia="zh-Hans"/>
        </w:rPr>
        <w:t>执行。</w:t>
      </w:r>
    </w:p>
    <w:p w14:paraId="6004699A">
      <w:pPr>
        <w:numPr>
          <w:ilvl w:val="0"/>
          <w:numId w:val="7"/>
        </w:numPr>
        <w:tabs>
          <w:tab w:val="left" w:pos="0"/>
        </w:tabs>
        <w:spacing w:line="360" w:lineRule="auto"/>
        <w:ind w:firstLine="420" w:firstLineChars="200"/>
        <w:rPr>
          <w:color w:val="auto"/>
          <w:highlight w:val="none"/>
          <w:lang w:eastAsia="zh-Hans"/>
        </w:rPr>
      </w:pPr>
      <w:r>
        <w:rPr>
          <w:rFonts w:hint="eastAsia"/>
          <w:color w:val="auto"/>
          <w:highlight w:val="none"/>
          <w:lang w:eastAsia="zh-Hans"/>
        </w:rPr>
        <w:t>在签署最终验收文件后</w:t>
      </w:r>
      <w:r>
        <w:rPr>
          <w:rFonts w:hint="eastAsia" w:ascii="宋体" w:hAnsi="宋体" w:cs="宋体"/>
          <w:color w:val="auto"/>
          <w:kern w:val="0"/>
          <w:szCs w:val="21"/>
          <w:highlight w:val="none"/>
        </w:rPr>
        <w:t>15日</w:t>
      </w:r>
      <w:r>
        <w:rPr>
          <w:rFonts w:hint="eastAsia"/>
          <w:color w:val="auto"/>
          <w:highlight w:val="none"/>
          <w:lang w:eastAsia="zh-Hans"/>
        </w:rPr>
        <w:t>内</w:t>
      </w:r>
      <w:r>
        <w:rPr>
          <w:rFonts w:hint="eastAsia"/>
          <w:color w:val="auto"/>
          <w:highlight w:val="none"/>
        </w:rPr>
        <w:t>，</w:t>
      </w:r>
      <w:r>
        <w:rPr>
          <w:rFonts w:hint="eastAsia"/>
          <w:color w:val="auto"/>
          <w:highlight w:val="none"/>
          <w:lang w:eastAsia="zh-Hans"/>
        </w:rPr>
        <w:t>乙方</w:t>
      </w:r>
      <w:r>
        <w:rPr>
          <w:rFonts w:hint="eastAsia"/>
          <w:color w:val="auto"/>
          <w:highlight w:val="none"/>
        </w:rPr>
        <w:t>必须</w:t>
      </w:r>
      <w:r>
        <w:rPr>
          <w:rFonts w:hint="eastAsia"/>
          <w:color w:val="auto"/>
          <w:highlight w:val="none"/>
          <w:lang w:eastAsia="zh-Hans"/>
        </w:rPr>
        <w:t>以</w:t>
      </w:r>
      <w:r>
        <w:rPr>
          <w:rFonts w:hint="eastAsia"/>
          <w:color w:val="auto"/>
          <w:highlight w:val="none"/>
        </w:rPr>
        <w:t>甲方</w:t>
      </w:r>
      <w:r>
        <w:rPr>
          <w:rFonts w:hint="eastAsia"/>
          <w:color w:val="auto"/>
          <w:highlight w:val="none"/>
          <w:lang w:eastAsia="zh-Hans"/>
        </w:rPr>
        <w:t>指定</w:t>
      </w:r>
      <w:r>
        <w:rPr>
          <w:rFonts w:hint="eastAsia"/>
          <w:color w:val="auto"/>
          <w:highlight w:val="none"/>
        </w:rPr>
        <w:t>的</w:t>
      </w:r>
      <w:r>
        <w:rPr>
          <w:rFonts w:hint="eastAsia"/>
          <w:color w:val="auto"/>
          <w:highlight w:val="none"/>
          <w:lang w:eastAsia="zh-Hans"/>
        </w:rPr>
        <w:t>格式(如源码包、版本控制系统链接等)交付完整的源代码及相关文档，并明确源代码的所有权归属甲方。对于乙方使用自有知识产权的模块，甲方获得非独占、免版税的使用权。</w:t>
      </w:r>
    </w:p>
    <w:p w14:paraId="5DAFFAB6">
      <w:pPr>
        <w:numPr>
          <w:ilvl w:val="0"/>
          <w:numId w:val="7"/>
        </w:numPr>
        <w:tabs>
          <w:tab w:val="left" w:pos="0"/>
        </w:tabs>
        <w:spacing w:line="360" w:lineRule="auto"/>
        <w:ind w:firstLine="420" w:firstLineChars="200"/>
        <w:rPr>
          <w:color w:val="auto"/>
          <w:highlight w:val="none"/>
          <w:lang w:eastAsia="zh-Hans"/>
        </w:rPr>
      </w:pPr>
      <w:r>
        <w:rPr>
          <w:rFonts w:hint="eastAsia" w:ascii="宋体" w:hAnsi="宋体" w:cs="宋体"/>
          <w:color w:val="auto"/>
          <w:highlight w:val="none"/>
        </w:rPr>
        <w:t>其他验收约定：</w:t>
      </w:r>
      <w:r>
        <w:rPr>
          <w:rFonts w:hint="eastAsia" w:ascii="宋体" w:hAnsi="宋体" w:cs="宋体"/>
          <w:color w:val="auto"/>
          <w:szCs w:val="21"/>
          <w:highlight w:val="none"/>
          <w:u w:val="single"/>
        </w:rPr>
        <w:t xml:space="preserve">  （按采购文件要求）   </w:t>
      </w:r>
      <w:r>
        <w:rPr>
          <w:rFonts w:hint="eastAsia" w:ascii="宋体" w:hAnsi="宋体" w:cs="宋体"/>
          <w:color w:val="auto"/>
          <w:szCs w:val="21"/>
          <w:highlight w:val="none"/>
        </w:rPr>
        <w:t>。</w:t>
      </w:r>
    </w:p>
    <w:p w14:paraId="5DA65A98">
      <w:pPr>
        <w:pStyle w:val="3"/>
        <w:jc w:val="left"/>
        <w:rPr>
          <w:rFonts w:hint="eastAsia" w:ascii="宋体" w:hAnsi="宋体" w:cs="宋体"/>
          <w:color w:val="auto"/>
          <w:sz w:val="21"/>
          <w:szCs w:val="21"/>
          <w:highlight w:val="none"/>
        </w:rPr>
      </w:pPr>
      <w:bookmarkStart w:id="33" w:name="_Toc177716534"/>
      <w:r>
        <w:rPr>
          <w:rFonts w:hint="eastAsia" w:ascii="宋体" w:hAnsi="宋体" w:cs="宋体"/>
          <w:color w:val="auto"/>
          <w:sz w:val="21"/>
          <w:szCs w:val="21"/>
          <w:highlight w:val="none"/>
        </w:rPr>
        <w:t>第五条  售后服务及培训</w:t>
      </w:r>
    </w:p>
    <w:p w14:paraId="3A53F95E">
      <w:pPr>
        <w:numPr>
          <w:ilvl w:val="0"/>
          <w:numId w:val="8"/>
        </w:num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kern w:val="0"/>
          <w:szCs w:val="21"/>
          <w:highlight w:val="none"/>
        </w:rPr>
        <w:t>系统运维服务期</w:t>
      </w:r>
      <w:r>
        <w:rPr>
          <w:rFonts w:hint="eastAsia" w:ascii="宋体" w:hAnsi="宋体" w:cs="宋体"/>
          <w:color w:val="auto"/>
          <w:highlight w:val="none"/>
        </w:rPr>
        <w:t>：</w:t>
      </w:r>
      <w:r>
        <w:rPr>
          <w:rFonts w:hint="eastAsia" w:ascii="宋体" w:hAnsi="宋体" w:cs="宋体"/>
          <w:color w:val="auto"/>
          <w:highlight w:val="none"/>
          <w:u w:val="single"/>
        </w:rPr>
        <w:t xml:space="preserve">   （按采购文件要求）    </w:t>
      </w:r>
      <w:r>
        <w:rPr>
          <w:rFonts w:hint="eastAsia" w:ascii="宋体" w:hAnsi="宋体" w:cs="宋体"/>
          <w:color w:val="auto"/>
          <w:highlight w:val="none"/>
        </w:rPr>
        <w:t>。</w:t>
      </w:r>
    </w:p>
    <w:p w14:paraId="6511BD74">
      <w:pPr>
        <w:numPr>
          <w:ilvl w:val="0"/>
          <w:numId w:val="8"/>
        </w:num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乙方应按照国家有关法律法规和本合同附件中关于售后服务的要求为甲方提供相应的售后服务。</w:t>
      </w:r>
    </w:p>
    <w:p w14:paraId="4F777BFB">
      <w:pPr>
        <w:numPr>
          <w:ilvl w:val="0"/>
          <w:numId w:val="8"/>
        </w:num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甲方应提供必要测试条件（如场地、电源、水源等）。</w:t>
      </w:r>
    </w:p>
    <w:p w14:paraId="283852B3">
      <w:pPr>
        <w:numPr>
          <w:ilvl w:val="0"/>
          <w:numId w:val="8"/>
        </w:num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乙方负责甲方有关人员的培训。培训时间、地</w:t>
      </w:r>
      <w:r>
        <w:rPr>
          <w:rFonts w:hint="eastAsia" w:ascii="宋体" w:hAnsi="宋体" w:cs="宋体"/>
          <w:color w:val="auto"/>
          <w:szCs w:val="21"/>
          <w:highlight w:val="none"/>
        </w:rPr>
        <w:t>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5525CE9">
      <w:pPr>
        <w:numPr>
          <w:ilvl w:val="0"/>
          <w:numId w:val="8"/>
        </w:numPr>
        <w:tabs>
          <w:tab w:val="left" w:pos="0"/>
        </w:tabs>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其他售后服务约定：</w:t>
      </w:r>
      <w:r>
        <w:rPr>
          <w:rFonts w:hint="eastAsia" w:ascii="宋体" w:hAnsi="宋体" w:cs="宋体"/>
          <w:color w:val="auto"/>
          <w:szCs w:val="21"/>
          <w:highlight w:val="none"/>
          <w:u w:val="single"/>
        </w:rPr>
        <w:t xml:space="preserve">   （按投标文件承诺）   </w:t>
      </w:r>
      <w:r>
        <w:rPr>
          <w:rFonts w:hint="eastAsia" w:ascii="宋体" w:hAnsi="宋体" w:cs="宋体"/>
          <w:color w:val="auto"/>
          <w:szCs w:val="21"/>
          <w:highlight w:val="none"/>
        </w:rPr>
        <w:t>。</w:t>
      </w:r>
    </w:p>
    <w:p w14:paraId="1C5CC225">
      <w:pPr>
        <w:pStyle w:val="3"/>
        <w:jc w:val="left"/>
        <w:rPr>
          <w:rFonts w:hint="eastAsia" w:ascii="宋体" w:hAnsi="宋体" w:cs="宋体"/>
          <w:color w:val="auto"/>
          <w:sz w:val="21"/>
          <w:szCs w:val="21"/>
          <w:highlight w:val="none"/>
        </w:rPr>
      </w:pPr>
      <w:r>
        <w:rPr>
          <w:rFonts w:hint="eastAsia" w:ascii="宋体" w:hAnsi="宋体" w:cs="宋体"/>
          <w:color w:val="auto"/>
          <w:sz w:val="21"/>
          <w:szCs w:val="21"/>
          <w:highlight w:val="none"/>
        </w:rPr>
        <w:t>第六条  付款方式</w:t>
      </w:r>
      <w:bookmarkEnd w:id="33"/>
    </w:p>
    <w:p w14:paraId="0814B025">
      <w:pPr>
        <w:pStyle w:val="25"/>
        <w:numPr>
          <w:ilvl w:val="255"/>
          <w:numId w:val="0"/>
        </w:numPr>
        <w:tabs>
          <w:tab w:val="left" w:pos="-840"/>
          <w:tab w:val="left" w:pos="10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1.资金性质：</w:t>
      </w:r>
      <w:r>
        <w:rPr>
          <w:rFonts w:hint="eastAsia" w:ascii="宋体" w:hAnsi="宋体" w:cs="宋体"/>
          <w:color w:val="auto"/>
          <w:szCs w:val="21"/>
          <w:highlight w:val="none"/>
          <w:u w:val="single"/>
        </w:rPr>
        <w:t>财政性资金</w:t>
      </w:r>
      <w:r>
        <w:rPr>
          <w:rFonts w:hint="eastAsia" w:ascii="宋体" w:hAnsi="宋体" w:cs="宋体"/>
          <w:color w:val="auto"/>
          <w:szCs w:val="21"/>
          <w:highlight w:val="none"/>
        </w:rPr>
        <w:t>。</w:t>
      </w:r>
    </w:p>
    <w:p w14:paraId="43AA2E44">
      <w:pPr>
        <w:pStyle w:val="25"/>
        <w:numPr>
          <w:ilvl w:val="255"/>
          <w:numId w:val="0"/>
        </w:numPr>
        <w:tabs>
          <w:tab w:val="left" w:pos="-840"/>
          <w:tab w:val="left" w:pos="100"/>
        </w:tabs>
        <w:spacing w:line="360" w:lineRule="auto"/>
        <w:ind w:firstLine="420" w:firstLineChars="200"/>
        <w:rPr>
          <w:rFonts w:hint="eastAsia" w:ascii="宋体" w:hAnsi="宋体" w:cs="宋体"/>
          <w:color w:val="auto"/>
          <w:szCs w:val="21"/>
          <w:highlight w:val="none"/>
          <w:u w:val="single"/>
        </w:rPr>
      </w:pPr>
      <w:r>
        <w:rPr>
          <w:rFonts w:hint="eastAsia" w:ascii="宋体" w:hAnsi="宋体" w:cs="宋体"/>
          <w:bCs/>
          <w:color w:val="auto"/>
          <w:szCs w:val="21"/>
          <w:highlight w:val="none"/>
        </w:rPr>
        <w:t>2.付款方式：</w:t>
      </w:r>
      <w:r>
        <w:rPr>
          <w:rFonts w:hint="eastAsia" w:ascii="宋体" w:hAnsi="宋体" w:cs="宋体"/>
          <w:color w:val="auto"/>
          <w:szCs w:val="21"/>
          <w:highlight w:val="none"/>
          <w:u w:val="single"/>
        </w:rPr>
        <w:t>（按采购文件要求）。</w:t>
      </w:r>
    </w:p>
    <w:p w14:paraId="1C967523">
      <w:pPr>
        <w:snapToGrid w:val="0"/>
        <w:spacing w:line="360" w:lineRule="auto"/>
        <w:ind w:firstLine="420" w:firstLineChars="200"/>
        <w:rPr>
          <w:rFonts w:hint="eastAsia" w:ascii="宋体" w:hAnsi="宋体" w:cs="宋体"/>
          <w:color w:val="auto"/>
          <w:szCs w:val="21"/>
          <w:highlight w:val="none"/>
          <w:u w:val="single"/>
        </w:rPr>
      </w:pPr>
      <w:r>
        <w:rPr>
          <w:rFonts w:hint="eastAsia" w:ascii="宋体" w:hAnsi="宋体"/>
          <w:bCs/>
          <w:color w:val="auto"/>
          <w:szCs w:val="21"/>
          <w:highlight w:val="none"/>
        </w:rPr>
        <w:t>甲方需追加与合同标的相同的服务的，在不改变原合同条款且已报财政部门批准落实资金的前提下，可从乙方处添购，所签订的补充添置合同的采购资金总额不超过暂定合同总金额的10%。</w:t>
      </w:r>
    </w:p>
    <w:p w14:paraId="1FF902F9">
      <w:pPr>
        <w:pStyle w:val="3"/>
        <w:jc w:val="left"/>
        <w:rPr>
          <w:rFonts w:hint="eastAsia" w:ascii="宋体" w:hAnsi="宋体" w:cs="宋体"/>
          <w:color w:val="auto"/>
          <w:sz w:val="21"/>
          <w:szCs w:val="21"/>
          <w:highlight w:val="none"/>
        </w:rPr>
      </w:pPr>
      <w:bookmarkStart w:id="34" w:name="_Toc177716535"/>
      <w:r>
        <w:rPr>
          <w:rFonts w:hint="eastAsia" w:ascii="宋体" w:hAnsi="宋体" w:cs="宋体"/>
          <w:color w:val="auto"/>
          <w:sz w:val="21"/>
          <w:szCs w:val="21"/>
          <w:highlight w:val="none"/>
        </w:rPr>
        <w:t>第七条　履约保证金</w:t>
      </w:r>
      <w:bookmarkEnd w:id="34"/>
    </w:p>
    <w:p w14:paraId="5730D17E">
      <w:pPr>
        <w:numPr>
          <w:ilvl w:val="0"/>
          <w:numId w:val="9"/>
        </w:numPr>
        <w:autoSpaceDE w:val="0"/>
        <w:autoSpaceDN w:val="0"/>
        <w:spacing w:line="360" w:lineRule="auto"/>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履约保证金金额：按合同总金额的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%，即人民币</w:t>
      </w:r>
      <w:r>
        <w:rPr>
          <w:rFonts w:hint="eastAsia" w:ascii="宋体" w:hAnsi="宋体" w:cs="宋体"/>
          <w:color w:val="auto"/>
          <w:szCs w:val="21"/>
          <w:highlight w:val="none"/>
          <w:u w:val="single"/>
        </w:rPr>
        <w:t>（大写）                   （小写）（¥                     ）</w:t>
      </w:r>
      <w:r>
        <w:rPr>
          <w:rFonts w:hint="eastAsia" w:ascii="宋体" w:hAnsi="宋体" w:cs="宋体"/>
          <w:color w:val="auto"/>
          <w:szCs w:val="21"/>
          <w:highlight w:val="none"/>
        </w:rPr>
        <w:t>。</w:t>
      </w:r>
    </w:p>
    <w:p w14:paraId="53DA6BF0">
      <w:pPr>
        <w:numPr>
          <w:ilvl w:val="0"/>
          <w:numId w:val="9"/>
        </w:numPr>
        <w:autoSpaceDE w:val="0"/>
        <w:autoSpaceDN w:val="0"/>
        <w:spacing w:line="360" w:lineRule="auto"/>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履约保证金递交方式：</w:t>
      </w:r>
      <w:r>
        <w:rPr>
          <w:rFonts w:hint="eastAsia" w:ascii="宋体" w:hAnsi="宋体" w:cs="宋体"/>
          <w:color w:val="auto"/>
          <w:szCs w:val="21"/>
          <w:highlight w:val="none"/>
          <w:u w:val="single"/>
        </w:rPr>
        <w:t xml:space="preserve">   （填写实际递交方式）   </w:t>
      </w:r>
      <w:r>
        <w:rPr>
          <w:rFonts w:hint="eastAsia" w:ascii="宋体" w:hAnsi="宋体" w:cs="宋体"/>
          <w:color w:val="auto"/>
          <w:szCs w:val="21"/>
          <w:highlight w:val="none"/>
        </w:rPr>
        <w:t>。</w:t>
      </w:r>
    </w:p>
    <w:p w14:paraId="35D064ED">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甲方收取履约保证金的指定账户：</w:t>
      </w:r>
    </w:p>
    <w:p w14:paraId="0E4B74F8">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开户名称：</w:t>
      </w:r>
    </w:p>
    <w:p w14:paraId="4E269116">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w:t>
      </w:r>
    </w:p>
    <w:p w14:paraId="581AB99D">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开户行行号：</w:t>
      </w:r>
    </w:p>
    <w:p w14:paraId="106C8253">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银行账号：         </w:t>
      </w:r>
    </w:p>
    <w:p w14:paraId="598BDF71">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乙方收取履约保证金的指定账户：</w:t>
      </w:r>
    </w:p>
    <w:p w14:paraId="7306FA89">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开户名称：</w:t>
      </w:r>
    </w:p>
    <w:p w14:paraId="3AF66C07">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开户银行：</w:t>
      </w:r>
    </w:p>
    <w:p w14:paraId="66A8BBB0">
      <w:pPr>
        <w:snapToGrid w:val="0"/>
        <w:spacing w:before="120"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开户行行号：</w:t>
      </w:r>
    </w:p>
    <w:p w14:paraId="0DBF4B70">
      <w:pPr>
        <w:autoSpaceDE w:val="0"/>
        <w:autoSpaceDN w:val="0"/>
        <w:spacing w:line="360" w:lineRule="auto"/>
        <w:ind w:firstLine="424" w:firstLineChars="202"/>
        <w:textAlignment w:val="bottom"/>
        <w:rPr>
          <w:rFonts w:hint="eastAsia" w:ascii="宋体" w:hAnsi="宋体" w:cs="宋体"/>
          <w:color w:val="auto"/>
          <w:szCs w:val="21"/>
          <w:highlight w:val="none"/>
        </w:rPr>
      </w:pPr>
      <w:r>
        <w:rPr>
          <w:rFonts w:hint="eastAsia" w:ascii="宋体" w:hAnsi="宋体" w:cs="宋体"/>
          <w:color w:val="auto"/>
          <w:szCs w:val="21"/>
          <w:highlight w:val="none"/>
        </w:rPr>
        <w:t>银行账号：</w:t>
      </w:r>
    </w:p>
    <w:p w14:paraId="17881D74">
      <w:pPr>
        <w:numPr>
          <w:ilvl w:val="0"/>
          <w:numId w:val="9"/>
        </w:numPr>
        <w:autoSpaceDE w:val="0"/>
        <w:autoSpaceDN w:val="0"/>
        <w:spacing w:line="360" w:lineRule="auto"/>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u w:val="single"/>
        </w:rPr>
        <w:t xml:space="preserve"> （按采购文件要求）</w:t>
      </w:r>
      <w:r>
        <w:rPr>
          <w:rFonts w:hint="eastAsia" w:ascii="宋体" w:hAnsi="宋体" w:cs="宋体"/>
          <w:color w:val="auto"/>
          <w:szCs w:val="21"/>
          <w:highlight w:val="none"/>
        </w:rPr>
        <w:t xml:space="preserve"> 。</w:t>
      </w:r>
    </w:p>
    <w:p w14:paraId="735134D9">
      <w:pPr>
        <w:numPr>
          <w:ilvl w:val="0"/>
          <w:numId w:val="9"/>
        </w:numPr>
        <w:autoSpaceDE w:val="0"/>
        <w:autoSpaceDN w:val="0"/>
        <w:spacing w:line="360" w:lineRule="auto"/>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在履约保证金到期退还前，若乙方的开户名称、开户银行、账号有变动的，以书面形式通知甲方，否则由此产生的后果由乙方自负。</w:t>
      </w:r>
    </w:p>
    <w:p w14:paraId="39883B36">
      <w:pPr>
        <w:numPr>
          <w:ilvl w:val="0"/>
          <w:numId w:val="9"/>
        </w:numPr>
        <w:autoSpaceDE w:val="0"/>
        <w:autoSpaceDN w:val="0"/>
        <w:spacing w:line="360" w:lineRule="auto"/>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存在以下行为的，履约保证金不予退还：</w:t>
      </w:r>
    </w:p>
    <w:p w14:paraId="589B2B6E">
      <w:pPr>
        <w:autoSpaceDE w:val="0"/>
        <w:autoSpaceDN w:val="0"/>
        <w:spacing w:line="360" w:lineRule="auto"/>
        <w:ind w:left="420" w:leftChars="200" w:firstLine="218" w:firstLineChars="104"/>
        <w:textAlignment w:val="bottom"/>
        <w:rPr>
          <w:rFonts w:hint="eastAsia" w:ascii="宋体" w:hAnsi="宋体" w:cs="宋体"/>
          <w:color w:val="auto"/>
          <w:szCs w:val="21"/>
          <w:highlight w:val="none"/>
        </w:rPr>
      </w:pPr>
      <w:r>
        <w:rPr>
          <w:rFonts w:hint="eastAsia" w:ascii="宋体" w:hAnsi="宋体" w:cs="宋体"/>
          <w:color w:val="auto"/>
          <w:szCs w:val="21"/>
          <w:highlight w:val="none"/>
        </w:rPr>
        <w:t>（1）乙方造成重大事故的；</w:t>
      </w:r>
    </w:p>
    <w:p w14:paraId="3921C161">
      <w:pPr>
        <w:autoSpaceDE w:val="0"/>
        <w:autoSpaceDN w:val="0"/>
        <w:spacing w:line="360" w:lineRule="auto"/>
        <w:ind w:left="420" w:leftChars="200" w:firstLine="218" w:firstLineChars="104"/>
        <w:textAlignment w:val="bottom"/>
        <w:rPr>
          <w:rFonts w:hint="eastAsia" w:ascii="宋体" w:hAnsi="宋体" w:cs="宋体"/>
          <w:color w:val="auto"/>
          <w:szCs w:val="21"/>
          <w:highlight w:val="none"/>
        </w:rPr>
      </w:pPr>
      <w:r>
        <w:rPr>
          <w:rFonts w:hint="eastAsia" w:ascii="宋体" w:hAnsi="宋体" w:cs="宋体"/>
          <w:color w:val="auto"/>
          <w:szCs w:val="21"/>
          <w:highlight w:val="none"/>
        </w:rPr>
        <w:t>（2）乙方未按本合同和投标文件中规定的服务承诺提供服务的；</w:t>
      </w:r>
    </w:p>
    <w:p w14:paraId="0724EC74">
      <w:pPr>
        <w:autoSpaceDE w:val="0"/>
        <w:autoSpaceDN w:val="0"/>
        <w:spacing w:line="360" w:lineRule="auto"/>
        <w:ind w:left="420" w:leftChars="200" w:firstLine="218" w:firstLineChars="104"/>
        <w:textAlignment w:val="bottom"/>
        <w:rPr>
          <w:rFonts w:hint="eastAsia" w:ascii="宋体" w:hAnsi="宋体" w:cs="宋体"/>
          <w:color w:val="auto"/>
          <w:szCs w:val="21"/>
          <w:highlight w:val="none"/>
        </w:rPr>
      </w:pPr>
      <w:r>
        <w:rPr>
          <w:rFonts w:hint="eastAsia" w:ascii="宋体" w:hAnsi="宋体" w:cs="宋体"/>
          <w:color w:val="auto"/>
          <w:szCs w:val="21"/>
          <w:highlight w:val="none"/>
        </w:rPr>
        <w:t>（3）在合同履约期间，乙方主动提出解除合同（如果因不可抗力因素造成的除外）的。</w:t>
      </w:r>
    </w:p>
    <w:p w14:paraId="2D8EF451">
      <w:pPr>
        <w:numPr>
          <w:ilvl w:val="0"/>
          <w:numId w:val="9"/>
        </w:numPr>
        <w:autoSpaceDE w:val="0"/>
        <w:autoSpaceDN w:val="0"/>
        <w:spacing w:line="360" w:lineRule="auto"/>
        <w:ind w:firstLine="420" w:firstLineChars="200"/>
        <w:textAlignment w:val="bottom"/>
        <w:rPr>
          <w:rFonts w:hint="eastAsia" w:ascii="宋体" w:hAnsi="宋体" w:cs="宋体"/>
          <w:color w:val="auto"/>
          <w:szCs w:val="21"/>
          <w:highlight w:val="none"/>
        </w:rPr>
      </w:pPr>
      <w:r>
        <w:rPr>
          <w:rFonts w:hint="eastAsia" w:ascii="宋体" w:hAnsi="宋体" w:cs="宋体"/>
          <w:color w:val="auto"/>
          <w:szCs w:val="21"/>
          <w:highlight w:val="none"/>
        </w:rPr>
        <w:t>如甲方不能按时退还履约保证金的，每逾期一天，可按应退款项的银行同期</w:t>
      </w:r>
      <w:r>
        <w:rPr>
          <w:rFonts w:hint="eastAsia" w:ascii="宋体" w:hAnsi="宋体" w:cs="宋体"/>
          <w:color w:val="auto"/>
          <w:szCs w:val="21"/>
          <w:highlight w:val="none"/>
          <w:lang w:eastAsia="zh-CN"/>
        </w:rPr>
        <w:t>活期</w:t>
      </w:r>
      <w:r>
        <w:rPr>
          <w:rFonts w:hint="eastAsia" w:ascii="宋体" w:hAnsi="宋体" w:cs="宋体"/>
          <w:color w:val="auto"/>
          <w:szCs w:val="21"/>
          <w:highlight w:val="none"/>
        </w:rPr>
        <w:t>存款利息计算违约金。</w:t>
      </w:r>
    </w:p>
    <w:p w14:paraId="03D0B164">
      <w:pPr>
        <w:pStyle w:val="3"/>
        <w:jc w:val="left"/>
        <w:rPr>
          <w:rFonts w:hint="eastAsia" w:ascii="宋体" w:hAnsi="宋体" w:cs="宋体"/>
          <w:color w:val="auto"/>
          <w:sz w:val="21"/>
          <w:szCs w:val="21"/>
          <w:highlight w:val="none"/>
        </w:rPr>
      </w:pPr>
      <w:bookmarkStart w:id="35" w:name="_Toc177716536"/>
      <w:r>
        <w:rPr>
          <w:rFonts w:hint="eastAsia" w:ascii="宋体" w:hAnsi="宋体" w:cs="宋体"/>
          <w:color w:val="auto"/>
          <w:sz w:val="21"/>
          <w:szCs w:val="21"/>
          <w:highlight w:val="none"/>
        </w:rPr>
        <w:t>第八条  税费</w:t>
      </w:r>
      <w:bookmarkEnd w:id="35"/>
    </w:p>
    <w:p w14:paraId="084DEF1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本合同执行中相关的一切税费均由乙方负担，合同另有约定的除外。</w:t>
      </w:r>
    </w:p>
    <w:p w14:paraId="06D293B2">
      <w:pPr>
        <w:pStyle w:val="3"/>
        <w:jc w:val="left"/>
        <w:rPr>
          <w:rFonts w:hint="eastAsia" w:ascii="宋体" w:hAnsi="宋体" w:cs="宋体"/>
          <w:color w:val="auto"/>
          <w:sz w:val="21"/>
          <w:szCs w:val="21"/>
          <w:highlight w:val="none"/>
        </w:rPr>
      </w:pPr>
      <w:bookmarkStart w:id="36" w:name="_Toc177716537"/>
      <w:r>
        <w:rPr>
          <w:rFonts w:hint="eastAsia" w:ascii="宋体" w:hAnsi="宋体" w:cs="宋体"/>
          <w:color w:val="auto"/>
          <w:sz w:val="21"/>
          <w:szCs w:val="21"/>
          <w:highlight w:val="none"/>
        </w:rPr>
        <w:t>第九条　</w:t>
      </w:r>
      <w:bookmarkEnd w:id="36"/>
      <w:bookmarkStart w:id="37" w:name="_Toc177716538"/>
      <w:r>
        <w:rPr>
          <w:rFonts w:hint="eastAsia" w:ascii="宋体" w:hAnsi="宋体" w:cs="宋体"/>
          <w:color w:val="auto"/>
          <w:sz w:val="21"/>
          <w:szCs w:val="21"/>
          <w:highlight w:val="none"/>
        </w:rPr>
        <w:t>违约责任</w:t>
      </w:r>
      <w:bookmarkEnd w:id="37"/>
    </w:p>
    <w:p w14:paraId="1FA69097">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在合同履行期间，甲方要求终止或解除合同，乙方未开始工作的，甲方不予以支付任何费用。</w:t>
      </w:r>
    </w:p>
    <w:p w14:paraId="6A9652A6">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除不可抗力原因外，乙方没有按照合同规定的时间提供服务的，甲方可要求乙方支付违约金。每推迟一天按合同总金额的3‰支付违约金，该违约金累计不超过合同总金额的10%</w:t>
      </w:r>
      <w:r>
        <w:rPr>
          <w:rFonts w:hint="eastAsia" w:ascii="宋体" w:hAnsi="宋体" w:cs="宋体"/>
          <w:color w:val="auto"/>
          <w:szCs w:val="21"/>
          <w:highlight w:val="none"/>
        </w:rPr>
        <w:t>。</w:t>
      </w:r>
    </w:p>
    <w:p w14:paraId="12B2C0B3">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所提供的服务成果的质量不符合合同要求的，应无条件及时整改；乙方在甲方规定期限内不能完成整改的或无正当理由拒绝整改或经整改后仍不能达到甲方要求的，甲方有权终止合同，并按整改不通过部分总价的10%计算违约金。</w:t>
      </w:r>
    </w:p>
    <w:p w14:paraId="7C4734E8">
      <w:pPr>
        <w:numPr>
          <w:ilvl w:val="0"/>
          <w:numId w:val="10"/>
        </w:numPr>
        <w:spacing w:line="360" w:lineRule="auto"/>
        <w:ind w:firstLine="420" w:firstLineChars="200"/>
        <w:rPr>
          <w:rFonts w:hint="eastAsia" w:ascii="宋体" w:hAnsi="宋体" w:cs="宋体"/>
          <w:color w:val="auto"/>
          <w:szCs w:val="21"/>
          <w:highlight w:val="none"/>
        </w:rPr>
      </w:pPr>
      <w:bookmarkStart w:id="38" w:name="_Hlk50579011"/>
      <w:r>
        <w:rPr>
          <w:rFonts w:hint="eastAsia" w:ascii="宋体" w:hAnsi="宋体" w:cs="宋体"/>
          <w:color w:val="auto"/>
          <w:szCs w:val="21"/>
          <w:highlight w:val="none"/>
        </w:rPr>
        <w:t>乙方未按本合同和投标文件的约定提供系统维保（或售后服务）的，且经甲方提醒后仍未及时提供售后服务的，每出现一次，乙方应按本合同总金额的0.03%向甲方支付违约金。</w:t>
      </w:r>
      <w:bookmarkEnd w:id="38"/>
    </w:p>
    <w:p w14:paraId="56D1998E">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除因甲方自身原因外，乙方操作造成甲方系统数据丢失、泄密的，应按合同总金额的10%支付违约金，违约金不足以弥补甲方损失的，还应支付赔偿金。</w:t>
      </w:r>
    </w:p>
    <w:p w14:paraId="4E2223E6">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如乙方违反合同约定的信息安全及保密要求，每违反一次收取合同总金额 0.2%的违约金，累计不超过合同总金额的 10%，违约金不足以弥补甲方实际损失的，还应支付赔偿金。</w:t>
      </w:r>
    </w:p>
    <w:p w14:paraId="7333A170">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未经甲方同意，乙方不能就所中标的项目进行分包、转包，如发现乙方有分包、转包现象，甲方有权解除合同，不再支付未付款项，并要求乙方支付合同总金额的10%作为违约金。如因此给甲方造成损失的，还应赔偿甲方损失。</w:t>
      </w:r>
    </w:p>
    <w:p w14:paraId="11F12CF9">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Hans"/>
        </w:rPr>
        <w:t>乙方提供的服务成果如侵犯了第三方合法权益而引发的任何纠纷或诉讼，均由乙方负责交涉并承担全部责任。甲方有权解除合同，合同金额没有支付的，不再支付；已经支付的，甲方有权追回，且乙方应按</w:t>
      </w:r>
      <w:r>
        <w:rPr>
          <w:rFonts w:hint="eastAsia" w:ascii="宋体" w:hAnsi="宋体" w:cs="宋体"/>
          <w:color w:val="auto"/>
          <w:szCs w:val="21"/>
          <w:highlight w:val="none"/>
        </w:rPr>
        <w:t>合同总金额</w:t>
      </w:r>
      <w:r>
        <w:rPr>
          <w:rFonts w:hint="eastAsia" w:ascii="宋体" w:hAnsi="宋体" w:cs="宋体"/>
          <w:color w:val="auto"/>
          <w:szCs w:val="21"/>
          <w:highlight w:val="none"/>
          <w:lang w:eastAsia="zh-Hans"/>
        </w:rPr>
        <w:t xml:space="preserve"> 10%承担违约金，造成甲方损失的，还应赔偿甲方损失。</w:t>
      </w:r>
    </w:p>
    <w:p w14:paraId="5B572653">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由于</w:t>
      </w:r>
      <w:r>
        <w:rPr>
          <w:rFonts w:hint="eastAsia" w:ascii="宋体" w:hAnsi="宋体" w:cs="宋体"/>
          <w:color w:val="auto"/>
          <w:szCs w:val="21"/>
          <w:highlight w:val="none"/>
          <w:lang w:eastAsia="zh-Hans"/>
        </w:rPr>
        <w:t>乙方</w:t>
      </w:r>
      <w:r>
        <w:rPr>
          <w:rFonts w:hint="eastAsia" w:ascii="宋体" w:hAnsi="宋体" w:cs="宋体"/>
          <w:color w:val="auto"/>
          <w:szCs w:val="21"/>
          <w:highlight w:val="none"/>
        </w:rPr>
        <w:t>管理失误造成较大事故的，甲方有权利终止合同，并要求乙方赔偿其造成的损失并不</w:t>
      </w:r>
      <w:r>
        <w:rPr>
          <w:rFonts w:hint="eastAsia" w:ascii="宋体" w:hAnsi="宋体" w:cs="宋体"/>
          <w:color w:val="auto"/>
          <w:szCs w:val="21"/>
          <w:highlight w:val="none"/>
          <w:lang w:eastAsia="zh-Hans"/>
        </w:rPr>
        <w:t>予</w:t>
      </w:r>
      <w:r>
        <w:rPr>
          <w:rFonts w:hint="eastAsia" w:ascii="宋体" w:hAnsi="宋体" w:cs="宋体"/>
          <w:color w:val="auto"/>
          <w:szCs w:val="21"/>
          <w:highlight w:val="none"/>
        </w:rPr>
        <w:t>退还履约保证金。</w:t>
      </w:r>
    </w:p>
    <w:p w14:paraId="7125F676">
      <w:pPr>
        <w:numPr>
          <w:ilvl w:val="0"/>
          <w:numId w:val="10"/>
        </w:numPr>
        <w:spacing w:line="360" w:lineRule="auto"/>
        <w:ind w:firstLine="420" w:firstLineChars="200"/>
        <w:rPr>
          <w:rFonts w:hint="eastAsia" w:ascii="宋体" w:hAnsi="宋体" w:cs="宋体"/>
          <w:color w:val="auto"/>
          <w:szCs w:val="21"/>
          <w:highlight w:val="none"/>
          <w:lang w:eastAsia="zh-Hans"/>
        </w:rPr>
      </w:pPr>
      <w:r>
        <w:rPr>
          <w:rFonts w:hint="eastAsia" w:ascii="宋体" w:hAnsi="宋体" w:cs="宋体"/>
          <w:color w:val="auto"/>
          <w:szCs w:val="21"/>
          <w:highlight w:val="none"/>
        </w:rPr>
        <w:t>本条所称损失是指一方因另一方违约而遭受的全部经济损失（包括但不限于直接损失、间接损失及实现债权的费用，如诉讼费、律师费、差旅费、调查费、财产保全责任险保险费等）</w:t>
      </w:r>
      <w:r>
        <w:rPr>
          <w:rFonts w:hint="eastAsia" w:ascii="宋体" w:hAnsi="宋体" w:cs="宋体"/>
          <w:color w:val="auto"/>
          <w:szCs w:val="21"/>
          <w:highlight w:val="none"/>
          <w:lang w:eastAsia="zh-Hans"/>
        </w:rPr>
        <w:t>。</w:t>
      </w:r>
    </w:p>
    <w:p w14:paraId="7755651E">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甲方有权从未付价款和履约保证金中先行扣除乙方应支付的违约金、赔偿金，不足另补。</w:t>
      </w:r>
    </w:p>
    <w:p w14:paraId="7BCE4944">
      <w:pPr>
        <w:numPr>
          <w:ilvl w:val="0"/>
          <w:numId w:val="10"/>
        </w:numPr>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rPr>
        <w:t>甲方无正当理由延期付款的，每天向乙方偿付延期款额3‰滞纳金，但滞纳金累计不得超过延期款额5%</w:t>
      </w:r>
      <w:r>
        <w:rPr>
          <w:rFonts w:hint="eastAsia" w:ascii="宋体" w:hAnsi="宋体" w:cs="宋体"/>
          <w:color w:val="auto"/>
          <w:szCs w:val="21"/>
          <w:highlight w:val="none"/>
        </w:rPr>
        <w:t>。</w:t>
      </w:r>
    </w:p>
    <w:p w14:paraId="57FE8DDA">
      <w:pPr>
        <w:pStyle w:val="3"/>
        <w:jc w:val="left"/>
        <w:rPr>
          <w:rFonts w:hint="eastAsia" w:ascii="宋体" w:hAnsi="宋体" w:cs="宋体"/>
          <w:color w:val="auto"/>
          <w:sz w:val="21"/>
          <w:szCs w:val="21"/>
          <w:highlight w:val="none"/>
        </w:rPr>
      </w:pPr>
      <w:bookmarkStart w:id="39" w:name="_Toc177716539"/>
      <w:r>
        <w:rPr>
          <w:rFonts w:hint="eastAsia" w:ascii="宋体" w:hAnsi="宋体" w:cs="宋体"/>
          <w:color w:val="auto"/>
          <w:sz w:val="21"/>
          <w:szCs w:val="21"/>
          <w:highlight w:val="none"/>
        </w:rPr>
        <w:t>第十条  不可抗力事件处理</w:t>
      </w:r>
      <w:bookmarkEnd w:id="39"/>
    </w:p>
    <w:p w14:paraId="5547D6E8">
      <w:pPr>
        <w:numPr>
          <w:ilvl w:val="0"/>
          <w:numId w:val="11"/>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在合同有效期内，任何一方因不可抗力事件导致不能履行合同，则合同履行期可延长，其延长期与不可抗力影响期相同。</w:t>
      </w:r>
    </w:p>
    <w:p w14:paraId="35618F7A">
      <w:pPr>
        <w:numPr>
          <w:ilvl w:val="0"/>
          <w:numId w:val="11"/>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不可抗力事件发生后，应立即通知对方，并寄送有关权威机构出具的证明或相关证明材料。</w:t>
      </w:r>
    </w:p>
    <w:p w14:paraId="3F33BE33">
      <w:pPr>
        <w:numPr>
          <w:ilvl w:val="0"/>
          <w:numId w:val="11"/>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不可抗力事件延续一百二十天以上，双方应通过友好协商，确定是否继续履行合同。</w:t>
      </w:r>
    </w:p>
    <w:p w14:paraId="4AFCE6F9">
      <w:pPr>
        <w:pStyle w:val="3"/>
        <w:jc w:val="left"/>
        <w:rPr>
          <w:rFonts w:hint="eastAsia" w:ascii="宋体" w:hAnsi="宋体" w:cs="宋体"/>
          <w:color w:val="auto"/>
          <w:sz w:val="21"/>
          <w:szCs w:val="21"/>
          <w:highlight w:val="none"/>
        </w:rPr>
      </w:pPr>
      <w:bookmarkStart w:id="40" w:name="_Toc177716540"/>
      <w:r>
        <w:rPr>
          <w:rFonts w:hint="eastAsia" w:ascii="宋体" w:hAnsi="宋体" w:cs="宋体"/>
          <w:color w:val="auto"/>
          <w:sz w:val="21"/>
          <w:szCs w:val="21"/>
          <w:highlight w:val="none"/>
        </w:rPr>
        <w:t>第十一条  合同争议解决</w:t>
      </w:r>
      <w:bookmarkEnd w:id="40"/>
    </w:p>
    <w:p w14:paraId="46ECB28E">
      <w:pPr>
        <w:numPr>
          <w:ilvl w:val="0"/>
          <w:numId w:val="12"/>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因服务质量问题发生争议的，应邀请国家认可的质量检测机构进行鉴定。服务符合标准的，鉴定费由甲方承担；服务不符合标准的，鉴定费由乙方承担。</w:t>
      </w:r>
    </w:p>
    <w:p w14:paraId="661EBFC6">
      <w:pPr>
        <w:numPr>
          <w:ilvl w:val="0"/>
          <w:numId w:val="12"/>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因履行本合同引起的或者与本合同有关的争议，甲乙双方应首先通过友好协商解决，如果协商不能解决，可向甲方所在地有管辖权的人民法院提起诉讼。</w:t>
      </w:r>
    </w:p>
    <w:p w14:paraId="2BEDA09B">
      <w:pPr>
        <w:numPr>
          <w:ilvl w:val="0"/>
          <w:numId w:val="12"/>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诉讼期间，甲方未主张解除合同的，本合同继续履行。</w:t>
      </w:r>
    </w:p>
    <w:p w14:paraId="23B64C65">
      <w:pPr>
        <w:pStyle w:val="3"/>
        <w:jc w:val="left"/>
        <w:rPr>
          <w:rFonts w:hint="eastAsia" w:ascii="宋体" w:hAnsi="宋体" w:cs="宋体"/>
          <w:color w:val="auto"/>
          <w:sz w:val="21"/>
          <w:szCs w:val="21"/>
          <w:highlight w:val="none"/>
        </w:rPr>
      </w:pPr>
      <w:bookmarkStart w:id="41" w:name="_Toc177716541"/>
      <w:r>
        <w:rPr>
          <w:rFonts w:hint="eastAsia" w:ascii="宋体" w:hAnsi="宋体" w:cs="宋体"/>
          <w:color w:val="auto"/>
          <w:sz w:val="21"/>
          <w:szCs w:val="21"/>
          <w:highlight w:val="none"/>
        </w:rPr>
        <w:t>第十二条  合同生效及其他</w:t>
      </w:r>
      <w:bookmarkEnd w:id="41"/>
    </w:p>
    <w:p w14:paraId="7C3131D0">
      <w:pPr>
        <w:numPr>
          <w:ilvl w:val="0"/>
          <w:numId w:val="13"/>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合同经双方法定代表人（负责人）或者授权代表签字并加盖单位公章后生效（委托代理人签字的需后附法定代表人（负责人）授权委托书，格式自拟）。</w:t>
      </w:r>
    </w:p>
    <w:p w14:paraId="28924E6C">
      <w:pPr>
        <w:numPr>
          <w:ilvl w:val="0"/>
          <w:numId w:val="13"/>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本合同未尽事宜，遵照《中华人民共和国民法典》有关条文执行。</w:t>
      </w:r>
    </w:p>
    <w:p w14:paraId="687E90B4">
      <w:pPr>
        <w:pStyle w:val="3"/>
        <w:jc w:val="left"/>
        <w:rPr>
          <w:rFonts w:hint="eastAsia" w:ascii="宋体" w:hAnsi="宋体" w:cs="宋体"/>
          <w:color w:val="auto"/>
          <w:sz w:val="21"/>
          <w:szCs w:val="21"/>
          <w:highlight w:val="none"/>
        </w:rPr>
      </w:pPr>
      <w:bookmarkStart w:id="42" w:name="_Toc177716542"/>
      <w:r>
        <w:rPr>
          <w:rFonts w:hint="eastAsia" w:ascii="宋体" w:hAnsi="宋体" w:cs="宋体"/>
          <w:color w:val="auto"/>
          <w:sz w:val="21"/>
          <w:szCs w:val="21"/>
          <w:highlight w:val="none"/>
        </w:rPr>
        <w:t>第十三条　合同的变更、终止与转让</w:t>
      </w:r>
      <w:bookmarkEnd w:id="42"/>
    </w:p>
    <w:p w14:paraId="34308E30">
      <w:pPr>
        <w:numPr>
          <w:ilvl w:val="0"/>
          <w:numId w:val="14"/>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除《中华人民共和国政府采购法》第五十条规定的情形外，本合同一经签订，甲乙双方不得擅自变更、中止或者终止。</w:t>
      </w:r>
    </w:p>
    <w:p w14:paraId="0D6C3A21">
      <w:pPr>
        <w:numPr>
          <w:ilvl w:val="0"/>
          <w:numId w:val="14"/>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合同执行中涉及采购内容修改或补充的，在法规范围内，须签书面补充协议方可作为主合同不可分割的一部分。</w:t>
      </w:r>
    </w:p>
    <w:p w14:paraId="5E95DACF">
      <w:pPr>
        <w:numPr>
          <w:ilvl w:val="0"/>
          <w:numId w:val="14"/>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乙方不得擅自转让其应履行的合同义务。</w:t>
      </w:r>
    </w:p>
    <w:p w14:paraId="0A6C3466">
      <w:pPr>
        <w:pStyle w:val="3"/>
        <w:jc w:val="left"/>
        <w:rPr>
          <w:rFonts w:hint="eastAsia" w:ascii="宋体" w:hAnsi="宋体" w:cs="宋体"/>
          <w:color w:val="auto"/>
          <w:sz w:val="21"/>
          <w:szCs w:val="21"/>
          <w:highlight w:val="none"/>
        </w:rPr>
      </w:pPr>
      <w:bookmarkStart w:id="43" w:name="_Toc177716543"/>
      <w:r>
        <w:rPr>
          <w:rFonts w:hint="eastAsia" w:ascii="宋体" w:hAnsi="宋体" w:cs="宋体"/>
          <w:color w:val="auto"/>
          <w:sz w:val="21"/>
          <w:szCs w:val="21"/>
          <w:highlight w:val="none"/>
        </w:rPr>
        <w:t>第十四条　保密责任</w:t>
      </w:r>
      <w:bookmarkEnd w:id="43"/>
    </w:p>
    <w:p w14:paraId="21F7DEE1">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乙方严格遵守保密管理工作相关法律法规，保守在工作中所涉及的秘密，保密期限为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17573C3">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乙方不擅自记录、复制、拍摄、摘抄、收藏在工作中涉及的秘密和敏感信息；不将项目工作内部会议、谈话内容泄露给无关人员；不将工作中涉及的相关项目技术方案及实施规划透露给无关人员。</w:t>
      </w:r>
    </w:p>
    <w:p w14:paraId="6FA7329C">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乙方服从甲方的安排，依照有关法律法规和合同规定工作，不将工作过程中接触到的机关文件如内部发文、各类通知及会议记录等内容泄露给无关人员；不从事其他与合同无关的工作。</w:t>
      </w:r>
    </w:p>
    <w:p w14:paraId="6B09D654">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认真学习和遵守信息网络安全使用相关规定，不将工作信息透露给无关人员；不私自下载、拷贝从信息网上获得的工作信息和敏感信息；不将项目工作可能接触到的信息系统的程序、口令、密钥等泄露给无关人员。</w:t>
      </w:r>
    </w:p>
    <w:p w14:paraId="7A9D83E9">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乙方建立和完善本单位的保密规章制度，加强对从事该项目人员的保密教育与管理，如从事该项目的人员有调整变动的，应报贵单位审核同意后，方可调整变动。</w:t>
      </w:r>
    </w:p>
    <w:p w14:paraId="177AB42E">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乙方不泄露在工作中接触到的装备器材及其技术资料等国家科学技术秘密和工作秘密；未经甲方同意，乙方不得使用本项目案例进行演示或宣传。</w:t>
      </w:r>
    </w:p>
    <w:p w14:paraId="7E1A468F">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双方的合同（或协议）有效期止或因故中止项目，均不得泄露所知悉的国家秘密和项目工作秘密。</w:t>
      </w:r>
    </w:p>
    <w:p w14:paraId="7C5C2F5D">
      <w:pPr>
        <w:numPr>
          <w:ilvl w:val="0"/>
          <w:numId w:val="15"/>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其他约定详见附件：</w:t>
      </w:r>
      <w:r>
        <w:rPr>
          <w:rFonts w:hint="eastAsia" w:ascii="宋体" w:hAnsi="宋体" w:cs="宋体"/>
          <w:color w:val="auto"/>
          <w:szCs w:val="21"/>
          <w:highlight w:val="none"/>
          <w:u w:val="single"/>
        </w:rPr>
        <w:t>商务条款偏离表</w:t>
      </w:r>
      <w:r>
        <w:rPr>
          <w:rFonts w:hint="eastAsia" w:ascii="宋体" w:hAnsi="宋体" w:cs="宋体"/>
          <w:color w:val="auto"/>
          <w:szCs w:val="21"/>
          <w:highlight w:val="none"/>
        </w:rPr>
        <w:t>。</w:t>
      </w:r>
    </w:p>
    <w:p w14:paraId="0E45F4AC">
      <w:pPr>
        <w:pStyle w:val="3"/>
        <w:jc w:val="left"/>
        <w:rPr>
          <w:rFonts w:hint="eastAsia" w:ascii="宋体" w:hAnsi="宋体" w:cs="宋体"/>
          <w:color w:val="auto"/>
          <w:sz w:val="21"/>
          <w:szCs w:val="21"/>
          <w:highlight w:val="none"/>
        </w:rPr>
      </w:pPr>
      <w:bookmarkStart w:id="44" w:name="_Toc177716544"/>
      <w:r>
        <w:rPr>
          <w:rFonts w:hint="eastAsia" w:ascii="宋体" w:hAnsi="宋体" w:cs="宋体"/>
          <w:color w:val="auto"/>
          <w:sz w:val="21"/>
          <w:szCs w:val="21"/>
          <w:highlight w:val="none"/>
        </w:rPr>
        <w:t>第十五条  签订本合同依据</w:t>
      </w:r>
      <w:bookmarkEnd w:id="44"/>
    </w:p>
    <w:p w14:paraId="6458F1CD">
      <w:pPr>
        <w:pStyle w:val="9"/>
        <w:numPr>
          <w:ilvl w:val="0"/>
          <w:numId w:val="16"/>
        </w:numPr>
        <w:spacing w:line="360" w:lineRule="auto"/>
        <w:ind w:firstLineChars="200"/>
        <w:rPr>
          <w:rFonts w:cs="宋体"/>
          <w:color w:val="auto"/>
          <w:highlight w:val="none"/>
        </w:rPr>
      </w:pPr>
      <w:r>
        <w:rPr>
          <w:rFonts w:hint="eastAsia" w:cs="宋体"/>
          <w:color w:val="auto"/>
          <w:highlight w:val="none"/>
        </w:rPr>
        <w:t>中标通知书</w:t>
      </w:r>
    </w:p>
    <w:p w14:paraId="7CECE868">
      <w:pPr>
        <w:pStyle w:val="9"/>
        <w:numPr>
          <w:ilvl w:val="0"/>
          <w:numId w:val="16"/>
        </w:numPr>
        <w:spacing w:line="360" w:lineRule="auto"/>
        <w:ind w:firstLineChars="200"/>
        <w:rPr>
          <w:rFonts w:cs="宋体"/>
          <w:color w:val="auto"/>
          <w:highlight w:val="none"/>
        </w:rPr>
      </w:pPr>
      <w:r>
        <w:rPr>
          <w:rFonts w:hint="eastAsia" w:cs="宋体"/>
          <w:color w:val="auto"/>
          <w:highlight w:val="none"/>
        </w:rPr>
        <w:t>中标人澄清函（如有）</w:t>
      </w:r>
    </w:p>
    <w:p w14:paraId="6086DA5C">
      <w:pPr>
        <w:pStyle w:val="9"/>
        <w:numPr>
          <w:ilvl w:val="0"/>
          <w:numId w:val="16"/>
        </w:numPr>
        <w:spacing w:line="360" w:lineRule="auto"/>
        <w:ind w:firstLineChars="200"/>
        <w:rPr>
          <w:rFonts w:cs="宋体"/>
          <w:color w:val="auto"/>
          <w:highlight w:val="none"/>
        </w:rPr>
      </w:pPr>
      <w:r>
        <w:rPr>
          <w:rFonts w:hint="eastAsia" w:cs="宋体"/>
          <w:color w:val="auto"/>
          <w:highlight w:val="none"/>
        </w:rPr>
        <w:t>投标文件</w:t>
      </w:r>
    </w:p>
    <w:p w14:paraId="3457AABC">
      <w:pPr>
        <w:pStyle w:val="9"/>
        <w:numPr>
          <w:ilvl w:val="0"/>
          <w:numId w:val="16"/>
        </w:numPr>
        <w:spacing w:line="360" w:lineRule="auto"/>
        <w:ind w:firstLineChars="200"/>
        <w:rPr>
          <w:rFonts w:cs="宋体"/>
          <w:color w:val="auto"/>
          <w:highlight w:val="none"/>
        </w:rPr>
      </w:pPr>
      <w:r>
        <w:rPr>
          <w:rFonts w:hint="eastAsia" w:cs="宋体"/>
          <w:color w:val="auto"/>
          <w:highlight w:val="none"/>
        </w:rPr>
        <w:t>招标文件澄清或更正（如有）及招标文件</w:t>
      </w:r>
    </w:p>
    <w:p w14:paraId="17DED39B">
      <w:pPr>
        <w:pStyle w:val="9"/>
        <w:numPr>
          <w:ilvl w:val="0"/>
          <w:numId w:val="16"/>
        </w:numPr>
        <w:spacing w:line="360" w:lineRule="auto"/>
        <w:ind w:firstLineChars="200"/>
        <w:rPr>
          <w:rFonts w:cs="宋体"/>
          <w:color w:val="auto"/>
          <w:highlight w:val="none"/>
        </w:rPr>
      </w:pPr>
      <w:r>
        <w:rPr>
          <w:rFonts w:hint="eastAsia" w:cs="宋体"/>
          <w:color w:val="auto"/>
          <w:highlight w:val="none"/>
        </w:rPr>
        <w:t>其他招投标过程中的相关材料</w:t>
      </w:r>
    </w:p>
    <w:p w14:paraId="374409E8">
      <w:pPr>
        <w:pStyle w:val="9"/>
        <w:numPr>
          <w:ilvl w:val="0"/>
          <w:numId w:val="16"/>
        </w:numPr>
        <w:spacing w:line="360" w:lineRule="auto"/>
        <w:ind w:firstLineChars="200"/>
        <w:rPr>
          <w:rFonts w:cs="宋体"/>
          <w:color w:val="auto"/>
          <w:highlight w:val="none"/>
        </w:rPr>
      </w:pPr>
      <w:r>
        <w:rPr>
          <w:rFonts w:hint="eastAsia" w:cs="宋体"/>
          <w:color w:val="auto"/>
          <w:highlight w:val="none"/>
        </w:rPr>
        <w:t>上述合同文件互相补充和解释。如果合同文件之间存在矛盾或者不一致之处，以上述文件的排列顺序在先者为准。</w:t>
      </w:r>
    </w:p>
    <w:p w14:paraId="41EA3849">
      <w:pPr>
        <w:pStyle w:val="3"/>
        <w:numPr>
          <w:ilvl w:val="0"/>
          <w:numId w:val="17"/>
        </w:numPr>
        <w:jc w:val="both"/>
        <w:rPr>
          <w:rFonts w:hint="eastAsia" w:ascii="宋体" w:hAnsi="宋体" w:cs="宋体"/>
          <w:color w:val="auto"/>
          <w:sz w:val="21"/>
          <w:szCs w:val="21"/>
          <w:highlight w:val="none"/>
        </w:rPr>
      </w:pPr>
      <w:bookmarkStart w:id="45" w:name="_Toc177716545"/>
      <w:r>
        <w:rPr>
          <w:rFonts w:hint="eastAsia" w:ascii="宋体" w:hAnsi="宋体" w:cs="宋体"/>
          <w:color w:val="auto"/>
          <w:sz w:val="21"/>
          <w:szCs w:val="21"/>
          <w:highlight w:val="none"/>
        </w:rPr>
        <w:t>其他</w:t>
      </w:r>
    </w:p>
    <w:p w14:paraId="2141E95A">
      <w:pPr>
        <w:numPr>
          <w:ilvl w:val="0"/>
          <w:numId w:val="18"/>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本合同一式</w:t>
      </w:r>
      <w:r>
        <w:rPr>
          <w:rFonts w:hint="eastAsia" w:ascii="宋体" w:hAnsi="宋体" w:cs="宋体"/>
          <w:color w:val="auto"/>
          <w:szCs w:val="21"/>
          <w:highlight w:val="none"/>
          <w:u w:val="single"/>
        </w:rPr>
        <w:t xml:space="preserve"> 伍 </w:t>
      </w:r>
      <w:r>
        <w:rPr>
          <w:rFonts w:hint="eastAsia" w:ascii="宋体" w:hAnsi="宋体" w:cs="宋体"/>
          <w:color w:val="auto"/>
          <w:szCs w:val="21"/>
          <w:highlight w:val="none"/>
        </w:rPr>
        <w:t>份，具有同等法律效力，采购代理机构</w:t>
      </w:r>
      <w:r>
        <w:rPr>
          <w:rFonts w:hint="eastAsia" w:ascii="宋体" w:hAnsi="宋体" w:cs="宋体"/>
          <w:color w:val="auto"/>
          <w:szCs w:val="21"/>
          <w:highlight w:val="none"/>
          <w:u w:val="single"/>
        </w:rPr>
        <w:t xml:space="preserve"> 壹 </w:t>
      </w:r>
      <w:r>
        <w:rPr>
          <w:rFonts w:hint="eastAsia" w:ascii="宋体" w:hAnsi="宋体" w:cs="宋体"/>
          <w:color w:val="auto"/>
          <w:szCs w:val="21"/>
          <w:highlight w:val="none"/>
        </w:rPr>
        <w:t>份，甲</w:t>
      </w:r>
      <w:r>
        <w:rPr>
          <w:rFonts w:hint="eastAsia" w:ascii="宋体" w:hAnsi="宋体" w:cs="宋体"/>
          <w:color w:val="auto"/>
          <w:szCs w:val="21"/>
          <w:highlight w:val="none"/>
          <w:u w:val="single"/>
        </w:rPr>
        <w:t xml:space="preserve"> 贰 </w:t>
      </w:r>
      <w:r>
        <w:rPr>
          <w:rFonts w:hint="eastAsia" w:ascii="宋体" w:hAnsi="宋体" w:cs="宋体"/>
          <w:color w:val="auto"/>
          <w:szCs w:val="21"/>
          <w:highlight w:val="none"/>
        </w:rPr>
        <w:t>份，乙</w:t>
      </w:r>
      <w:r>
        <w:rPr>
          <w:rFonts w:hint="eastAsia" w:ascii="宋体" w:hAnsi="宋体" w:cs="宋体"/>
          <w:color w:val="auto"/>
          <w:szCs w:val="21"/>
          <w:highlight w:val="none"/>
          <w:u w:val="single"/>
        </w:rPr>
        <w:t xml:space="preserve"> 贰 </w:t>
      </w:r>
      <w:r>
        <w:rPr>
          <w:rFonts w:hint="eastAsia" w:ascii="宋体" w:hAnsi="宋体" w:cs="宋体"/>
          <w:color w:val="auto"/>
          <w:szCs w:val="21"/>
          <w:highlight w:val="none"/>
        </w:rPr>
        <w:t>份。</w:t>
      </w:r>
      <w:bookmarkEnd w:id="45"/>
    </w:p>
    <w:p w14:paraId="6EBDDE43">
      <w:pPr>
        <w:numPr>
          <w:ilvl w:val="0"/>
          <w:numId w:val="18"/>
        </w:num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本合同自签订之日起2个工作日内，甲方应当将采购合同在同级财政部门指定的媒体上公告。</w:t>
      </w:r>
    </w:p>
    <w:p w14:paraId="3BF54F66">
      <w:pPr>
        <w:rPr>
          <w:rFonts w:hint="eastAsia" w:ascii="宋体" w:hAnsi="宋体" w:cs="宋体"/>
          <w:color w:val="auto"/>
          <w:szCs w:val="21"/>
          <w:highlight w:val="none"/>
        </w:rPr>
      </w:pPr>
      <w:r>
        <w:rPr>
          <w:rFonts w:hint="eastAsia" w:ascii="宋体" w:hAnsi="宋体" w:cs="宋体"/>
          <w:color w:val="auto"/>
          <w:szCs w:val="21"/>
          <w:highlight w:val="none"/>
        </w:rPr>
        <w:br w:type="page"/>
      </w:r>
    </w:p>
    <w:p w14:paraId="2DB758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（以下无正文）</w:t>
      </w:r>
    </w:p>
    <w:tbl>
      <w:tblPr>
        <w:tblStyle w:val="19"/>
        <w:tblpPr w:leftFromText="180" w:rightFromText="180" w:vertAnchor="text" w:horzAnchor="margin" w:tblpXSpec="center" w:tblpY="2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2"/>
        <w:gridCol w:w="4583"/>
      </w:tblGrid>
      <w:tr w14:paraId="137A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1BC46D1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甲方：（章）</w:t>
            </w:r>
          </w:p>
          <w:p w14:paraId="1995E9DD">
            <w:pPr>
              <w:spacing w:line="360" w:lineRule="auto"/>
              <w:rPr>
                <w:rFonts w:hint="eastAsia" w:ascii="宋体" w:hAnsi="宋体" w:cs="宋体"/>
                <w:color w:val="auto"/>
                <w:szCs w:val="21"/>
                <w:highlight w:val="none"/>
              </w:rPr>
            </w:pPr>
          </w:p>
          <w:p w14:paraId="02296E95">
            <w:pPr>
              <w:spacing w:line="360" w:lineRule="auto"/>
              <w:rPr>
                <w:rFonts w:hint="eastAsia" w:ascii="宋体" w:hAnsi="宋体" w:cs="宋体"/>
                <w:color w:val="auto"/>
                <w:szCs w:val="21"/>
                <w:highlight w:val="none"/>
              </w:rPr>
            </w:pPr>
          </w:p>
          <w:p w14:paraId="537CAD36">
            <w:pPr>
              <w:spacing w:line="360" w:lineRule="auto"/>
              <w:ind w:firstLine="945" w:firstLineChars="450"/>
              <w:jc w:val="right"/>
              <w:rPr>
                <w:rFonts w:hint="eastAsia" w:ascii="宋体" w:hAnsi="宋体" w:cs="宋体"/>
                <w:color w:val="auto"/>
                <w:szCs w:val="21"/>
                <w:highlight w:val="none"/>
              </w:rPr>
            </w:pPr>
          </w:p>
          <w:p w14:paraId="61146DEB">
            <w:pPr>
              <w:spacing w:line="360" w:lineRule="auto"/>
              <w:ind w:firstLine="945" w:firstLineChars="450"/>
              <w:jc w:val="right"/>
              <w:rPr>
                <w:rFonts w:hint="eastAsia" w:ascii="宋体" w:hAnsi="宋体" w:cs="宋体"/>
                <w:color w:val="auto"/>
                <w:szCs w:val="21"/>
                <w:highlight w:val="none"/>
              </w:rPr>
            </w:pPr>
            <w:r>
              <w:rPr>
                <w:rFonts w:hint="eastAsia" w:ascii="宋体" w:hAnsi="宋体" w:cs="宋体"/>
                <w:color w:val="auto"/>
                <w:szCs w:val="21"/>
                <w:highlight w:val="none"/>
              </w:rPr>
              <w:t>年   月   日</w:t>
            </w:r>
          </w:p>
        </w:tc>
        <w:tc>
          <w:tcPr>
            <w:tcW w:w="4583" w:type="dxa"/>
            <w:tcBorders>
              <w:top w:val="single" w:color="auto" w:sz="4" w:space="0"/>
              <w:left w:val="single" w:color="auto" w:sz="4" w:space="0"/>
              <w:bottom w:val="single" w:color="auto" w:sz="4" w:space="0"/>
              <w:right w:val="single" w:color="auto" w:sz="4" w:space="0"/>
            </w:tcBorders>
            <w:vAlign w:val="center"/>
          </w:tcPr>
          <w:p w14:paraId="0F58FD7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乙方：（章）       </w:t>
            </w:r>
          </w:p>
          <w:p w14:paraId="78DA2F23">
            <w:pPr>
              <w:spacing w:line="360" w:lineRule="auto"/>
              <w:rPr>
                <w:rFonts w:hint="eastAsia" w:ascii="宋体" w:hAnsi="宋体" w:cs="宋体"/>
                <w:color w:val="auto"/>
                <w:szCs w:val="21"/>
                <w:highlight w:val="none"/>
              </w:rPr>
            </w:pPr>
          </w:p>
          <w:p w14:paraId="5C9EE32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8B4CDBF">
            <w:pPr>
              <w:spacing w:line="360" w:lineRule="auto"/>
              <w:jc w:val="right"/>
              <w:rPr>
                <w:rFonts w:hint="eastAsia" w:ascii="宋体" w:hAnsi="宋体" w:cs="宋体"/>
                <w:color w:val="auto"/>
                <w:szCs w:val="21"/>
                <w:highlight w:val="none"/>
              </w:rPr>
            </w:pPr>
          </w:p>
          <w:p w14:paraId="14361F1F">
            <w:pPr>
              <w:spacing w:line="360" w:lineRule="auto"/>
              <w:jc w:val="right"/>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tc>
      </w:tr>
      <w:tr w14:paraId="09A8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39DBE8F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单位地址： </w:t>
            </w:r>
          </w:p>
        </w:tc>
        <w:tc>
          <w:tcPr>
            <w:tcW w:w="4583" w:type="dxa"/>
            <w:tcBorders>
              <w:top w:val="single" w:color="auto" w:sz="4" w:space="0"/>
              <w:left w:val="single" w:color="auto" w:sz="4" w:space="0"/>
              <w:bottom w:val="single" w:color="auto" w:sz="4" w:space="0"/>
              <w:right w:val="single" w:color="auto" w:sz="4" w:space="0"/>
            </w:tcBorders>
            <w:vAlign w:val="center"/>
          </w:tcPr>
          <w:p w14:paraId="53E9C3F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单位地址： </w:t>
            </w:r>
          </w:p>
        </w:tc>
      </w:tr>
      <w:tr w14:paraId="6D183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1163F65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法定代表人（负责人）：</w:t>
            </w:r>
          </w:p>
        </w:tc>
        <w:tc>
          <w:tcPr>
            <w:tcW w:w="4583" w:type="dxa"/>
            <w:tcBorders>
              <w:top w:val="single" w:color="auto" w:sz="4" w:space="0"/>
              <w:left w:val="single" w:color="auto" w:sz="4" w:space="0"/>
              <w:bottom w:val="single" w:color="auto" w:sz="4" w:space="0"/>
              <w:right w:val="single" w:color="auto" w:sz="4" w:space="0"/>
            </w:tcBorders>
            <w:vAlign w:val="center"/>
          </w:tcPr>
          <w:p w14:paraId="11ADC09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法定代表人（负责人）：</w:t>
            </w:r>
          </w:p>
        </w:tc>
      </w:tr>
      <w:tr w14:paraId="4380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2122498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（或）委托代理人：</w:t>
            </w:r>
          </w:p>
        </w:tc>
        <w:tc>
          <w:tcPr>
            <w:tcW w:w="4583" w:type="dxa"/>
            <w:tcBorders>
              <w:top w:val="single" w:color="auto" w:sz="4" w:space="0"/>
              <w:left w:val="single" w:color="auto" w:sz="4" w:space="0"/>
              <w:bottom w:val="single" w:color="auto" w:sz="4" w:space="0"/>
              <w:right w:val="single" w:color="auto" w:sz="4" w:space="0"/>
            </w:tcBorders>
            <w:vAlign w:val="center"/>
          </w:tcPr>
          <w:p w14:paraId="7BBF96B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（或）委托代理人：</w:t>
            </w:r>
          </w:p>
        </w:tc>
      </w:tr>
      <w:tr w14:paraId="77F9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461E02E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4583" w:type="dxa"/>
            <w:tcBorders>
              <w:top w:val="single" w:color="auto" w:sz="4" w:space="0"/>
              <w:left w:val="single" w:color="auto" w:sz="4" w:space="0"/>
              <w:bottom w:val="single" w:color="auto" w:sz="4" w:space="0"/>
              <w:right w:val="single" w:color="auto" w:sz="4" w:space="0"/>
            </w:tcBorders>
            <w:vAlign w:val="center"/>
          </w:tcPr>
          <w:p w14:paraId="44F1BC2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电话：</w:t>
            </w:r>
          </w:p>
        </w:tc>
      </w:tr>
      <w:tr w14:paraId="3E75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2B85DE0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开户银行： </w:t>
            </w:r>
          </w:p>
        </w:tc>
        <w:tc>
          <w:tcPr>
            <w:tcW w:w="4583" w:type="dxa"/>
            <w:tcBorders>
              <w:top w:val="single" w:color="auto" w:sz="4" w:space="0"/>
              <w:left w:val="single" w:color="auto" w:sz="4" w:space="0"/>
              <w:bottom w:val="single" w:color="auto" w:sz="4" w:space="0"/>
              <w:right w:val="single" w:color="auto" w:sz="4" w:space="0"/>
            </w:tcBorders>
            <w:vAlign w:val="center"/>
          </w:tcPr>
          <w:p w14:paraId="614BD75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开户银行： </w:t>
            </w:r>
          </w:p>
        </w:tc>
      </w:tr>
      <w:tr w14:paraId="1D88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46EFE7B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4583" w:type="dxa"/>
            <w:tcBorders>
              <w:top w:val="single" w:color="auto" w:sz="4" w:space="0"/>
              <w:left w:val="single" w:color="auto" w:sz="4" w:space="0"/>
              <w:bottom w:val="single" w:color="auto" w:sz="4" w:space="0"/>
              <w:right w:val="single" w:color="auto" w:sz="4" w:space="0"/>
            </w:tcBorders>
            <w:vAlign w:val="center"/>
          </w:tcPr>
          <w:p w14:paraId="5A544E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账号：</w:t>
            </w:r>
          </w:p>
        </w:tc>
      </w:tr>
      <w:tr w14:paraId="0116B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4" w:hRule="atLeast"/>
          <w:jc w:val="center"/>
        </w:trPr>
        <w:tc>
          <w:tcPr>
            <w:tcW w:w="4582" w:type="dxa"/>
            <w:tcBorders>
              <w:top w:val="single" w:color="auto" w:sz="4" w:space="0"/>
              <w:left w:val="single" w:color="auto" w:sz="4" w:space="0"/>
              <w:bottom w:val="single" w:color="auto" w:sz="4" w:space="0"/>
              <w:right w:val="single" w:color="auto" w:sz="4" w:space="0"/>
            </w:tcBorders>
            <w:vAlign w:val="center"/>
          </w:tcPr>
          <w:p w14:paraId="2B8CA56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4583" w:type="dxa"/>
            <w:tcBorders>
              <w:top w:val="single" w:color="auto" w:sz="4" w:space="0"/>
              <w:left w:val="single" w:color="auto" w:sz="4" w:space="0"/>
              <w:bottom w:val="single" w:color="auto" w:sz="4" w:space="0"/>
              <w:right w:val="single" w:color="auto" w:sz="4" w:space="0"/>
            </w:tcBorders>
            <w:vAlign w:val="center"/>
          </w:tcPr>
          <w:p w14:paraId="09B86B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邮政编码：</w:t>
            </w:r>
          </w:p>
        </w:tc>
      </w:tr>
    </w:tbl>
    <w:p w14:paraId="7CF42CA3">
      <w:pPr>
        <w:snapToGrid w:val="0"/>
        <w:spacing w:line="360" w:lineRule="auto"/>
        <w:jc w:val="center"/>
        <w:rPr>
          <w:rFonts w:hint="eastAsia" w:ascii="宋体" w:hAnsi="宋体" w:cs="宋体"/>
          <w:b/>
          <w:bCs/>
          <w:color w:val="auto"/>
          <w:szCs w:val="21"/>
          <w:highlight w:val="none"/>
        </w:rPr>
      </w:pPr>
    </w:p>
    <w:p w14:paraId="01125359">
      <w:pPr>
        <w:pStyle w:val="6"/>
        <w:spacing w:line="360" w:lineRule="auto"/>
        <w:rPr>
          <w:color w:val="auto"/>
          <w:highlight w:val="none"/>
        </w:rPr>
      </w:pPr>
    </w:p>
    <w:p w14:paraId="55A537C0">
      <w:pPr>
        <w:spacing w:line="360" w:lineRule="auto"/>
        <w:rPr>
          <w:color w:val="auto"/>
          <w:highlight w:val="none"/>
        </w:rPr>
      </w:pPr>
    </w:p>
    <w:p w14:paraId="10554642">
      <w:pPr>
        <w:spacing w:line="360" w:lineRule="auto"/>
        <w:rPr>
          <w:color w:val="auto"/>
          <w:highlight w:val="none"/>
        </w:rPr>
      </w:pPr>
    </w:p>
    <w:p w14:paraId="5B305DFA">
      <w:pPr>
        <w:spacing w:line="360" w:lineRule="auto"/>
        <w:rPr>
          <w:color w:val="auto"/>
          <w:highlight w:val="none"/>
        </w:rPr>
        <w:sectPr>
          <w:pgSz w:w="11906" w:h="16838"/>
          <w:pgMar w:top="1440" w:right="1474" w:bottom="1440" w:left="1587" w:header="720" w:footer="720" w:gutter="0"/>
          <w:cols w:space="720" w:num="1"/>
          <w:docGrid w:linePitch="331" w:charSpace="0"/>
        </w:sectPr>
      </w:pPr>
    </w:p>
    <w:p w14:paraId="1BACE184">
      <w:pPr>
        <w:spacing w:line="360" w:lineRule="auto"/>
        <w:ind w:left="178" w:leftChars="85"/>
        <w:rPr>
          <w:rFonts w:hint="eastAsia" w:ascii="宋体" w:hAnsi="宋体"/>
          <w:color w:val="auto"/>
          <w:kern w:val="0"/>
          <w:sz w:val="20"/>
          <w:szCs w:val="20"/>
          <w:highlight w:val="none"/>
        </w:rPr>
      </w:pPr>
    </w:p>
    <w:p w14:paraId="47EE1038">
      <w:pPr>
        <w:tabs>
          <w:tab w:val="left" w:pos="2472"/>
        </w:tabs>
        <w:spacing w:line="460" w:lineRule="exact"/>
        <w:jc w:val="center"/>
        <w:rPr>
          <w:b/>
          <w:color w:val="auto"/>
          <w:kern w:val="0"/>
          <w:sz w:val="36"/>
          <w:szCs w:val="20"/>
          <w:highlight w:val="none"/>
        </w:rPr>
      </w:pPr>
    </w:p>
    <w:p w14:paraId="28D81EEC">
      <w:pPr>
        <w:tabs>
          <w:tab w:val="left" w:pos="2472"/>
        </w:tabs>
        <w:spacing w:line="460" w:lineRule="exact"/>
        <w:jc w:val="center"/>
        <w:rPr>
          <w:b/>
          <w:color w:val="auto"/>
          <w:kern w:val="0"/>
          <w:sz w:val="36"/>
          <w:szCs w:val="20"/>
          <w:highlight w:val="none"/>
        </w:rPr>
      </w:pPr>
    </w:p>
    <w:p w14:paraId="060ECBFB">
      <w:pPr>
        <w:tabs>
          <w:tab w:val="left" w:pos="2472"/>
        </w:tabs>
        <w:spacing w:line="460" w:lineRule="exact"/>
        <w:jc w:val="center"/>
        <w:rPr>
          <w:b/>
          <w:color w:val="auto"/>
          <w:kern w:val="0"/>
          <w:sz w:val="36"/>
          <w:szCs w:val="20"/>
          <w:highlight w:val="none"/>
        </w:rPr>
      </w:pPr>
    </w:p>
    <w:p w14:paraId="1A84CD8D">
      <w:pPr>
        <w:tabs>
          <w:tab w:val="left" w:pos="2472"/>
        </w:tabs>
        <w:spacing w:line="460" w:lineRule="exact"/>
        <w:jc w:val="center"/>
        <w:rPr>
          <w:b/>
          <w:color w:val="auto"/>
          <w:kern w:val="0"/>
          <w:sz w:val="36"/>
          <w:szCs w:val="20"/>
          <w:highlight w:val="none"/>
        </w:rPr>
      </w:pPr>
    </w:p>
    <w:p w14:paraId="5EE78D61">
      <w:pPr>
        <w:tabs>
          <w:tab w:val="left" w:pos="2472"/>
        </w:tabs>
        <w:spacing w:line="460" w:lineRule="exact"/>
        <w:jc w:val="center"/>
        <w:rPr>
          <w:b/>
          <w:color w:val="auto"/>
          <w:kern w:val="0"/>
          <w:sz w:val="36"/>
          <w:szCs w:val="20"/>
          <w:highlight w:val="none"/>
        </w:rPr>
      </w:pPr>
    </w:p>
    <w:p w14:paraId="46BA71B5">
      <w:pPr>
        <w:tabs>
          <w:tab w:val="left" w:pos="2472"/>
        </w:tabs>
        <w:spacing w:line="460" w:lineRule="exact"/>
        <w:jc w:val="center"/>
        <w:rPr>
          <w:b/>
          <w:color w:val="auto"/>
          <w:kern w:val="0"/>
          <w:sz w:val="36"/>
          <w:szCs w:val="20"/>
          <w:highlight w:val="none"/>
        </w:rPr>
      </w:pPr>
    </w:p>
    <w:p w14:paraId="2C32AA5C">
      <w:pPr>
        <w:tabs>
          <w:tab w:val="left" w:pos="2472"/>
        </w:tabs>
        <w:spacing w:line="460" w:lineRule="exact"/>
        <w:jc w:val="center"/>
        <w:rPr>
          <w:b/>
          <w:color w:val="auto"/>
          <w:kern w:val="0"/>
          <w:sz w:val="36"/>
          <w:szCs w:val="20"/>
          <w:highlight w:val="none"/>
        </w:rPr>
      </w:pPr>
    </w:p>
    <w:p w14:paraId="78E9876A">
      <w:pPr>
        <w:tabs>
          <w:tab w:val="left" w:pos="2472"/>
        </w:tabs>
        <w:spacing w:line="460" w:lineRule="exact"/>
        <w:jc w:val="center"/>
        <w:rPr>
          <w:b/>
          <w:color w:val="auto"/>
          <w:kern w:val="0"/>
          <w:sz w:val="36"/>
          <w:szCs w:val="20"/>
          <w:highlight w:val="none"/>
        </w:rPr>
      </w:pPr>
    </w:p>
    <w:p w14:paraId="1547278E">
      <w:pPr>
        <w:tabs>
          <w:tab w:val="left" w:pos="2472"/>
        </w:tabs>
        <w:spacing w:line="460" w:lineRule="exact"/>
        <w:jc w:val="center"/>
        <w:rPr>
          <w:b/>
          <w:color w:val="auto"/>
          <w:kern w:val="0"/>
          <w:sz w:val="36"/>
          <w:szCs w:val="20"/>
          <w:highlight w:val="none"/>
        </w:rPr>
      </w:pPr>
    </w:p>
    <w:p w14:paraId="0910FF92">
      <w:pPr>
        <w:tabs>
          <w:tab w:val="left" w:pos="2472"/>
        </w:tabs>
        <w:spacing w:line="460" w:lineRule="exact"/>
        <w:jc w:val="center"/>
        <w:outlineLvl w:val="0"/>
        <w:rPr>
          <w:b/>
          <w:color w:val="auto"/>
          <w:kern w:val="0"/>
          <w:sz w:val="36"/>
          <w:szCs w:val="20"/>
          <w:highlight w:val="none"/>
        </w:rPr>
      </w:pPr>
      <w:bookmarkStart w:id="46" w:name="_Toc9075"/>
      <w:r>
        <w:rPr>
          <w:rFonts w:hint="eastAsia"/>
          <w:b/>
          <w:color w:val="auto"/>
          <w:kern w:val="0"/>
          <w:sz w:val="36"/>
          <w:szCs w:val="20"/>
          <w:highlight w:val="none"/>
        </w:rPr>
        <w:t>第六章</w:t>
      </w:r>
      <w:r>
        <w:rPr>
          <w:b/>
          <w:color w:val="auto"/>
          <w:kern w:val="0"/>
          <w:sz w:val="36"/>
          <w:szCs w:val="20"/>
          <w:highlight w:val="none"/>
        </w:rPr>
        <w:t xml:space="preserve"> </w:t>
      </w:r>
      <w:r>
        <w:rPr>
          <w:rFonts w:hint="eastAsia"/>
          <w:b/>
          <w:color w:val="auto"/>
          <w:kern w:val="0"/>
          <w:sz w:val="36"/>
          <w:szCs w:val="20"/>
          <w:highlight w:val="none"/>
        </w:rPr>
        <w:t>投标文件格式</w:t>
      </w:r>
      <w:bookmarkEnd w:id="46"/>
    </w:p>
    <w:p w14:paraId="368F809E">
      <w:pPr>
        <w:widowControl/>
        <w:spacing w:beforeAutospacing="1" w:line="360" w:lineRule="auto"/>
        <w:jc w:val="left"/>
        <w:rPr>
          <w:rFonts w:hint="eastAsia" w:ascii="宋体" w:hAnsi="宋体"/>
          <w:color w:val="auto"/>
          <w:szCs w:val="20"/>
          <w:highlight w:val="none"/>
        </w:rPr>
        <w:sectPr>
          <w:pgSz w:w="11906" w:h="16838"/>
          <w:pgMar w:top="1134" w:right="1134" w:bottom="1134" w:left="1134" w:header="720" w:footer="720" w:gutter="0"/>
          <w:cols w:space="720" w:num="1"/>
          <w:docGrid w:type="lines" w:linePitch="331" w:charSpace="0"/>
        </w:sectPr>
      </w:pPr>
    </w:p>
    <w:p w14:paraId="2BC131A5">
      <w:pPr>
        <w:jc w:val="center"/>
        <w:outlineLvl w:val="1"/>
        <w:rPr>
          <w:rFonts w:hint="eastAsia" w:ascii="宋体" w:hAnsi="宋体"/>
          <w:b/>
          <w:bCs/>
          <w:color w:val="auto"/>
          <w:kern w:val="0"/>
          <w:sz w:val="28"/>
          <w:szCs w:val="28"/>
          <w:highlight w:val="none"/>
        </w:rPr>
      </w:pPr>
      <w:bookmarkStart w:id="47" w:name="_Toc2051"/>
      <w:r>
        <w:rPr>
          <w:rFonts w:hint="eastAsia" w:ascii="宋体" w:hAnsi="宋体"/>
          <w:b/>
          <w:bCs/>
          <w:color w:val="auto"/>
          <w:kern w:val="0"/>
          <w:sz w:val="28"/>
          <w:szCs w:val="28"/>
          <w:highlight w:val="none"/>
        </w:rPr>
        <w:t>第一节 资格证明文件格式</w:t>
      </w:r>
      <w:bookmarkEnd w:id="47"/>
    </w:p>
    <w:p w14:paraId="4679C283">
      <w:pPr>
        <w:spacing w:line="360" w:lineRule="auto"/>
        <w:ind w:firstLine="420"/>
        <w:rPr>
          <w:rFonts w:hint="eastAsia" w:ascii="宋体" w:hAnsi="宋体"/>
          <w:color w:val="auto"/>
          <w:kern w:val="0"/>
          <w:sz w:val="30"/>
          <w:szCs w:val="20"/>
          <w:highlight w:val="none"/>
        </w:rPr>
      </w:pPr>
    </w:p>
    <w:p w14:paraId="4F97E325">
      <w:pPr>
        <w:snapToGrid w:val="0"/>
        <w:spacing w:before="165"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19A30B14">
      <w:pPr>
        <w:snapToGrid w:val="0"/>
        <w:spacing w:before="165" w:beforeLines="50" w:after="50"/>
        <w:rPr>
          <w:rFonts w:hint="eastAsia" w:ascii="宋体" w:hAnsi="宋体"/>
          <w:color w:val="auto"/>
          <w:sz w:val="24"/>
          <w:szCs w:val="20"/>
          <w:highlight w:val="none"/>
        </w:rPr>
      </w:pPr>
    </w:p>
    <w:p w14:paraId="32ED8A08">
      <w:pPr>
        <w:snapToGrid w:val="0"/>
        <w:spacing w:before="165" w:beforeLines="50" w:after="50"/>
        <w:jc w:val="center"/>
        <w:rPr>
          <w:rFonts w:hint="eastAsia" w:ascii="宋体" w:hAnsi="宋体"/>
          <w:b/>
          <w:color w:val="auto"/>
          <w:sz w:val="24"/>
          <w:szCs w:val="20"/>
          <w:highlight w:val="none"/>
        </w:rPr>
      </w:pPr>
      <w:r>
        <w:rPr>
          <w:rFonts w:hint="eastAsia" w:ascii="宋体" w:hAnsi="宋体"/>
          <w:b/>
          <w:color w:val="auto"/>
          <w:sz w:val="32"/>
          <w:szCs w:val="32"/>
          <w:highlight w:val="none"/>
        </w:rPr>
        <w:t>资格证明文件（封面）</w:t>
      </w:r>
    </w:p>
    <w:p w14:paraId="05233C72">
      <w:pPr>
        <w:snapToGrid w:val="0"/>
        <w:spacing w:before="165" w:beforeLines="50" w:after="50"/>
        <w:rPr>
          <w:rFonts w:hint="eastAsia" w:ascii="宋体" w:hAnsi="宋体"/>
          <w:bCs/>
          <w:color w:val="auto"/>
          <w:sz w:val="24"/>
          <w:szCs w:val="20"/>
          <w:highlight w:val="none"/>
        </w:rPr>
      </w:pPr>
    </w:p>
    <w:p w14:paraId="60B2F114">
      <w:pPr>
        <w:snapToGrid w:val="0"/>
        <w:spacing w:before="165" w:beforeLines="50" w:after="50"/>
        <w:rPr>
          <w:rFonts w:hint="eastAsia" w:ascii="宋体" w:hAnsi="宋体"/>
          <w:bCs/>
          <w:color w:val="auto"/>
          <w:sz w:val="24"/>
          <w:szCs w:val="20"/>
          <w:highlight w:val="none"/>
        </w:rPr>
      </w:pPr>
    </w:p>
    <w:p w14:paraId="048B073A">
      <w:pPr>
        <w:snapToGrid w:val="0"/>
        <w:spacing w:before="165" w:beforeLines="50" w:after="50"/>
        <w:rPr>
          <w:rFonts w:hint="eastAsia" w:ascii="宋体" w:hAnsi="宋体"/>
          <w:bCs/>
          <w:color w:val="auto"/>
          <w:sz w:val="24"/>
          <w:szCs w:val="20"/>
          <w:highlight w:val="none"/>
        </w:rPr>
      </w:pPr>
    </w:p>
    <w:p w14:paraId="48ADA17A">
      <w:pPr>
        <w:snapToGrid w:val="0"/>
        <w:spacing w:before="165" w:beforeLines="50" w:after="50"/>
        <w:rPr>
          <w:rFonts w:hint="eastAsia" w:ascii="宋体" w:hAnsi="宋体"/>
          <w:bCs/>
          <w:color w:val="auto"/>
          <w:sz w:val="24"/>
          <w:szCs w:val="20"/>
          <w:highlight w:val="none"/>
        </w:rPr>
      </w:pPr>
    </w:p>
    <w:p w14:paraId="1EF16EEC">
      <w:pPr>
        <w:snapToGrid w:val="0"/>
        <w:spacing w:before="165" w:beforeLines="50" w:after="50"/>
        <w:rPr>
          <w:rFonts w:hint="eastAsia" w:ascii="宋体" w:hAnsi="宋体"/>
          <w:bCs/>
          <w:color w:val="auto"/>
          <w:sz w:val="24"/>
          <w:szCs w:val="20"/>
          <w:highlight w:val="none"/>
        </w:rPr>
      </w:pPr>
    </w:p>
    <w:p w14:paraId="1DF10CFA">
      <w:pPr>
        <w:snapToGrid w:val="0"/>
        <w:spacing w:before="165" w:beforeLines="50" w:after="50"/>
        <w:rPr>
          <w:rFonts w:hint="eastAsia" w:ascii="宋体" w:hAnsi="宋体"/>
          <w:bCs/>
          <w:color w:val="auto"/>
          <w:sz w:val="24"/>
          <w:szCs w:val="20"/>
          <w:highlight w:val="none"/>
        </w:rPr>
      </w:pPr>
    </w:p>
    <w:p w14:paraId="02A20FF3">
      <w:pPr>
        <w:snapToGrid w:val="0"/>
        <w:spacing w:before="165" w:beforeLines="50" w:after="50"/>
        <w:rPr>
          <w:rFonts w:hint="eastAsia" w:ascii="宋体" w:hAnsi="宋体"/>
          <w:bCs/>
          <w:color w:val="auto"/>
          <w:sz w:val="24"/>
          <w:szCs w:val="20"/>
          <w:highlight w:val="none"/>
        </w:rPr>
      </w:pPr>
    </w:p>
    <w:p w14:paraId="1B6BFFC5">
      <w:pP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r>
        <w:rPr>
          <w:rFonts w:hint="eastAsia" w:ascii="宋体" w:hAnsi="宋体"/>
          <w:bCs/>
          <w:color w:val="auto"/>
          <w:sz w:val="24"/>
          <w:highlight w:val="none"/>
          <w:lang w:eastAsia="zh-CN"/>
        </w:rPr>
        <w:t>2026年广西政务服务统一评估服务项目</w:t>
      </w:r>
      <w:r>
        <w:rPr>
          <w:rFonts w:hint="eastAsia" w:ascii="宋体" w:hAnsi="宋体"/>
          <w:bCs/>
          <w:color w:val="auto"/>
          <w:sz w:val="24"/>
          <w:highlight w:val="none"/>
        </w:rPr>
        <w:t xml:space="preserve"> </w:t>
      </w:r>
    </w:p>
    <w:p w14:paraId="15B3A03B">
      <w:pPr>
        <w:snapToGrid w:val="0"/>
        <w:spacing w:before="165" w:beforeLines="50" w:after="50"/>
        <w:ind w:firstLine="540" w:firstLineChars="225"/>
        <w:rPr>
          <w:rFonts w:hint="eastAsia" w:ascii="宋体" w:hAnsi="宋体"/>
          <w:bCs/>
          <w:color w:val="auto"/>
          <w:sz w:val="24"/>
          <w:szCs w:val="20"/>
          <w:highlight w:val="none"/>
        </w:rPr>
      </w:pPr>
    </w:p>
    <w:p w14:paraId="03809897">
      <w:pP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项目编号：</w:t>
      </w:r>
    </w:p>
    <w:p w14:paraId="6A457339">
      <w:pPr>
        <w:snapToGrid w:val="0"/>
        <w:spacing w:before="165" w:beforeLines="50" w:after="50"/>
        <w:ind w:firstLine="540" w:firstLineChars="225"/>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70E85FD8">
      <w:pP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所投分标：</w:t>
      </w:r>
    </w:p>
    <w:p w14:paraId="0E8A3E76">
      <w:pPr>
        <w:snapToGrid w:val="0"/>
        <w:spacing w:before="50" w:after="50"/>
        <w:ind w:firstLine="540" w:firstLineChars="225"/>
        <w:rPr>
          <w:rFonts w:hint="eastAsia" w:ascii="宋体" w:hAnsi="宋体"/>
          <w:bCs/>
          <w:color w:val="auto"/>
          <w:sz w:val="24"/>
          <w:highlight w:val="none"/>
        </w:rPr>
      </w:pPr>
    </w:p>
    <w:p w14:paraId="3EFAA110">
      <w:pPr>
        <w:snapToGrid w:val="0"/>
        <w:spacing w:before="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投标人名称：</w:t>
      </w:r>
    </w:p>
    <w:p w14:paraId="477DD303">
      <w:pPr>
        <w:snapToGrid w:val="0"/>
        <w:spacing w:before="50" w:after="50"/>
        <w:ind w:firstLine="540" w:firstLineChars="225"/>
        <w:rPr>
          <w:rFonts w:hint="eastAsia" w:ascii="宋体" w:hAnsi="宋体"/>
          <w:bCs/>
          <w:color w:val="auto"/>
          <w:sz w:val="24"/>
          <w:highlight w:val="none"/>
        </w:rPr>
      </w:pPr>
    </w:p>
    <w:p w14:paraId="3189E712">
      <w:pPr>
        <w:snapToGrid w:val="0"/>
        <w:spacing w:before="50" w:after="50"/>
        <w:ind w:firstLine="960" w:firstLineChars="400"/>
        <w:rPr>
          <w:rFonts w:hint="eastAsia" w:ascii="宋体" w:hAnsi="宋体"/>
          <w:bCs/>
          <w:color w:val="auto"/>
          <w:sz w:val="24"/>
          <w:highlight w:val="none"/>
        </w:rPr>
      </w:pPr>
    </w:p>
    <w:p w14:paraId="04DA2ADA">
      <w:pPr>
        <w:snapToGrid w:val="0"/>
        <w:spacing w:before="165" w:beforeLines="50" w:after="50"/>
        <w:ind w:firstLine="645"/>
        <w:jc w:val="center"/>
        <w:rPr>
          <w:rFonts w:hint="eastAsia" w:ascii="宋体" w:hAnsi="宋体"/>
          <w:color w:val="auto"/>
          <w:sz w:val="24"/>
          <w:highlight w:val="none"/>
        </w:rPr>
      </w:pPr>
      <w:r>
        <w:rPr>
          <w:rFonts w:hint="eastAsia" w:ascii="宋体" w:hAnsi="宋体"/>
          <w:color w:val="auto"/>
          <w:sz w:val="24"/>
          <w:highlight w:val="none"/>
        </w:rPr>
        <w:t>年  月  日</w:t>
      </w:r>
    </w:p>
    <w:p w14:paraId="252DAA69">
      <w:pPr>
        <w:widowControl/>
        <w:spacing w:line="360" w:lineRule="auto"/>
        <w:jc w:val="left"/>
        <w:rPr>
          <w:rFonts w:hint="eastAsia" w:ascii="宋体" w:hAnsi="宋体"/>
          <w:color w:val="auto"/>
          <w:sz w:val="30"/>
          <w:szCs w:val="20"/>
          <w:highlight w:val="none"/>
        </w:rPr>
        <w:sectPr>
          <w:pgSz w:w="11906" w:h="16838"/>
          <w:pgMar w:top="1134" w:right="1134" w:bottom="1134" w:left="1134" w:header="720" w:footer="720" w:gutter="0"/>
          <w:cols w:space="720" w:num="1"/>
          <w:docGrid w:type="lines" w:linePitch="331" w:charSpace="0"/>
        </w:sectPr>
      </w:pPr>
    </w:p>
    <w:p w14:paraId="256D4DFC">
      <w:pPr>
        <w:jc w:val="center"/>
        <w:rPr>
          <w:rFonts w:hint="eastAsia" w:ascii="方正仿宋_GB2312" w:hAnsi="仿宋" w:eastAsia="方正仿宋_GB2312" w:cs="方正仿宋_GB2312"/>
          <w:b/>
          <w:color w:val="auto"/>
          <w:kern w:val="0"/>
          <w:sz w:val="36"/>
          <w:szCs w:val="36"/>
          <w:highlight w:val="none"/>
        </w:rPr>
      </w:pPr>
      <w:r>
        <w:rPr>
          <w:rFonts w:hint="eastAsia" w:ascii="方正仿宋_GB2312" w:hAnsi="仿宋" w:eastAsia="方正仿宋_GB2312" w:cs="方正仿宋_GB2312"/>
          <w:b/>
          <w:color w:val="auto"/>
          <w:kern w:val="0"/>
          <w:sz w:val="36"/>
          <w:szCs w:val="36"/>
          <w:highlight w:val="none"/>
        </w:rPr>
        <w:t>资格证明文件目录</w:t>
      </w:r>
    </w:p>
    <w:p w14:paraId="75725E0A">
      <w:pPr>
        <w:snapToGrid w:val="0"/>
        <w:spacing w:line="360" w:lineRule="auto"/>
        <w:rPr>
          <w:rFonts w:hint="eastAsia" w:ascii="方正仿宋_GB2312" w:hAnsi="仿宋" w:eastAsia="方正仿宋_GB2312" w:cs="方正仿宋_GB2312"/>
          <w:color w:val="auto"/>
          <w:kern w:val="0"/>
          <w:sz w:val="24"/>
          <w:highlight w:val="none"/>
        </w:rPr>
      </w:pPr>
    </w:p>
    <w:p w14:paraId="5671CD15">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一、</w:t>
      </w:r>
      <w:r>
        <w:rPr>
          <w:rFonts w:hint="eastAsia" w:ascii="方正仿宋_GB2312" w:hAnsi="仿宋" w:eastAsia="方正仿宋_GB2312"/>
          <w:color w:val="auto"/>
          <w:sz w:val="24"/>
          <w:highlight w:val="none"/>
        </w:rPr>
        <w:t>营业执照(或事业法人登记证或其他工商等登记证明材料)复印件（投标人为自然人的，须提供</w:t>
      </w:r>
      <w:r>
        <w:rPr>
          <w:rFonts w:hint="eastAsia" w:ascii="方正仿宋_GB2312" w:hAnsi="仿宋" w:eastAsia="方正仿宋_GB2312" w:cs="Miss Sweetie"/>
          <w:color w:val="auto"/>
          <w:kern w:val="0"/>
          <w:sz w:val="24"/>
          <w:highlight w:val="none"/>
        </w:rPr>
        <w:t>自然人的身份证明</w:t>
      </w:r>
      <w:r>
        <w:rPr>
          <w:rFonts w:hint="eastAsia" w:ascii="方正仿宋_GB2312" w:hAnsi="仿宋" w:eastAsia="方正仿宋_GB2312"/>
          <w:color w:val="auto"/>
          <w:sz w:val="24"/>
          <w:highlight w:val="none"/>
        </w:rPr>
        <w:t>）</w:t>
      </w:r>
      <w:r>
        <w:rPr>
          <w:rFonts w:hint="eastAsia" w:ascii="方正仿宋_GB2312" w:hAnsi="仿宋" w:eastAsia="方正仿宋_GB2312" w:cs="方正仿宋_GB2312"/>
          <w:color w:val="auto"/>
          <w:kern w:val="0"/>
          <w:sz w:val="24"/>
          <w:highlight w:val="none"/>
        </w:rPr>
        <w:t>……………………………………………………………（页码）</w:t>
      </w:r>
    </w:p>
    <w:p w14:paraId="00511717">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二、符合参与政府采购活动的资格条件依法缴纳税收、社会保障资金等方面的材料…………………………………………………………………………………………（页码）</w:t>
      </w:r>
    </w:p>
    <w:p w14:paraId="4F968288">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三、财务状况报告方面的材料…………………………………………………………（页码）</w:t>
      </w:r>
    </w:p>
    <w:p w14:paraId="10A95613">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sz w:val="24"/>
          <w:highlight w:val="none"/>
        </w:rPr>
        <w:t>四、投标人直接控股股东信息</w:t>
      </w:r>
      <w:r>
        <w:rPr>
          <w:rFonts w:hint="eastAsia" w:ascii="方正仿宋_GB2312" w:hAnsi="仿宋" w:eastAsia="方正仿宋_GB2312" w:cs="方正仿宋_GB2312"/>
          <w:color w:val="auto"/>
          <w:kern w:val="0"/>
          <w:sz w:val="24"/>
          <w:highlight w:val="none"/>
        </w:rPr>
        <w:t>…………………………………………………………（页码）</w:t>
      </w:r>
    </w:p>
    <w:p w14:paraId="6E86681A">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sz w:val="24"/>
          <w:highlight w:val="none"/>
        </w:rPr>
        <w:t>五、投标人直接关联关系信息表</w:t>
      </w:r>
      <w:r>
        <w:rPr>
          <w:rFonts w:hint="eastAsia" w:ascii="方正仿宋_GB2312" w:hAnsi="仿宋" w:eastAsia="方正仿宋_GB2312" w:cs="方正仿宋_GB2312"/>
          <w:color w:val="auto"/>
          <w:kern w:val="0"/>
          <w:sz w:val="24"/>
          <w:highlight w:val="none"/>
        </w:rPr>
        <w:t>………………………………………………………（页码）</w:t>
      </w:r>
    </w:p>
    <w:p w14:paraId="625F11C8">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六、投标资格声明函……………………………………………………………………（页码）</w:t>
      </w:r>
    </w:p>
    <w:p w14:paraId="3BBCD8AB">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七、联合体协议书（</w:t>
      </w:r>
      <w:r>
        <w:rPr>
          <w:rFonts w:hint="eastAsia" w:ascii="方正仿宋_GB2312" w:hAnsi="仿宋" w:eastAsia="方正仿宋_GB2312" w:cs="方正仿宋_GB2312"/>
          <w:color w:val="auto"/>
          <w:sz w:val="24"/>
          <w:highlight w:val="none"/>
        </w:rPr>
        <w:t>以联合体形式投标的，提供联合体协议；本项目不接受联合体投标或者投标人不以联合体形式投标的，则不需要提供</w:t>
      </w:r>
      <w:r>
        <w:rPr>
          <w:rFonts w:hint="eastAsia" w:ascii="方正仿宋_GB2312" w:hAnsi="仿宋" w:eastAsia="方正仿宋_GB2312" w:cs="方正仿宋_GB2312"/>
          <w:color w:val="auto"/>
          <w:kern w:val="0"/>
          <w:sz w:val="24"/>
          <w:highlight w:val="none"/>
        </w:rPr>
        <w:t>）……………………………………（页码）</w:t>
      </w:r>
    </w:p>
    <w:p w14:paraId="13976178">
      <w:pPr>
        <w:snapToGrid w:val="0"/>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sz w:val="24"/>
          <w:highlight w:val="none"/>
        </w:rPr>
        <w:t>八、符合特定资格条件（如有）的有关证明材料（复印件）</w:t>
      </w:r>
      <w:r>
        <w:rPr>
          <w:rFonts w:hint="eastAsia" w:ascii="方正仿宋_GB2312" w:hAnsi="仿宋" w:eastAsia="方正仿宋_GB2312" w:cs="方正仿宋_GB2312"/>
          <w:color w:val="auto"/>
          <w:kern w:val="0"/>
          <w:sz w:val="24"/>
          <w:highlight w:val="none"/>
        </w:rPr>
        <w:t>………………………（页码）</w:t>
      </w:r>
    </w:p>
    <w:p w14:paraId="433DAC91">
      <w:pPr>
        <w:spacing w:line="360" w:lineRule="auto"/>
        <w:rPr>
          <w:rFonts w:hint="eastAsia" w:ascii="方正仿宋_GB2312" w:hAnsi="仿宋" w:eastAsia="方正仿宋_GB2312" w:cs="方正仿宋_GB2312"/>
          <w:b/>
          <w:bCs/>
          <w:color w:val="auto"/>
          <w:sz w:val="24"/>
          <w:highlight w:val="none"/>
        </w:rPr>
      </w:pPr>
      <w:r>
        <w:rPr>
          <w:rFonts w:hint="eastAsia" w:ascii="方正仿宋_GB2312" w:hAnsi="仿宋" w:eastAsia="方正仿宋_GB2312" w:cs="方正仿宋_GB2312"/>
          <w:b/>
          <w:bCs/>
          <w:color w:val="auto"/>
          <w:sz w:val="24"/>
          <w:highlight w:val="none"/>
        </w:rPr>
        <w:t>注：以上目录是基本格式要求，各投标人可根据自身情况进一步向下增加内容或细化。</w:t>
      </w:r>
    </w:p>
    <w:p w14:paraId="13A51AED">
      <w:pPr>
        <w:widowControl/>
        <w:spacing w:line="360" w:lineRule="auto"/>
        <w:jc w:val="left"/>
        <w:rPr>
          <w:rFonts w:hint="eastAsia" w:ascii="宋体" w:hAnsi="宋体"/>
          <w:color w:val="auto"/>
          <w:sz w:val="30"/>
          <w:szCs w:val="20"/>
          <w:highlight w:val="none"/>
        </w:rPr>
        <w:sectPr>
          <w:pgSz w:w="11906" w:h="16838"/>
          <w:pgMar w:top="1134" w:right="1134" w:bottom="1134" w:left="1134" w:header="720" w:footer="720" w:gutter="0"/>
          <w:cols w:space="720" w:num="1"/>
          <w:docGrid w:type="lines" w:linePitch="331" w:charSpace="0"/>
        </w:sectPr>
      </w:pPr>
    </w:p>
    <w:p w14:paraId="6378B15F">
      <w:pPr>
        <w:snapToGrid w:val="0"/>
        <w:spacing w:line="360" w:lineRule="auto"/>
        <w:rPr>
          <w:rFonts w:hint="eastAsia" w:ascii="方正仿宋_GB2312" w:hAnsi="仿宋" w:eastAsia="方正仿宋_GB2312" w:cs="方正仿宋_GB2312"/>
          <w:b/>
          <w:color w:val="auto"/>
          <w:kern w:val="0"/>
          <w:sz w:val="32"/>
          <w:szCs w:val="32"/>
          <w:highlight w:val="none"/>
          <w:lang w:val="zh-CN"/>
        </w:rPr>
      </w:pPr>
    </w:p>
    <w:p w14:paraId="253D0C56">
      <w:pPr>
        <w:spacing w:line="360" w:lineRule="auto"/>
        <w:jc w:val="center"/>
        <w:rPr>
          <w:rFonts w:hint="eastAsia" w:ascii="方正仿宋_GB2312" w:hAnsi="仿宋" w:eastAsia="方正仿宋_GB2312" w:cs="方正仿宋_GB2312"/>
          <w:b/>
          <w:color w:val="auto"/>
          <w:sz w:val="30"/>
          <w:szCs w:val="30"/>
          <w:highlight w:val="none"/>
        </w:rPr>
      </w:pPr>
      <w:r>
        <w:rPr>
          <w:rFonts w:hint="eastAsia" w:ascii="方正仿宋_GB2312" w:hAnsi="仿宋" w:eastAsia="方正仿宋_GB2312" w:cs="方正仿宋_GB2312"/>
          <w:b/>
          <w:color w:val="auto"/>
          <w:kern w:val="0"/>
          <w:sz w:val="32"/>
          <w:szCs w:val="32"/>
          <w:highlight w:val="none"/>
          <w:lang w:val="zh-CN"/>
        </w:rPr>
        <w:t>一、</w:t>
      </w:r>
      <w:r>
        <w:rPr>
          <w:rFonts w:hint="eastAsia" w:ascii="方正仿宋_GB2312" w:hAnsi="仿宋" w:eastAsia="方正仿宋_GB2312" w:cs="方正仿宋_GB2312"/>
          <w:b/>
          <w:color w:val="auto"/>
          <w:sz w:val="30"/>
          <w:szCs w:val="30"/>
          <w:highlight w:val="none"/>
        </w:rPr>
        <w:t>营业执照(或事业法人登记证或其他工商等登记证明材料)复印件（投标人为自然人的，提供自然人的身份证明）</w:t>
      </w:r>
    </w:p>
    <w:p w14:paraId="084816FD">
      <w:pPr>
        <w:spacing w:line="360" w:lineRule="auto"/>
        <w:rPr>
          <w:rFonts w:hint="eastAsia" w:ascii="方正仿宋_GB2312" w:hAnsi="仿宋" w:eastAsia="方正仿宋_GB2312" w:cs="方正仿宋_GB2312"/>
          <w:b/>
          <w:color w:val="auto"/>
          <w:sz w:val="30"/>
          <w:szCs w:val="30"/>
          <w:highlight w:val="none"/>
        </w:rPr>
      </w:pPr>
    </w:p>
    <w:p w14:paraId="4953446F">
      <w:pPr>
        <w:snapToGrid w:val="0"/>
        <w:spacing w:line="360" w:lineRule="auto"/>
        <w:ind w:firstLine="576"/>
        <w:jc w:val="center"/>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 xml:space="preserve">               投标人名称(电子签章)：                              </w:t>
      </w:r>
    </w:p>
    <w:p w14:paraId="60387060">
      <w:pPr>
        <w:spacing w:line="360" w:lineRule="auto"/>
        <w:jc w:val="center"/>
        <w:rPr>
          <w:rFonts w:hint="eastAsia" w:ascii="方正仿宋_GB2312" w:hAnsi="仿宋" w:eastAsia="方正仿宋_GB2312" w:cs="方正仿宋_GB2312"/>
          <w:b/>
          <w:color w:val="auto"/>
          <w:sz w:val="30"/>
          <w:szCs w:val="30"/>
          <w:highlight w:val="none"/>
        </w:rPr>
      </w:pPr>
      <w:r>
        <w:rPr>
          <w:rFonts w:hint="eastAsia" w:ascii="方正仿宋_GB2312" w:hAnsi="仿宋" w:eastAsia="方正仿宋_GB2312" w:cs="方正仿宋_GB2312"/>
          <w:color w:val="auto"/>
          <w:kern w:val="0"/>
          <w:sz w:val="24"/>
          <w:highlight w:val="none"/>
          <w:lang w:val="zh-CN"/>
        </w:rPr>
        <w:t xml:space="preserve">                   日期：  年  月</w:t>
      </w:r>
    </w:p>
    <w:p w14:paraId="742C0409">
      <w:pPr>
        <w:spacing w:line="360" w:lineRule="auto"/>
        <w:jc w:val="center"/>
        <w:rPr>
          <w:rFonts w:hint="eastAsia" w:ascii="方正仿宋_GB2312" w:hAnsi="仿宋" w:eastAsia="方正仿宋_GB2312" w:cs="方正仿宋_GB2312"/>
          <w:b/>
          <w:color w:val="auto"/>
          <w:sz w:val="30"/>
          <w:szCs w:val="30"/>
          <w:highlight w:val="none"/>
        </w:rPr>
      </w:pPr>
    </w:p>
    <w:p w14:paraId="230D4299">
      <w:pPr>
        <w:snapToGrid w:val="0"/>
        <w:spacing w:line="360" w:lineRule="auto"/>
        <w:ind w:right="480"/>
        <w:jc w:val="center"/>
        <w:rPr>
          <w:rFonts w:hint="eastAsia" w:ascii="方正仿宋_GB2312" w:hAnsi="仿宋" w:eastAsia="方正仿宋_GB2312" w:cs="方正仿宋_GB2312"/>
          <w:b/>
          <w:color w:val="auto"/>
          <w:sz w:val="30"/>
          <w:szCs w:val="30"/>
          <w:highlight w:val="none"/>
        </w:rPr>
      </w:pPr>
    </w:p>
    <w:p w14:paraId="08D2D584">
      <w:pPr>
        <w:snapToGrid w:val="0"/>
        <w:spacing w:line="360" w:lineRule="auto"/>
        <w:ind w:right="480"/>
        <w:jc w:val="center"/>
        <w:rPr>
          <w:rFonts w:hint="eastAsia" w:ascii="方正仿宋_GB2312" w:hAnsi="仿宋" w:eastAsia="方正仿宋_GB2312" w:cs="方正仿宋_GB2312"/>
          <w:b/>
          <w:color w:val="auto"/>
          <w:kern w:val="0"/>
          <w:sz w:val="32"/>
          <w:szCs w:val="32"/>
          <w:highlight w:val="none"/>
        </w:rPr>
      </w:pPr>
      <w:r>
        <w:rPr>
          <w:rFonts w:hint="eastAsia" w:ascii="方正仿宋_GB2312" w:hAnsi="仿宋" w:eastAsia="方正仿宋_GB2312" w:cs="方正仿宋_GB2312"/>
          <w:b/>
          <w:color w:val="auto"/>
          <w:sz w:val="30"/>
          <w:szCs w:val="30"/>
          <w:highlight w:val="none"/>
        </w:rPr>
        <w:t>二、</w:t>
      </w:r>
      <w:r>
        <w:rPr>
          <w:rFonts w:hint="eastAsia" w:ascii="方正仿宋_GB2312" w:hAnsi="仿宋" w:eastAsia="方正仿宋_GB2312" w:cs="方正仿宋_GB2312"/>
          <w:b/>
          <w:color w:val="auto"/>
          <w:kern w:val="0"/>
          <w:sz w:val="32"/>
          <w:szCs w:val="32"/>
          <w:highlight w:val="none"/>
        </w:rPr>
        <w:t>符合参与政府采购活动的资格条件依法缴纳税收、社会保障资金等方面的材料</w:t>
      </w:r>
    </w:p>
    <w:p w14:paraId="050B5BDB">
      <w:pPr>
        <w:snapToGrid w:val="0"/>
        <w:spacing w:line="360" w:lineRule="auto"/>
        <w:ind w:firstLine="480" w:firstLineChars="200"/>
        <w:rPr>
          <w:rFonts w:hint="eastAsia" w:ascii="方正仿宋_GB2312" w:hAnsi="仿宋" w:eastAsia="方正仿宋_GB2312" w:cs="方正仿宋_GB2312"/>
          <w:color w:val="auto"/>
          <w:sz w:val="24"/>
          <w:highlight w:val="none"/>
        </w:rPr>
      </w:pPr>
    </w:p>
    <w:p w14:paraId="2B37DDF1">
      <w:pPr>
        <w:snapToGrid w:val="0"/>
        <w:spacing w:line="360" w:lineRule="auto"/>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 xml:space="preserve">                                          </w:t>
      </w:r>
    </w:p>
    <w:p w14:paraId="678F38AF">
      <w:pPr>
        <w:snapToGrid w:val="0"/>
        <w:spacing w:line="360" w:lineRule="auto"/>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 xml:space="preserve"> 投标人名称(电子签章)：</w:t>
      </w:r>
    </w:p>
    <w:p w14:paraId="6228E16B">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5CFDA37C">
      <w:pPr>
        <w:snapToGrid w:val="0"/>
        <w:spacing w:line="360" w:lineRule="auto"/>
        <w:ind w:right="480"/>
        <w:jc w:val="center"/>
        <w:rPr>
          <w:rFonts w:hint="eastAsia" w:ascii="方正仿宋_GB2312" w:hAnsi="仿宋" w:eastAsia="方正仿宋_GB2312" w:cs="方正仿宋_GB2312"/>
          <w:b/>
          <w:color w:val="auto"/>
          <w:sz w:val="30"/>
          <w:szCs w:val="30"/>
          <w:highlight w:val="none"/>
        </w:rPr>
      </w:pPr>
    </w:p>
    <w:p w14:paraId="48B7F5F6">
      <w:pPr>
        <w:snapToGrid w:val="0"/>
        <w:spacing w:line="360" w:lineRule="auto"/>
        <w:ind w:right="480"/>
        <w:jc w:val="center"/>
        <w:rPr>
          <w:rFonts w:hint="eastAsia" w:ascii="方正仿宋_GB2312" w:hAnsi="仿宋" w:eastAsia="方正仿宋_GB2312" w:cs="方正仿宋_GB2312"/>
          <w:b/>
          <w:color w:val="auto"/>
          <w:kern w:val="0"/>
          <w:sz w:val="32"/>
          <w:szCs w:val="32"/>
          <w:highlight w:val="none"/>
        </w:rPr>
      </w:pPr>
      <w:r>
        <w:rPr>
          <w:rFonts w:hint="eastAsia" w:ascii="方正仿宋_GB2312" w:hAnsi="仿宋" w:eastAsia="方正仿宋_GB2312" w:cs="方正仿宋_GB2312"/>
          <w:b/>
          <w:color w:val="auto"/>
          <w:sz w:val="30"/>
          <w:szCs w:val="30"/>
          <w:highlight w:val="none"/>
        </w:rPr>
        <w:t>三、</w:t>
      </w:r>
      <w:r>
        <w:rPr>
          <w:rFonts w:hint="eastAsia" w:ascii="方正仿宋_GB2312" w:hAnsi="仿宋" w:eastAsia="方正仿宋_GB2312" w:cs="方正仿宋_GB2312"/>
          <w:b/>
          <w:color w:val="auto"/>
          <w:kern w:val="0"/>
          <w:sz w:val="32"/>
          <w:szCs w:val="32"/>
          <w:highlight w:val="none"/>
        </w:rPr>
        <w:t>财务状况报告方面的材料</w:t>
      </w:r>
    </w:p>
    <w:p w14:paraId="1A997957">
      <w:pPr>
        <w:snapToGrid w:val="0"/>
        <w:spacing w:line="360" w:lineRule="auto"/>
        <w:ind w:firstLine="480" w:firstLineChars="200"/>
        <w:rPr>
          <w:rFonts w:hint="eastAsia" w:ascii="方正仿宋_GB2312" w:hAnsi="仿宋" w:eastAsia="方正仿宋_GB2312" w:cs="方正仿宋_GB2312"/>
          <w:color w:val="auto"/>
          <w:sz w:val="24"/>
          <w:highlight w:val="none"/>
        </w:rPr>
      </w:pPr>
    </w:p>
    <w:p w14:paraId="6DB3CEDE">
      <w:pPr>
        <w:snapToGrid w:val="0"/>
        <w:spacing w:line="360" w:lineRule="auto"/>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 xml:space="preserve">                                          </w:t>
      </w:r>
    </w:p>
    <w:p w14:paraId="639F9D33">
      <w:pPr>
        <w:snapToGrid w:val="0"/>
        <w:spacing w:line="360" w:lineRule="auto"/>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 xml:space="preserve"> 投标人名称(电子签章)：</w:t>
      </w:r>
    </w:p>
    <w:p w14:paraId="32D3A765">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54EE20CF">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p>
    <w:p w14:paraId="18325C41">
      <w:pPr>
        <w:snapToGrid w:val="0"/>
        <w:spacing w:line="360" w:lineRule="auto"/>
        <w:ind w:right="480"/>
        <w:jc w:val="center"/>
        <w:rPr>
          <w:rFonts w:hint="eastAsia" w:ascii="方正仿宋_GB2312" w:hAnsi="仿宋" w:eastAsia="方正仿宋_GB2312" w:cs="方正仿宋_GB2312"/>
          <w:b/>
          <w:color w:val="auto"/>
          <w:kern w:val="0"/>
          <w:sz w:val="32"/>
          <w:szCs w:val="32"/>
          <w:highlight w:val="none"/>
          <w:lang w:val="zh-CN"/>
        </w:rPr>
      </w:pPr>
    </w:p>
    <w:p w14:paraId="6E8ADD05">
      <w:pPr>
        <w:snapToGrid w:val="0"/>
        <w:spacing w:line="360" w:lineRule="auto"/>
        <w:ind w:right="480"/>
        <w:jc w:val="center"/>
        <w:rPr>
          <w:rFonts w:hint="eastAsia" w:ascii="宋体" w:hAnsi="宋体"/>
          <w:b/>
          <w:color w:val="auto"/>
          <w:sz w:val="28"/>
          <w:szCs w:val="28"/>
          <w:highlight w:val="none"/>
        </w:rPr>
      </w:pPr>
      <w:r>
        <w:rPr>
          <w:rFonts w:hint="eastAsia" w:ascii="方正仿宋_GB2312" w:hAnsi="仿宋" w:eastAsia="方正仿宋_GB2312" w:cs="方正仿宋_GB2312"/>
          <w:b/>
          <w:color w:val="auto"/>
          <w:kern w:val="0"/>
          <w:sz w:val="32"/>
          <w:szCs w:val="32"/>
          <w:highlight w:val="none"/>
        </w:rPr>
        <w:br w:type="page"/>
      </w:r>
    </w:p>
    <w:p w14:paraId="6CE677C0">
      <w:pPr>
        <w:snapToGrid w:val="0"/>
        <w:spacing w:before="50" w:after="165" w:afterLines="50" w:line="360" w:lineRule="auto"/>
        <w:jc w:val="center"/>
        <w:rPr>
          <w:rFonts w:hint="eastAsia" w:ascii="方正仿宋_GB2312" w:hAnsi="仿宋" w:eastAsia="方正仿宋_GB2312" w:cs="方正仿宋_GB2312"/>
          <w:b/>
          <w:color w:val="auto"/>
          <w:kern w:val="0"/>
          <w:sz w:val="32"/>
          <w:szCs w:val="32"/>
          <w:highlight w:val="none"/>
        </w:rPr>
      </w:pPr>
      <w:r>
        <w:rPr>
          <w:rFonts w:hint="eastAsia" w:ascii="方正仿宋_GB2312" w:hAnsi="仿宋" w:eastAsia="方正仿宋_GB2312" w:cs="方正仿宋_GB2312"/>
          <w:b/>
          <w:color w:val="auto"/>
          <w:kern w:val="0"/>
          <w:sz w:val="32"/>
          <w:szCs w:val="32"/>
          <w:highlight w:val="none"/>
        </w:rPr>
        <w:t>四、投标人直接控股股东信息表</w:t>
      </w:r>
    </w:p>
    <w:tbl>
      <w:tblPr>
        <w:tblStyle w:val="19"/>
        <w:tblW w:w="0" w:type="auto"/>
        <w:tblInd w:w="125"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7EA35A7F">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2612EA9">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D9711B1">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370D5F1">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9DAB961">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9DF9D51">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42202D4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969F72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15C15C">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402FED">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B1B595">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C75D20B">
            <w:pPr>
              <w:spacing w:line="360" w:lineRule="auto"/>
              <w:jc w:val="center"/>
              <w:rPr>
                <w:rFonts w:hint="eastAsia" w:ascii="宋体" w:hAnsi="宋体" w:cs="宋体"/>
                <w:color w:val="auto"/>
                <w:kern w:val="0"/>
                <w:sz w:val="24"/>
                <w:highlight w:val="none"/>
              </w:rPr>
            </w:pPr>
          </w:p>
        </w:tc>
      </w:tr>
      <w:tr w14:paraId="25011D1B">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6276C0E">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0EA0771">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AEEFF92">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2C45750">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FBCDC27">
            <w:pPr>
              <w:spacing w:line="360" w:lineRule="auto"/>
              <w:jc w:val="center"/>
              <w:rPr>
                <w:rFonts w:hint="eastAsia" w:ascii="宋体" w:hAnsi="宋体" w:cs="宋体"/>
                <w:color w:val="auto"/>
                <w:kern w:val="0"/>
                <w:sz w:val="24"/>
                <w:highlight w:val="none"/>
              </w:rPr>
            </w:pPr>
          </w:p>
        </w:tc>
      </w:tr>
      <w:tr w14:paraId="52064447">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9A499A">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BC5AE8">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6E62395">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9E59F64">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86CC08">
            <w:pPr>
              <w:spacing w:line="360" w:lineRule="auto"/>
              <w:jc w:val="center"/>
              <w:rPr>
                <w:rFonts w:hint="eastAsia" w:ascii="宋体" w:hAnsi="宋体" w:cs="宋体"/>
                <w:color w:val="auto"/>
                <w:kern w:val="0"/>
                <w:sz w:val="24"/>
                <w:highlight w:val="none"/>
              </w:rPr>
            </w:pPr>
          </w:p>
        </w:tc>
      </w:tr>
      <w:tr w14:paraId="11C5FF1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29630C">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C15463B">
            <w:pPr>
              <w:spacing w:line="360" w:lineRule="auto"/>
              <w:jc w:val="center"/>
              <w:rPr>
                <w:rFonts w:hint="eastAsia" w:ascii="宋体" w:hAnsi="宋体" w:cs="宋体"/>
                <w:color w:val="auto"/>
                <w:kern w:val="0"/>
                <w:sz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19B101">
            <w:pPr>
              <w:spacing w:line="360" w:lineRule="auto"/>
              <w:jc w:val="center"/>
              <w:rPr>
                <w:rFonts w:hint="eastAsia" w:ascii="宋体" w:hAnsi="宋体" w:cs="宋体"/>
                <w:color w:val="auto"/>
                <w:kern w:val="0"/>
                <w:sz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0C0608">
            <w:pPr>
              <w:spacing w:line="360" w:lineRule="auto"/>
              <w:jc w:val="center"/>
              <w:rPr>
                <w:rFonts w:hint="eastAsia" w:ascii="宋体" w:hAnsi="宋体" w:cs="宋体"/>
                <w:color w:val="auto"/>
                <w:kern w:val="0"/>
                <w:sz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BE7125E">
            <w:pPr>
              <w:spacing w:line="360" w:lineRule="auto"/>
              <w:jc w:val="center"/>
              <w:rPr>
                <w:rFonts w:hint="eastAsia" w:ascii="宋体" w:hAnsi="宋体" w:cs="宋体"/>
                <w:color w:val="auto"/>
                <w:kern w:val="0"/>
                <w:sz w:val="24"/>
                <w:highlight w:val="none"/>
              </w:rPr>
            </w:pPr>
          </w:p>
        </w:tc>
      </w:tr>
    </w:tbl>
    <w:p w14:paraId="789AB709">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6E708EDD">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931A7DB">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2.本表所指的控股关系仅限于直接控股关系，不包括间接的控股关系。公司实际控制人与公司之间的关系不属于本表所指的直接控股关系。</w:t>
      </w:r>
    </w:p>
    <w:p w14:paraId="5E9D3B3E">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3.供应商不存在直接控股股东的，则填“无”。</w:t>
      </w:r>
    </w:p>
    <w:p w14:paraId="0980ED22">
      <w:pPr>
        <w:snapToGrid w:val="0"/>
        <w:spacing w:line="360" w:lineRule="auto"/>
        <w:jc w:val="left"/>
        <w:rPr>
          <w:rFonts w:hint="eastAsia" w:ascii="宋体" w:hAnsi="宋体"/>
          <w:color w:val="auto"/>
          <w:sz w:val="24"/>
          <w:highlight w:val="none"/>
        </w:rPr>
      </w:pPr>
    </w:p>
    <w:p w14:paraId="7CA71284">
      <w:pPr>
        <w:snapToGrid w:val="0"/>
        <w:spacing w:line="360" w:lineRule="auto"/>
        <w:jc w:val="left"/>
        <w:rPr>
          <w:rFonts w:hint="eastAsia" w:ascii="宋体" w:hAnsi="宋体"/>
          <w:color w:val="auto"/>
          <w:sz w:val="24"/>
          <w:highlight w:val="none"/>
        </w:rPr>
      </w:pPr>
    </w:p>
    <w:p w14:paraId="6434D4E3">
      <w:pPr>
        <w:snapToGrid w:val="0"/>
        <w:spacing w:line="360" w:lineRule="auto"/>
        <w:jc w:val="left"/>
        <w:rPr>
          <w:rFonts w:hint="eastAsia" w:ascii="宋体" w:hAnsi="宋体"/>
          <w:color w:val="auto"/>
          <w:sz w:val="24"/>
          <w:highlight w:val="none"/>
        </w:rPr>
      </w:pPr>
    </w:p>
    <w:p w14:paraId="0943B0C0">
      <w:pPr>
        <w:snapToGrid w:val="0"/>
        <w:spacing w:line="360" w:lineRule="auto"/>
        <w:jc w:val="left"/>
        <w:rPr>
          <w:rFonts w:hint="eastAsia" w:ascii="宋体" w:hAnsi="宋体"/>
          <w:color w:val="auto"/>
          <w:sz w:val="24"/>
          <w:highlight w:val="none"/>
        </w:rPr>
      </w:pPr>
    </w:p>
    <w:p w14:paraId="30AB15B7">
      <w:pPr>
        <w:snapToGrid w:val="0"/>
        <w:spacing w:line="360" w:lineRule="auto"/>
        <w:jc w:val="left"/>
        <w:rPr>
          <w:rFonts w:hint="eastAsia" w:ascii="宋体" w:hAnsi="宋体"/>
          <w:color w:val="auto"/>
          <w:sz w:val="24"/>
          <w:highlight w:val="none"/>
        </w:rPr>
      </w:pPr>
    </w:p>
    <w:p w14:paraId="127BEE9C">
      <w:pPr>
        <w:snapToGrid w:val="0"/>
        <w:spacing w:line="360" w:lineRule="auto"/>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24B0AC00">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348FA3C6">
      <w:pPr>
        <w:snapToGrid w:val="0"/>
        <w:jc w:val="center"/>
        <w:rPr>
          <w:rFonts w:hint="eastAsia" w:ascii="宋体" w:hAnsi="宋体"/>
          <w:b/>
          <w:color w:val="auto"/>
          <w:sz w:val="28"/>
          <w:szCs w:val="28"/>
          <w:highlight w:val="none"/>
        </w:rPr>
      </w:pPr>
      <w:r>
        <w:rPr>
          <w:rFonts w:hint="eastAsia" w:ascii="宋体" w:hAnsi="宋体"/>
          <w:b/>
          <w:color w:val="auto"/>
          <w:sz w:val="28"/>
          <w:szCs w:val="28"/>
          <w:highlight w:val="none"/>
        </w:rPr>
        <w:br w:type="page"/>
      </w:r>
    </w:p>
    <w:p w14:paraId="778D2A7A">
      <w:pPr>
        <w:snapToGrid w:val="0"/>
        <w:spacing w:line="360" w:lineRule="auto"/>
        <w:jc w:val="center"/>
        <w:rPr>
          <w:rFonts w:hint="eastAsia" w:ascii="宋体" w:hAnsi="宋体"/>
          <w:color w:val="auto"/>
          <w:sz w:val="32"/>
          <w:szCs w:val="32"/>
          <w:highlight w:val="none"/>
        </w:rPr>
      </w:pPr>
      <w:r>
        <w:rPr>
          <w:rFonts w:hint="eastAsia" w:ascii="宋体" w:hAnsi="宋体"/>
          <w:b/>
          <w:color w:val="auto"/>
          <w:sz w:val="32"/>
          <w:szCs w:val="32"/>
          <w:highlight w:val="none"/>
        </w:rPr>
        <w:t>五、投标人直接管理关系信息表</w:t>
      </w:r>
    </w:p>
    <w:tbl>
      <w:tblPr>
        <w:tblStyle w:val="19"/>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25AC083B">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EDC491B">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6E1C802">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04E3A8B">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618D8CD">
            <w:pPr>
              <w:spacing w:line="360" w:lineRule="auto"/>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584FD56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A936AC">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F974CE">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980964A">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4EB5FC">
            <w:pPr>
              <w:spacing w:line="360" w:lineRule="auto"/>
              <w:jc w:val="center"/>
              <w:rPr>
                <w:rFonts w:hint="eastAsia" w:ascii="宋体" w:hAnsi="宋体" w:cs="宋体"/>
                <w:color w:val="auto"/>
                <w:kern w:val="0"/>
                <w:sz w:val="24"/>
                <w:highlight w:val="none"/>
              </w:rPr>
            </w:pPr>
          </w:p>
        </w:tc>
      </w:tr>
      <w:tr w14:paraId="5236C05E">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012E88">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642D153">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9198530">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BA46B1">
            <w:pPr>
              <w:spacing w:line="360" w:lineRule="auto"/>
              <w:jc w:val="center"/>
              <w:rPr>
                <w:rFonts w:hint="eastAsia" w:ascii="宋体" w:hAnsi="宋体" w:cs="宋体"/>
                <w:color w:val="auto"/>
                <w:kern w:val="0"/>
                <w:sz w:val="24"/>
                <w:highlight w:val="none"/>
              </w:rPr>
            </w:pPr>
          </w:p>
        </w:tc>
      </w:tr>
      <w:tr w14:paraId="270DD09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51ED11C">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C64E78D">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A4FAA8">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3654C4D">
            <w:pPr>
              <w:spacing w:line="360" w:lineRule="auto"/>
              <w:jc w:val="center"/>
              <w:rPr>
                <w:rFonts w:hint="eastAsia" w:ascii="宋体" w:hAnsi="宋体" w:cs="宋体"/>
                <w:color w:val="auto"/>
                <w:kern w:val="0"/>
                <w:sz w:val="24"/>
                <w:highlight w:val="none"/>
              </w:rPr>
            </w:pPr>
          </w:p>
        </w:tc>
      </w:tr>
      <w:tr w14:paraId="2D139134">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ABA7AD">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EDC1A8">
            <w:pPr>
              <w:spacing w:line="360" w:lineRule="auto"/>
              <w:jc w:val="center"/>
              <w:rPr>
                <w:rFonts w:hint="eastAsia" w:ascii="宋体" w:hAnsi="宋体" w:cs="宋体"/>
                <w:color w:val="auto"/>
                <w:kern w:val="0"/>
                <w:sz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FA5D15C">
            <w:pPr>
              <w:spacing w:line="360" w:lineRule="auto"/>
              <w:jc w:val="center"/>
              <w:rPr>
                <w:rFonts w:hint="eastAsia" w:ascii="宋体" w:hAnsi="宋体" w:cs="宋体"/>
                <w:color w:val="auto"/>
                <w:kern w:val="0"/>
                <w:sz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3B526CF">
            <w:pPr>
              <w:spacing w:line="360" w:lineRule="auto"/>
              <w:jc w:val="center"/>
              <w:rPr>
                <w:rFonts w:hint="eastAsia" w:ascii="宋体" w:hAnsi="宋体" w:cs="宋体"/>
                <w:color w:val="auto"/>
                <w:kern w:val="0"/>
                <w:sz w:val="24"/>
                <w:highlight w:val="none"/>
              </w:rPr>
            </w:pPr>
          </w:p>
        </w:tc>
      </w:tr>
    </w:tbl>
    <w:p w14:paraId="181DFE34">
      <w:pPr>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注：</w:t>
      </w:r>
    </w:p>
    <w:p w14:paraId="5D46EFE6">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20ECD357">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5B31F0CC">
      <w:pPr>
        <w:snapToGrid w:val="0"/>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3.供应商不存在直接管理关系的，则填“无”。</w:t>
      </w:r>
    </w:p>
    <w:p w14:paraId="33D292A4">
      <w:pPr>
        <w:snapToGrid w:val="0"/>
        <w:spacing w:line="360" w:lineRule="auto"/>
        <w:jc w:val="left"/>
        <w:rPr>
          <w:rFonts w:hint="eastAsia" w:ascii="宋体" w:hAnsi="宋体"/>
          <w:color w:val="auto"/>
          <w:sz w:val="24"/>
          <w:highlight w:val="none"/>
        </w:rPr>
      </w:pPr>
    </w:p>
    <w:p w14:paraId="2B17198E">
      <w:pPr>
        <w:snapToGrid w:val="0"/>
        <w:spacing w:line="360" w:lineRule="auto"/>
        <w:jc w:val="left"/>
        <w:rPr>
          <w:rFonts w:hint="eastAsia" w:ascii="宋体" w:hAnsi="宋体"/>
          <w:color w:val="auto"/>
          <w:sz w:val="24"/>
          <w:highlight w:val="none"/>
        </w:rPr>
      </w:pPr>
    </w:p>
    <w:p w14:paraId="68F2478A">
      <w:pPr>
        <w:snapToGrid w:val="0"/>
        <w:spacing w:line="360" w:lineRule="auto"/>
        <w:jc w:val="left"/>
        <w:rPr>
          <w:rFonts w:hint="eastAsia" w:ascii="宋体" w:hAnsi="宋体"/>
          <w:color w:val="auto"/>
          <w:sz w:val="24"/>
          <w:highlight w:val="none"/>
        </w:rPr>
      </w:pPr>
    </w:p>
    <w:p w14:paraId="75776AC0">
      <w:pPr>
        <w:snapToGrid w:val="0"/>
        <w:spacing w:line="360" w:lineRule="auto"/>
        <w:jc w:val="left"/>
        <w:rPr>
          <w:color w:val="auto"/>
          <w:sz w:val="24"/>
          <w:highlight w:val="none"/>
        </w:rPr>
      </w:pPr>
    </w:p>
    <w:p w14:paraId="613F060F">
      <w:pPr>
        <w:snapToGrid w:val="0"/>
        <w:spacing w:line="360" w:lineRule="auto"/>
        <w:jc w:val="left"/>
        <w:rPr>
          <w:color w:val="auto"/>
          <w:sz w:val="24"/>
          <w:highlight w:val="none"/>
        </w:rPr>
      </w:pPr>
    </w:p>
    <w:p w14:paraId="60FFB053">
      <w:pPr>
        <w:snapToGrid w:val="0"/>
        <w:spacing w:line="360" w:lineRule="auto"/>
        <w:jc w:val="left"/>
        <w:rPr>
          <w:color w:val="auto"/>
          <w:sz w:val="24"/>
          <w:highlight w:val="none"/>
        </w:rPr>
      </w:pPr>
    </w:p>
    <w:p w14:paraId="7C856CC3">
      <w:pPr>
        <w:snapToGrid w:val="0"/>
        <w:spacing w:line="360" w:lineRule="auto"/>
        <w:jc w:val="left"/>
        <w:rPr>
          <w:rFonts w:hint="eastAsia" w:ascii="宋体" w:hAnsi="宋体"/>
          <w:color w:val="auto"/>
          <w:sz w:val="24"/>
          <w:highlight w:val="none"/>
        </w:rPr>
      </w:pPr>
    </w:p>
    <w:p w14:paraId="27962179">
      <w:pPr>
        <w:snapToGrid w:val="0"/>
        <w:spacing w:line="360" w:lineRule="auto"/>
        <w:jc w:val="left"/>
        <w:rPr>
          <w:rFonts w:hint="eastAsia" w:ascii="宋体" w:hAnsi="宋体"/>
          <w:color w:val="auto"/>
          <w:sz w:val="24"/>
          <w:highlight w:val="none"/>
        </w:rPr>
      </w:pPr>
    </w:p>
    <w:p w14:paraId="7EE49C0C">
      <w:pPr>
        <w:snapToGrid w:val="0"/>
        <w:spacing w:line="360" w:lineRule="auto"/>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4D26CA32">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707D28C0">
      <w:pPr>
        <w:snapToGrid w:val="0"/>
        <w:spacing w:before="50" w:after="165" w:afterLines="50"/>
        <w:jc w:val="left"/>
        <w:rPr>
          <w:rFonts w:hint="eastAsia" w:ascii="宋体" w:hAnsi="宋体"/>
          <w:color w:val="auto"/>
          <w:szCs w:val="21"/>
          <w:highlight w:val="none"/>
        </w:rPr>
      </w:pPr>
    </w:p>
    <w:p w14:paraId="3E18A363">
      <w:pPr>
        <w:snapToGrid w:val="0"/>
        <w:spacing w:before="165" w:beforeLines="50" w:after="50"/>
        <w:jc w:val="left"/>
        <w:rPr>
          <w:rFonts w:hint="eastAsia" w:ascii="宋体" w:hAnsi="宋体"/>
          <w:b/>
          <w:color w:val="auto"/>
          <w:sz w:val="24"/>
          <w:szCs w:val="20"/>
          <w:highlight w:val="none"/>
        </w:rPr>
      </w:pPr>
    </w:p>
    <w:p w14:paraId="0673FE60">
      <w:pPr>
        <w:snapToGrid w:val="0"/>
        <w:spacing w:before="165" w:beforeLines="50" w:after="50"/>
        <w:jc w:val="left"/>
        <w:rPr>
          <w:rFonts w:hint="eastAsia" w:ascii="宋体" w:hAnsi="宋体"/>
          <w:b/>
          <w:color w:val="auto"/>
          <w:sz w:val="24"/>
          <w:highlight w:val="none"/>
        </w:rPr>
      </w:pPr>
    </w:p>
    <w:p w14:paraId="77BEF140">
      <w:pPr>
        <w:snapToGrid w:val="0"/>
        <w:spacing w:before="165" w:beforeLines="50" w:after="50"/>
        <w:jc w:val="left"/>
        <w:rPr>
          <w:rFonts w:hint="eastAsia" w:ascii="宋体" w:hAnsi="宋体"/>
          <w:b/>
          <w:color w:val="auto"/>
          <w:sz w:val="24"/>
          <w:szCs w:val="20"/>
          <w:highlight w:val="none"/>
        </w:rPr>
      </w:pPr>
      <w:r>
        <w:rPr>
          <w:rFonts w:hint="eastAsia" w:ascii="宋体" w:hAnsi="宋体"/>
          <w:b/>
          <w:color w:val="auto"/>
          <w:sz w:val="24"/>
          <w:szCs w:val="20"/>
          <w:highlight w:val="none"/>
        </w:rPr>
        <w:t xml:space="preserve"> </w:t>
      </w:r>
    </w:p>
    <w:p w14:paraId="464F4903">
      <w:pPr>
        <w:snapToGrid w:val="0"/>
        <w:spacing w:before="165" w:beforeLines="50" w:after="50"/>
        <w:jc w:val="left"/>
        <w:rPr>
          <w:rFonts w:hint="eastAsia" w:ascii="宋体" w:hAnsi="宋体"/>
          <w:b/>
          <w:color w:val="auto"/>
          <w:sz w:val="24"/>
          <w:szCs w:val="20"/>
          <w:highlight w:val="none"/>
        </w:rPr>
      </w:pPr>
    </w:p>
    <w:p w14:paraId="66D0CE54">
      <w:pPr>
        <w:snapToGrid w:val="0"/>
        <w:spacing w:before="165" w:beforeLines="50" w:after="50"/>
        <w:jc w:val="left"/>
        <w:rPr>
          <w:rFonts w:hint="eastAsia" w:ascii="宋体" w:hAnsi="宋体"/>
          <w:b/>
          <w:color w:val="auto"/>
          <w:sz w:val="24"/>
          <w:szCs w:val="20"/>
          <w:highlight w:val="none"/>
        </w:rPr>
      </w:pPr>
    </w:p>
    <w:p w14:paraId="27FD4740">
      <w:pPr>
        <w:snapToGrid w:val="0"/>
        <w:spacing w:before="50" w:after="165" w:afterLines="50"/>
        <w:jc w:val="left"/>
        <w:rPr>
          <w:rFonts w:hint="eastAsia" w:ascii="宋体" w:hAnsi="宋体"/>
          <w:color w:val="auto"/>
          <w:highlight w:val="none"/>
        </w:rPr>
      </w:pPr>
    </w:p>
    <w:p w14:paraId="1C6624CD">
      <w:pPr>
        <w:snapToGrid w:val="0"/>
        <w:spacing w:before="50" w:after="165" w:afterLines="50"/>
        <w:jc w:val="center"/>
        <w:rPr>
          <w:rFonts w:hint="eastAsia" w:ascii="宋体" w:hAnsi="宋体"/>
          <w:b/>
          <w:color w:val="auto"/>
          <w:sz w:val="32"/>
          <w:szCs w:val="32"/>
          <w:highlight w:val="none"/>
        </w:rPr>
      </w:pPr>
      <w:r>
        <w:rPr>
          <w:rFonts w:hint="eastAsia" w:ascii="宋体" w:hAnsi="宋体"/>
          <w:b/>
          <w:color w:val="auto"/>
          <w:sz w:val="32"/>
          <w:szCs w:val="32"/>
          <w:highlight w:val="none"/>
        </w:rPr>
        <w:t>六、投标资格声明函</w:t>
      </w:r>
    </w:p>
    <w:p w14:paraId="787594F5">
      <w:pPr>
        <w:tabs>
          <w:tab w:val="left" w:pos="7200"/>
        </w:tabs>
        <w:spacing w:line="360" w:lineRule="auto"/>
        <w:rPr>
          <w:rFonts w:hint="eastAsia" w:ascii="宋体" w:hAnsi="宋体"/>
          <w:color w:val="auto"/>
          <w:szCs w:val="21"/>
          <w:highlight w:val="none"/>
          <w:u w:val="single"/>
        </w:rPr>
      </w:pPr>
      <w:r>
        <w:rPr>
          <w:rFonts w:hint="eastAsia" w:ascii="宋体" w:hAnsi="宋体"/>
          <w:color w:val="auto"/>
          <w:szCs w:val="21"/>
          <w:highlight w:val="none"/>
        </w:rPr>
        <w:t>致：</w:t>
      </w:r>
      <w:r>
        <w:rPr>
          <w:rFonts w:hint="eastAsia" w:ascii="宋体" w:hAnsi="宋体"/>
          <w:color w:val="auto"/>
          <w:szCs w:val="21"/>
          <w:highlight w:val="none"/>
          <w:u w:val="single"/>
        </w:rPr>
        <w:t xml:space="preserve">广西翔正项目管理有限公司 </w:t>
      </w:r>
    </w:p>
    <w:p w14:paraId="17C103B3">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我方愿意参加贵方组织的_</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（项目编号：</w:t>
      </w:r>
      <w:r>
        <w:rPr>
          <w:rFonts w:hint="eastAsia" w:ascii="宋体" w:hAnsi="宋体"/>
          <w:color w:val="auto"/>
          <w:szCs w:val="21"/>
          <w:highlight w:val="none"/>
          <w:u w:val="single"/>
        </w:rPr>
        <w:t xml:space="preserve">    </w:t>
      </w:r>
      <w:r>
        <w:rPr>
          <w:rFonts w:hint="eastAsia" w:ascii="宋体" w:hAnsi="宋体"/>
          <w:color w:val="auto"/>
          <w:szCs w:val="21"/>
          <w:highlight w:val="none"/>
        </w:rPr>
        <w:t>）项目的投标，为便于贵方公正、择优地确定中标人，我方就本次投标有关事项郑重声明如下：</w:t>
      </w:r>
    </w:p>
    <w:p w14:paraId="5653F613">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1.我方承诺已经具备《中华人民共和国政府采购法》第二十二条中规定的参加政府采购活动的供应商应当具备的条件并按本项目投标文件“第三章”“第二节投标人须知前附表”中“资格证明文件组成”完整提供证明材料。</w:t>
      </w:r>
    </w:p>
    <w:p w14:paraId="7522E30B">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2. 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42C9E878">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3.经查询，在“信用中国”和“中国政府采购网”网站我方未被列入失信被执行人、重大税收违法案件当事人名单、政府采购严重违法失信行为记录名单。</w:t>
      </w:r>
    </w:p>
    <w:p w14:paraId="337B65B8">
      <w:pPr>
        <w:snapToGrid w:val="0"/>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 xml:space="preserve">4.以上事项如有虚假或隐瞒，我方愿意承担一切后果，并不再寻求任何旨在减轻或免除法律责任的辩解。 </w:t>
      </w:r>
    </w:p>
    <w:p w14:paraId="245F4445">
      <w:pPr>
        <w:tabs>
          <w:tab w:val="left" w:pos="7200"/>
        </w:tabs>
        <w:ind w:firstLine="270" w:firstLineChars="150"/>
        <w:rPr>
          <w:rFonts w:hint="eastAsia" w:ascii="宋体" w:hAnsi="宋体"/>
          <w:color w:val="auto"/>
          <w:sz w:val="18"/>
          <w:szCs w:val="18"/>
          <w:highlight w:val="none"/>
        </w:rPr>
      </w:pPr>
      <w:r>
        <w:rPr>
          <w:rFonts w:hint="eastAsia" w:ascii="宋体" w:hAnsi="宋体"/>
          <w:color w:val="auto"/>
          <w:sz w:val="18"/>
          <w:szCs w:val="18"/>
          <w:highlight w:val="none"/>
        </w:rPr>
        <w:t>说明：</w:t>
      </w:r>
    </w:p>
    <w:p w14:paraId="1C169D16">
      <w:pPr>
        <w:ind w:firstLine="360" w:firstLineChars="200"/>
        <w:jc w:val="left"/>
        <w:rPr>
          <w:rFonts w:hint="eastAsia" w:ascii="宋体" w:hAnsi="宋体"/>
          <w:color w:val="auto"/>
          <w:sz w:val="18"/>
          <w:szCs w:val="18"/>
          <w:highlight w:val="none"/>
        </w:rPr>
      </w:pPr>
      <w:r>
        <w:rPr>
          <w:rFonts w:hint="eastAsia" w:ascii="宋体" w:hAnsi="宋体"/>
          <w:color w:val="auto"/>
          <w:sz w:val="18"/>
          <w:szCs w:val="18"/>
          <w:highlight w:val="none"/>
        </w:rPr>
        <w:t>1.投标人应当通过 “信用中国”（www.creditchina.gov.cn）和“中国政府采购网”网站（www.ccgp.gov.cn）查询投标人相关主体的信用记录。查询时间为本项目投标截止时间前10日至投标截止时间中任意一天。对列入失信被执行人、重大税收违法案件当事人名单、政府采购严重违法失信行为记录名单的投标人，将被拒绝参与本项目政府采购活动。</w:t>
      </w:r>
    </w:p>
    <w:p w14:paraId="0BDCADF6">
      <w:pPr>
        <w:ind w:firstLine="360" w:firstLineChars="200"/>
        <w:jc w:val="left"/>
        <w:rPr>
          <w:rFonts w:hint="eastAsia" w:ascii="宋体" w:hAnsi="宋体"/>
          <w:color w:val="auto"/>
          <w:sz w:val="18"/>
          <w:szCs w:val="18"/>
          <w:highlight w:val="none"/>
        </w:rPr>
      </w:pPr>
      <w:r>
        <w:rPr>
          <w:rFonts w:hint="eastAsia" w:ascii="宋体" w:hAnsi="宋体"/>
          <w:color w:val="auto"/>
          <w:sz w:val="18"/>
          <w:szCs w:val="18"/>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784846C">
      <w:pPr>
        <w:snapToGrid w:val="0"/>
        <w:spacing w:before="50" w:after="165" w:afterLines="50"/>
        <w:jc w:val="left"/>
        <w:rPr>
          <w:rFonts w:hint="eastAsia" w:ascii="宋体" w:hAnsi="宋体"/>
          <w:color w:val="auto"/>
          <w:sz w:val="18"/>
          <w:szCs w:val="18"/>
          <w:highlight w:val="none"/>
        </w:rPr>
      </w:pPr>
      <w:r>
        <w:rPr>
          <w:rFonts w:hint="eastAsia" w:ascii="宋体" w:hAnsi="宋体"/>
          <w:color w:val="auto"/>
          <w:sz w:val="18"/>
          <w:szCs w:val="18"/>
          <w:highlight w:val="none"/>
        </w:rPr>
        <w:t xml:space="preserve"> </w:t>
      </w:r>
      <w:r>
        <w:rPr>
          <w:rFonts w:hint="eastAsia" w:ascii="宋体" w:hAnsi="宋体"/>
          <w:b/>
          <w:color w:val="auto"/>
          <w:sz w:val="18"/>
          <w:szCs w:val="18"/>
          <w:highlight w:val="none"/>
        </w:rPr>
        <w:t xml:space="preserve">  3.如为联合体投标，盖章处须加盖联合体各方公章并由联合体各方法定代表人分别签署，否则投标无效。</w:t>
      </w:r>
    </w:p>
    <w:p w14:paraId="2E0A0CAE">
      <w:pPr>
        <w:snapToGrid w:val="0"/>
        <w:spacing w:before="50" w:after="331" w:afterLines="100" w:line="360" w:lineRule="auto"/>
        <w:jc w:val="left"/>
        <w:rPr>
          <w:rFonts w:hint="eastAsia" w:ascii="宋体" w:hAnsi="宋体"/>
          <w:color w:val="auto"/>
          <w:sz w:val="24"/>
          <w:highlight w:val="none"/>
        </w:rPr>
      </w:pPr>
      <w:r>
        <w:rPr>
          <w:rFonts w:hint="eastAsia" w:ascii="宋体" w:hAnsi="宋体"/>
          <w:color w:val="auto"/>
          <w:sz w:val="24"/>
          <w:highlight w:val="none"/>
        </w:rPr>
        <w:t xml:space="preserve">                                     </w:t>
      </w:r>
    </w:p>
    <w:p w14:paraId="360EE690">
      <w:pPr>
        <w:snapToGrid w:val="0"/>
        <w:spacing w:before="50" w:after="331" w:afterLines="100" w:line="360" w:lineRule="auto"/>
        <w:ind w:left="7428" w:leftChars="2223" w:hanging="2760" w:hangingChars="1150"/>
        <w:jc w:val="left"/>
        <w:rPr>
          <w:rFonts w:hint="eastAsia" w:ascii="方正仿宋_GB2312" w:hAnsi="仿宋" w:eastAsia="方正仿宋_GB2312" w:cs="方正仿宋_GB2312"/>
          <w:color w:val="auto"/>
          <w:kern w:val="0"/>
          <w:sz w:val="24"/>
          <w:highlight w:val="none"/>
          <w:lang w:val="zh-CN"/>
        </w:rPr>
      </w:pPr>
      <w:r>
        <w:rPr>
          <w:rFonts w:hint="eastAsia" w:ascii="宋体" w:hAnsi="宋体"/>
          <w:color w:val="auto"/>
          <w:sz w:val="24"/>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r>
        <w:rPr>
          <w:rFonts w:hint="eastAsia" w:ascii="宋体" w:hAnsi="宋体"/>
          <w:color w:val="auto"/>
          <w:szCs w:val="21"/>
          <w:highlight w:val="none"/>
        </w:rPr>
        <w:t xml:space="preserve">                                     年    月    日</w:t>
      </w:r>
    </w:p>
    <w:p w14:paraId="5C0D2EC1">
      <w:pPr>
        <w:spacing w:line="600" w:lineRule="exact"/>
        <w:jc w:val="center"/>
        <w:rPr>
          <w:b/>
          <w:bCs/>
          <w:color w:val="auto"/>
          <w:kern w:val="0"/>
          <w:sz w:val="30"/>
          <w:szCs w:val="30"/>
          <w:highlight w:val="none"/>
        </w:rPr>
      </w:pPr>
    </w:p>
    <w:p w14:paraId="1BE03354">
      <w:pPr>
        <w:spacing w:line="600" w:lineRule="exact"/>
        <w:jc w:val="center"/>
        <w:rPr>
          <w:b/>
          <w:bCs/>
          <w:color w:val="auto"/>
          <w:kern w:val="0"/>
          <w:sz w:val="30"/>
          <w:szCs w:val="30"/>
          <w:highlight w:val="none"/>
        </w:rPr>
      </w:pPr>
    </w:p>
    <w:p w14:paraId="2418B0D9">
      <w:pPr>
        <w:widowControl/>
        <w:jc w:val="left"/>
        <w:rPr>
          <w:b/>
          <w:bCs/>
          <w:color w:val="auto"/>
          <w:sz w:val="30"/>
          <w:szCs w:val="30"/>
          <w:highlight w:val="none"/>
        </w:rPr>
        <w:sectPr>
          <w:pgSz w:w="11906" w:h="16838"/>
          <w:pgMar w:top="1134" w:right="1134" w:bottom="1134" w:left="1134" w:header="720" w:footer="720" w:gutter="0"/>
          <w:cols w:space="720" w:num="1"/>
          <w:docGrid w:type="lines" w:linePitch="331" w:charSpace="0"/>
        </w:sectPr>
      </w:pPr>
    </w:p>
    <w:p w14:paraId="6B5CA13F">
      <w:pPr>
        <w:spacing w:line="600" w:lineRule="exact"/>
        <w:jc w:val="center"/>
        <w:rPr>
          <w:color w:val="auto"/>
          <w:kern w:val="0"/>
          <w:sz w:val="20"/>
          <w:szCs w:val="20"/>
          <w:highlight w:val="none"/>
        </w:rPr>
      </w:pPr>
      <w:r>
        <w:rPr>
          <w:rFonts w:hint="eastAsia"/>
          <w:b/>
          <w:bCs/>
          <w:color w:val="auto"/>
          <w:kern w:val="0"/>
          <w:sz w:val="30"/>
          <w:szCs w:val="30"/>
          <w:highlight w:val="none"/>
        </w:rPr>
        <w:t>七、联合体协议书</w:t>
      </w:r>
    </w:p>
    <w:p w14:paraId="3C769EF4">
      <w:pPr>
        <w:spacing w:line="600" w:lineRule="exact"/>
        <w:jc w:val="center"/>
        <w:rPr>
          <w:color w:val="auto"/>
          <w:szCs w:val="21"/>
          <w:highlight w:val="none"/>
        </w:rPr>
      </w:pPr>
      <w:r>
        <w:rPr>
          <w:rFonts w:hint="eastAsia"/>
          <w:b/>
          <w:bCs/>
          <w:color w:val="auto"/>
          <w:szCs w:val="21"/>
          <w:highlight w:val="none"/>
        </w:rPr>
        <w:t>（注：项目若接受联合体的，联合体投标时提供）</w:t>
      </w:r>
    </w:p>
    <w:p w14:paraId="2F30B0C9">
      <w:pPr>
        <w:autoSpaceDE w:val="0"/>
        <w:autoSpaceDN w:val="0"/>
        <w:adjustRightInd w:val="0"/>
        <w:spacing w:line="360" w:lineRule="auto"/>
        <w:jc w:val="left"/>
        <w:rPr>
          <w:rFonts w:ascii="宋体" w:cs="宋体"/>
          <w:color w:val="auto"/>
          <w:kern w:val="0"/>
          <w:szCs w:val="21"/>
          <w:highlight w:val="none"/>
          <w:u w:val="single"/>
        </w:rPr>
      </w:pPr>
    </w:p>
    <w:p w14:paraId="37E932CF">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（所有成员单位名称）自愿组成联合体，共同参加</w:t>
      </w:r>
      <w:r>
        <w:rPr>
          <w:rFonts w:hint="eastAsia" w:ascii="宋体" w:cs="宋体"/>
          <w:color w:val="auto"/>
          <w:kern w:val="0"/>
          <w:szCs w:val="21"/>
          <w:highlight w:val="none"/>
          <w:u w:val="single"/>
        </w:rPr>
        <w:t xml:space="preserve">     广西翔正项目管理有限公司  </w:t>
      </w:r>
      <w:r>
        <w:rPr>
          <w:rFonts w:hint="eastAsia" w:ascii="宋体" w:cs="宋体"/>
          <w:color w:val="auto"/>
          <w:kern w:val="0"/>
          <w:szCs w:val="21"/>
          <w:highlight w:val="none"/>
        </w:rPr>
        <w:t>组织的</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u w:val="single"/>
          <w:lang w:eastAsia="zh-CN"/>
        </w:rPr>
        <w:t>2026年广西政务服务统一评估服务项目</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（项目编号：</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）投标。现就联合体投标事宜订立如下协议：</w:t>
      </w:r>
    </w:p>
    <w:p w14:paraId="7CB46D00">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herese"/>
          <w:color w:val="auto"/>
          <w:kern w:val="0"/>
          <w:szCs w:val="21"/>
          <w:highlight w:val="none"/>
        </w:rPr>
        <w:t>1</w:t>
      </w:r>
      <w:r>
        <w:rPr>
          <w:rFonts w:hint="eastAsia" w:ascii="宋体" w:hAnsi="宋体" w:cs="宋体"/>
          <w:color w:val="auto"/>
          <w:kern w:val="0"/>
          <w:szCs w:val="21"/>
          <w:highlight w:val="none"/>
        </w:rPr>
        <w:t>、</w:t>
      </w:r>
      <w:r>
        <w:rPr>
          <w:color w:val="auto"/>
          <w:highlight w:val="none"/>
        </w:rPr>
        <w:t>________________________</w:t>
      </w:r>
      <w:r>
        <w:rPr>
          <w:rFonts w:hint="eastAsia" w:ascii="宋体" w:hAnsi="宋体" w:cs="宋体"/>
          <w:color w:val="auto"/>
          <w:kern w:val="0"/>
          <w:szCs w:val="21"/>
          <w:highlight w:val="none"/>
        </w:rPr>
        <w:t>（某成员单位名称）为联合体名称牵头人。</w:t>
      </w:r>
    </w:p>
    <w:p w14:paraId="011401FB">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Therese"/>
          <w:color w:val="auto"/>
          <w:kern w:val="0"/>
          <w:szCs w:val="21"/>
          <w:highlight w:val="none"/>
        </w:rPr>
        <w:t>2</w:t>
      </w:r>
      <w:r>
        <w:rPr>
          <w:rFonts w:hint="eastAsia" w:ascii="宋体" w:hAnsi="宋体" w:cs="宋体"/>
          <w:color w:val="auto"/>
          <w:kern w:val="0"/>
          <w:szCs w:val="21"/>
          <w:highlight w:val="none"/>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14:paraId="79E6C489">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3、联合体牵头人在本项目中签署和盖章的一切文件和处理的一切事宜，联合体各成员均予以承认。 联合体各成员将严格按照招标文件、投标文件和合同的要求全面履行义务，并向招标人承担连带责任。</w:t>
      </w:r>
    </w:p>
    <w:p w14:paraId="6AD608EC">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4、联合体各成员单位内部的职责分工如下：</w:t>
      </w:r>
      <w:r>
        <w:rPr>
          <w:rFonts w:hint="eastAsia" w:ascii="宋体" w:hAnsi="宋体" w:cs="宋体"/>
          <w:color w:val="auto"/>
          <w:szCs w:val="21"/>
          <w:highlight w:val="none"/>
          <w:u w:val="single"/>
        </w:rPr>
        <w:t xml:space="preserve">                                           </w:t>
      </w:r>
      <w:r>
        <w:rPr>
          <w:rFonts w:hint="eastAsia" w:ascii="宋体" w:hAnsi="宋体" w:cs="宋体"/>
          <w:color w:val="auto"/>
          <w:kern w:val="0"/>
          <w:szCs w:val="21"/>
          <w:highlight w:val="none"/>
        </w:rPr>
        <w:t>。</w:t>
      </w:r>
    </w:p>
    <w:p w14:paraId="79FB88D6">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5、本联合体中，</w:t>
      </w:r>
      <w:r>
        <w:rPr>
          <w:rFonts w:hint="eastAsia" w:ascii="宋体" w:hAnsi="宋体" w:cs="宋体"/>
          <w:color w:val="auto"/>
          <w:kern w:val="0"/>
          <w:szCs w:val="21"/>
          <w:highlight w:val="none"/>
          <w:u w:val="single"/>
        </w:rPr>
        <w:t xml:space="preserve">               （某成员单位名称）为           </w:t>
      </w:r>
      <w:r>
        <w:rPr>
          <w:rFonts w:hint="eastAsia" w:ascii="宋体" w:hAnsi="宋体" w:cs="宋体"/>
          <w:color w:val="auto"/>
          <w:kern w:val="0"/>
          <w:szCs w:val="21"/>
          <w:highlight w:val="none"/>
        </w:rPr>
        <w:t>（请填写：中型、小型、微型）企业，其协议合同金额占联合体协议合同总金额的</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%。【如联合体成员中有小型、微型企业的，请填写此条，否则无需填写；如联合体成员中有多个小型、微型企业的，请逐一列出。】</w:t>
      </w:r>
    </w:p>
    <w:p w14:paraId="33E903BB">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6、本协议书自签署之日起生效，合同履行完毕后自动失效。</w:t>
      </w:r>
    </w:p>
    <w:p w14:paraId="3819919A">
      <w:pPr>
        <w:autoSpaceDE w:val="0"/>
        <w:autoSpaceDN w:val="0"/>
        <w:adjustRightInd w:val="0"/>
        <w:spacing w:line="360" w:lineRule="auto"/>
        <w:ind w:firstLine="42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7、本协议书一式</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份，联合体成员和采购代理机构各执一份。</w:t>
      </w:r>
    </w:p>
    <w:p w14:paraId="35B204E5">
      <w:pPr>
        <w:autoSpaceDE w:val="0"/>
        <w:autoSpaceDN w:val="0"/>
        <w:adjustRightInd w:val="0"/>
        <w:spacing w:line="360" w:lineRule="auto"/>
        <w:ind w:firstLine="420"/>
        <w:jc w:val="left"/>
        <w:rPr>
          <w:rFonts w:ascii="宋体" w:cs="宋体"/>
          <w:color w:val="auto"/>
          <w:kern w:val="0"/>
          <w:szCs w:val="21"/>
          <w:highlight w:val="none"/>
        </w:rPr>
      </w:pPr>
      <w:r>
        <w:rPr>
          <w:rFonts w:hint="eastAsia" w:ascii="宋体" w:cs="宋体"/>
          <w:color w:val="auto"/>
          <w:kern w:val="0"/>
          <w:szCs w:val="21"/>
          <w:highlight w:val="none"/>
        </w:rPr>
        <w:t>注：本协议书由法定代表人签字的，应附法定代表人身份证明；本协议书由委托代理人签字的，应附法定代表人授权委托书。</w:t>
      </w:r>
    </w:p>
    <w:p w14:paraId="5D26FD34">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牵头人名称：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2B118D62">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（手写签名/电子签名）</w:t>
      </w:r>
    </w:p>
    <w:p w14:paraId="408FEFC8">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成员一名称：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36DC4DFF">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法定代表人或其委托代理人：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（手写签名/电子签名）</w:t>
      </w:r>
    </w:p>
    <w:p w14:paraId="12B66DE5">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成员二名称：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（公章/电子签章）</w:t>
      </w:r>
    </w:p>
    <w:p w14:paraId="6F0A889E">
      <w:pPr>
        <w:spacing w:line="600" w:lineRule="exact"/>
        <w:rPr>
          <w:rFonts w:ascii="宋体" w:hAnsi="Courier New" w:cs="宋体"/>
          <w:color w:val="auto"/>
          <w:kern w:val="0"/>
          <w:sz w:val="20"/>
          <w:szCs w:val="20"/>
          <w:highlight w:val="none"/>
        </w:rPr>
      </w:pPr>
      <w:r>
        <w:rPr>
          <w:rFonts w:hint="eastAsia" w:ascii="宋体" w:hAnsi="Courier New" w:cs="宋体"/>
          <w:color w:val="auto"/>
          <w:kern w:val="0"/>
          <w:sz w:val="20"/>
          <w:szCs w:val="20"/>
          <w:highlight w:val="none"/>
        </w:rPr>
        <w:t>法定代表人或其委托代理人：</w:t>
      </w:r>
      <w:r>
        <w:rPr>
          <w:rFonts w:hint="eastAsia" w:ascii="宋体" w:hAnsi="Courier New" w:cs="宋体"/>
          <w:color w:val="auto"/>
          <w:kern w:val="0"/>
          <w:sz w:val="20"/>
          <w:szCs w:val="20"/>
          <w:highlight w:val="none"/>
          <w:u w:val="single"/>
        </w:rPr>
        <w:t xml:space="preserve">                         </w:t>
      </w:r>
      <w:r>
        <w:rPr>
          <w:rFonts w:hint="eastAsia" w:ascii="宋体" w:hAnsi="Courier New" w:cs="宋体"/>
          <w:color w:val="auto"/>
          <w:kern w:val="0"/>
          <w:sz w:val="20"/>
          <w:szCs w:val="20"/>
          <w:highlight w:val="none"/>
        </w:rPr>
        <w:t>（</w:t>
      </w:r>
      <w:r>
        <w:rPr>
          <w:rFonts w:hint="eastAsia" w:ascii="宋体" w:cs="宋体"/>
          <w:color w:val="auto"/>
          <w:kern w:val="0"/>
          <w:sz w:val="20"/>
          <w:szCs w:val="20"/>
          <w:highlight w:val="none"/>
        </w:rPr>
        <w:t>手写签名</w:t>
      </w:r>
      <w:r>
        <w:rPr>
          <w:rFonts w:hint="eastAsia" w:ascii="宋体" w:hAnsi="Courier New" w:cs="宋体"/>
          <w:color w:val="auto"/>
          <w:kern w:val="0"/>
          <w:sz w:val="20"/>
          <w:szCs w:val="20"/>
          <w:highlight w:val="none"/>
        </w:rPr>
        <w:t>/</w:t>
      </w:r>
      <w:r>
        <w:rPr>
          <w:rFonts w:hint="eastAsia" w:ascii="宋体" w:cs="宋体"/>
          <w:color w:val="auto"/>
          <w:kern w:val="0"/>
          <w:sz w:val="20"/>
          <w:szCs w:val="20"/>
          <w:highlight w:val="none"/>
        </w:rPr>
        <w:t>电子签名</w:t>
      </w:r>
      <w:r>
        <w:rPr>
          <w:rFonts w:hint="eastAsia" w:ascii="宋体" w:hAnsi="Courier New" w:cs="宋体"/>
          <w:color w:val="auto"/>
          <w:kern w:val="0"/>
          <w:sz w:val="20"/>
          <w:szCs w:val="20"/>
          <w:highlight w:val="none"/>
        </w:rPr>
        <w:t>）</w:t>
      </w:r>
    </w:p>
    <w:p w14:paraId="603DA319">
      <w:pPr>
        <w:spacing w:line="600" w:lineRule="exact"/>
        <w:jc w:val="center"/>
        <w:rPr>
          <w:rFonts w:ascii="宋体" w:hAnsi="Courier New" w:cs="宋体"/>
          <w:color w:val="auto"/>
          <w:kern w:val="0"/>
          <w:sz w:val="20"/>
          <w:szCs w:val="20"/>
          <w:highlight w:val="none"/>
        </w:rPr>
      </w:pPr>
    </w:p>
    <w:p w14:paraId="0693F4ED">
      <w:pPr>
        <w:spacing w:line="600" w:lineRule="exact"/>
        <w:jc w:val="center"/>
        <w:rPr>
          <w:b/>
          <w:bCs/>
          <w:color w:val="auto"/>
          <w:kern w:val="0"/>
          <w:sz w:val="30"/>
          <w:szCs w:val="30"/>
          <w:highlight w:val="none"/>
        </w:rPr>
      </w:pPr>
    </w:p>
    <w:p w14:paraId="58DB9753">
      <w:pPr>
        <w:spacing w:line="600" w:lineRule="exact"/>
        <w:jc w:val="center"/>
        <w:rPr>
          <w:b/>
          <w:bCs/>
          <w:color w:val="auto"/>
          <w:kern w:val="0"/>
          <w:sz w:val="30"/>
          <w:szCs w:val="30"/>
          <w:highlight w:val="none"/>
        </w:rPr>
      </w:pPr>
    </w:p>
    <w:p w14:paraId="192D8D69">
      <w:pPr>
        <w:spacing w:line="600" w:lineRule="exact"/>
        <w:jc w:val="center"/>
        <w:rPr>
          <w:b/>
          <w:bCs/>
          <w:color w:val="auto"/>
          <w:kern w:val="0"/>
          <w:sz w:val="30"/>
          <w:szCs w:val="30"/>
          <w:highlight w:val="none"/>
        </w:rPr>
      </w:pPr>
      <w:r>
        <w:rPr>
          <w:rFonts w:hint="eastAsia"/>
          <w:b/>
          <w:bCs/>
          <w:color w:val="auto"/>
          <w:kern w:val="0"/>
          <w:sz w:val="30"/>
          <w:szCs w:val="30"/>
          <w:highlight w:val="none"/>
        </w:rPr>
        <w:t>八、符合特定资格条件（如有）的有关证明材料</w:t>
      </w:r>
    </w:p>
    <w:p w14:paraId="7A8F32A2">
      <w:pPr>
        <w:spacing w:line="600" w:lineRule="exact"/>
        <w:jc w:val="center"/>
        <w:rPr>
          <w:b/>
          <w:bCs/>
          <w:color w:val="auto"/>
          <w:kern w:val="0"/>
          <w:sz w:val="30"/>
          <w:szCs w:val="30"/>
          <w:highlight w:val="none"/>
        </w:rPr>
      </w:pPr>
    </w:p>
    <w:p w14:paraId="6481FA4C">
      <w:pPr>
        <w:spacing w:line="600" w:lineRule="exact"/>
        <w:jc w:val="center"/>
        <w:rPr>
          <w:b/>
          <w:bCs/>
          <w:color w:val="auto"/>
          <w:kern w:val="0"/>
          <w:sz w:val="30"/>
          <w:szCs w:val="30"/>
          <w:highlight w:val="none"/>
        </w:rPr>
      </w:pPr>
    </w:p>
    <w:p w14:paraId="667B3191">
      <w:pPr>
        <w:snapToGrid w:val="0"/>
        <w:spacing w:line="360" w:lineRule="auto"/>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7F60442A">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0E308722">
      <w:pPr>
        <w:widowControl/>
        <w:spacing w:line="360" w:lineRule="auto"/>
        <w:jc w:val="left"/>
        <w:rPr>
          <w:rFonts w:hint="eastAsia" w:hAnsi="宋体"/>
          <w:color w:val="auto"/>
          <w:szCs w:val="21"/>
          <w:highlight w:val="none"/>
        </w:rPr>
        <w:sectPr>
          <w:pgSz w:w="11906" w:h="16838"/>
          <w:pgMar w:top="1134" w:right="1134" w:bottom="1134" w:left="1134" w:header="720" w:footer="720" w:gutter="0"/>
          <w:cols w:space="720" w:num="1"/>
          <w:docGrid w:type="lines" w:linePitch="331" w:charSpace="0"/>
        </w:sectPr>
      </w:pPr>
    </w:p>
    <w:p w14:paraId="33A22951">
      <w:pPr>
        <w:rPr>
          <w:rFonts w:hint="eastAsia" w:ascii="宋体" w:hAnsi="宋体"/>
          <w:color w:val="auto"/>
          <w:kern w:val="0"/>
          <w:sz w:val="20"/>
          <w:szCs w:val="20"/>
          <w:highlight w:val="none"/>
        </w:rPr>
      </w:pPr>
    </w:p>
    <w:p w14:paraId="418AB9CB">
      <w:pPr>
        <w:jc w:val="center"/>
        <w:outlineLvl w:val="1"/>
        <w:rPr>
          <w:rFonts w:hint="eastAsia" w:ascii="宋体" w:hAnsi="宋体"/>
          <w:b/>
          <w:bCs/>
          <w:color w:val="auto"/>
          <w:kern w:val="0"/>
          <w:sz w:val="28"/>
          <w:szCs w:val="28"/>
          <w:highlight w:val="none"/>
        </w:rPr>
      </w:pPr>
      <w:bookmarkStart w:id="48" w:name="_Toc28124"/>
      <w:r>
        <w:rPr>
          <w:rFonts w:hint="eastAsia" w:ascii="宋体" w:hAnsi="宋体"/>
          <w:b/>
          <w:bCs/>
          <w:color w:val="auto"/>
          <w:kern w:val="0"/>
          <w:sz w:val="28"/>
          <w:szCs w:val="28"/>
          <w:highlight w:val="none"/>
        </w:rPr>
        <w:t>第二节 商务文件格式</w:t>
      </w:r>
      <w:bookmarkEnd w:id="48"/>
    </w:p>
    <w:p w14:paraId="4FB9FA4C">
      <w:pPr>
        <w:snapToGrid w:val="0"/>
        <w:spacing w:before="165" w:beforeLines="50" w:after="50"/>
        <w:rPr>
          <w:rFonts w:hint="eastAsia" w:ascii="宋体" w:hAnsi="宋体"/>
          <w:color w:val="auto"/>
          <w:sz w:val="30"/>
          <w:szCs w:val="20"/>
          <w:highlight w:val="none"/>
        </w:rPr>
      </w:pPr>
    </w:p>
    <w:p w14:paraId="62E8FC36">
      <w:pPr>
        <w:snapToGrid w:val="0"/>
        <w:spacing w:before="165"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 xml:space="preserve">             电子投标文件</w:t>
      </w:r>
    </w:p>
    <w:p w14:paraId="2493BB07">
      <w:pPr>
        <w:snapToGrid w:val="0"/>
        <w:spacing w:before="165" w:beforeLines="50" w:after="50"/>
        <w:rPr>
          <w:rFonts w:hint="eastAsia" w:ascii="宋体" w:hAnsi="宋体"/>
          <w:color w:val="auto"/>
          <w:sz w:val="24"/>
          <w:szCs w:val="20"/>
          <w:highlight w:val="none"/>
        </w:rPr>
      </w:pPr>
    </w:p>
    <w:p w14:paraId="65A26C27">
      <w:pPr>
        <w:snapToGrid w:val="0"/>
        <w:spacing w:before="165" w:beforeLines="50" w:after="50"/>
        <w:jc w:val="center"/>
        <w:rPr>
          <w:rFonts w:hint="eastAsia" w:ascii="宋体" w:hAnsi="宋体"/>
          <w:b/>
          <w:color w:val="auto"/>
          <w:sz w:val="24"/>
          <w:szCs w:val="20"/>
          <w:highlight w:val="none"/>
        </w:rPr>
      </w:pPr>
      <w:r>
        <w:rPr>
          <w:rFonts w:hint="eastAsia" w:ascii="宋体" w:hAnsi="宋体"/>
          <w:b/>
          <w:color w:val="auto"/>
          <w:sz w:val="32"/>
          <w:szCs w:val="32"/>
          <w:highlight w:val="none"/>
        </w:rPr>
        <w:t>商务文件（封面）</w:t>
      </w:r>
    </w:p>
    <w:p w14:paraId="7E5F4A70">
      <w:pPr>
        <w:snapToGrid w:val="0"/>
        <w:spacing w:before="165" w:beforeLines="50" w:after="50"/>
        <w:rPr>
          <w:rFonts w:hint="eastAsia" w:ascii="宋体" w:hAnsi="宋体"/>
          <w:bCs/>
          <w:color w:val="auto"/>
          <w:sz w:val="24"/>
          <w:szCs w:val="20"/>
          <w:highlight w:val="none"/>
        </w:rPr>
      </w:pPr>
    </w:p>
    <w:p w14:paraId="0F0A723D">
      <w:pP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项目名称：</w:t>
      </w:r>
      <w:r>
        <w:rPr>
          <w:rFonts w:hint="eastAsia" w:ascii="宋体" w:hAnsi="宋体"/>
          <w:bCs/>
          <w:color w:val="auto"/>
          <w:sz w:val="24"/>
          <w:highlight w:val="none"/>
          <w:lang w:eastAsia="zh-CN"/>
        </w:rPr>
        <w:t>2026年广西政务服务统一评估服务项目</w:t>
      </w:r>
      <w:r>
        <w:rPr>
          <w:rFonts w:hint="eastAsia" w:ascii="宋体" w:hAnsi="宋体"/>
          <w:bCs/>
          <w:color w:val="auto"/>
          <w:sz w:val="24"/>
          <w:highlight w:val="none"/>
        </w:rPr>
        <w:t xml:space="preserve"> </w:t>
      </w:r>
    </w:p>
    <w:p w14:paraId="25482EB7">
      <w:pPr>
        <w:snapToGrid w:val="0"/>
        <w:spacing w:before="165" w:beforeLines="50" w:after="50"/>
        <w:ind w:firstLine="540" w:firstLineChars="225"/>
        <w:rPr>
          <w:rFonts w:hint="eastAsia" w:ascii="宋体" w:hAnsi="宋体"/>
          <w:bCs/>
          <w:color w:val="auto"/>
          <w:sz w:val="24"/>
          <w:szCs w:val="20"/>
          <w:highlight w:val="none"/>
        </w:rPr>
      </w:pPr>
    </w:p>
    <w:p w14:paraId="7F9C2ABA">
      <w:pP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6BEF40E8">
      <w:pPr>
        <w:snapToGrid w:val="0"/>
        <w:spacing w:before="165" w:beforeLines="50" w:after="50"/>
        <w:ind w:firstLine="540" w:firstLineChars="225"/>
        <w:rPr>
          <w:rFonts w:hint="eastAsia" w:ascii="宋体" w:hAnsi="宋体"/>
          <w:bCs/>
          <w:color w:val="auto"/>
          <w:sz w:val="24"/>
          <w:szCs w:val="20"/>
          <w:highlight w:val="none"/>
        </w:rPr>
      </w:pPr>
      <w:r>
        <w:rPr>
          <w:rFonts w:hint="eastAsia" w:ascii="宋体" w:hAnsi="宋体"/>
          <w:bCs/>
          <w:color w:val="auto"/>
          <w:sz w:val="24"/>
          <w:highlight w:val="none"/>
        </w:rPr>
        <w:t xml:space="preserve"> </w:t>
      </w:r>
    </w:p>
    <w:p w14:paraId="2A5244E5">
      <w:pPr>
        <w:snapToGrid w:val="0"/>
        <w:spacing w:before="165" w:beforeLines="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所投分标：</w:t>
      </w:r>
    </w:p>
    <w:p w14:paraId="58DA2E71">
      <w:pPr>
        <w:snapToGrid w:val="0"/>
        <w:spacing w:before="165" w:beforeLines="50" w:after="50"/>
        <w:ind w:firstLine="540" w:firstLineChars="225"/>
        <w:rPr>
          <w:rFonts w:hint="eastAsia" w:ascii="宋体" w:hAnsi="宋体"/>
          <w:bCs/>
          <w:color w:val="auto"/>
          <w:sz w:val="24"/>
          <w:szCs w:val="20"/>
          <w:highlight w:val="none"/>
        </w:rPr>
      </w:pPr>
    </w:p>
    <w:p w14:paraId="7B6F876F">
      <w:pPr>
        <w:snapToGrid w:val="0"/>
        <w:spacing w:before="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投标人名称：</w:t>
      </w:r>
    </w:p>
    <w:p w14:paraId="6021ACFA">
      <w:pPr>
        <w:snapToGrid w:val="0"/>
        <w:spacing w:before="50" w:after="50"/>
        <w:ind w:firstLine="540" w:firstLineChars="225"/>
        <w:rPr>
          <w:rFonts w:hint="eastAsia" w:ascii="宋体" w:hAnsi="宋体"/>
          <w:bCs/>
          <w:color w:val="auto"/>
          <w:sz w:val="24"/>
          <w:highlight w:val="none"/>
        </w:rPr>
      </w:pPr>
    </w:p>
    <w:p w14:paraId="6E8CC68D">
      <w:pPr>
        <w:snapToGrid w:val="0"/>
        <w:spacing w:before="50" w:after="50"/>
        <w:ind w:firstLine="540" w:firstLineChars="225"/>
        <w:rPr>
          <w:rFonts w:hint="eastAsia" w:ascii="宋体" w:hAnsi="宋体"/>
          <w:bCs/>
          <w:color w:val="auto"/>
          <w:sz w:val="24"/>
          <w:highlight w:val="none"/>
        </w:rPr>
      </w:pPr>
      <w:r>
        <w:rPr>
          <w:rFonts w:hint="eastAsia" w:ascii="宋体" w:hAnsi="宋体"/>
          <w:bCs/>
          <w:color w:val="auto"/>
          <w:sz w:val="24"/>
          <w:highlight w:val="none"/>
        </w:rPr>
        <w:t>投标人地址：</w:t>
      </w:r>
    </w:p>
    <w:p w14:paraId="3F2972FA">
      <w:pPr>
        <w:snapToGrid w:val="0"/>
        <w:spacing w:before="50" w:after="50"/>
        <w:ind w:firstLine="960" w:firstLineChars="400"/>
        <w:rPr>
          <w:rFonts w:hint="eastAsia" w:ascii="宋体" w:hAnsi="宋体"/>
          <w:bCs/>
          <w:color w:val="auto"/>
          <w:sz w:val="24"/>
          <w:highlight w:val="none"/>
        </w:rPr>
      </w:pPr>
    </w:p>
    <w:p w14:paraId="01CF225A">
      <w:pPr>
        <w:snapToGrid w:val="0"/>
        <w:spacing w:before="165" w:beforeLines="50" w:after="50"/>
        <w:ind w:firstLine="645"/>
        <w:rPr>
          <w:rFonts w:hint="eastAsia" w:ascii="宋体" w:hAnsi="宋体"/>
          <w:color w:val="auto"/>
          <w:sz w:val="24"/>
          <w:highlight w:val="none"/>
        </w:rPr>
      </w:pPr>
      <w:r>
        <w:rPr>
          <w:rFonts w:hint="eastAsia" w:ascii="宋体" w:hAnsi="宋体"/>
          <w:color w:val="auto"/>
          <w:sz w:val="24"/>
          <w:highlight w:val="none"/>
        </w:rPr>
        <w:t xml:space="preserve">                        年  月  日</w:t>
      </w:r>
    </w:p>
    <w:p w14:paraId="74D5F02A">
      <w:pPr>
        <w:snapToGrid w:val="0"/>
        <w:spacing w:before="165" w:beforeLines="50" w:after="50"/>
        <w:rPr>
          <w:rFonts w:hint="eastAsia" w:ascii="宋体" w:hAnsi="宋体"/>
          <w:color w:val="auto"/>
          <w:sz w:val="24"/>
          <w:szCs w:val="20"/>
          <w:highlight w:val="none"/>
        </w:rPr>
      </w:pPr>
      <w:r>
        <w:rPr>
          <w:rFonts w:hint="eastAsia" w:ascii="宋体" w:hAnsi="宋体"/>
          <w:color w:val="auto"/>
          <w:sz w:val="24"/>
          <w:szCs w:val="20"/>
          <w:highlight w:val="none"/>
        </w:rPr>
        <w:t xml:space="preserve"> </w:t>
      </w:r>
    </w:p>
    <w:p w14:paraId="40B37A07">
      <w:pPr>
        <w:spacing w:line="360" w:lineRule="auto"/>
        <w:ind w:right="420"/>
        <w:rPr>
          <w:rFonts w:hint="eastAsia" w:ascii="宋体" w:hAnsi="宋体"/>
          <w:color w:val="auto"/>
          <w:sz w:val="24"/>
          <w:szCs w:val="20"/>
          <w:highlight w:val="none"/>
        </w:rPr>
      </w:pPr>
    </w:p>
    <w:p w14:paraId="00BED26A">
      <w:pPr>
        <w:spacing w:line="360" w:lineRule="auto"/>
        <w:ind w:right="420"/>
        <w:rPr>
          <w:rFonts w:hint="eastAsia" w:ascii="宋体" w:hAnsi="宋体"/>
          <w:color w:val="auto"/>
          <w:sz w:val="24"/>
          <w:szCs w:val="20"/>
          <w:highlight w:val="none"/>
        </w:rPr>
      </w:pPr>
    </w:p>
    <w:p w14:paraId="2087DC53">
      <w:pPr>
        <w:spacing w:line="360" w:lineRule="auto"/>
        <w:ind w:right="420"/>
        <w:rPr>
          <w:rFonts w:hint="eastAsia" w:ascii="宋体" w:hAnsi="宋体"/>
          <w:color w:val="auto"/>
          <w:sz w:val="24"/>
          <w:szCs w:val="20"/>
          <w:highlight w:val="none"/>
        </w:rPr>
      </w:pPr>
    </w:p>
    <w:p w14:paraId="7096A6F8">
      <w:pPr>
        <w:spacing w:line="360" w:lineRule="auto"/>
        <w:ind w:right="420"/>
        <w:rPr>
          <w:rFonts w:hint="eastAsia" w:ascii="宋体" w:hAnsi="宋体"/>
          <w:color w:val="auto"/>
          <w:sz w:val="24"/>
          <w:szCs w:val="20"/>
          <w:highlight w:val="none"/>
        </w:rPr>
      </w:pPr>
    </w:p>
    <w:p w14:paraId="720138EC">
      <w:pPr>
        <w:spacing w:line="360" w:lineRule="auto"/>
        <w:ind w:right="420"/>
        <w:rPr>
          <w:rFonts w:hint="eastAsia" w:ascii="宋体" w:hAnsi="宋体"/>
          <w:color w:val="auto"/>
          <w:sz w:val="24"/>
          <w:szCs w:val="20"/>
          <w:highlight w:val="none"/>
        </w:rPr>
      </w:pPr>
    </w:p>
    <w:p w14:paraId="14B1C0F5">
      <w:pPr>
        <w:spacing w:line="360" w:lineRule="auto"/>
        <w:ind w:right="420"/>
        <w:rPr>
          <w:rFonts w:hint="eastAsia" w:ascii="宋体" w:hAnsi="宋体"/>
          <w:color w:val="auto"/>
          <w:sz w:val="24"/>
          <w:szCs w:val="20"/>
          <w:highlight w:val="none"/>
        </w:rPr>
      </w:pPr>
    </w:p>
    <w:p w14:paraId="23EC4619">
      <w:pPr>
        <w:spacing w:line="360" w:lineRule="auto"/>
        <w:ind w:right="420"/>
        <w:rPr>
          <w:rFonts w:hint="eastAsia" w:ascii="宋体" w:hAnsi="宋体"/>
          <w:color w:val="auto"/>
          <w:sz w:val="24"/>
          <w:szCs w:val="20"/>
          <w:highlight w:val="none"/>
        </w:rPr>
      </w:pPr>
    </w:p>
    <w:p w14:paraId="1180E618">
      <w:pPr>
        <w:spacing w:line="360" w:lineRule="auto"/>
        <w:ind w:right="420"/>
        <w:rPr>
          <w:rFonts w:hint="eastAsia" w:ascii="宋体" w:hAnsi="宋体"/>
          <w:color w:val="auto"/>
          <w:sz w:val="24"/>
          <w:szCs w:val="20"/>
          <w:highlight w:val="none"/>
        </w:rPr>
      </w:pPr>
    </w:p>
    <w:p w14:paraId="3AF9595A">
      <w:pPr>
        <w:spacing w:line="360" w:lineRule="auto"/>
        <w:ind w:right="420"/>
        <w:rPr>
          <w:rFonts w:hint="eastAsia" w:ascii="宋体" w:hAnsi="宋体"/>
          <w:color w:val="auto"/>
          <w:sz w:val="24"/>
          <w:szCs w:val="20"/>
          <w:highlight w:val="none"/>
        </w:rPr>
      </w:pPr>
    </w:p>
    <w:p w14:paraId="77522037">
      <w:pPr>
        <w:spacing w:line="360" w:lineRule="auto"/>
        <w:ind w:right="420"/>
        <w:rPr>
          <w:rFonts w:hint="eastAsia" w:ascii="方正仿宋_GB2312" w:hAnsi="仿宋" w:eastAsia="方正仿宋_GB2312" w:cs="方正仿宋_GB2312"/>
          <w:b/>
          <w:color w:val="auto"/>
          <w:kern w:val="0"/>
          <w:sz w:val="36"/>
          <w:szCs w:val="36"/>
          <w:highlight w:val="none"/>
        </w:rPr>
      </w:pPr>
      <w:r>
        <w:rPr>
          <w:rFonts w:hint="eastAsia" w:ascii="方正仿宋_GB2312" w:hAnsi="仿宋" w:eastAsia="方正仿宋_GB2312" w:cs="方正仿宋_GB2312"/>
          <w:b/>
          <w:color w:val="auto"/>
          <w:kern w:val="0"/>
          <w:sz w:val="36"/>
          <w:szCs w:val="36"/>
          <w:highlight w:val="none"/>
        </w:rPr>
        <w:t xml:space="preserve"> </w:t>
      </w:r>
    </w:p>
    <w:p w14:paraId="1C434796">
      <w:pPr>
        <w:rPr>
          <w:rFonts w:hint="eastAsia" w:ascii="方正仿宋_GB2312" w:hAnsi="仿宋" w:eastAsia="方正仿宋_GB2312" w:cs="方正仿宋_GB2312"/>
          <w:b/>
          <w:color w:val="auto"/>
          <w:kern w:val="0"/>
          <w:sz w:val="24"/>
          <w:highlight w:val="none"/>
        </w:rPr>
      </w:pPr>
    </w:p>
    <w:p w14:paraId="21F636DB">
      <w:pPr>
        <w:jc w:val="center"/>
        <w:rPr>
          <w:rFonts w:hint="eastAsia" w:ascii="方正仿宋_GB2312" w:hAnsi="仿宋" w:eastAsia="方正仿宋_GB2312" w:cs="方正仿宋_GB2312"/>
          <w:b/>
          <w:color w:val="auto"/>
          <w:kern w:val="0"/>
          <w:sz w:val="28"/>
          <w:szCs w:val="28"/>
          <w:highlight w:val="none"/>
        </w:rPr>
      </w:pPr>
    </w:p>
    <w:p w14:paraId="19B5C0EA">
      <w:pPr>
        <w:jc w:val="center"/>
        <w:rPr>
          <w:rFonts w:hint="eastAsia" w:ascii="方正仿宋_GB2312" w:hAnsi="仿宋" w:eastAsia="方正仿宋_GB2312" w:cs="方正仿宋_GB2312"/>
          <w:b/>
          <w:color w:val="auto"/>
          <w:kern w:val="0"/>
          <w:sz w:val="28"/>
          <w:szCs w:val="28"/>
          <w:highlight w:val="none"/>
        </w:rPr>
      </w:pPr>
      <w:r>
        <w:rPr>
          <w:rFonts w:hint="eastAsia" w:ascii="方正仿宋_GB2312" w:hAnsi="仿宋" w:eastAsia="方正仿宋_GB2312" w:cs="方正仿宋_GB2312"/>
          <w:b/>
          <w:color w:val="auto"/>
          <w:kern w:val="0"/>
          <w:sz w:val="28"/>
          <w:szCs w:val="28"/>
          <w:highlight w:val="none"/>
        </w:rPr>
        <w:t>商务文件目录</w:t>
      </w:r>
    </w:p>
    <w:p w14:paraId="1EBF2D58">
      <w:pPr>
        <w:jc w:val="center"/>
        <w:rPr>
          <w:rFonts w:hint="eastAsia" w:ascii="方正仿宋_GB2312" w:hAnsi="仿宋" w:eastAsia="方正仿宋_GB2312" w:cs="方正仿宋_GB2312"/>
          <w:b/>
          <w:color w:val="auto"/>
          <w:kern w:val="0"/>
          <w:sz w:val="28"/>
          <w:szCs w:val="28"/>
          <w:highlight w:val="none"/>
        </w:rPr>
      </w:pPr>
    </w:p>
    <w:p w14:paraId="04FBB23C">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一、无串标行为承诺函…………………………………………………………………（页码）</w:t>
      </w:r>
    </w:p>
    <w:p w14:paraId="241C1EA4">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二、法定代表人身份证明及法定代表人有效身份证正反面复印件…………………（页码）</w:t>
      </w:r>
    </w:p>
    <w:p w14:paraId="53A9596C">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三、法定代表人授权委托书（如有委托时）…………………………………………（页码）</w:t>
      </w:r>
    </w:p>
    <w:p w14:paraId="09CBE4DF">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四、</w:t>
      </w:r>
      <w:r>
        <w:rPr>
          <w:rFonts w:hint="eastAsia" w:ascii="方正仿宋_GB2312" w:hAnsi="仿宋" w:eastAsia="方正仿宋_GB2312" w:cs="方正仿宋_GB2312"/>
          <w:color w:val="auto"/>
          <w:sz w:val="24"/>
          <w:highlight w:val="none"/>
          <w:lang w:val="zh-CN"/>
        </w:rPr>
        <w:t>商务条款偏离表………………………………</w:t>
      </w:r>
      <w:r>
        <w:rPr>
          <w:rFonts w:hint="eastAsia" w:ascii="方正仿宋_GB2312" w:hAnsi="仿宋" w:eastAsia="方正仿宋_GB2312" w:cs="方正仿宋_GB2312"/>
          <w:color w:val="auto"/>
          <w:sz w:val="24"/>
          <w:highlight w:val="none"/>
        </w:rPr>
        <w:t>……………………………………（页码）</w:t>
      </w:r>
    </w:p>
    <w:p w14:paraId="7E9560EF">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五、投标人情况介绍</w:t>
      </w:r>
      <w:r>
        <w:rPr>
          <w:rFonts w:hint="eastAsia" w:ascii="方正仿宋_GB2312" w:hAnsi="仿宋" w:eastAsia="方正仿宋_GB2312" w:cs="方正仿宋_GB2312"/>
          <w:color w:val="auto"/>
          <w:sz w:val="24"/>
          <w:highlight w:val="none"/>
          <w:lang w:val="zh-CN"/>
        </w:rPr>
        <w:t>………………………………</w:t>
      </w:r>
      <w:r>
        <w:rPr>
          <w:rFonts w:hint="eastAsia" w:ascii="方正仿宋_GB2312" w:hAnsi="仿宋" w:eastAsia="方正仿宋_GB2312" w:cs="方正仿宋_GB2312"/>
          <w:color w:val="auto"/>
          <w:sz w:val="24"/>
          <w:highlight w:val="none"/>
        </w:rPr>
        <w:t>……………………………………（页码）</w:t>
      </w:r>
    </w:p>
    <w:p w14:paraId="42A88725">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六、投标人类似业绩的证明文件（如有要求）………</w:t>
      </w:r>
      <w:r>
        <w:rPr>
          <w:rFonts w:hint="eastAsia" w:ascii="方正仿宋_GB2312" w:hAnsi="仿宋" w:eastAsia="方正仿宋_GB2312" w:cs="方正仿宋_GB2312"/>
          <w:color w:val="auto"/>
          <w:sz w:val="24"/>
          <w:highlight w:val="none"/>
          <w:lang w:val="zh-CN"/>
        </w:rPr>
        <w:t>……………………………</w:t>
      </w:r>
      <w:r>
        <w:rPr>
          <w:rFonts w:hint="eastAsia" w:ascii="方正仿宋_GB2312" w:hAnsi="仿宋" w:eastAsia="方正仿宋_GB2312" w:cs="方正仿宋_GB2312"/>
          <w:color w:val="auto"/>
          <w:sz w:val="24"/>
          <w:highlight w:val="none"/>
        </w:rPr>
        <w:t>…（页码）</w:t>
      </w:r>
    </w:p>
    <w:p w14:paraId="46E27AA8">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七、其他商务文件或说明…</w:t>
      </w:r>
      <w:r>
        <w:rPr>
          <w:rFonts w:hint="eastAsia" w:ascii="方正仿宋_GB2312" w:hAnsi="仿宋" w:eastAsia="方正仿宋_GB2312" w:cs="方正仿宋_GB2312"/>
          <w:color w:val="auto"/>
          <w:sz w:val="24"/>
          <w:highlight w:val="none"/>
          <w:lang w:val="zh-CN"/>
        </w:rPr>
        <w:t>…………………………………………………………</w:t>
      </w:r>
      <w:r>
        <w:rPr>
          <w:rFonts w:hint="eastAsia" w:ascii="方正仿宋_GB2312" w:hAnsi="仿宋" w:eastAsia="方正仿宋_GB2312" w:cs="方正仿宋_GB2312"/>
          <w:color w:val="auto"/>
          <w:sz w:val="24"/>
          <w:highlight w:val="none"/>
        </w:rPr>
        <w:t>…（页码）</w:t>
      </w:r>
    </w:p>
    <w:p w14:paraId="43E2817F">
      <w:pPr>
        <w:spacing w:line="360" w:lineRule="auto"/>
        <w:rPr>
          <w:rFonts w:hint="eastAsia" w:ascii="方正仿宋_GB2312" w:hAnsi="仿宋" w:eastAsia="方正仿宋_GB2312" w:cs="方正仿宋_GB2312"/>
          <w:b/>
          <w:bCs/>
          <w:color w:val="auto"/>
          <w:sz w:val="24"/>
          <w:highlight w:val="none"/>
        </w:rPr>
      </w:pPr>
      <w:r>
        <w:rPr>
          <w:rFonts w:hint="eastAsia" w:ascii="方正仿宋_GB2312" w:hAnsi="仿宋" w:eastAsia="方正仿宋_GB2312" w:cs="方正仿宋_GB2312"/>
          <w:b/>
          <w:bCs/>
          <w:color w:val="auto"/>
          <w:sz w:val="24"/>
          <w:highlight w:val="none"/>
        </w:rPr>
        <w:t>注：以上目录是基本格式要求，各投标人可根据自身情况进一步向下增加内容或细化。</w:t>
      </w:r>
    </w:p>
    <w:p w14:paraId="5E8E1926">
      <w:pPr>
        <w:widowControl/>
        <w:spacing w:line="360" w:lineRule="auto"/>
        <w:jc w:val="left"/>
        <w:rPr>
          <w:rFonts w:hint="eastAsia" w:ascii="宋体" w:hAnsi="宋体"/>
          <w:color w:val="auto"/>
          <w:highlight w:val="none"/>
        </w:rPr>
        <w:sectPr>
          <w:pgSz w:w="11906" w:h="16838"/>
          <w:pgMar w:top="1134" w:right="1134" w:bottom="1134" w:left="1134" w:header="720" w:footer="720" w:gutter="0"/>
          <w:cols w:space="720" w:num="1"/>
          <w:docGrid w:type="lines" w:linePitch="331" w:charSpace="0"/>
        </w:sectPr>
      </w:pPr>
    </w:p>
    <w:p w14:paraId="09D69F2E">
      <w:pPr>
        <w:snapToGrid w:val="0"/>
        <w:spacing w:before="120" w:beforeLines="50" w:after="50"/>
        <w:ind w:left="420"/>
        <w:jc w:val="center"/>
        <w:rPr>
          <w:b/>
          <w:bCs/>
          <w:color w:val="auto"/>
          <w:sz w:val="30"/>
          <w:szCs w:val="30"/>
          <w:highlight w:val="none"/>
        </w:rPr>
      </w:pPr>
      <w:r>
        <w:rPr>
          <w:rFonts w:hint="eastAsia"/>
          <w:b/>
          <w:bCs/>
          <w:color w:val="auto"/>
          <w:sz w:val="30"/>
          <w:szCs w:val="30"/>
          <w:highlight w:val="none"/>
        </w:rPr>
        <w:t>一、无串标行为承诺函</w:t>
      </w:r>
    </w:p>
    <w:p w14:paraId="05B171E4">
      <w:pPr>
        <w:snapToGrid w:val="0"/>
        <w:spacing w:before="120" w:beforeLines="50" w:after="50"/>
        <w:ind w:left="420"/>
        <w:jc w:val="center"/>
        <w:rPr>
          <w:rFonts w:hint="eastAsia" w:ascii="宋体" w:hAnsi="宋体"/>
          <w:b/>
          <w:color w:val="auto"/>
          <w:sz w:val="32"/>
          <w:szCs w:val="32"/>
          <w:highlight w:val="none"/>
        </w:rPr>
      </w:pPr>
      <w:r>
        <w:rPr>
          <w:rFonts w:hint="eastAsia" w:ascii="宋体" w:hAnsi="宋体"/>
          <w:b/>
          <w:color w:val="auto"/>
          <w:sz w:val="32"/>
          <w:szCs w:val="32"/>
          <w:highlight w:val="none"/>
        </w:rPr>
        <w:t>投标人参加本项目无围标串标行为的承诺函</w:t>
      </w:r>
    </w:p>
    <w:p w14:paraId="056FEC8B">
      <w:pPr>
        <w:snapToGrid w:val="0"/>
        <w:spacing w:before="120" w:beforeLines="50" w:after="50"/>
        <w:rPr>
          <w:rFonts w:hint="eastAsia" w:ascii="宋体" w:hAnsi="宋体"/>
          <w:b/>
          <w:color w:val="auto"/>
          <w:szCs w:val="21"/>
          <w:highlight w:val="none"/>
        </w:rPr>
      </w:pPr>
    </w:p>
    <w:p w14:paraId="4F21A4A1">
      <w:pPr>
        <w:snapToGrid w:val="0"/>
        <w:spacing w:before="120" w:beforeLines="50" w:after="50" w:line="360" w:lineRule="auto"/>
        <w:jc w:val="left"/>
        <w:rPr>
          <w:rFonts w:hint="eastAsia" w:ascii="宋体" w:hAnsi="宋体"/>
          <w:b/>
          <w:color w:val="auto"/>
          <w:szCs w:val="21"/>
          <w:highlight w:val="none"/>
        </w:rPr>
      </w:pPr>
      <w:r>
        <w:rPr>
          <w:rFonts w:hint="eastAsia" w:ascii="宋体" w:hAnsi="宋体"/>
          <w:b/>
          <w:color w:val="auto"/>
          <w:szCs w:val="21"/>
          <w:highlight w:val="none"/>
        </w:rPr>
        <w:t>一、我方承诺无下列相互串通投标的情形：</w:t>
      </w:r>
    </w:p>
    <w:p w14:paraId="4DADF9B1">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1.不同投标人的投标文件由同一单位或者个人编制；或者不同投标人报名的IP地址一致的；或者编制标书硬件设备CPU编号、硬盘编号、网卡地址一致的情况。</w:t>
      </w:r>
    </w:p>
    <w:p w14:paraId="1D6D8175">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2.不同投标人委托同一单位或者个人办理投标事宜；</w:t>
      </w:r>
    </w:p>
    <w:p w14:paraId="14AF5644">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3.不同的投标人的投标文件载明的项目管理员为同一个人；</w:t>
      </w:r>
    </w:p>
    <w:p w14:paraId="3F9D9A47">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4.不同投标人的投标文件异常一致或者投标报价呈规律性差异；</w:t>
      </w:r>
    </w:p>
    <w:p w14:paraId="12960124">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5.不同投标人的投标文件相互混装；</w:t>
      </w:r>
    </w:p>
    <w:p w14:paraId="068FEEF2">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6.不同投标人的投标保证金从同一单位或者个人账户转出。</w:t>
      </w:r>
    </w:p>
    <w:p w14:paraId="3D89A271">
      <w:pPr>
        <w:snapToGrid w:val="0"/>
        <w:spacing w:before="120" w:beforeLines="50" w:after="50" w:line="360" w:lineRule="auto"/>
        <w:jc w:val="left"/>
        <w:rPr>
          <w:rFonts w:hint="eastAsia" w:ascii="宋体" w:hAnsi="宋体"/>
          <w:color w:val="auto"/>
          <w:szCs w:val="21"/>
          <w:highlight w:val="none"/>
        </w:rPr>
      </w:pPr>
      <w:r>
        <w:rPr>
          <w:rFonts w:hint="eastAsia" w:ascii="宋体" w:hAnsi="宋体"/>
          <w:b/>
          <w:color w:val="auto"/>
          <w:szCs w:val="21"/>
          <w:highlight w:val="none"/>
        </w:rPr>
        <w:t>二、我方承诺无下列恶意串通的情形：</w:t>
      </w:r>
    </w:p>
    <w:p w14:paraId="5180DE5A">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1.投标人直接或者间接从采购人或者采购代理机构处获得其他投标人的相关信息并修改其投标文件或者投标文件；</w:t>
      </w:r>
    </w:p>
    <w:p w14:paraId="048CB8C4">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2.投标人按照采购人或者采购代理机构的授意撤换、修改投标文件或者投标文件；</w:t>
      </w:r>
    </w:p>
    <w:p w14:paraId="7D7A3539">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3.投标人之间协商报价、技术方案等投标文件或者投标文件的实质性内容；</w:t>
      </w:r>
    </w:p>
    <w:p w14:paraId="4071DE6C">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4.属于同一集团、协会、商会等组织成员的投标人按照该组织要求协同参加政府采购活动；</w:t>
      </w:r>
    </w:p>
    <w:p w14:paraId="384A6E4D">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5.投标人之间事先约定一致抬高或者压低投标报价，或者在招标项目中事先约定轮流以高价位或者低价位中标，或者事先约定由某一特定投标人中标，然后再参加投标；</w:t>
      </w:r>
    </w:p>
    <w:p w14:paraId="4261EFE7">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6.投标人之间商定部分投标人放弃参加政府采购活动或者放弃中标；</w:t>
      </w:r>
    </w:p>
    <w:p w14:paraId="5C5EB9E5">
      <w:pPr>
        <w:snapToGrid w:val="0"/>
        <w:spacing w:before="120" w:beforeLines="50" w:after="50" w:line="360" w:lineRule="auto"/>
        <w:ind w:firstLine="411" w:firstLineChars="196"/>
        <w:jc w:val="left"/>
        <w:rPr>
          <w:rFonts w:hint="eastAsia" w:ascii="宋体" w:hAnsi="宋体"/>
          <w:color w:val="auto"/>
          <w:szCs w:val="21"/>
          <w:highlight w:val="none"/>
        </w:rPr>
      </w:pPr>
      <w:r>
        <w:rPr>
          <w:rFonts w:hint="eastAsia" w:ascii="宋体" w:hAnsi="宋体"/>
          <w:color w:val="auto"/>
          <w:szCs w:val="21"/>
          <w:highlight w:val="none"/>
        </w:rPr>
        <w:t>7.投标人与采购人或者采购代理机构之间、投标人相互之间，为谋求特定投标人中标或者排斥其他投标人的其他串通行为。</w:t>
      </w:r>
    </w:p>
    <w:p w14:paraId="3E230080">
      <w:pPr>
        <w:snapToGrid w:val="0"/>
        <w:spacing w:before="120" w:beforeLines="50" w:after="50" w:line="360" w:lineRule="auto"/>
        <w:ind w:firstLine="413" w:firstLineChars="196"/>
        <w:jc w:val="left"/>
        <w:rPr>
          <w:rFonts w:hint="eastAsia" w:ascii="宋体" w:hAnsi="宋体"/>
          <w:b/>
          <w:color w:val="auto"/>
          <w:szCs w:val="21"/>
          <w:highlight w:val="none"/>
        </w:rPr>
      </w:pPr>
      <w:r>
        <w:rPr>
          <w:rFonts w:hint="eastAsia" w:ascii="宋体" w:hAnsi="宋体"/>
          <w:b/>
          <w:color w:val="auto"/>
          <w:szCs w:val="21"/>
          <w:highlight w:val="none"/>
        </w:rPr>
        <w:t>以上情形一经核查属实，我方愿意承担一切后果，接受政府采购监管部门对我方认定存在围标串标行为，并不再寻求任何旨在减轻或者免除法律责任的辩解。</w:t>
      </w:r>
    </w:p>
    <w:p w14:paraId="1172F6C5">
      <w:pPr>
        <w:snapToGrid w:val="0"/>
        <w:spacing w:line="360" w:lineRule="auto"/>
        <w:ind w:firstLine="4935" w:firstLineChars="2350"/>
        <w:rPr>
          <w:rFonts w:hint="eastAsia" w:ascii="方正仿宋_GB2312" w:hAnsi="仿宋" w:eastAsia="方正仿宋_GB2312" w:cs="方正仿宋_GB2312"/>
          <w:color w:val="auto"/>
          <w:kern w:val="0"/>
          <w:sz w:val="24"/>
          <w:highlight w:val="none"/>
        </w:rPr>
      </w:pPr>
      <w:r>
        <w:rPr>
          <w:rFonts w:hAnsi="宋体"/>
          <w:color w:val="auto"/>
          <w:szCs w:val="21"/>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5A21E8D6">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33336C05">
      <w:pPr>
        <w:snapToGrid w:val="0"/>
        <w:spacing w:before="295" w:after="295" w:line="360" w:lineRule="auto"/>
        <w:jc w:val="center"/>
        <w:rPr>
          <w:rFonts w:hint="eastAsia" w:ascii="宋体" w:hAnsi="宋体"/>
          <w:b/>
          <w:color w:val="auto"/>
          <w:kern w:val="0"/>
          <w:sz w:val="24"/>
          <w:szCs w:val="20"/>
          <w:highlight w:val="none"/>
        </w:rPr>
      </w:pPr>
      <w:r>
        <w:rPr>
          <w:rFonts w:hint="eastAsia" w:ascii="宋体" w:hAnsi="宋体"/>
          <w:b/>
          <w:color w:val="auto"/>
          <w:kern w:val="0"/>
          <w:sz w:val="24"/>
          <w:szCs w:val="20"/>
          <w:highlight w:val="none"/>
        </w:rPr>
        <w:br w:type="page"/>
      </w:r>
      <w:r>
        <w:rPr>
          <w:rFonts w:hint="eastAsia"/>
          <w:b/>
          <w:bCs/>
          <w:color w:val="auto"/>
          <w:kern w:val="0"/>
          <w:sz w:val="30"/>
          <w:szCs w:val="30"/>
          <w:highlight w:val="none"/>
        </w:rPr>
        <w:t>二、法定代表人身份证明</w:t>
      </w:r>
    </w:p>
    <w:p w14:paraId="23492095">
      <w:pPr>
        <w:spacing w:before="240" w:beforeLines="100" w:after="120" w:afterLines="50"/>
        <w:ind w:left="540"/>
        <w:jc w:val="center"/>
        <w:rPr>
          <w:rFonts w:ascii="宋体" w:hAnsi="Courier New"/>
          <w:b/>
          <w:color w:val="auto"/>
          <w:sz w:val="32"/>
          <w:szCs w:val="32"/>
          <w:highlight w:val="none"/>
        </w:rPr>
      </w:pPr>
    </w:p>
    <w:p w14:paraId="352CDDB7">
      <w:pPr>
        <w:spacing w:before="240" w:beforeLines="100" w:after="120" w:afterLines="50"/>
        <w:ind w:left="540"/>
        <w:jc w:val="center"/>
        <w:rPr>
          <w:rFonts w:hint="eastAsia" w:ascii="黑体" w:hAnsi="宋体" w:eastAsia="黑体"/>
          <w:color w:val="auto"/>
          <w:sz w:val="32"/>
          <w:szCs w:val="32"/>
          <w:highlight w:val="none"/>
        </w:rPr>
      </w:pPr>
      <w:r>
        <w:rPr>
          <w:rFonts w:hint="eastAsia" w:ascii="宋体" w:hAnsi="Courier New"/>
          <w:b/>
          <w:color w:val="auto"/>
          <w:sz w:val="32"/>
          <w:szCs w:val="32"/>
          <w:highlight w:val="none"/>
        </w:rPr>
        <w:t>法定代表人身份证明</w:t>
      </w:r>
    </w:p>
    <w:p w14:paraId="6FD8BE93">
      <w:pPr>
        <w:spacing w:line="500" w:lineRule="exact"/>
        <w:ind w:left="540"/>
        <w:rPr>
          <w:rFonts w:hint="eastAsia" w:ascii="宋体" w:hAnsi="宋体"/>
          <w:color w:val="auto"/>
          <w:sz w:val="24"/>
          <w:highlight w:val="none"/>
        </w:rPr>
      </w:pPr>
      <w:r>
        <w:rPr>
          <w:rFonts w:hint="eastAsia" w:ascii="宋体" w:hAnsi="宋体"/>
          <w:color w:val="auto"/>
          <w:sz w:val="24"/>
          <w:highlight w:val="none"/>
        </w:rPr>
        <w:t>投 标 人：</w:t>
      </w:r>
      <w:r>
        <w:rPr>
          <w:rFonts w:hint="eastAsia" w:ascii="宋体" w:hAnsi="宋体"/>
          <w:color w:val="auto"/>
          <w:sz w:val="24"/>
          <w:highlight w:val="none"/>
          <w:u w:val="single"/>
        </w:rPr>
        <w:t xml:space="preserve">                                                        </w:t>
      </w:r>
    </w:p>
    <w:p w14:paraId="2EB380FE">
      <w:pPr>
        <w:spacing w:line="500" w:lineRule="exact"/>
        <w:ind w:left="540"/>
        <w:rPr>
          <w:rFonts w:hint="eastAsia" w:ascii="宋体" w:hAnsi="宋体"/>
          <w:color w:val="auto"/>
          <w:sz w:val="24"/>
          <w:highlight w:val="none"/>
        </w:rPr>
      </w:pPr>
      <w:r>
        <w:rPr>
          <w:rFonts w:hint="eastAsia" w:ascii="宋体" w:hAnsi="宋体"/>
          <w:color w:val="auto"/>
          <w:sz w:val="24"/>
          <w:highlight w:val="none"/>
        </w:rPr>
        <w:t>地    址：</w:t>
      </w:r>
      <w:r>
        <w:rPr>
          <w:rFonts w:hint="eastAsia" w:ascii="宋体" w:hAnsi="宋体"/>
          <w:color w:val="auto"/>
          <w:sz w:val="24"/>
          <w:highlight w:val="none"/>
          <w:u w:val="single"/>
        </w:rPr>
        <w:t xml:space="preserve">                                                        </w:t>
      </w:r>
    </w:p>
    <w:p w14:paraId="7DD035CF">
      <w:pPr>
        <w:spacing w:line="500" w:lineRule="exact"/>
        <w:ind w:left="540"/>
        <w:rPr>
          <w:rFonts w:hint="eastAsia" w:ascii="宋体" w:hAnsi="宋体"/>
          <w:color w:val="auto"/>
          <w:sz w:val="24"/>
          <w:highlight w:val="none"/>
        </w:rPr>
      </w:pPr>
      <w:r>
        <w:rPr>
          <w:rFonts w:hint="eastAsia" w:ascii="宋体" w:hAnsi="宋体"/>
          <w:color w:val="auto"/>
          <w:sz w:val="24"/>
          <w:highlight w:val="none"/>
        </w:rPr>
        <w:t>姓    名：</w:t>
      </w:r>
      <w:r>
        <w:rPr>
          <w:rFonts w:hint="eastAsia" w:ascii="宋体" w:hAnsi="宋体"/>
          <w:color w:val="auto"/>
          <w:sz w:val="24"/>
          <w:highlight w:val="none"/>
          <w:u w:val="single"/>
        </w:rPr>
        <w:t xml:space="preserve">                          </w:t>
      </w:r>
      <w:r>
        <w:rPr>
          <w:rFonts w:hint="eastAsia" w:ascii="宋体" w:hAnsi="宋体"/>
          <w:color w:val="auto"/>
          <w:sz w:val="24"/>
          <w:highlight w:val="none"/>
        </w:rPr>
        <w:t>性      别：</w:t>
      </w:r>
      <w:r>
        <w:rPr>
          <w:rFonts w:hint="eastAsia" w:ascii="宋体" w:hAnsi="宋体"/>
          <w:color w:val="auto"/>
          <w:sz w:val="24"/>
          <w:highlight w:val="none"/>
          <w:u w:val="single"/>
        </w:rPr>
        <w:t xml:space="preserve">                </w:t>
      </w:r>
    </w:p>
    <w:p w14:paraId="7404826F">
      <w:pPr>
        <w:spacing w:line="500" w:lineRule="exact"/>
        <w:ind w:left="540"/>
        <w:rPr>
          <w:rFonts w:hint="eastAsia" w:ascii="宋体" w:hAnsi="宋体"/>
          <w:color w:val="auto"/>
          <w:sz w:val="24"/>
          <w:highlight w:val="none"/>
          <w:u w:val="single"/>
        </w:rPr>
      </w:pPr>
      <w:r>
        <w:rPr>
          <w:rFonts w:hint="eastAsia" w:ascii="宋体" w:hAnsi="宋体"/>
          <w:color w:val="auto"/>
          <w:sz w:val="24"/>
          <w:highlight w:val="none"/>
        </w:rPr>
        <w:t>年    龄：</w:t>
      </w:r>
      <w:r>
        <w:rPr>
          <w:rFonts w:hint="eastAsia" w:ascii="宋体" w:hAnsi="宋体"/>
          <w:color w:val="auto"/>
          <w:sz w:val="24"/>
          <w:highlight w:val="none"/>
          <w:u w:val="single"/>
        </w:rPr>
        <w:t xml:space="preserve">                          </w:t>
      </w:r>
      <w:r>
        <w:rPr>
          <w:rFonts w:hint="eastAsia" w:ascii="宋体" w:hAnsi="宋体"/>
          <w:color w:val="auto"/>
          <w:sz w:val="24"/>
          <w:highlight w:val="none"/>
        </w:rPr>
        <w:t>职      务：</w:t>
      </w:r>
      <w:r>
        <w:rPr>
          <w:rFonts w:hint="eastAsia" w:ascii="宋体" w:hAnsi="宋体"/>
          <w:color w:val="auto"/>
          <w:sz w:val="24"/>
          <w:highlight w:val="none"/>
          <w:u w:val="single"/>
        </w:rPr>
        <w:t xml:space="preserve">                </w:t>
      </w:r>
    </w:p>
    <w:p w14:paraId="04A407DC">
      <w:pPr>
        <w:spacing w:line="500" w:lineRule="exact"/>
        <w:ind w:left="540"/>
        <w:rPr>
          <w:rFonts w:hint="eastAsia" w:ascii="宋体" w:hAnsi="宋体"/>
          <w:color w:val="auto"/>
          <w:sz w:val="24"/>
          <w:highlight w:val="none"/>
        </w:rPr>
      </w:pPr>
      <w:r>
        <w:rPr>
          <w:rFonts w:hint="eastAsia" w:ascii="宋体" w:hAnsi="宋体"/>
          <w:color w:val="auto"/>
          <w:sz w:val="24"/>
          <w:highlight w:val="none"/>
        </w:rPr>
        <w:t>身份证</w:t>
      </w:r>
      <w:r>
        <w:rPr>
          <w:rFonts w:hint="eastAsia"/>
          <w:color w:val="auto"/>
          <w:sz w:val="24"/>
          <w:highlight w:val="none"/>
        </w:rPr>
        <w:t>号码：</w:t>
      </w:r>
      <w:r>
        <w:rPr>
          <w:color w:val="auto"/>
          <w:sz w:val="24"/>
          <w:highlight w:val="none"/>
          <w:u w:val="single"/>
        </w:rPr>
        <w:t xml:space="preserve">                                 </w:t>
      </w:r>
    </w:p>
    <w:p w14:paraId="42F78968">
      <w:pPr>
        <w:spacing w:line="500" w:lineRule="exact"/>
        <w:ind w:left="540"/>
        <w:rPr>
          <w:rFonts w:hint="eastAsia"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（投标人名称）              </w:t>
      </w:r>
      <w:r>
        <w:rPr>
          <w:rFonts w:hint="eastAsia" w:ascii="宋体" w:hAnsi="宋体"/>
          <w:color w:val="auto"/>
          <w:sz w:val="24"/>
          <w:highlight w:val="none"/>
        </w:rPr>
        <w:t>的法定代表人（或分支机构负责人）。</w:t>
      </w:r>
    </w:p>
    <w:p w14:paraId="0AD47436">
      <w:pPr>
        <w:spacing w:line="500" w:lineRule="exact"/>
        <w:ind w:left="540"/>
        <w:rPr>
          <w:rFonts w:hint="eastAsia" w:ascii="宋体" w:hAnsi="宋体"/>
          <w:color w:val="auto"/>
          <w:sz w:val="24"/>
          <w:highlight w:val="none"/>
        </w:rPr>
      </w:pPr>
      <w:r>
        <w:rPr>
          <w:rFonts w:hint="eastAsia" w:ascii="宋体" w:hAnsi="宋体"/>
          <w:color w:val="auto"/>
          <w:sz w:val="24"/>
          <w:highlight w:val="none"/>
        </w:rPr>
        <w:t>特此证明。</w:t>
      </w:r>
    </w:p>
    <w:p w14:paraId="1D025A50">
      <w:pPr>
        <w:spacing w:line="500" w:lineRule="exact"/>
        <w:ind w:left="540"/>
        <w:rPr>
          <w:rFonts w:hint="eastAsia" w:ascii="宋体" w:hAnsi="宋体"/>
          <w:color w:val="auto"/>
          <w:sz w:val="24"/>
          <w:highlight w:val="none"/>
        </w:rPr>
      </w:pPr>
    </w:p>
    <w:p w14:paraId="6A419AB8">
      <w:pPr>
        <w:spacing w:line="500" w:lineRule="exact"/>
        <w:ind w:left="540"/>
        <w:rPr>
          <w:rFonts w:hint="eastAsia" w:ascii="宋体" w:hAnsi="宋体"/>
          <w:color w:val="auto"/>
          <w:sz w:val="24"/>
          <w:highlight w:val="none"/>
        </w:rPr>
      </w:pPr>
    </w:p>
    <w:p w14:paraId="3F1A3066">
      <w:pPr>
        <w:spacing w:line="500" w:lineRule="exact"/>
        <w:ind w:left="540"/>
        <w:rPr>
          <w:rFonts w:hint="eastAsia" w:ascii="宋体" w:hAnsi="宋体"/>
          <w:color w:val="auto"/>
          <w:sz w:val="24"/>
          <w:highlight w:val="none"/>
        </w:rPr>
      </w:pPr>
      <w:r>
        <w:rPr>
          <w:rFonts w:hint="eastAsia" w:ascii="宋体" w:hAnsi="宋体"/>
          <w:color w:val="auto"/>
          <w:sz w:val="24"/>
          <w:highlight w:val="none"/>
        </w:rPr>
        <w:t>附件：法定代表人（或分支机构负责人）有效身份证正反面复印件</w:t>
      </w:r>
    </w:p>
    <w:p w14:paraId="138007E0">
      <w:pPr>
        <w:spacing w:line="500" w:lineRule="exact"/>
        <w:ind w:left="540"/>
        <w:rPr>
          <w:rFonts w:hint="eastAsia" w:ascii="宋体" w:hAnsi="宋体"/>
          <w:color w:val="auto"/>
          <w:sz w:val="24"/>
          <w:highlight w:val="none"/>
        </w:rPr>
      </w:pPr>
    </w:p>
    <w:p w14:paraId="1732AA89">
      <w:pPr>
        <w:snapToGrid w:val="0"/>
        <w:spacing w:line="360" w:lineRule="auto"/>
        <w:ind w:firstLine="4935" w:firstLineChars="2350"/>
        <w:rPr>
          <w:rFonts w:hint="eastAsia" w:ascii="方正仿宋_GB2312" w:hAnsi="仿宋" w:eastAsia="方正仿宋_GB2312" w:cs="方正仿宋_GB2312"/>
          <w:color w:val="auto"/>
          <w:kern w:val="0"/>
          <w:sz w:val="24"/>
          <w:highlight w:val="none"/>
        </w:rPr>
      </w:pPr>
      <w:r>
        <w:rPr>
          <w:rFonts w:hAnsi="宋体"/>
          <w:color w:val="auto"/>
          <w:szCs w:val="21"/>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33C06CD9">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775E91E7">
      <w:pPr>
        <w:snapToGrid w:val="0"/>
        <w:spacing w:before="120" w:beforeLines="50" w:after="50"/>
        <w:jc w:val="center"/>
        <w:rPr>
          <w:rFonts w:hint="eastAsia" w:ascii="宋体" w:hAnsi="宋体"/>
          <w:b/>
          <w:color w:val="auto"/>
          <w:sz w:val="24"/>
          <w:highlight w:val="none"/>
        </w:rPr>
      </w:pPr>
    </w:p>
    <w:p w14:paraId="2AC96D88">
      <w:pPr>
        <w:snapToGrid w:val="0"/>
        <w:spacing w:before="120" w:beforeLines="50" w:after="50"/>
        <w:ind w:firstLine="600" w:firstLineChars="250"/>
        <w:jc w:val="left"/>
        <w:rPr>
          <w:rFonts w:hint="eastAsia" w:ascii="宋体" w:hAnsi="宋体"/>
          <w:color w:val="auto"/>
          <w:sz w:val="24"/>
          <w:highlight w:val="none"/>
        </w:rPr>
      </w:pPr>
      <w:r>
        <w:rPr>
          <w:rFonts w:hint="eastAsia" w:ascii="宋体" w:hAnsi="宋体"/>
          <w:color w:val="auto"/>
          <w:sz w:val="24"/>
          <w:highlight w:val="none"/>
        </w:rPr>
        <w:t>注：自然人投标的无需提供</w:t>
      </w:r>
    </w:p>
    <w:p w14:paraId="5FA9382B">
      <w:pPr>
        <w:snapToGrid w:val="0"/>
        <w:spacing w:before="120" w:beforeLines="50" w:after="50"/>
        <w:ind w:firstLine="600" w:firstLineChars="250"/>
        <w:jc w:val="left"/>
        <w:rPr>
          <w:rFonts w:hint="eastAsia" w:ascii="宋体" w:hAnsi="宋体"/>
          <w:color w:val="auto"/>
          <w:sz w:val="24"/>
          <w:highlight w:val="none"/>
        </w:rPr>
      </w:pPr>
    </w:p>
    <w:p w14:paraId="690F1E2D">
      <w:pPr>
        <w:snapToGrid w:val="0"/>
        <w:spacing w:before="120" w:beforeLines="50" w:after="50"/>
        <w:ind w:firstLine="602" w:firstLineChars="250"/>
        <w:jc w:val="left"/>
        <w:rPr>
          <w:rFonts w:hint="eastAsia" w:ascii="宋体" w:hAnsi="宋体"/>
          <w:b/>
          <w:color w:val="auto"/>
          <w:sz w:val="24"/>
          <w:szCs w:val="20"/>
          <w:highlight w:val="none"/>
        </w:rPr>
      </w:pPr>
    </w:p>
    <w:tbl>
      <w:tblPr>
        <w:tblStyle w:val="19"/>
        <w:tblpPr w:leftFromText="180" w:rightFromText="180" w:vertAnchor="text" w:horzAnchor="margin" w:tblpY="1169"/>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0"/>
      </w:tblGrid>
      <w:tr w14:paraId="6D67F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Borders>
              <w:top w:val="single" w:color="auto" w:sz="4" w:space="0"/>
              <w:left w:val="single" w:color="auto" w:sz="4" w:space="0"/>
              <w:bottom w:val="single" w:color="auto" w:sz="4" w:space="0"/>
              <w:right w:val="single" w:color="auto" w:sz="4" w:space="0"/>
            </w:tcBorders>
          </w:tcPr>
          <w:p w14:paraId="08CE2603">
            <w:pPr>
              <w:spacing w:line="360" w:lineRule="auto"/>
              <w:rPr>
                <w:rFonts w:ascii="宋体"/>
                <w:b/>
                <w:color w:val="auto"/>
                <w:sz w:val="24"/>
                <w:highlight w:val="none"/>
              </w:rPr>
            </w:pPr>
          </w:p>
          <w:p w14:paraId="35A23291">
            <w:pPr>
              <w:spacing w:line="360" w:lineRule="auto"/>
              <w:rPr>
                <w:rFonts w:ascii="宋体"/>
                <w:b/>
                <w:color w:val="auto"/>
                <w:sz w:val="24"/>
                <w:highlight w:val="none"/>
              </w:rPr>
            </w:pPr>
            <w:r>
              <w:rPr>
                <w:rFonts w:hint="eastAsia" w:ascii="宋体"/>
                <w:b/>
                <w:color w:val="auto"/>
                <w:sz w:val="24"/>
                <w:highlight w:val="none"/>
              </w:rPr>
              <w:t>法定代表人身份证复印件粘帖处（正、反面）</w:t>
            </w:r>
          </w:p>
        </w:tc>
      </w:tr>
    </w:tbl>
    <w:p w14:paraId="618FBBE1">
      <w:pPr>
        <w:snapToGrid w:val="0"/>
        <w:spacing w:before="295" w:after="295" w:line="360" w:lineRule="auto"/>
        <w:jc w:val="center"/>
        <w:rPr>
          <w:rFonts w:hint="eastAsia" w:ascii="宋体" w:hAnsi="宋体"/>
          <w:b/>
          <w:color w:val="auto"/>
          <w:kern w:val="0"/>
          <w:sz w:val="24"/>
          <w:szCs w:val="20"/>
          <w:highlight w:val="none"/>
        </w:rPr>
      </w:pPr>
      <w:r>
        <w:rPr>
          <w:rFonts w:hint="eastAsia" w:ascii="宋体" w:hAnsi="宋体"/>
          <w:b/>
          <w:color w:val="auto"/>
          <w:kern w:val="0"/>
          <w:sz w:val="24"/>
          <w:szCs w:val="20"/>
          <w:highlight w:val="none"/>
        </w:rPr>
        <w:t>附件：</w:t>
      </w:r>
      <w:r>
        <w:rPr>
          <w:rFonts w:hint="eastAsia" w:ascii="宋体" w:hAnsi="宋体"/>
          <w:b/>
          <w:color w:val="auto"/>
          <w:kern w:val="0"/>
          <w:sz w:val="24"/>
          <w:szCs w:val="20"/>
          <w:highlight w:val="none"/>
        </w:rPr>
        <w:br w:type="page"/>
      </w:r>
      <w:r>
        <w:rPr>
          <w:rFonts w:hint="eastAsia"/>
          <w:b/>
          <w:bCs/>
          <w:color w:val="auto"/>
          <w:kern w:val="0"/>
          <w:sz w:val="30"/>
          <w:szCs w:val="30"/>
          <w:highlight w:val="none"/>
        </w:rPr>
        <w:t>三、法定代表人授权委托书（如有委托时）</w:t>
      </w:r>
    </w:p>
    <w:p w14:paraId="621341C7">
      <w:pPr>
        <w:snapToGrid w:val="0"/>
        <w:spacing w:before="120" w:beforeLines="50" w:after="50"/>
        <w:jc w:val="center"/>
        <w:rPr>
          <w:rFonts w:hint="eastAsia" w:ascii="宋体" w:hAnsi="宋体"/>
          <w:b/>
          <w:color w:val="auto"/>
          <w:sz w:val="32"/>
          <w:szCs w:val="32"/>
          <w:highlight w:val="none"/>
        </w:rPr>
      </w:pPr>
      <w:r>
        <w:rPr>
          <w:rFonts w:hint="eastAsia" w:ascii="宋体" w:hAnsi="宋体"/>
          <w:b/>
          <w:color w:val="auto"/>
          <w:sz w:val="32"/>
          <w:szCs w:val="32"/>
          <w:highlight w:val="none"/>
        </w:rPr>
        <w:t>法定代表人授权委托书</w:t>
      </w:r>
    </w:p>
    <w:p w14:paraId="3E435C1F">
      <w:pPr>
        <w:spacing w:line="440" w:lineRule="exact"/>
        <w:rPr>
          <w:color w:val="auto"/>
          <w:kern w:val="0"/>
          <w:szCs w:val="21"/>
          <w:highlight w:val="none"/>
        </w:rPr>
      </w:pPr>
      <w:r>
        <w:rPr>
          <w:rFonts w:hint="eastAsia"/>
          <w:color w:val="auto"/>
          <w:kern w:val="0"/>
          <w:szCs w:val="21"/>
          <w:highlight w:val="none"/>
        </w:rPr>
        <w:t>致：</w:t>
      </w:r>
      <w:r>
        <w:rPr>
          <w:color w:val="auto"/>
          <w:kern w:val="0"/>
          <w:szCs w:val="21"/>
          <w:highlight w:val="none"/>
          <w:u w:val="single"/>
        </w:rPr>
        <w:t xml:space="preserve"> </w:t>
      </w:r>
      <w:r>
        <w:rPr>
          <w:rFonts w:hint="eastAsia"/>
          <w:color w:val="auto"/>
          <w:kern w:val="0"/>
          <w:szCs w:val="21"/>
          <w:highlight w:val="none"/>
          <w:u w:val="single"/>
        </w:rPr>
        <w:t>广西翔正项目管理有限公司</w:t>
      </w:r>
      <w:r>
        <w:rPr>
          <w:color w:val="auto"/>
          <w:kern w:val="0"/>
          <w:szCs w:val="21"/>
          <w:highlight w:val="none"/>
          <w:u w:val="single"/>
        </w:rPr>
        <w:t xml:space="preserve"> </w:t>
      </w:r>
    </w:p>
    <w:p w14:paraId="229CE92F">
      <w:pPr>
        <w:spacing w:line="440" w:lineRule="exact"/>
        <w:ind w:firstLine="420" w:firstLineChars="200"/>
        <w:rPr>
          <w:color w:val="auto"/>
          <w:kern w:val="0"/>
          <w:szCs w:val="21"/>
          <w:highlight w:val="none"/>
        </w:rPr>
      </w:pPr>
      <w:r>
        <w:rPr>
          <w:rFonts w:hint="eastAsia"/>
          <w:color w:val="auto"/>
          <w:kern w:val="0"/>
          <w:szCs w:val="21"/>
          <w:highlight w:val="none"/>
        </w:rPr>
        <w:t>本人</w:t>
      </w:r>
      <w:r>
        <w:rPr>
          <w:color w:val="auto"/>
          <w:kern w:val="0"/>
          <w:szCs w:val="21"/>
          <w:highlight w:val="none"/>
          <w:u w:val="single"/>
        </w:rPr>
        <w:t xml:space="preserve">        </w:t>
      </w:r>
      <w:r>
        <w:rPr>
          <w:rFonts w:hint="eastAsia"/>
          <w:color w:val="auto"/>
          <w:kern w:val="0"/>
          <w:szCs w:val="21"/>
          <w:highlight w:val="none"/>
        </w:rPr>
        <w:t>（姓名）系</w:t>
      </w:r>
      <w:r>
        <w:rPr>
          <w:color w:val="auto"/>
          <w:kern w:val="0"/>
          <w:szCs w:val="21"/>
          <w:highlight w:val="none"/>
          <w:u w:val="single"/>
        </w:rPr>
        <w:t xml:space="preserve">                 </w:t>
      </w:r>
      <w:r>
        <w:rPr>
          <w:rFonts w:hint="eastAsia"/>
          <w:color w:val="auto"/>
          <w:kern w:val="0"/>
          <w:szCs w:val="21"/>
          <w:highlight w:val="none"/>
        </w:rPr>
        <w:t>（投标人名称）的法定代表人（或分支机构负责人），现授权我单位在职正式员工</w:t>
      </w:r>
      <w:r>
        <w:rPr>
          <w:color w:val="auto"/>
          <w:kern w:val="0"/>
          <w:szCs w:val="21"/>
          <w:highlight w:val="none"/>
          <w:u w:val="single"/>
        </w:rPr>
        <w:t xml:space="preserve">        </w:t>
      </w:r>
      <w:r>
        <w:rPr>
          <w:rFonts w:hint="eastAsia"/>
          <w:color w:val="auto"/>
          <w:kern w:val="0"/>
          <w:szCs w:val="21"/>
          <w:highlight w:val="none"/>
        </w:rPr>
        <w:t>（姓名和职务）为我方代理人。代理人根据授权，以我方名义签署、澄清、说明、补正、递交、撤回、修改贵方组织的</w:t>
      </w:r>
      <w:r>
        <w:rPr>
          <w:rFonts w:hint="eastAsia" w:ascii="宋体" w:hAnsi="Courier New"/>
          <w:color w:val="auto"/>
          <w:kern w:val="0"/>
          <w:szCs w:val="21"/>
          <w:highlight w:val="none"/>
          <w:u w:val="single"/>
        </w:rPr>
        <w:t xml:space="preserve"> </w:t>
      </w:r>
      <w:r>
        <w:rPr>
          <w:rFonts w:hint="eastAsia" w:ascii="宋体" w:hAnsi="Courier New"/>
          <w:color w:val="auto"/>
          <w:kern w:val="0"/>
          <w:szCs w:val="21"/>
          <w:highlight w:val="none"/>
          <w:u w:val="single"/>
          <w:lang w:eastAsia="zh-CN"/>
        </w:rPr>
        <w:t>2026年广西政务服务统一评估服务项目</w:t>
      </w:r>
      <w:r>
        <w:rPr>
          <w:rFonts w:hint="eastAsia" w:ascii="宋体" w:hAnsi="Courier New"/>
          <w:color w:val="auto"/>
          <w:kern w:val="0"/>
          <w:szCs w:val="21"/>
          <w:highlight w:val="none"/>
        </w:rPr>
        <w:t>项目（项目编号：</w:t>
      </w:r>
      <w:r>
        <w:rPr>
          <w:rFonts w:hint="eastAsia" w:ascii="宋体" w:hAnsi="宋体"/>
          <w:color w:val="auto"/>
          <w:kern w:val="0"/>
          <w:szCs w:val="21"/>
          <w:highlight w:val="none"/>
          <w:u w:val="single"/>
        </w:rPr>
        <w:t xml:space="preserve">             </w:t>
      </w:r>
      <w:r>
        <w:rPr>
          <w:rFonts w:hint="eastAsia" w:ascii="宋体" w:hAnsi="Courier New"/>
          <w:color w:val="auto"/>
          <w:kern w:val="0"/>
          <w:szCs w:val="21"/>
          <w:highlight w:val="none"/>
        </w:rPr>
        <w:t>）</w:t>
      </w:r>
      <w:r>
        <w:rPr>
          <w:rFonts w:hint="eastAsia"/>
          <w:color w:val="auto"/>
          <w:kern w:val="0"/>
          <w:szCs w:val="21"/>
          <w:highlight w:val="none"/>
        </w:rPr>
        <w:t>的投标文件、签订合同和处理一切有关事宜，其法律后果由我方承担。</w:t>
      </w:r>
    </w:p>
    <w:p w14:paraId="49926246">
      <w:pPr>
        <w:spacing w:line="440" w:lineRule="exact"/>
        <w:ind w:firstLine="420" w:firstLineChars="200"/>
        <w:rPr>
          <w:color w:val="auto"/>
          <w:kern w:val="0"/>
          <w:szCs w:val="21"/>
          <w:highlight w:val="none"/>
        </w:rPr>
      </w:pPr>
      <w:r>
        <w:rPr>
          <w:rFonts w:hint="eastAsia"/>
          <w:color w:val="auto"/>
          <w:kern w:val="0"/>
          <w:szCs w:val="21"/>
          <w:highlight w:val="none"/>
        </w:rPr>
        <w:t>本授权书于</w:t>
      </w:r>
      <w:r>
        <w:rPr>
          <w:rFonts w:hint="eastAsia" w:ascii="宋体" w:hAnsi="Courier New"/>
          <w:color w:val="auto"/>
          <w:spacing w:val="10"/>
          <w:kern w:val="0"/>
          <w:szCs w:val="21"/>
          <w:highlight w:val="none"/>
          <w:u w:val="single"/>
        </w:rPr>
        <w:t xml:space="preserve">    </w:t>
      </w:r>
      <w:r>
        <w:rPr>
          <w:rFonts w:hint="eastAsia"/>
          <w:color w:val="auto"/>
          <w:kern w:val="0"/>
          <w:szCs w:val="21"/>
          <w:highlight w:val="none"/>
        </w:rPr>
        <w:t>年</w:t>
      </w:r>
      <w:r>
        <w:rPr>
          <w:rFonts w:hint="eastAsia" w:ascii="宋体" w:hAnsi="Courier New"/>
          <w:color w:val="auto"/>
          <w:spacing w:val="10"/>
          <w:kern w:val="0"/>
          <w:szCs w:val="21"/>
          <w:highlight w:val="none"/>
          <w:u w:val="single"/>
        </w:rPr>
        <w:t xml:space="preserve">    </w:t>
      </w:r>
      <w:r>
        <w:rPr>
          <w:rFonts w:hint="eastAsia"/>
          <w:color w:val="auto"/>
          <w:kern w:val="0"/>
          <w:szCs w:val="21"/>
          <w:highlight w:val="none"/>
        </w:rPr>
        <w:t>月</w:t>
      </w:r>
      <w:r>
        <w:rPr>
          <w:rFonts w:hint="eastAsia" w:ascii="宋体" w:hAnsi="Courier New"/>
          <w:color w:val="auto"/>
          <w:spacing w:val="10"/>
          <w:kern w:val="0"/>
          <w:szCs w:val="21"/>
          <w:highlight w:val="none"/>
          <w:u w:val="single"/>
        </w:rPr>
        <w:t xml:space="preserve">    </w:t>
      </w:r>
      <w:r>
        <w:rPr>
          <w:rFonts w:hint="eastAsia"/>
          <w:color w:val="auto"/>
          <w:kern w:val="0"/>
          <w:szCs w:val="21"/>
          <w:highlight w:val="none"/>
        </w:rPr>
        <w:t>日签字生效，委托期限：</w:t>
      </w:r>
      <w:r>
        <w:rPr>
          <w:rFonts w:hint="eastAsia" w:ascii="宋体" w:hAnsi="Courier New"/>
          <w:color w:val="auto"/>
          <w:spacing w:val="10"/>
          <w:kern w:val="0"/>
          <w:szCs w:val="21"/>
          <w:highlight w:val="none"/>
          <w:u w:val="single"/>
        </w:rPr>
        <w:t xml:space="preserve">    </w:t>
      </w:r>
      <w:r>
        <w:rPr>
          <w:rFonts w:hint="eastAsia"/>
          <w:color w:val="auto"/>
          <w:kern w:val="0"/>
          <w:szCs w:val="21"/>
          <w:highlight w:val="none"/>
        </w:rPr>
        <w:t>。</w:t>
      </w:r>
    </w:p>
    <w:p w14:paraId="757883E8">
      <w:pPr>
        <w:spacing w:line="360" w:lineRule="auto"/>
        <w:ind w:firstLine="420"/>
        <w:rPr>
          <w:color w:val="auto"/>
          <w:kern w:val="0"/>
          <w:szCs w:val="21"/>
          <w:highlight w:val="none"/>
        </w:rPr>
      </w:pPr>
      <w:r>
        <w:rPr>
          <w:rFonts w:hint="eastAsia"/>
          <w:color w:val="auto"/>
          <w:kern w:val="0"/>
          <w:szCs w:val="21"/>
          <w:highlight w:val="none"/>
        </w:rPr>
        <w:t>代理人无转委托权。</w:t>
      </w:r>
    </w:p>
    <w:p w14:paraId="2509C2C3">
      <w:pPr>
        <w:spacing w:line="360" w:lineRule="auto"/>
        <w:ind w:firstLine="420"/>
        <w:rPr>
          <w:color w:val="auto"/>
          <w:kern w:val="0"/>
          <w:szCs w:val="21"/>
          <w:highlight w:val="none"/>
        </w:rPr>
      </w:pPr>
    </w:p>
    <w:p w14:paraId="454C57CC">
      <w:pPr>
        <w:spacing w:line="360" w:lineRule="auto"/>
        <w:ind w:firstLine="420"/>
        <w:rPr>
          <w:color w:val="auto"/>
          <w:kern w:val="0"/>
          <w:szCs w:val="21"/>
          <w:highlight w:val="none"/>
          <w:u w:val="single"/>
        </w:rPr>
      </w:pPr>
      <w:r>
        <w:rPr>
          <w:rFonts w:hint="eastAsia"/>
          <w:color w:val="auto"/>
          <w:kern w:val="0"/>
          <w:szCs w:val="21"/>
          <w:highlight w:val="none"/>
        </w:rPr>
        <w:t>投标人（或联合体投标</w:t>
      </w:r>
      <w:r>
        <w:rPr>
          <w:rFonts w:hint="eastAsia" w:ascii="宋体" w:hAnsi="Courier New" w:cs="宋体"/>
          <w:color w:val="auto"/>
          <w:kern w:val="0"/>
          <w:szCs w:val="21"/>
          <w:highlight w:val="none"/>
        </w:rPr>
        <w:t>牵头人名称</w:t>
      </w:r>
      <w:r>
        <w:rPr>
          <w:rFonts w:hint="eastAsia"/>
          <w:color w:val="auto"/>
          <w:kern w:val="0"/>
          <w:szCs w:val="21"/>
          <w:highlight w:val="none"/>
        </w:rPr>
        <w:t>）（盖单位公章）：</w:t>
      </w:r>
      <w:r>
        <w:rPr>
          <w:color w:val="auto"/>
          <w:kern w:val="0"/>
          <w:szCs w:val="21"/>
          <w:highlight w:val="none"/>
          <w:u w:val="single"/>
        </w:rPr>
        <w:t xml:space="preserve">                                    </w:t>
      </w:r>
    </w:p>
    <w:p w14:paraId="1447BF44">
      <w:pPr>
        <w:spacing w:line="360" w:lineRule="auto"/>
        <w:ind w:firstLine="420"/>
        <w:rPr>
          <w:color w:val="auto"/>
          <w:kern w:val="0"/>
          <w:szCs w:val="21"/>
          <w:highlight w:val="none"/>
          <w:u w:val="single"/>
        </w:rPr>
      </w:pPr>
      <w:r>
        <w:rPr>
          <w:rFonts w:hint="eastAsia"/>
          <w:color w:val="auto"/>
          <w:kern w:val="0"/>
          <w:szCs w:val="21"/>
          <w:highlight w:val="none"/>
        </w:rPr>
        <w:t>法定代表人（或分支机构负责人）（签字）：</w:t>
      </w:r>
      <w:r>
        <w:rPr>
          <w:color w:val="auto"/>
          <w:kern w:val="0"/>
          <w:szCs w:val="21"/>
          <w:highlight w:val="none"/>
          <w:u w:val="single"/>
        </w:rPr>
        <w:t xml:space="preserve">                                </w:t>
      </w:r>
    </w:p>
    <w:p w14:paraId="25C25946">
      <w:pPr>
        <w:spacing w:line="360" w:lineRule="auto"/>
        <w:ind w:firstLine="420"/>
        <w:rPr>
          <w:color w:val="auto"/>
          <w:kern w:val="0"/>
          <w:szCs w:val="21"/>
          <w:highlight w:val="none"/>
          <w:u w:val="single"/>
        </w:rPr>
      </w:pPr>
      <w:r>
        <w:rPr>
          <w:rFonts w:hint="eastAsia"/>
          <w:color w:val="auto"/>
          <w:kern w:val="0"/>
          <w:szCs w:val="21"/>
          <w:highlight w:val="none"/>
        </w:rPr>
        <w:t>法定代表人（或分支机构负责人）身份证号码：</w:t>
      </w:r>
      <w:r>
        <w:rPr>
          <w:color w:val="auto"/>
          <w:kern w:val="0"/>
          <w:szCs w:val="21"/>
          <w:highlight w:val="none"/>
          <w:u w:val="single"/>
        </w:rPr>
        <w:t xml:space="preserve">                                   </w:t>
      </w:r>
    </w:p>
    <w:p w14:paraId="678E2A1E">
      <w:pPr>
        <w:spacing w:line="360" w:lineRule="auto"/>
        <w:ind w:firstLine="420" w:firstLineChars="200"/>
        <w:rPr>
          <w:color w:val="auto"/>
          <w:kern w:val="0"/>
          <w:szCs w:val="21"/>
          <w:highlight w:val="none"/>
        </w:rPr>
      </w:pPr>
      <w:r>
        <w:rPr>
          <w:rFonts w:hint="eastAsia"/>
          <w:color w:val="auto"/>
          <w:kern w:val="0"/>
          <w:szCs w:val="21"/>
          <w:highlight w:val="none"/>
        </w:rPr>
        <w:t>委托代理人（签字）：</w:t>
      </w:r>
      <w:r>
        <w:rPr>
          <w:color w:val="auto"/>
          <w:kern w:val="0"/>
          <w:szCs w:val="21"/>
          <w:highlight w:val="none"/>
          <w:u w:val="single"/>
        </w:rPr>
        <w:t xml:space="preserve">                                </w:t>
      </w:r>
    </w:p>
    <w:p w14:paraId="76DC6B0B">
      <w:pPr>
        <w:spacing w:line="360" w:lineRule="auto"/>
        <w:ind w:firstLine="420"/>
        <w:rPr>
          <w:color w:val="auto"/>
          <w:kern w:val="0"/>
          <w:szCs w:val="21"/>
          <w:highlight w:val="none"/>
          <w:u w:val="single"/>
        </w:rPr>
      </w:pPr>
      <w:r>
        <w:rPr>
          <w:rFonts w:hint="eastAsia"/>
          <w:color w:val="auto"/>
          <w:kern w:val="0"/>
          <w:szCs w:val="21"/>
          <w:highlight w:val="none"/>
        </w:rPr>
        <w:t>委托代理人身份证号码：</w:t>
      </w:r>
      <w:r>
        <w:rPr>
          <w:color w:val="auto"/>
          <w:kern w:val="0"/>
          <w:szCs w:val="21"/>
          <w:highlight w:val="none"/>
          <w:u w:val="single"/>
        </w:rPr>
        <w:t xml:space="preserve">                                   </w:t>
      </w:r>
    </w:p>
    <w:p w14:paraId="053A6250">
      <w:pPr>
        <w:spacing w:line="360" w:lineRule="auto"/>
        <w:ind w:firstLine="420"/>
        <w:rPr>
          <w:color w:val="auto"/>
          <w:kern w:val="0"/>
          <w:szCs w:val="21"/>
          <w:highlight w:val="none"/>
          <w:u w:val="single"/>
        </w:rPr>
      </w:pPr>
    </w:p>
    <w:p w14:paraId="09E9ED9D">
      <w:pPr>
        <w:spacing w:line="360" w:lineRule="auto"/>
        <w:ind w:firstLine="420"/>
        <w:rPr>
          <w:color w:val="auto"/>
          <w:kern w:val="0"/>
          <w:szCs w:val="21"/>
          <w:highlight w:val="none"/>
          <w:u w:val="single"/>
        </w:rPr>
      </w:pPr>
      <w:r>
        <w:rPr>
          <w:rFonts w:hint="eastAsia" w:ascii="宋体" w:hAnsi="Courier New" w:cs="宋体"/>
          <w:color w:val="auto"/>
          <w:kern w:val="0"/>
          <w:szCs w:val="21"/>
          <w:highlight w:val="none"/>
        </w:rPr>
        <w:t>成员一名称：</w:t>
      </w:r>
      <w:r>
        <w:rPr>
          <w:rFonts w:hint="eastAsia"/>
          <w:color w:val="auto"/>
          <w:kern w:val="0"/>
          <w:szCs w:val="21"/>
          <w:highlight w:val="none"/>
        </w:rPr>
        <w:t>（盖单位公章）：</w:t>
      </w:r>
      <w:r>
        <w:rPr>
          <w:color w:val="auto"/>
          <w:kern w:val="0"/>
          <w:szCs w:val="21"/>
          <w:highlight w:val="none"/>
          <w:u w:val="single"/>
        </w:rPr>
        <w:t xml:space="preserve">                                    </w:t>
      </w:r>
    </w:p>
    <w:p w14:paraId="7E489A7E">
      <w:pPr>
        <w:spacing w:line="360" w:lineRule="auto"/>
        <w:ind w:firstLine="420"/>
        <w:rPr>
          <w:color w:val="auto"/>
          <w:kern w:val="0"/>
          <w:szCs w:val="21"/>
          <w:highlight w:val="none"/>
          <w:u w:val="single"/>
        </w:rPr>
      </w:pPr>
      <w:r>
        <w:rPr>
          <w:rFonts w:hint="eastAsia"/>
          <w:color w:val="auto"/>
          <w:kern w:val="0"/>
          <w:szCs w:val="21"/>
          <w:highlight w:val="none"/>
        </w:rPr>
        <w:t>法定代表人（或分支机构负责人）（签字）：</w:t>
      </w:r>
      <w:r>
        <w:rPr>
          <w:color w:val="auto"/>
          <w:kern w:val="0"/>
          <w:szCs w:val="21"/>
          <w:highlight w:val="none"/>
          <w:u w:val="single"/>
        </w:rPr>
        <w:t xml:space="preserve">                                </w:t>
      </w:r>
    </w:p>
    <w:p w14:paraId="6A89FB75">
      <w:pPr>
        <w:spacing w:line="360" w:lineRule="auto"/>
        <w:ind w:firstLine="420"/>
        <w:rPr>
          <w:color w:val="auto"/>
          <w:kern w:val="0"/>
          <w:szCs w:val="21"/>
          <w:highlight w:val="none"/>
          <w:u w:val="single"/>
        </w:rPr>
      </w:pPr>
    </w:p>
    <w:p w14:paraId="184AEB90">
      <w:pPr>
        <w:autoSpaceDE w:val="0"/>
        <w:autoSpaceDN w:val="0"/>
        <w:adjustRightInd w:val="0"/>
        <w:spacing w:line="360" w:lineRule="auto"/>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成员二名称：</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（盖单位公章）</w:t>
      </w:r>
    </w:p>
    <w:p w14:paraId="67616F11">
      <w:pPr>
        <w:autoSpaceDE w:val="0"/>
        <w:autoSpaceDN w:val="0"/>
        <w:adjustRightInd w:val="0"/>
        <w:spacing w:line="360" w:lineRule="auto"/>
        <w:ind w:firstLine="420" w:firstLineChars="200"/>
        <w:jc w:val="left"/>
        <w:rPr>
          <w:rFonts w:ascii="宋体" w:cs="宋体"/>
          <w:color w:val="auto"/>
          <w:kern w:val="0"/>
          <w:szCs w:val="21"/>
          <w:highlight w:val="none"/>
        </w:rPr>
      </w:pPr>
      <w:r>
        <w:rPr>
          <w:rFonts w:hint="eastAsia" w:ascii="宋体" w:cs="宋体"/>
          <w:color w:val="auto"/>
          <w:kern w:val="0"/>
          <w:szCs w:val="21"/>
          <w:highlight w:val="none"/>
        </w:rPr>
        <w:t>法定代表人</w:t>
      </w:r>
      <w:r>
        <w:rPr>
          <w:rFonts w:hint="eastAsia"/>
          <w:color w:val="auto"/>
          <w:kern w:val="0"/>
          <w:szCs w:val="21"/>
          <w:highlight w:val="none"/>
        </w:rPr>
        <w:t>（或分支机构负责人）</w:t>
      </w:r>
      <w:r>
        <w:rPr>
          <w:rFonts w:hint="eastAsia" w:ascii="宋体" w:cs="宋体"/>
          <w:color w:val="auto"/>
          <w:kern w:val="0"/>
          <w:szCs w:val="21"/>
          <w:highlight w:val="none"/>
        </w:rPr>
        <w:t>或其委托代理人：</w:t>
      </w:r>
      <w:r>
        <w:rPr>
          <w:rFonts w:hint="eastAsia" w:ascii="宋体" w:cs="宋体"/>
          <w:color w:val="auto"/>
          <w:kern w:val="0"/>
          <w:szCs w:val="21"/>
          <w:highlight w:val="none"/>
          <w:u w:val="single"/>
        </w:rPr>
        <w:t xml:space="preserve">                      </w:t>
      </w:r>
      <w:r>
        <w:rPr>
          <w:rFonts w:hint="eastAsia" w:ascii="宋体" w:cs="宋体"/>
          <w:color w:val="auto"/>
          <w:kern w:val="0"/>
          <w:szCs w:val="21"/>
          <w:highlight w:val="none"/>
        </w:rPr>
        <w:t>（签字）</w:t>
      </w:r>
    </w:p>
    <w:p w14:paraId="25F454A6">
      <w:pPr>
        <w:ind w:firstLine="400" w:firstLineChars="200"/>
        <w:rPr>
          <w:rFonts w:ascii="宋体" w:hAnsi="Courier New"/>
          <w:color w:val="auto"/>
          <w:kern w:val="0"/>
          <w:sz w:val="20"/>
          <w:szCs w:val="20"/>
          <w:highlight w:val="none"/>
        </w:rPr>
      </w:pPr>
      <w:r>
        <w:rPr>
          <w:rFonts w:hint="eastAsia" w:ascii="宋体" w:hAnsi="Courier New"/>
          <w:color w:val="auto"/>
          <w:kern w:val="0"/>
          <w:sz w:val="20"/>
          <w:szCs w:val="20"/>
          <w:highlight w:val="none"/>
        </w:rPr>
        <w:t>......</w:t>
      </w:r>
    </w:p>
    <w:p w14:paraId="6117116C">
      <w:pP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注：</w:t>
      </w:r>
    </w:p>
    <w:p w14:paraId="2D31DCEC">
      <w:pPr>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color w:val="auto"/>
          <w:highlight w:val="none"/>
        </w:rPr>
        <w:t xml:space="preserve"> </w:t>
      </w:r>
      <w:r>
        <w:rPr>
          <w:rFonts w:hint="eastAsia" w:ascii="方正仿宋_GB2312" w:hAnsi="方正仿宋_GB2312" w:eastAsia="方正仿宋_GB2312" w:cs="方正仿宋_GB2312"/>
          <w:color w:val="auto"/>
          <w:szCs w:val="21"/>
          <w:highlight w:val="none"/>
        </w:rPr>
        <w:t>法定代表人</w:t>
      </w:r>
      <w:r>
        <w:rPr>
          <w:rFonts w:hint="eastAsia"/>
          <w:color w:val="auto"/>
          <w:kern w:val="0"/>
          <w:sz w:val="20"/>
          <w:szCs w:val="20"/>
          <w:highlight w:val="none"/>
        </w:rPr>
        <w:t>（或分支机构负责人）</w:t>
      </w:r>
      <w:r>
        <w:rPr>
          <w:rFonts w:hint="eastAsia" w:ascii="方正仿宋_GB2312" w:hAnsi="方正仿宋_GB2312" w:eastAsia="方正仿宋_GB2312" w:cs="方正仿宋_GB2312"/>
          <w:color w:val="auto"/>
          <w:szCs w:val="21"/>
          <w:highlight w:val="none"/>
        </w:rPr>
        <w:t>和委托代理人必须在授权委托书上亲笔签名或签章，亲笔签名或签章是指通过指定电子化政府采购平台办理数字证书（CA认证）获得的以供应商法定代表人</w:t>
      </w:r>
      <w:r>
        <w:rPr>
          <w:rFonts w:hint="eastAsia"/>
          <w:color w:val="auto"/>
          <w:kern w:val="0"/>
          <w:sz w:val="20"/>
          <w:szCs w:val="20"/>
          <w:highlight w:val="none"/>
        </w:rPr>
        <w:t>（或分支机构负责人）</w:t>
      </w:r>
      <w:r>
        <w:rPr>
          <w:rFonts w:hint="eastAsia" w:ascii="方正仿宋_GB2312" w:hAnsi="方正仿宋_GB2312" w:eastAsia="方正仿宋_GB2312" w:cs="方正仿宋_GB2312"/>
          <w:color w:val="auto"/>
          <w:szCs w:val="21"/>
          <w:highlight w:val="none"/>
        </w:rPr>
        <w:t>或者委托代理人姓名制作的电子印章或手写签字，</w:t>
      </w:r>
      <w:r>
        <w:rPr>
          <w:rFonts w:hint="eastAsia" w:ascii="方正仿宋_GB2312" w:hAnsi="方正仿宋_GB2312" w:eastAsia="方正仿宋_GB2312" w:cs="方正仿宋_GB2312"/>
          <w:b/>
          <w:color w:val="auto"/>
          <w:szCs w:val="21"/>
          <w:highlight w:val="none"/>
        </w:rPr>
        <w:t>否则作无效投标处理</w:t>
      </w:r>
      <w:r>
        <w:rPr>
          <w:rFonts w:hint="eastAsia" w:ascii="方正仿宋_GB2312" w:hAnsi="方正仿宋_GB2312" w:eastAsia="方正仿宋_GB2312" w:cs="方正仿宋_GB2312"/>
          <w:color w:val="auto"/>
          <w:szCs w:val="21"/>
          <w:highlight w:val="none"/>
        </w:rPr>
        <w:t>；</w:t>
      </w:r>
    </w:p>
    <w:p w14:paraId="5B1E0E68">
      <w:pPr>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2.以联合体形式投标的，本授权委托书应由联合体牵头人的法定代表人</w:t>
      </w:r>
      <w:r>
        <w:rPr>
          <w:rFonts w:hint="eastAsia"/>
          <w:color w:val="auto"/>
          <w:kern w:val="0"/>
          <w:sz w:val="20"/>
          <w:szCs w:val="20"/>
          <w:highlight w:val="none"/>
        </w:rPr>
        <w:t>（或分支机构负责人）</w:t>
      </w:r>
      <w:r>
        <w:rPr>
          <w:rFonts w:hint="eastAsia" w:ascii="方正仿宋_GB2312" w:hAnsi="方正仿宋_GB2312" w:eastAsia="方正仿宋_GB2312" w:cs="方正仿宋_GB2312"/>
          <w:color w:val="auto"/>
          <w:szCs w:val="21"/>
          <w:highlight w:val="none"/>
        </w:rPr>
        <w:t>按上述规定签署。</w:t>
      </w:r>
    </w:p>
    <w:p w14:paraId="5EA1F151">
      <w:pPr>
        <w:snapToGrid w:val="0"/>
        <w:spacing w:before="50" w:after="120" w:afterLines="5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3.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4F629DD0">
      <w:pPr>
        <w:snapToGrid w:val="0"/>
        <w:spacing w:before="50" w:after="120" w:afterLines="5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4. 若为联合体投标须各方签字或盖章。</w:t>
      </w:r>
    </w:p>
    <w:p w14:paraId="6EAC78D1">
      <w:pPr>
        <w:spacing w:line="360" w:lineRule="auto"/>
        <w:rPr>
          <w:rFonts w:ascii="宋体"/>
          <w:b/>
          <w:color w:val="auto"/>
          <w:sz w:val="24"/>
          <w:highlight w:val="none"/>
        </w:rPr>
      </w:pPr>
    </w:p>
    <w:p w14:paraId="74A4D33E">
      <w:pPr>
        <w:spacing w:line="360" w:lineRule="auto"/>
        <w:rPr>
          <w:b/>
          <w:color w:val="auto"/>
          <w:sz w:val="24"/>
          <w:highlight w:val="none"/>
        </w:rPr>
      </w:pPr>
      <w:r>
        <w:rPr>
          <w:rFonts w:hint="eastAsia" w:ascii="宋体"/>
          <w:b/>
          <w:color w:val="auto"/>
          <w:sz w:val="24"/>
          <w:highlight w:val="none"/>
        </w:rPr>
        <w:t>附件：</w:t>
      </w:r>
    </w:p>
    <w:tbl>
      <w:tblPr>
        <w:tblStyle w:val="19"/>
        <w:tblpPr w:leftFromText="180" w:rightFromText="180" w:vertAnchor="text" w:horzAnchor="margin" w:tblpY="263"/>
        <w:tblW w:w="7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0"/>
      </w:tblGrid>
      <w:tr w14:paraId="621C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tcBorders>
              <w:top w:val="single" w:color="auto" w:sz="4" w:space="0"/>
              <w:left w:val="single" w:color="auto" w:sz="4" w:space="0"/>
              <w:bottom w:val="single" w:color="auto" w:sz="4" w:space="0"/>
              <w:right w:val="single" w:color="auto" w:sz="4" w:space="0"/>
            </w:tcBorders>
          </w:tcPr>
          <w:p w14:paraId="5EB9E8D1">
            <w:pPr>
              <w:spacing w:line="360" w:lineRule="auto"/>
              <w:rPr>
                <w:rFonts w:ascii="宋体"/>
                <w:b/>
                <w:color w:val="auto"/>
                <w:sz w:val="24"/>
                <w:highlight w:val="none"/>
              </w:rPr>
            </w:pPr>
          </w:p>
          <w:p w14:paraId="0BBB7AB6">
            <w:pPr>
              <w:spacing w:line="360" w:lineRule="auto"/>
              <w:rPr>
                <w:rFonts w:ascii="宋体"/>
                <w:b/>
                <w:color w:val="auto"/>
                <w:sz w:val="24"/>
                <w:highlight w:val="none"/>
              </w:rPr>
            </w:pPr>
            <w:r>
              <w:rPr>
                <w:rFonts w:hint="eastAsia" w:ascii="宋体"/>
                <w:b/>
                <w:color w:val="auto"/>
                <w:sz w:val="24"/>
                <w:highlight w:val="none"/>
              </w:rPr>
              <w:t>全权代表身份证复印件粘帖处（正、反面）</w:t>
            </w:r>
          </w:p>
        </w:tc>
      </w:tr>
    </w:tbl>
    <w:p w14:paraId="0323B6D0">
      <w:pPr>
        <w:snapToGrid w:val="0"/>
        <w:spacing w:before="50" w:after="120" w:afterLines="50" w:line="360" w:lineRule="auto"/>
        <w:jc w:val="left"/>
        <w:rPr>
          <w:rFonts w:hint="eastAsia" w:ascii="方正仿宋_GB2312" w:hAnsi="方正仿宋_GB2312" w:eastAsia="方正仿宋_GB2312" w:cs="方正仿宋_GB2312"/>
          <w:color w:val="auto"/>
          <w:szCs w:val="21"/>
          <w:highlight w:val="none"/>
        </w:rPr>
      </w:pPr>
    </w:p>
    <w:p w14:paraId="7FAF637B">
      <w:pPr>
        <w:snapToGrid w:val="0"/>
        <w:spacing w:before="120" w:beforeLines="50" w:after="50"/>
        <w:ind w:firstLine="566" w:firstLineChars="236"/>
        <w:jc w:val="center"/>
        <w:rPr>
          <w:rFonts w:hint="eastAsia" w:ascii="宋体" w:hAnsi="宋体"/>
          <w:color w:val="auto"/>
          <w:highlight w:val="none"/>
        </w:rPr>
      </w:pPr>
      <w:r>
        <w:rPr>
          <w:rFonts w:hint="eastAsia" w:ascii="宋体" w:hAnsi="宋体"/>
          <w:color w:val="auto"/>
          <w:sz w:val="24"/>
          <w:highlight w:val="none"/>
        </w:rPr>
        <w:t xml:space="preserve"> </w:t>
      </w:r>
      <w:r>
        <w:rPr>
          <w:rFonts w:hint="eastAsia" w:ascii="宋体" w:hAnsi="宋体"/>
          <w:color w:val="auto"/>
          <w:sz w:val="24"/>
          <w:highlight w:val="none"/>
        </w:rPr>
        <w:br w:type="page"/>
      </w:r>
    </w:p>
    <w:p w14:paraId="5D14F773">
      <w:pPr>
        <w:jc w:val="center"/>
        <w:rPr>
          <w:b/>
          <w:bCs/>
          <w:color w:val="auto"/>
          <w:sz w:val="30"/>
          <w:szCs w:val="30"/>
          <w:highlight w:val="none"/>
        </w:rPr>
      </w:pPr>
      <w:r>
        <w:rPr>
          <w:rFonts w:hint="eastAsia"/>
          <w:b/>
          <w:bCs/>
          <w:color w:val="auto"/>
          <w:sz w:val="30"/>
          <w:szCs w:val="30"/>
          <w:highlight w:val="none"/>
        </w:rPr>
        <w:t>四、商务条款偏离表</w:t>
      </w:r>
    </w:p>
    <w:p w14:paraId="391BFFB9">
      <w:pPr>
        <w:jc w:val="center"/>
        <w:rPr>
          <w:rFonts w:hint="eastAsia" w:ascii="宋体" w:hAnsi="宋体"/>
          <w:b/>
          <w:color w:val="auto"/>
          <w:sz w:val="24"/>
          <w:szCs w:val="20"/>
          <w:highlight w:val="none"/>
        </w:rPr>
      </w:pPr>
      <w:r>
        <w:rPr>
          <w:rFonts w:hint="eastAsia" w:ascii="宋体" w:hAnsi="宋体"/>
          <w:color w:val="auto"/>
          <w:sz w:val="30"/>
          <w:szCs w:val="20"/>
          <w:highlight w:val="none"/>
        </w:rPr>
        <w:t>(注：按项目需求表具体项目修改)</w:t>
      </w:r>
    </w:p>
    <w:p w14:paraId="105D3929">
      <w:pPr>
        <w:snapToGrid w:val="0"/>
        <w:spacing w:before="50"/>
        <w:jc w:val="left"/>
        <w:rPr>
          <w:rFonts w:hint="eastAsia" w:ascii="宋体" w:hAnsi="宋体"/>
          <w:color w:val="auto"/>
          <w:sz w:val="24"/>
          <w:highlight w:val="none"/>
        </w:rPr>
      </w:pPr>
    </w:p>
    <w:p w14:paraId="1BA68323">
      <w:pPr>
        <w:spacing w:line="360" w:lineRule="auto"/>
        <w:ind w:left="-424" w:leftChars="-202" w:firstLine="846"/>
        <w:rPr>
          <w:rFonts w:hint="eastAsia" w:ascii="宋体" w:hAnsi="宋体"/>
          <w:color w:val="auto"/>
          <w:kern w:val="0"/>
          <w:sz w:val="24"/>
          <w:highlight w:val="none"/>
        </w:rPr>
      </w:pPr>
      <w:r>
        <w:rPr>
          <w:rFonts w:hint="eastAsia"/>
          <w:color w:val="auto"/>
          <w:kern w:val="0"/>
          <w:sz w:val="20"/>
          <w:szCs w:val="20"/>
          <w:highlight w:val="none"/>
        </w:rPr>
        <w:t>请逐条对应本项目招标文件第二章“服务需求一览表”中“商务条款”的要求，详细填写相应的具体内容。“偏离说明”一栏应当选择“正偏离”、“负偏离”或“无偏离”进行填写。</w:t>
      </w:r>
    </w:p>
    <w:tbl>
      <w:tblPr>
        <w:tblStyle w:val="19"/>
        <w:tblpPr w:leftFromText="180" w:rightFromText="180" w:vertAnchor="text" w:horzAnchor="margin" w:tblpXSpec="center" w:tblpY="94"/>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757"/>
        <w:gridCol w:w="2516"/>
        <w:gridCol w:w="2516"/>
      </w:tblGrid>
      <w:tr w14:paraId="40D0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tcBorders>
              <w:top w:val="single" w:color="auto" w:sz="4" w:space="0"/>
              <w:left w:val="single" w:color="auto" w:sz="4" w:space="0"/>
              <w:right w:val="single" w:color="auto" w:sz="4" w:space="0"/>
            </w:tcBorders>
            <w:noWrap/>
          </w:tcPr>
          <w:p w14:paraId="7393ABD8">
            <w:pPr>
              <w:spacing w:line="340" w:lineRule="exact"/>
              <w:jc w:val="center"/>
              <w:rPr>
                <w:rFonts w:hint="eastAsia" w:ascii="宋体" w:hAnsi="宋体"/>
                <w:color w:val="auto"/>
                <w:szCs w:val="21"/>
                <w:highlight w:val="none"/>
              </w:rPr>
            </w:pPr>
            <w:r>
              <w:rPr>
                <w:rFonts w:hint="eastAsia" w:ascii="宋体" w:hAnsi="宋体"/>
                <w:color w:val="auto"/>
                <w:szCs w:val="21"/>
                <w:highlight w:val="none"/>
              </w:rPr>
              <w:t>项号</w:t>
            </w:r>
          </w:p>
        </w:tc>
        <w:tc>
          <w:tcPr>
            <w:tcW w:w="3757" w:type="dxa"/>
            <w:tcBorders>
              <w:top w:val="single" w:color="auto" w:sz="4" w:space="0"/>
              <w:left w:val="single" w:color="auto" w:sz="4" w:space="0"/>
              <w:bottom w:val="single" w:color="auto" w:sz="4" w:space="0"/>
              <w:right w:val="single" w:color="auto" w:sz="4" w:space="0"/>
            </w:tcBorders>
            <w:noWrap/>
          </w:tcPr>
          <w:p w14:paraId="5E37BEC7">
            <w:pPr>
              <w:spacing w:line="340" w:lineRule="exact"/>
              <w:jc w:val="center"/>
              <w:rPr>
                <w:rFonts w:hint="eastAsia" w:ascii="宋体" w:hAnsi="宋体"/>
                <w:color w:val="auto"/>
                <w:szCs w:val="21"/>
                <w:highlight w:val="none"/>
              </w:rPr>
            </w:pPr>
            <w:r>
              <w:rPr>
                <w:rFonts w:hint="eastAsia" w:ascii="宋体" w:hAnsi="宋体"/>
                <w:color w:val="auto"/>
                <w:szCs w:val="21"/>
                <w:highlight w:val="none"/>
              </w:rPr>
              <w:t>招标文件的商务需求</w:t>
            </w:r>
          </w:p>
        </w:tc>
        <w:tc>
          <w:tcPr>
            <w:tcW w:w="2516" w:type="dxa"/>
            <w:tcBorders>
              <w:top w:val="single" w:color="auto" w:sz="4" w:space="0"/>
              <w:left w:val="single" w:color="auto" w:sz="4" w:space="0"/>
              <w:right w:val="single" w:color="auto" w:sz="4" w:space="0"/>
            </w:tcBorders>
          </w:tcPr>
          <w:p w14:paraId="6E5F3FAF">
            <w:pPr>
              <w:spacing w:line="340" w:lineRule="exact"/>
              <w:jc w:val="center"/>
              <w:rPr>
                <w:rFonts w:hint="eastAsia" w:ascii="宋体" w:hAnsi="宋体"/>
                <w:color w:val="auto"/>
                <w:szCs w:val="21"/>
                <w:highlight w:val="none"/>
              </w:rPr>
            </w:pPr>
            <w:r>
              <w:rPr>
                <w:rFonts w:hint="eastAsia" w:ascii="宋体" w:hAnsi="宋体"/>
                <w:color w:val="auto"/>
                <w:szCs w:val="21"/>
                <w:highlight w:val="none"/>
              </w:rPr>
              <w:t>投标文件承诺的商务条款</w:t>
            </w:r>
          </w:p>
        </w:tc>
        <w:tc>
          <w:tcPr>
            <w:tcW w:w="2516" w:type="dxa"/>
            <w:tcBorders>
              <w:top w:val="single" w:color="auto" w:sz="4" w:space="0"/>
              <w:left w:val="single" w:color="auto" w:sz="4" w:space="0"/>
              <w:right w:val="single" w:color="auto" w:sz="4" w:space="0"/>
            </w:tcBorders>
          </w:tcPr>
          <w:p w14:paraId="5F050F20">
            <w:pPr>
              <w:spacing w:line="300" w:lineRule="exact"/>
              <w:jc w:val="center"/>
              <w:rPr>
                <w:rFonts w:hint="eastAsia" w:ascii="宋体" w:hAnsi="宋体"/>
                <w:color w:val="auto"/>
                <w:szCs w:val="21"/>
                <w:highlight w:val="none"/>
              </w:rPr>
            </w:pPr>
            <w:r>
              <w:rPr>
                <w:rFonts w:hint="eastAsia" w:ascii="宋体" w:hAnsi="宋体"/>
                <w:color w:val="auto"/>
                <w:szCs w:val="21"/>
                <w:highlight w:val="none"/>
              </w:rPr>
              <w:t>偏离说明</w:t>
            </w:r>
          </w:p>
        </w:tc>
      </w:tr>
      <w:tr w14:paraId="3AB8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75C405CC">
            <w:pPr>
              <w:spacing w:line="340" w:lineRule="exact"/>
              <w:rPr>
                <w:rFonts w:hint="eastAsia" w:ascii="宋体" w:hAnsi="宋体"/>
                <w:color w:val="auto"/>
                <w:szCs w:val="21"/>
                <w:highlight w:val="none"/>
              </w:rPr>
            </w:pPr>
            <w:r>
              <w:rPr>
                <w:rFonts w:hint="eastAsia" w:ascii="宋体" w:hAnsi="宋体"/>
                <w:color w:val="auto"/>
                <w:szCs w:val="21"/>
                <w:highlight w:val="none"/>
              </w:rPr>
              <w:t>一</w:t>
            </w:r>
          </w:p>
        </w:tc>
        <w:tc>
          <w:tcPr>
            <w:tcW w:w="3757" w:type="dxa"/>
            <w:tcBorders>
              <w:top w:val="single" w:color="auto" w:sz="4" w:space="0"/>
              <w:left w:val="single" w:color="auto" w:sz="4" w:space="0"/>
              <w:bottom w:val="single" w:color="auto" w:sz="4" w:space="0"/>
              <w:right w:val="single" w:color="auto" w:sz="4" w:space="0"/>
            </w:tcBorders>
            <w:noWrap/>
          </w:tcPr>
          <w:p w14:paraId="5455071C">
            <w:pPr>
              <w:rPr>
                <w:rFonts w:hint="eastAsia"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tcPr>
          <w:p w14:paraId="17AC908E">
            <w:pPr>
              <w:rPr>
                <w:rFonts w:hint="eastAsia"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tcPr>
          <w:p w14:paraId="692AB0D2">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42810E13">
            <w:pPr>
              <w:spacing w:line="300" w:lineRule="exact"/>
              <w:rPr>
                <w:rFonts w:hint="eastAsia" w:ascii="宋体" w:hAnsi="宋体"/>
                <w:color w:val="auto"/>
                <w:szCs w:val="21"/>
                <w:highlight w:val="none"/>
              </w:rPr>
            </w:pPr>
          </w:p>
        </w:tc>
      </w:tr>
      <w:tr w14:paraId="0D40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2B640775">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08932BE9">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0EB465C1">
            <w:pPr>
              <w:spacing w:line="34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7EA7931C">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1AF63661">
            <w:pPr>
              <w:spacing w:line="30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6E1F7F17">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0AF39081">
            <w:pPr>
              <w:spacing w:line="300" w:lineRule="exact"/>
              <w:rPr>
                <w:rFonts w:hint="eastAsia" w:ascii="宋体" w:hAnsi="宋体"/>
                <w:color w:val="auto"/>
                <w:szCs w:val="21"/>
                <w:highlight w:val="none"/>
              </w:rPr>
            </w:pPr>
          </w:p>
        </w:tc>
      </w:tr>
      <w:tr w14:paraId="27D3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0914E8A7">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314BB8C1">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tcPr>
          <w:p w14:paraId="17FE8912">
            <w:pPr>
              <w:spacing w:line="300" w:lineRule="exact"/>
              <w:rPr>
                <w:rFonts w:hint="eastAsia"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tcPr>
          <w:p w14:paraId="2D15A1C8">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2DA1D918">
            <w:pPr>
              <w:spacing w:line="300" w:lineRule="exact"/>
              <w:rPr>
                <w:rFonts w:hint="eastAsia" w:ascii="宋体" w:hAnsi="宋体"/>
                <w:color w:val="auto"/>
                <w:szCs w:val="21"/>
                <w:highlight w:val="none"/>
              </w:rPr>
            </w:pPr>
          </w:p>
        </w:tc>
      </w:tr>
      <w:tr w14:paraId="569A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22A69ED3">
            <w:pPr>
              <w:spacing w:line="340" w:lineRule="exact"/>
              <w:rPr>
                <w:rFonts w:hint="eastAsia" w:ascii="宋体" w:hAnsi="宋体"/>
                <w:color w:val="auto"/>
                <w:szCs w:val="21"/>
                <w:highlight w:val="none"/>
              </w:rPr>
            </w:pPr>
            <w:r>
              <w:rPr>
                <w:rFonts w:hint="eastAsia" w:ascii="宋体" w:hAnsi="宋体"/>
                <w:color w:val="auto"/>
                <w:szCs w:val="21"/>
                <w:highlight w:val="none"/>
              </w:rPr>
              <w:t>二</w:t>
            </w:r>
          </w:p>
        </w:tc>
        <w:tc>
          <w:tcPr>
            <w:tcW w:w="3757" w:type="dxa"/>
            <w:tcBorders>
              <w:top w:val="single" w:color="auto" w:sz="4" w:space="0"/>
              <w:left w:val="single" w:color="auto" w:sz="4" w:space="0"/>
              <w:bottom w:val="single" w:color="auto" w:sz="4" w:space="0"/>
              <w:right w:val="single" w:color="auto" w:sz="4" w:space="0"/>
            </w:tcBorders>
            <w:noWrap/>
          </w:tcPr>
          <w:p w14:paraId="5E014ABE">
            <w:pPr>
              <w:rPr>
                <w:rFonts w:hint="eastAsia"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tcPr>
          <w:p w14:paraId="63E985FC">
            <w:pPr>
              <w:rPr>
                <w:rFonts w:hint="eastAsia"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tcPr>
          <w:p w14:paraId="51CFE322">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742312C0">
            <w:pPr>
              <w:spacing w:line="300" w:lineRule="exact"/>
              <w:rPr>
                <w:rFonts w:hint="eastAsia" w:ascii="宋体" w:hAnsi="宋体"/>
                <w:color w:val="auto"/>
                <w:szCs w:val="21"/>
                <w:highlight w:val="none"/>
              </w:rPr>
            </w:pPr>
          </w:p>
        </w:tc>
      </w:tr>
      <w:tr w14:paraId="0813B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20A9A0E3">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55F624DB">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7316D8DD">
            <w:pPr>
              <w:spacing w:line="34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14A3127F">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1ADC42D0">
            <w:pPr>
              <w:spacing w:line="30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6A7D736B">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3BB5A238">
            <w:pPr>
              <w:spacing w:line="300" w:lineRule="exact"/>
              <w:rPr>
                <w:rFonts w:hint="eastAsia" w:ascii="宋体" w:hAnsi="宋体"/>
                <w:color w:val="auto"/>
                <w:szCs w:val="21"/>
                <w:highlight w:val="none"/>
              </w:rPr>
            </w:pPr>
          </w:p>
        </w:tc>
      </w:tr>
      <w:tr w14:paraId="0ECE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7D1570DC">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7230586E">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tcPr>
          <w:p w14:paraId="7A2870A2">
            <w:pPr>
              <w:spacing w:line="300" w:lineRule="exact"/>
              <w:rPr>
                <w:rFonts w:hint="eastAsia"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tcPr>
          <w:p w14:paraId="3C645233">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41B71405">
            <w:pPr>
              <w:spacing w:line="300" w:lineRule="exact"/>
              <w:rPr>
                <w:rFonts w:hint="eastAsia" w:ascii="宋体" w:hAnsi="宋体"/>
                <w:color w:val="auto"/>
                <w:szCs w:val="21"/>
                <w:highlight w:val="none"/>
              </w:rPr>
            </w:pPr>
          </w:p>
        </w:tc>
      </w:tr>
      <w:tr w14:paraId="6126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91" w:type="dxa"/>
            <w:vMerge w:val="restart"/>
            <w:tcBorders>
              <w:top w:val="single" w:color="auto" w:sz="4" w:space="0"/>
              <w:left w:val="single" w:color="auto" w:sz="4" w:space="0"/>
              <w:right w:val="single" w:color="auto" w:sz="4" w:space="0"/>
            </w:tcBorders>
            <w:noWrap/>
          </w:tcPr>
          <w:p w14:paraId="185D90EA">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3757" w:type="dxa"/>
            <w:tcBorders>
              <w:top w:val="single" w:color="auto" w:sz="4" w:space="0"/>
              <w:left w:val="single" w:color="auto" w:sz="4" w:space="0"/>
              <w:bottom w:val="single" w:color="auto" w:sz="4" w:space="0"/>
              <w:right w:val="single" w:color="auto" w:sz="4" w:space="0"/>
            </w:tcBorders>
            <w:noWrap/>
          </w:tcPr>
          <w:p w14:paraId="34AC12D9">
            <w:pPr>
              <w:rPr>
                <w:rFonts w:hint="eastAsia"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tcPr>
          <w:p w14:paraId="2E0F2655">
            <w:pPr>
              <w:rPr>
                <w:rFonts w:hint="eastAsia" w:ascii="宋体" w:hAnsi="宋体"/>
                <w:color w:val="auto"/>
                <w:szCs w:val="21"/>
                <w:highlight w:val="none"/>
              </w:rPr>
            </w:pPr>
            <w:r>
              <w:rPr>
                <w:rFonts w:hint="eastAsia" w:ascii="宋体" w:hAnsi="宋体"/>
                <w:color w:val="auto"/>
                <w:szCs w:val="21"/>
                <w:highlight w:val="none"/>
              </w:rPr>
              <w:t>1  ……</w:t>
            </w:r>
          </w:p>
        </w:tc>
        <w:tc>
          <w:tcPr>
            <w:tcW w:w="2516" w:type="dxa"/>
            <w:tcBorders>
              <w:top w:val="single" w:color="auto" w:sz="4" w:space="0"/>
              <w:left w:val="single" w:color="auto" w:sz="4" w:space="0"/>
              <w:right w:val="single" w:color="auto" w:sz="4" w:space="0"/>
            </w:tcBorders>
          </w:tcPr>
          <w:p w14:paraId="25716080">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76499BF8">
            <w:pPr>
              <w:spacing w:line="300" w:lineRule="exact"/>
              <w:rPr>
                <w:rFonts w:hint="eastAsia" w:ascii="宋体" w:hAnsi="宋体"/>
                <w:color w:val="auto"/>
                <w:szCs w:val="21"/>
                <w:highlight w:val="none"/>
              </w:rPr>
            </w:pPr>
          </w:p>
        </w:tc>
      </w:tr>
      <w:tr w14:paraId="24CE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0C765246">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33B3704C">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6ED7B018">
            <w:pPr>
              <w:spacing w:line="34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48AC2ECE">
            <w:pPr>
              <w:spacing w:line="340" w:lineRule="exact"/>
              <w:rPr>
                <w:rFonts w:hint="eastAsia" w:ascii="宋体" w:hAnsi="宋体"/>
                <w:color w:val="auto"/>
                <w:szCs w:val="21"/>
                <w:highlight w:val="none"/>
              </w:rPr>
            </w:pPr>
            <w:r>
              <w:rPr>
                <w:rFonts w:hint="eastAsia" w:ascii="宋体" w:hAnsi="宋体"/>
                <w:color w:val="auto"/>
                <w:szCs w:val="21"/>
                <w:highlight w:val="none"/>
              </w:rPr>
              <w:t>2  ……</w:t>
            </w:r>
          </w:p>
          <w:p w14:paraId="373AB05A">
            <w:pPr>
              <w:spacing w:line="30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6FA4C307">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02898ACF">
            <w:pPr>
              <w:spacing w:line="300" w:lineRule="exact"/>
              <w:rPr>
                <w:rFonts w:hint="eastAsia" w:ascii="宋体" w:hAnsi="宋体"/>
                <w:color w:val="auto"/>
                <w:szCs w:val="21"/>
                <w:highlight w:val="none"/>
              </w:rPr>
            </w:pPr>
          </w:p>
        </w:tc>
      </w:tr>
      <w:tr w14:paraId="554C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right w:val="single" w:color="auto" w:sz="4" w:space="0"/>
            </w:tcBorders>
            <w:noWrap/>
          </w:tcPr>
          <w:p w14:paraId="4A12F9B0">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27904285">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44FBD63D">
            <w:pPr>
              <w:spacing w:line="34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251DC299">
            <w:pPr>
              <w:spacing w:line="340" w:lineRule="exact"/>
              <w:rPr>
                <w:rFonts w:hint="eastAsia" w:ascii="宋体" w:hAnsi="宋体"/>
                <w:color w:val="auto"/>
                <w:szCs w:val="21"/>
                <w:highlight w:val="none"/>
              </w:rPr>
            </w:pPr>
            <w:r>
              <w:rPr>
                <w:rFonts w:hint="eastAsia" w:ascii="宋体" w:hAnsi="宋体"/>
                <w:color w:val="auto"/>
                <w:szCs w:val="21"/>
                <w:highlight w:val="none"/>
              </w:rPr>
              <w:t>3  ……</w:t>
            </w:r>
          </w:p>
          <w:p w14:paraId="6E31FC9A">
            <w:pPr>
              <w:spacing w:line="300" w:lineRule="exact"/>
              <w:rPr>
                <w:rFonts w:hint="eastAsia" w:ascii="宋体" w:hAnsi="宋体"/>
                <w:color w:val="auto"/>
                <w:szCs w:val="21"/>
                <w:highlight w:val="none"/>
              </w:rPr>
            </w:pPr>
          </w:p>
        </w:tc>
        <w:tc>
          <w:tcPr>
            <w:tcW w:w="2516" w:type="dxa"/>
            <w:tcBorders>
              <w:left w:val="single" w:color="auto" w:sz="4" w:space="0"/>
              <w:right w:val="single" w:color="auto" w:sz="4" w:space="0"/>
            </w:tcBorders>
          </w:tcPr>
          <w:p w14:paraId="6C9C18B8">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52E9A174">
            <w:pPr>
              <w:spacing w:line="300" w:lineRule="exact"/>
              <w:rPr>
                <w:rFonts w:hint="eastAsia" w:ascii="宋体" w:hAnsi="宋体"/>
                <w:color w:val="auto"/>
                <w:szCs w:val="21"/>
                <w:highlight w:val="none"/>
              </w:rPr>
            </w:pPr>
          </w:p>
        </w:tc>
      </w:tr>
      <w:tr w14:paraId="3258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91" w:type="dxa"/>
            <w:vMerge w:val="continue"/>
            <w:tcBorders>
              <w:left w:val="single" w:color="auto" w:sz="4" w:space="0"/>
              <w:bottom w:val="single" w:color="auto" w:sz="4" w:space="0"/>
              <w:right w:val="single" w:color="auto" w:sz="4" w:space="0"/>
            </w:tcBorders>
            <w:noWrap/>
          </w:tcPr>
          <w:p w14:paraId="7D3B0275">
            <w:pPr>
              <w:spacing w:line="340" w:lineRule="exact"/>
              <w:rPr>
                <w:rFonts w:hint="eastAsia" w:ascii="宋体" w:hAnsi="宋体"/>
                <w:color w:val="auto"/>
                <w:szCs w:val="21"/>
                <w:highlight w:val="none"/>
              </w:rPr>
            </w:pPr>
          </w:p>
        </w:tc>
        <w:tc>
          <w:tcPr>
            <w:tcW w:w="3757" w:type="dxa"/>
            <w:tcBorders>
              <w:top w:val="single" w:color="auto" w:sz="4" w:space="0"/>
              <w:left w:val="single" w:color="auto" w:sz="4" w:space="0"/>
              <w:bottom w:val="single" w:color="auto" w:sz="4" w:space="0"/>
              <w:right w:val="single" w:color="auto" w:sz="4" w:space="0"/>
            </w:tcBorders>
            <w:noWrap/>
          </w:tcPr>
          <w:p w14:paraId="6B63635E">
            <w:pPr>
              <w:spacing w:line="340" w:lineRule="exact"/>
              <w:rPr>
                <w:rFonts w:hint="eastAsia"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tcPr>
          <w:p w14:paraId="088690BF">
            <w:pPr>
              <w:spacing w:line="300" w:lineRule="exact"/>
              <w:rPr>
                <w:rFonts w:hint="eastAsia" w:ascii="宋体" w:hAnsi="宋体"/>
                <w:color w:val="auto"/>
                <w:szCs w:val="21"/>
                <w:highlight w:val="none"/>
              </w:rPr>
            </w:pPr>
            <w:r>
              <w:rPr>
                <w:rFonts w:hint="eastAsia" w:ascii="宋体" w:hAnsi="宋体"/>
                <w:color w:val="auto"/>
                <w:szCs w:val="21"/>
                <w:highlight w:val="none"/>
              </w:rPr>
              <w:t>……</w:t>
            </w:r>
          </w:p>
        </w:tc>
        <w:tc>
          <w:tcPr>
            <w:tcW w:w="2516" w:type="dxa"/>
            <w:tcBorders>
              <w:left w:val="single" w:color="auto" w:sz="4" w:space="0"/>
              <w:bottom w:val="single" w:color="auto" w:sz="4" w:space="0"/>
              <w:right w:val="single" w:color="auto" w:sz="4" w:space="0"/>
            </w:tcBorders>
          </w:tcPr>
          <w:p w14:paraId="6B02EC3A">
            <w:pPr>
              <w:spacing w:line="300" w:lineRule="exact"/>
              <w:rPr>
                <w:rFonts w:hint="eastAsia" w:ascii="宋体" w:hAnsi="宋体"/>
                <w:color w:val="auto"/>
                <w:szCs w:val="21"/>
                <w:highlight w:val="none"/>
              </w:rPr>
            </w:pPr>
            <w:r>
              <w:rPr>
                <w:rFonts w:hint="eastAsia" w:ascii="宋体" w:hAnsi="宋体"/>
                <w:color w:val="auto"/>
                <w:szCs w:val="21"/>
                <w:highlight w:val="none"/>
              </w:rPr>
              <w:t>正偏离（负偏离或无偏离）</w:t>
            </w:r>
          </w:p>
          <w:p w14:paraId="11BCAEBF">
            <w:pPr>
              <w:spacing w:line="300" w:lineRule="exact"/>
              <w:rPr>
                <w:rFonts w:hint="eastAsia" w:ascii="宋体" w:hAnsi="宋体"/>
                <w:color w:val="auto"/>
                <w:szCs w:val="21"/>
                <w:highlight w:val="none"/>
              </w:rPr>
            </w:pPr>
          </w:p>
        </w:tc>
      </w:tr>
      <w:tr w14:paraId="7BA2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480" w:type="dxa"/>
            <w:gridSpan w:val="4"/>
            <w:tcBorders>
              <w:top w:val="single" w:color="auto" w:sz="4" w:space="0"/>
              <w:left w:val="single" w:color="auto" w:sz="4" w:space="0"/>
              <w:bottom w:val="single" w:color="auto" w:sz="4" w:space="0"/>
              <w:right w:val="single" w:color="auto" w:sz="4" w:space="0"/>
            </w:tcBorders>
            <w:noWrap/>
          </w:tcPr>
          <w:p w14:paraId="07CAFA71">
            <w:pPr>
              <w:spacing w:line="340" w:lineRule="exact"/>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bl>
    <w:p w14:paraId="43CDA6E1">
      <w:pPr>
        <w:spacing w:line="360" w:lineRule="auto"/>
        <w:ind w:left="-708" w:leftChars="-337"/>
        <w:rPr>
          <w:color w:val="auto"/>
          <w:kern w:val="0"/>
          <w:sz w:val="20"/>
          <w:szCs w:val="20"/>
          <w:highlight w:val="none"/>
        </w:rPr>
      </w:pPr>
    </w:p>
    <w:p w14:paraId="0A05F51C">
      <w:pPr>
        <w:spacing w:line="360" w:lineRule="auto"/>
        <w:ind w:left="-708" w:leftChars="-337"/>
        <w:rPr>
          <w:color w:val="auto"/>
          <w:kern w:val="0"/>
          <w:sz w:val="20"/>
          <w:szCs w:val="20"/>
          <w:highlight w:val="none"/>
        </w:rPr>
      </w:pPr>
      <w:r>
        <w:rPr>
          <w:rFonts w:hint="eastAsia"/>
          <w:color w:val="auto"/>
          <w:kern w:val="0"/>
          <w:sz w:val="20"/>
          <w:szCs w:val="20"/>
          <w:highlight w:val="none"/>
        </w:rPr>
        <w:t>注：</w:t>
      </w:r>
    </w:p>
    <w:p w14:paraId="079A0326">
      <w:pPr>
        <w:spacing w:line="360" w:lineRule="auto"/>
        <w:ind w:left="-708" w:leftChars="-337" w:firstLine="400" w:firstLineChars="200"/>
        <w:rPr>
          <w:color w:val="auto"/>
          <w:kern w:val="0"/>
          <w:sz w:val="20"/>
          <w:szCs w:val="20"/>
          <w:highlight w:val="none"/>
        </w:rPr>
      </w:pPr>
      <w:r>
        <w:rPr>
          <w:color w:val="auto"/>
          <w:kern w:val="0"/>
          <w:sz w:val="20"/>
          <w:szCs w:val="20"/>
          <w:highlight w:val="none"/>
        </w:rPr>
        <w:t>1.</w:t>
      </w:r>
      <w:r>
        <w:rPr>
          <w:rFonts w:hint="eastAsia"/>
          <w:color w:val="auto"/>
          <w:kern w:val="0"/>
          <w:sz w:val="20"/>
          <w:szCs w:val="20"/>
          <w:highlight w:val="none"/>
        </w:rPr>
        <w:t>表格内容均需按要求填写并盖章，不得留空，否则按投标无效处理。</w:t>
      </w:r>
    </w:p>
    <w:p w14:paraId="7BC42114">
      <w:pPr>
        <w:spacing w:line="360" w:lineRule="auto"/>
        <w:ind w:left="-603" w:leftChars="-287" w:firstLine="300" w:firstLineChars="150"/>
        <w:rPr>
          <w:color w:val="auto"/>
          <w:kern w:val="0"/>
          <w:sz w:val="20"/>
          <w:szCs w:val="20"/>
          <w:highlight w:val="none"/>
        </w:rPr>
      </w:pPr>
      <w:r>
        <w:rPr>
          <w:color w:val="auto"/>
          <w:kern w:val="0"/>
          <w:sz w:val="20"/>
          <w:szCs w:val="20"/>
          <w:highlight w:val="none"/>
        </w:rPr>
        <w:t>2.</w:t>
      </w:r>
      <w:r>
        <w:rPr>
          <w:rFonts w:hint="eastAsia"/>
          <w:color w:val="auto"/>
          <w:kern w:val="0"/>
          <w:sz w:val="20"/>
          <w:szCs w:val="20"/>
          <w:highlight w:val="none"/>
        </w:rPr>
        <w:t>如果招标文件需求为小于或大于某个数值标准时，投标文件承诺不得直接复制招标文件需求，投标文件承诺内容应当写明投标货物具体参数或商务响应承诺的具体数值，否则按投标无效处理。如该采购需求属于不能明确具体数值的，采购人应在此采购需求的数值后标注◆号，对标注◆号的采购需求不适用上述“竞标无效”条款。</w:t>
      </w:r>
    </w:p>
    <w:p w14:paraId="085B1FC6">
      <w:pPr>
        <w:spacing w:line="360" w:lineRule="auto"/>
        <w:ind w:left="-603" w:leftChars="-287" w:firstLine="300" w:firstLineChars="150"/>
        <w:rPr>
          <w:color w:val="auto"/>
          <w:kern w:val="0"/>
          <w:sz w:val="20"/>
          <w:szCs w:val="20"/>
          <w:highlight w:val="none"/>
        </w:rPr>
      </w:pPr>
      <w:r>
        <w:rPr>
          <w:color w:val="auto"/>
          <w:kern w:val="0"/>
          <w:sz w:val="20"/>
          <w:szCs w:val="20"/>
          <w:highlight w:val="none"/>
        </w:rPr>
        <w:t>3.</w:t>
      </w:r>
      <w:r>
        <w:rPr>
          <w:rFonts w:hint="eastAsia"/>
          <w:color w:val="auto"/>
          <w:kern w:val="0"/>
          <w:sz w:val="20"/>
          <w:szCs w:val="20"/>
          <w:highlight w:val="none"/>
        </w:rPr>
        <w:t>当投标文件的商务内容低于招标文件要求时，投标人应当如实写明“负偏离”，否则视为虚假应标。</w:t>
      </w:r>
    </w:p>
    <w:p w14:paraId="239F1C96">
      <w:pPr>
        <w:spacing w:line="360" w:lineRule="auto"/>
        <w:ind w:left="-708" w:leftChars="-337" w:firstLine="400" w:firstLineChars="200"/>
        <w:rPr>
          <w:color w:val="auto"/>
          <w:kern w:val="0"/>
          <w:sz w:val="20"/>
          <w:szCs w:val="20"/>
          <w:highlight w:val="none"/>
        </w:rPr>
      </w:pPr>
      <w:r>
        <w:rPr>
          <w:rFonts w:hint="eastAsia" w:ascii="宋体" w:hAnsi="宋体" w:cs="宋体"/>
          <w:color w:val="auto"/>
          <w:kern w:val="0"/>
          <w:sz w:val="20"/>
          <w:szCs w:val="20"/>
          <w:highlight w:val="none"/>
        </w:rPr>
        <w:t>4.采购需求中带“▲”及“★”的条款，也要分别在本表“</w:t>
      </w:r>
      <w:r>
        <w:rPr>
          <w:rFonts w:hint="eastAsia" w:ascii="宋体" w:hAnsi="宋体"/>
          <w:color w:val="auto"/>
          <w:kern w:val="0"/>
          <w:sz w:val="20"/>
          <w:szCs w:val="20"/>
          <w:highlight w:val="none"/>
        </w:rPr>
        <w:t>投标文件的商务需求</w:t>
      </w:r>
      <w:r>
        <w:rPr>
          <w:rFonts w:hint="eastAsia" w:ascii="宋体" w:hAnsi="宋体" w:cs="宋体"/>
          <w:color w:val="auto"/>
          <w:kern w:val="0"/>
          <w:sz w:val="20"/>
          <w:szCs w:val="20"/>
          <w:highlight w:val="none"/>
        </w:rPr>
        <w:t>”、“</w:t>
      </w:r>
      <w:r>
        <w:rPr>
          <w:rFonts w:hint="eastAsia" w:ascii="宋体" w:hAnsi="宋体"/>
          <w:color w:val="auto"/>
          <w:kern w:val="0"/>
          <w:sz w:val="20"/>
          <w:szCs w:val="20"/>
          <w:highlight w:val="none"/>
        </w:rPr>
        <w:t>投标文件承诺的商务条款</w:t>
      </w:r>
      <w:r>
        <w:rPr>
          <w:rFonts w:hint="eastAsia" w:ascii="宋体" w:hAnsi="宋体" w:cs="宋体"/>
          <w:color w:val="auto"/>
          <w:kern w:val="0"/>
          <w:sz w:val="20"/>
          <w:szCs w:val="20"/>
          <w:highlight w:val="none"/>
        </w:rPr>
        <w:t>”中标记。</w:t>
      </w:r>
    </w:p>
    <w:p w14:paraId="699126B5">
      <w:pPr>
        <w:snapToGrid w:val="0"/>
        <w:spacing w:before="50" w:after="50"/>
        <w:rPr>
          <w:rFonts w:hint="eastAsia" w:ascii="宋体" w:hAnsi="宋体"/>
          <w:color w:val="auto"/>
          <w:sz w:val="24"/>
          <w:highlight w:val="none"/>
        </w:rPr>
      </w:pPr>
    </w:p>
    <w:p w14:paraId="6FBE790B">
      <w:pPr>
        <w:snapToGrid w:val="0"/>
        <w:spacing w:line="360" w:lineRule="auto"/>
        <w:ind w:firstLine="4935" w:firstLineChars="2350"/>
        <w:rPr>
          <w:rFonts w:hint="eastAsia" w:ascii="方正仿宋_GB2312" w:hAnsi="仿宋" w:eastAsia="方正仿宋_GB2312" w:cs="方正仿宋_GB2312"/>
          <w:color w:val="auto"/>
          <w:kern w:val="0"/>
          <w:sz w:val="24"/>
          <w:highlight w:val="none"/>
        </w:rPr>
      </w:pPr>
      <w:r>
        <w:rPr>
          <w:rFonts w:hAnsi="宋体"/>
          <w:color w:val="auto"/>
          <w:szCs w:val="21"/>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2B1F90C1">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5E891A0C">
      <w:pPr>
        <w:widowControl/>
        <w:jc w:val="left"/>
        <w:rPr>
          <w:rFonts w:hint="eastAsia" w:ascii="宋体" w:hAnsi="宋体"/>
          <w:color w:val="auto"/>
          <w:szCs w:val="21"/>
          <w:highlight w:val="none"/>
        </w:rPr>
        <w:sectPr>
          <w:pgSz w:w="11906" w:h="16838"/>
          <w:pgMar w:top="1440" w:right="1797" w:bottom="1440" w:left="1797" w:header="851" w:footer="992" w:gutter="0"/>
          <w:cols w:space="720" w:num="1"/>
        </w:sectPr>
      </w:pPr>
    </w:p>
    <w:p w14:paraId="30FF941D">
      <w:pPr>
        <w:snapToGrid w:val="0"/>
        <w:spacing w:before="165" w:beforeLines="50" w:after="50"/>
        <w:ind w:firstLine="602" w:firstLineChars="200"/>
        <w:jc w:val="center"/>
        <w:rPr>
          <w:b/>
          <w:bCs/>
          <w:color w:val="auto"/>
          <w:sz w:val="30"/>
          <w:szCs w:val="30"/>
          <w:highlight w:val="none"/>
        </w:rPr>
      </w:pPr>
      <w:r>
        <w:rPr>
          <w:rFonts w:hint="eastAsia"/>
          <w:b/>
          <w:bCs/>
          <w:color w:val="auto"/>
          <w:sz w:val="30"/>
          <w:szCs w:val="30"/>
          <w:highlight w:val="none"/>
        </w:rPr>
        <w:t>五、投标人情况介绍</w:t>
      </w:r>
    </w:p>
    <w:p w14:paraId="23F0FA11">
      <w:pPr>
        <w:spacing w:line="360" w:lineRule="auto"/>
        <w:ind w:firstLine="4048" w:firstLineChars="1687"/>
        <w:rPr>
          <w:rFonts w:hint="eastAsia" w:ascii="方正仿宋_GB2312" w:hAnsi="仿宋" w:eastAsia="方正仿宋_GB2312" w:cs="方正仿宋_GB2312"/>
          <w:color w:val="auto"/>
          <w:kern w:val="0"/>
          <w:sz w:val="24"/>
          <w:highlight w:val="none"/>
        </w:rPr>
      </w:pPr>
      <w:r>
        <w:rPr>
          <w:rFonts w:hint="eastAsia" w:ascii="宋体" w:hAnsi="宋体"/>
          <w:color w:val="auto"/>
          <w:sz w:val="24"/>
          <w:highlight w:val="none"/>
        </w:rPr>
        <w:t>（格式自拟）</w:t>
      </w:r>
    </w:p>
    <w:p w14:paraId="5001561D">
      <w:pP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36E71ADE">
      <w:pPr>
        <w:snapToGrid w:val="0"/>
        <w:spacing w:line="360" w:lineRule="auto"/>
        <w:ind w:firstLine="4935" w:firstLineChars="2350"/>
        <w:rPr>
          <w:rFonts w:hint="eastAsia" w:hAnsi="宋体"/>
          <w:color w:val="auto"/>
          <w:szCs w:val="21"/>
          <w:highlight w:val="none"/>
        </w:rPr>
      </w:pPr>
    </w:p>
    <w:p w14:paraId="51B73F26">
      <w:pPr>
        <w:snapToGrid w:val="0"/>
        <w:spacing w:line="360" w:lineRule="auto"/>
        <w:ind w:firstLine="4935" w:firstLineChars="2350"/>
        <w:rPr>
          <w:rFonts w:hint="eastAsia" w:hAnsi="宋体"/>
          <w:color w:val="auto"/>
          <w:szCs w:val="21"/>
          <w:highlight w:val="none"/>
        </w:rPr>
      </w:pPr>
    </w:p>
    <w:p w14:paraId="5147D146">
      <w:pPr>
        <w:snapToGrid w:val="0"/>
        <w:spacing w:line="360" w:lineRule="auto"/>
        <w:ind w:firstLine="4935" w:firstLineChars="2350"/>
        <w:rPr>
          <w:rFonts w:hint="eastAsia" w:hAnsi="宋体"/>
          <w:color w:val="auto"/>
          <w:szCs w:val="21"/>
          <w:highlight w:val="none"/>
        </w:rPr>
      </w:pPr>
    </w:p>
    <w:p w14:paraId="1F4889B9">
      <w:pPr>
        <w:snapToGrid w:val="0"/>
        <w:spacing w:line="360" w:lineRule="auto"/>
        <w:ind w:firstLine="4935" w:firstLineChars="2350"/>
        <w:rPr>
          <w:rFonts w:hint="eastAsia" w:ascii="方正仿宋_GB2312" w:hAnsi="仿宋" w:eastAsia="方正仿宋_GB2312" w:cs="方正仿宋_GB2312"/>
          <w:color w:val="auto"/>
          <w:kern w:val="0"/>
          <w:sz w:val="24"/>
          <w:highlight w:val="none"/>
        </w:rPr>
      </w:pPr>
      <w:r>
        <w:rPr>
          <w:rFonts w:hAnsi="宋体"/>
          <w:color w:val="auto"/>
          <w:szCs w:val="21"/>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1E99259F">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3B5FCCC6">
      <w:pPr>
        <w:snapToGrid w:val="0"/>
        <w:spacing w:before="165" w:beforeLines="50" w:after="50"/>
        <w:ind w:firstLine="602" w:firstLineChars="200"/>
        <w:jc w:val="center"/>
        <w:rPr>
          <w:b/>
          <w:bCs/>
          <w:color w:val="auto"/>
          <w:sz w:val="30"/>
          <w:szCs w:val="30"/>
          <w:highlight w:val="none"/>
        </w:rPr>
      </w:pPr>
    </w:p>
    <w:p w14:paraId="7DA78431">
      <w:pPr>
        <w:widowControl/>
        <w:jc w:val="left"/>
        <w:rPr>
          <w:b/>
          <w:bCs/>
          <w:color w:val="auto"/>
          <w:sz w:val="30"/>
          <w:szCs w:val="30"/>
          <w:highlight w:val="none"/>
        </w:rPr>
        <w:sectPr>
          <w:pgSz w:w="11906" w:h="16838"/>
          <w:pgMar w:top="1134" w:right="1134" w:bottom="1134" w:left="1134" w:header="720" w:footer="720" w:gutter="0"/>
          <w:cols w:space="720" w:num="1"/>
          <w:docGrid w:type="lines" w:linePitch="331" w:charSpace="0"/>
        </w:sectPr>
      </w:pPr>
    </w:p>
    <w:p w14:paraId="57D5DDD8">
      <w:pPr>
        <w:snapToGrid w:val="0"/>
        <w:spacing w:before="165" w:beforeLines="50" w:after="50"/>
        <w:ind w:firstLine="602" w:firstLineChars="200"/>
        <w:jc w:val="center"/>
        <w:rPr>
          <w:b/>
          <w:bCs/>
          <w:color w:val="auto"/>
          <w:sz w:val="30"/>
          <w:szCs w:val="30"/>
          <w:highlight w:val="none"/>
        </w:rPr>
      </w:pPr>
      <w:r>
        <w:rPr>
          <w:rFonts w:hint="eastAsia"/>
          <w:b/>
          <w:bCs/>
          <w:color w:val="auto"/>
          <w:sz w:val="30"/>
          <w:szCs w:val="30"/>
          <w:highlight w:val="none"/>
        </w:rPr>
        <w:t>六、投标人类似的业绩证明文件（如有要求）</w:t>
      </w:r>
    </w:p>
    <w:p w14:paraId="21A9B51E">
      <w:pPr>
        <w:snapToGrid w:val="0"/>
        <w:ind w:left="480" w:hanging="480" w:hangingChars="200"/>
        <w:rPr>
          <w:rFonts w:hint="eastAsia" w:ascii="宋体" w:hAnsi="宋体"/>
          <w:color w:val="auto"/>
          <w:sz w:val="24"/>
          <w:highlight w:val="none"/>
        </w:rPr>
      </w:pPr>
    </w:p>
    <w:p w14:paraId="310C03B6">
      <w:pPr>
        <w:snapToGrid w:val="0"/>
        <w:ind w:left="480" w:hanging="480" w:hangingChars="200"/>
        <w:rPr>
          <w:rFonts w:hint="eastAsia" w:ascii="宋体" w:hAnsi="宋体"/>
          <w:color w:val="auto"/>
          <w:sz w:val="24"/>
          <w:highlight w:val="none"/>
        </w:rPr>
      </w:pPr>
    </w:p>
    <w:p w14:paraId="5C88C0E4">
      <w:pPr>
        <w:snapToGrid w:val="0"/>
        <w:ind w:left="480" w:hanging="480" w:hangingChars="200"/>
        <w:rPr>
          <w:rFonts w:hint="eastAsia" w:ascii="宋体" w:hAnsi="宋体"/>
          <w:color w:val="auto"/>
          <w:sz w:val="24"/>
          <w:highlight w:val="none"/>
        </w:rPr>
      </w:pPr>
    </w:p>
    <w:p w14:paraId="000DDB74">
      <w:pPr>
        <w:autoSpaceDE w:val="0"/>
        <w:autoSpaceDN w:val="0"/>
        <w:spacing w:line="360" w:lineRule="auto"/>
        <w:ind w:firstLine="120"/>
        <w:rPr>
          <w:rFonts w:hint="eastAsia" w:ascii="宋体" w:hAnsi="宋体"/>
          <w:color w:val="auto"/>
          <w:sz w:val="24"/>
          <w:highlight w:val="none"/>
        </w:rPr>
      </w:pPr>
      <w:r>
        <w:rPr>
          <w:rFonts w:hint="eastAsia" w:ascii="方正仿宋_GB2312" w:hAnsi="仿宋" w:eastAsia="方正仿宋_GB2312" w:cs="方正仿宋_GB2312"/>
          <w:b/>
          <w:color w:val="auto"/>
          <w:sz w:val="24"/>
          <w:highlight w:val="none"/>
        </w:rPr>
        <w:t>附表 :相关项目业绩一览表（投标人同类项目合同复印件、用户验收报告、用户评价意见格式自拟）</w:t>
      </w:r>
    </w:p>
    <w:tbl>
      <w:tblPr>
        <w:tblStyle w:val="19"/>
        <w:tblW w:w="0" w:type="auto"/>
        <w:tblInd w:w="11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715"/>
        <w:gridCol w:w="1559"/>
        <w:gridCol w:w="1559"/>
        <w:gridCol w:w="1418"/>
        <w:gridCol w:w="2268"/>
      </w:tblGrid>
      <w:tr w14:paraId="0B1183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047561FB">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3420" w:type="dxa"/>
            <w:vMerge w:val="restart"/>
            <w:tcBorders>
              <w:top w:val="single" w:color="auto" w:sz="4" w:space="0"/>
              <w:left w:val="single" w:color="auto" w:sz="4" w:space="0"/>
              <w:bottom w:val="single" w:color="auto" w:sz="4" w:space="0"/>
              <w:right w:val="single" w:color="auto" w:sz="4" w:space="0"/>
            </w:tcBorders>
            <w:vAlign w:val="center"/>
          </w:tcPr>
          <w:p w14:paraId="2B232DCB">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项目名称</w:t>
            </w:r>
          </w:p>
        </w:tc>
        <w:tc>
          <w:tcPr>
            <w:tcW w:w="1715" w:type="dxa"/>
            <w:vMerge w:val="restart"/>
            <w:tcBorders>
              <w:top w:val="single" w:color="auto" w:sz="4" w:space="0"/>
              <w:left w:val="single" w:color="auto" w:sz="4" w:space="0"/>
              <w:bottom w:val="single" w:color="auto" w:sz="4" w:space="0"/>
              <w:right w:val="single" w:color="auto" w:sz="4" w:space="0"/>
            </w:tcBorders>
            <w:vAlign w:val="center"/>
          </w:tcPr>
          <w:p w14:paraId="5A7D9259">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合同</w:t>
            </w:r>
          </w:p>
          <w:p w14:paraId="7E35803B">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金额</w:t>
            </w:r>
          </w:p>
          <w:p w14:paraId="5F1E6026">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（万元）</w:t>
            </w:r>
          </w:p>
        </w:tc>
        <w:tc>
          <w:tcPr>
            <w:tcW w:w="4536" w:type="dxa"/>
            <w:gridSpan w:val="3"/>
            <w:tcBorders>
              <w:top w:val="single" w:color="auto" w:sz="4" w:space="0"/>
              <w:left w:val="single" w:color="auto" w:sz="4" w:space="0"/>
              <w:bottom w:val="single" w:color="auto" w:sz="4" w:space="0"/>
              <w:right w:val="single" w:color="auto" w:sz="4" w:space="0"/>
            </w:tcBorders>
            <w:vAlign w:val="center"/>
          </w:tcPr>
          <w:p w14:paraId="54E9CC0B">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附件在投标文件中页码</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14:paraId="4EA1F038">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采购人联系人及</w:t>
            </w:r>
          </w:p>
          <w:p w14:paraId="420BEDAF">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联系电话</w:t>
            </w:r>
          </w:p>
        </w:tc>
      </w:tr>
      <w:tr w14:paraId="6AC5D2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5FE88AD6">
            <w:pPr>
              <w:widowControl/>
              <w:spacing w:line="360" w:lineRule="auto"/>
              <w:jc w:val="left"/>
              <w:rPr>
                <w:rFonts w:hint="eastAsia" w:ascii="宋体" w:hAnsi="宋体"/>
                <w:color w:val="auto"/>
                <w:sz w:val="24"/>
                <w:highlight w:val="none"/>
              </w:rPr>
            </w:pPr>
          </w:p>
        </w:tc>
        <w:tc>
          <w:tcPr>
            <w:tcW w:w="3420" w:type="dxa"/>
            <w:vMerge w:val="continue"/>
            <w:tcBorders>
              <w:top w:val="single" w:color="auto" w:sz="4" w:space="0"/>
              <w:left w:val="single" w:color="auto" w:sz="4" w:space="0"/>
              <w:bottom w:val="single" w:color="auto" w:sz="4" w:space="0"/>
              <w:right w:val="single" w:color="auto" w:sz="4" w:space="0"/>
            </w:tcBorders>
            <w:vAlign w:val="center"/>
          </w:tcPr>
          <w:p w14:paraId="6C960D49">
            <w:pPr>
              <w:widowControl/>
              <w:spacing w:line="360" w:lineRule="auto"/>
              <w:jc w:val="left"/>
              <w:rPr>
                <w:rFonts w:hint="eastAsia" w:ascii="宋体" w:hAnsi="宋体"/>
                <w:color w:val="auto"/>
                <w:sz w:val="24"/>
                <w:highlight w:val="none"/>
              </w:rPr>
            </w:pPr>
          </w:p>
        </w:tc>
        <w:tc>
          <w:tcPr>
            <w:tcW w:w="1715" w:type="dxa"/>
            <w:vMerge w:val="continue"/>
            <w:tcBorders>
              <w:top w:val="single" w:color="auto" w:sz="4" w:space="0"/>
              <w:left w:val="single" w:color="auto" w:sz="4" w:space="0"/>
              <w:bottom w:val="single" w:color="auto" w:sz="4" w:space="0"/>
              <w:right w:val="single" w:color="auto" w:sz="4" w:space="0"/>
            </w:tcBorders>
            <w:vAlign w:val="center"/>
          </w:tcPr>
          <w:p w14:paraId="4216F1D0">
            <w:pPr>
              <w:widowControl/>
              <w:spacing w:line="360" w:lineRule="auto"/>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vAlign w:val="center"/>
          </w:tcPr>
          <w:p w14:paraId="71738780">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合同</w:t>
            </w:r>
          </w:p>
        </w:tc>
        <w:tc>
          <w:tcPr>
            <w:tcW w:w="1559" w:type="dxa"/>
            <w:tcBorders>
              <w:top w:val="single" w:color="auto" w:sz="4" w:space="0"/>
              <w:left w:val="single" w:color="auto" w:sz="4" w:space="0"/>
              <w:bottom w:val="single" w:color="auto" w:sz="4" w:space="0"/>
              <w:right w:val="single" w:color="auto" w:sz="4" w:space="0"/>
            </w:tcBorders>
            <w:vAlign w:val="center"/>
          </w:tcPr>
          <w:p w14:paraId="7A5FFD16">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验收报告</w:t>
            </w:r>
          </w:p>
        </w:tc>
        <w:tc>
          <w:tcPr>
            <w:tcW w:w="1418" w:type="dxa"/>
            <w:tcBorders>
              <w:top w:val="single" w:color="auto" w:sz="4" w:space="0"/>
              <w:left w:val="single" w:color="auto" w:sz="4" w:space="0"/>
              <w:bottom w:val="single" w:color="auto" w:sz="4" w:space="0"/>
              <w:right w:val="single" w:color="auto" w:sz="4" w:space="0"/>
            </w:tcBorders>
            <w:vAlign w:val="center"/>
          </w:tcPr>
          <w:p w14:paraId="6519E8CA">
            <w:pPr>
              <w:snapToGrid w:val="0"/>
              <w:spacing w:line="360" w:lineRule="auto"/>
              <w:jc w:val="center"/>
              <w:rPr>
                <w:rFonts w:hint="eastAsia" w:ascii="宋体" w:hAnsi="宋体"/>
                <w:color w:val="auto"/>
                <w:sz w:val="24"/>
                <w:highlight w:val="none"/>
              </w:rPr>
            </w:pPr>
            <w:r>
              <w:rPr>
                <w:rFonts w:hint="eastAsia" w:ascii="宋体" w:hAnsi="宋体"/>
                <w:color w:val="auto"/>
                <w:sz w:val="24"/>
                <w:highlight w:val="none"/>
              </w:rPr>
              <w:t>用户评价</w:t>
            </w:r>
          </w:p>
        </w:tc>
        <w:tc>
          <w:tcPr>
            <w:tcW w:w="2268" w:type="dxa"/>
            <w:vMerge w:val="continue"/>
            <w:tcBorders>
              <w:top w:val="single" w:color="auto" w:sz="4" w:space="0"/>
              <w:left w:val="single" w:color="auto" w:sz="4" w:space="0"/>
              <w:bottom w:val="single" w:color="auto" w:sz="4" w:space="0"/>
              <w:right w:val="single" w:color="auto" w:sz="4" w:space="0"/>
            </w:tcBorders>
            <w:vAlign w:val="center"/>
          </w:tcPr>
          <w:p w14:paraId="62C98830">
            <w:pPr>
              <w:widowControl/>
              <w:spacing w:line="360" w:lineRule="auto"/>
              <w:jc w:val="left"/>
              <w:rPr>
                <w:rFonts w:hint="eastAsia" w:ascii="宋体" w:hAnsi="宋体"/>
                <w:color w:val="auto"/>
                <w:sz w:val="24"/>
                <w:highlight w:val="none"/>
              </w:rPr>
            </w:pPr>
          </w:p>
        </w:tc>
      </w:tr>
      <w:tr w14:paraId="129F80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5949C599">
            <w:pPr>
              <w:snapToGrid w:val="0"/>
              <w:spacing w:line="240" w:lineRule="exact"/>
              <w:jc w:val="left"/>
              <w:rPr>
                <w:rFonts w:hint="eastAsia" w:ascii="宋体" w:hAnsi="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tcPr>
          <w:p w14:paraId="7D495F0C">
            <w:pPr>
              <w:snapToGrid w:val="0"/>
              <w:spacing w:line="240" w:lineRule="exact"/>
              <w:jc w:val="left"/>
              <w:rPr>
                <w:rFonts w:hint="eastAsia" w:ascii="宋体" w:hAnsi="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tcPr>
          <w:p w14:paraId="022AF2A4">
            <w:pPr>
              <w:snapToGrid w:val="0"/>
              <w:spacing w:line="24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44647DA9">
            <w:pPr>
              <w:snapToGrid w:val="0"/>
              <w:spacing w:line="24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2ED5A263">
            <w:pPr>
              <w:snapToGrid w:val="0"/>
              <w:spacing w:line="240" w:lineRule="exact"/>
              <w:jc w:val="left"/>
              <w:rPr>
                <w:rFonts w:hint="eastAsia" w:ascii="宋体" w:hAnsi="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42D3B532">
            <w:pPr>
              <w:snapToGrid w:val="0"/>
              <w:spacing w:line="240" w:lineRule="exact"/>
              <w:jc w:val="left"/>
              <w:rPr>
                <w:rFonts w:hint="eastAsia" w:ascii="宋体" w:hAnsi="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tcPr>
          <w:p w14:paraId="70624342">
            <w:pPr>
              <w:snapToGrid w:val="0"/>
              <w:spacing w:line="240" w:lineRule="exact"/>
              <w:jc w:val="left"/>
              <w:rPr>
                <w:rFonts w:hint="eastAsia" w:ascii="宋体" w:hAnsi="宋体"/>
                <w:color w:val="auto"/>
                <w:sz w:val="24"/>
                <w:highlight w:val="none"/>
              </w:rPr>
            </w:pPr>
          </w:p>
        </w:tc>
      </w:tr>
      <w:tr w14:paraId="323700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5EA808EE">
            <w:pPr>
              <w:snapToGrid w:val="0"/>
              <w:spacing w:before="50" w:after="165" w:afterLines="50" w:line="400" w:lineRule="exact"/>
              <w:jc w:val="left"/>
              <w:rPr>
                <w:rFonts w:hint="eastAsia" w:ascii="宋体" w:hAnsi="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tcPr>
          <w:p w14:paraId="6F129155">
            <w:pPr>
              <w:snapToGrid w:val="0"/>
              <w:spacing w:before="50" w:after="165" w:afterLines="50" w:line="400" w:lineRule="exact"/>
              <w:jc w:val="left"/>
              <w:rPr>
                <w:rFonts w:hint="eastAsia" w:ascii="宋体" w:hAnsi="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tcPr>
          <w:p w14:paraId="61AA0A6F">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36103C36">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002AF1B8">
            <w:pPr>
              <w:snapToGrid w:val="0"/>
              <w:spacing w:before="50" w:after="165" w:afterLines="50" w:line="400" w:lineRule="exact"/>
              <w:jc w:val="left"/>
              <w:rPr>
                <w:rFonts w:hint="eastAsia" w:ascii="宋体" w:hAnsi="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3F6C083F">
            <w:pPr>
              <w:snapToGrid w:val="0"/>
              <w:spacing w:before="50" w:after="165" w:afterLines="50" w:line="400" w:lineRule="exact"/>
              <w:jc w:val="left"/>
              <w:rPr>
                <w:rFonts w:hint="eastAsia" w:ascii="宋体" w:hAnsi="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tcPr>
          <w:p w14:paraId="64BEDE70">
            <w:pPr>
              <w:snapToGrid w:val="0"/>
              <w:spacing w:before="50" w:after="165" w:afterLines="50" w:line="400" w:lineRule="exact"/>
              <w:jc w:val="left"/>
              <w:rPr>
                <w:rFonts w:hint="eastAsia" w:ascii="宋体" w:hAnsi="宋体"/>
                <w:color w:val="auto"/>
                <w:sz w:val="24"/>
                <w:highlight w:val="none"/>
              </w:rPr>
            </w:pPr>
          </w:p>
        </w:tc>
      </w:tr>
      <w:tr w14:paraId="35AFB1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7148EADD">
            <w:pPr>
              <w:snapToGrid w:val="0"/>
              <w:spacing w:before="50" w:after="165" w:afterLines="50" w:line="400" w:lineRule="exact"/>
              <w:jc w:val="left"/>
              <w:rPr>
                <w:rFonts w:hint="eastAsia" w:ascii="宋体" w:hAnsi="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tcPr>
          <w:p w14:paraId="625BAC33">
            <w:pPr>
              <w:snapToGrid w:val="0"/>
              <w:spacing w:before="50" w:after="165" w:afterLines="50" w:line="400" w:lineRule="exact"/>
              <w:jc w:val="left"/>
              <w:rPr>
                <w:rFonts w:hint="eastAsia" w:ascii="宋体" w:hAnsi="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tcPr>
          <w:p w14:paraId="63418A0F">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7E08A020">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3DEE4A65">
            <w:pPr>
              <w:snapToGrid w:val="0"/>
              <w:spacing w:before="50" w:after="165" w:afterLines="50" w:line="400" w:lineRule="exact"/>
              <w:jc w:val="left"/>
              <w:rPr>
                <w:rFonts w:hint="eastAsia" w:ascii="宋体" w:hAnsi="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59ED4041">
            <w:pPr>
              <w:snapToGrid w:val="0"/>
              <w:spacing w:before="50" w:after="165" w:afterLines="50" w:line="400" w:lineRule="exact"/>
              <w:jc w:val="left"/>
              <w:rPr>
                <w:rFonts w:hint="eastAsia" w:ascii="宋体" w:hAnsi="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tcPr>
          <w:p w14:paraId="293AF514">
            <w:pPr>
              <w:snapToGrid w:val="0"/>
              <w:spacing w:before="50" w:after="165" w:afterLines="50" w:line="400" w:lineRule="exact"/>
              <w:jc w:val="left"/>
              <w:rPr>
                <w:rFonts w:hint="eastAsia" w:ascii="宋体" w:hAnsi="宋体"/>
                <w:color w:val="auto"/>
                <w:sz w:val="24"/>
                <w:highlight w:val="none"/>
              </w:rPr>
            </w:pPr>
          </w:p>
        </w:tc>
      </w:tr>
      <w:tr w14:paraId="0BAD40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3501E9E6">
            <w:pPr>
              <w:snapToGrid w:val="0"/>
              <w:spacing w:before="50" w:after="165" w:afterLines="50" w:line="400" w:lineRule="exact"/>
              <w:jc w:val="left"/>
              <w:rPr>
                <w:rFonts w:hint="eastAsia" w:ascii="宋体" w:hAnsi="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tcPr>
          <w:p w14:paraId="29717358">
            <w:pPr>
              <w:snapToGrid w:val="0"/>
              <w:spacing w:before="50" w:after="165" w:afterLines="50" w:line="400" w:lineRule="exact"/>
              <w:jc w:val="left"/>
              <w:rPr>
                <w:rFonts w:hint="eastAsia" w:ascii="宋体" w:hAnsi="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tcPr>
          <w:p w14:paraId="2FA2EADC">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32200205">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58148F67">
            <w:pPr>
              <w:snapToGrid w:val="0"/>
              <w:spacing w:before="50" w:after="165" w:afterLines="50" w:line="400" w:lineRule="exact"/>
              <w:jc w:val="left"/>
              <w:rPr>
                <w:rFonts w:hint="eastAsia" w:ascii="宋体" w:hAnsi="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545414BB">
            <w:pPr>
              <w:snapToGrid w:val="0"/>
              <w:spacing w:before="50" w:after="165" w:afterLines="50" w:line="400" w:lineRule="exact"/>
              <w:jc w:val="left"/>
              <w:rPr>
                <w:rFonts w:hint="eastAsia" w:ascii="宋体" w:hAnsi="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tcPr>
          <w:p w14:paraId="2ABF181C">
            <w:pPr>
              <w:snapToGrid w:val="0"/>
              <w:spacing w:before="50" w:after="165" w:afterLines="50" w:line="400" w:lineRule="exact"/>
              <w:jc w:val="left"/>
              <w:rPr>
                <w:rFonts w:hint="eastAsia" w:ascii="宋体" w:hAnsi="宋体"/>
                <w:color w:val="auto"/>
                <w:sz w:val="24"/>
                <w:highlight w:val="none"/>
              </w:rPr>
            </w:pPr>
          </w:p>
        </w:tc>
      </w:tr>
      <w:tr w14:paraId="540CF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671CA5D3">
            <w:pPr>
              <w:snapToGrid w:val="0"/>
              <w:spacing w:before="50" w:after="165" w:afterLines="50" w:line="400" w:lineRule="exact"/>
              <w:jc w:val="left"/>
              <w:rPr>
                <w:rFonts w:hint="eastAsia" w:ascii="宋体" w:hAnsi="宋体"/>
                <w:color w:val="auto"/>
                <w:sz w:val="24"/>
                <w:highlight w:val="none"/>
              </w:rPr>
            </w:pPr>
          </w:p>
        </w:tc>
        <w:tc>
          <w:tcPr>
            <w:tcW w:w="3420" w:type="dxa"/>
            <w:tcBorders>
              <w:top w:val="single" w:color="auto" w:sz="4" w:space="0"/>
              <w:left w:val="single" w:color="auto" w:sz="4" w:space="0"/>
              <w:bottom w:val="single" w:color="auto" w:sz="4" w:space="0"/>
              <w:right w:val="single" w:color="auto" w:sz="4" w:space="0"/>
            </w:tcBorders>
          </w:tcPr>
          <w:p w14:paraId="486528EB">
            <w:pPr>
              <w:snapToGrid w:val="0"/>
              <w:spacing w:before="50" w:after="165" w:afterLines="50" w:line="400" w:lineRule="exact"/>
              <w:jc w:val="left"/>
              <w:rPr>
                <w:rFonts w:hint="eastAsia" w:ascii="宋体" w:hAnsi="宋体"/>
                <w:color w:val="auto"/>
                <w:sz w:val="24"/>
                <w:highlight w:val="none"/>
              </w:rPr>
            </w:pPr>
          </w:p>
        </w:tc>
        <w:tc>
          <w:tcPr>
            <w:tcW w:w="1715" w:type="dxa"/>
            <w:tcBorders>
              <w:top w:val="single" w:color="auto" w:sz="4" w:space="0"/>
              <w:left w:val="single" w:color="auto" w:sz="4" w:space="0"/>
              <w:bottom w:val="single" w:color="auto" w:sz="4" w:space="0"/>
              <w:right w:val="single" w:color="auto" w:sz="4" w:space="0"/>
            </w:tcBorders>
          </w:tcPr>
          <w:p w14:paraId="66964F43">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6B54B5AA">
            <w:pPr>
              <w:snapToGrid w:val="0"/>
              <w:spacing w:before="50" w:after="165" w:afterLines="50" w:line="400" w:lineRule="exact"/>
              <w:jc w:val="left"/>
              <w:rPr>
                <w:rFonts w:hint="eastAsia" w:ascii="宋体" w:hAnsi="宋体"/>
                <w:color w:val="auto"/>
                <w:sz w:val="24"/>
                <w:highlight w:val="none"/>
              </w:rPr>
            </w:pPr>
          </w:p>
        </w:tc>
        <w:tc>
          <w:tcPr>
            <w:tcW w:w="1559" w:type="dxa"/>
            <w:tcBorders>
              <w:top w:val="single" w:color="auto" w:sz="4" w:space="0"/>
              <w:left w:val="single" w:color="auto" w:sz="4" w:space="0"/>
              <w:bottom w:val="single" w:color="auto" w:sz="4" w:space="0"/>
              <w:right w:val="single" w:color="auto" w:sz="4" w:space="0"/>
            </w:tcBorders>
          </w:tcPr>
          <w:p w14:paraId="63E82CAC">
            <w:pPr>
              <w:snapToGrid w:val="0"/>
              <w:spacing w:before="50" w:after="165" w:afterLines="50" w:line="400" w:lineRule="exact"/>
              <w:jc w:val="left"/>
              <w:rPr>
                <w:rFonts w:hint="eastAsia" w:ascii="宋体" w:hAnsi="宋体"/>
                <w:color w:val="auto"/>
                <w:sz w:val="24"/>
                <w:highlight w:val="none"/>
              </w:rPr>
            </w:pPr>
          </w:p>
        </w:tc>
        <w:tc>
          <w:tcPr>
            <w:tcW w:w="1418" w:type="dxa"/>
            <w:tcBorders>
              <w:top w:val="single" w:color="auto" w:sz="4" w:space="0"/>
              <w:left w:val="single" w:color="auto" w:sz="4" w:space="0"/>
              <w:bottom w:val="single" w:color="auto" w:sz="4" w:space="0"/>
              <w:right w:val="single" w:color="auto" w:sz="4" w:space="0"/>
            </w:tcBorders>
          </w:tcPr>
          <w:p w14:paraId="3CACFB07">
            <w:pPr>
              <w:snapToGrid w:val="0"/>
              <w:spacing w:before="50" w:after="165" w:afterLines="50" w:line="400" w:lineRule="exact"/>
              <w:jc w:val="left"/>
              <w:rPr>
                <w:rFonts w:hint="eastAsia" w:ascii="宋体" w:hAnsi="宋体"/>
                <w:color w:val="auto"/>
                <w:sz w:val="24"/>
                <w:highlight w:val="none"/>
              </w:rPr>
            </w:pPr>
          </w:p>
        </w:tc>
        <w:tc>
          <w:tcPr>
            <w:tcW w:w="2268" w:type="dxa"/>
            <w:tcBorders>
              <w:top w:val="single" w:color="auto" w:sz="4" w:space="0"/>
              <w:left w:val="single" w:color="auto" w:sz="4" w:space="0"/>
              <w:bottom w:val="single" w:color="auto" w:sz="4" w:space="0"/>
              <w:right w:val="single" w:color="auto" w:sz="4" w:space="0"/>
            </w:tcBorders>
          </w:tcPr>
          <w:p w14:paraId="0B37171D">
            <w:pPr>
              <w:snapToGrid w:val="0"/>
              <w:spacing w:before="50" w:after="165" w:afterLines="50" w:line="400" w:lineRule="exact"/>
              <w:jc w:val="left"/>
              <w:rPr>
                <w:rFonts w:hint="eastAsia" w:ascii="宋体" w:hAnsi="宋体"/>
                <w:color w:val="auto"/>
                <w:sz w:val="24"/>
                <w:highlight w:val="none"/>
              </w:rPr>
            </w:pPr>
          </w:p>
        </w:tc>
      </w:tr>
    </w:tbl>
    <w:p w14:paraId="0D1C2A62">
      <w:pPr>
        <w:spacing w:line="360" w:lineRule="auto"/>
        <w:ind w:left="72"/>
        <w:rPr>
          <w:color w:val="auto"/>
          <w:kern w:val="0"/>
          <w:sz w:val="20"/>
          <w:szCs w:val="20"/>
          <w:highlight w:val="none"/>
        </w:rPr>
      </w:pPr>
      <w:r>
        <w:rPr>
          <w:rFonts w:hint="eastAsia"/>
          <w:color w:val="auto"/>
          <w:kern w:val="0"/>
          <w:sz w:val="20"/>
          <w:szCs w:val="20"/>
          <w:highlight w:val="none"/>
        </w:rPr>
        <w:t>注：投标人可按上述的格式自行编制，须随表提交相应的合同复印件和用户单位验收证明并注明所在投标人商务技术文件页码。</w:t>
      </w:r>
    </w:p>
    <w:p w14:paraId="011E3AC9">
      <w:pP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16940A57">
      <w:pPr>
        <w:snapToGrid w:val="0"/>
        <w:spacing w:line="360" w:lineRule="auto"/>
        <w:ind w:firstLine="4935" w:firstLineChars="2350"/>
        <w:rPr>
          <w:rFonts w:hint="eastAsia" w:hAnsi="宋体"/>
          <w:color w:val="auto"/>
          <w:szCs w:val="21"/>
          <w:highlight w:val="none"/>
        </w:rPr>
      </w:pPr>
    </w:p>
    <w:p w14:paraId="60792BDD">
      <w:pPr>
        <w:snapToGrid w:val="0"/>
        <w:spacing w:line="360" w:lineRule="auto"/>
        <w:ind w:firstLine="10080" w:firstLineChars="4800"/>
        <w:rPr>
          <w:rFonts w:hint="eastAsia" w:ascii="方正仿宋_GB2312" w:hAnsi="仿宋" w:eastAsia="方正仿宋_GB2312" w:cs="方正仿宋_GB2312"/>
          <w:color w:val="auto"/>
          <w:kern w:val="0"/>
          <w:sz w:val="24"/>
          <w:highlight w:val="none"/>
        </w:rPr>
      </w:pPr>
      <w:r>
        <w:rPr>
          <w:rFonts w:hAnsi="宋体"/>
          <w:color w:val="auto"/>
          <w:szCs w:val="21"/>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331688A6">
      <w:pPr>
        <w:snapToGrid w:val="0"/>
        <w:spacing w:line="360" w:lineRule="auto"/>
        <w:ind w:firstLine="10080" w:firstLineChars="420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7174F979">
      <w:pPr>
        <w:widowControl/>
        <w:spacing w:line="360" w:lineRule="auto"/>
        <w:jc w:val="left"/>
        <w:rPr>
          <w:rFonts w:hint="eastAsia" w:ascii="方正仿宋_GB2312" w:hAnsi="仿宋" w:eastAsia="方正仿宋_GB2312" w:cs="方正仿宋_GB2312"/>
          <w:color w:val="auto"/>
          <w:kern w:val="0"/>
          <w:sz w:val="24"/>
          <w:highlight w:val="none"/>
          <w:lang w:val="zh-CN"/>
        </w:rPr>
        <w:sectPr>
          <w:pgSz w:w="16838" w:h="11906" w:orient="landscape"/>
          <w:pgMar w:top="1134" w:right="1134" w:bottom="1134" w:left="1134" w:header="720" w:footer="720" w:gutter="0"/>
          <w:cols w:space="720" w:num="1"/>
          <w:docGrid w:type="lines" w:linePitch="331" w:charSpace="0"/>
        </w:sectPr>
      </w:pPr>
    </w:p>
    <w:p w14:paraId="273B43A0">
      <w:pPr>
        <w:jc w:val="center"/>
        <w:outlineLvl w:val="1"/>
        <w:rPr>
          <w:rFonts w:hint="eastAsia" w:ascii="宋体" w:hAnsi="宋体"/>
          <w:b/>
          <w:bCs/>
          <w:color w:val="auto"/>
          <w:kern w:val="0"/>
          <w:sz w:val="28"/>
          <w:szCs w:val="28"/>
          <w:highlight w:val="none"/>
        </w:rPr>
      </w:pPr>
      <w:bookmarkStart w:id="49" w:name="_Toc13347"/>
      <w:r>
        <w:rPr>
          <w:rFonts w:hint="eastAsia" w:ascii="宋体" w:hAnsi="宋体"/>
          <w:b/>
          <w:bCs/>
          <w:color w:val="auto"/>
          <w:kern w:val="0"/>
          <w:sz w:val="28"/>
          <w:szCs w:val="28"/>
          <w:highlight w:val="none"/>
        </w:rPr>
        <w:t>第三节 技术文件格式</w:t>
      </w:r>
      <w:bookmarkEnd w:id="49"/>
    </w:p>
    <w:p w14:paraId="743E6BD4">
      <w:pPr>
        <w:snapToGrid w:val="0"/>
        <w:spacing w:before="165"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08D1917A">
      <w:pPr>
        <w:snapToGrid w:val="0"/>
        <w:spacing w:before="165" w:beforeLines="50" w:after="50"/>
        <w:rPr>
          <w:rFonts w:hint="eastAsia" w:ascii="宋体" w:hAnsi="宋体"/>
          <w:color w:val="auto"/>
          <w:sz w:val="24"/>
          <w:szCs w:val="20"/>
          <w:highlight w:val="none"/>
        </w:rPr>
      </w:pPr>
    </w:p>
    <w:p w14:paraId="5AE35DBB">
      <w:pPr>
        <w:snapToGrid w:val="0"/>
        <w:spacing w:before="165" w:beforeLines="50" w:after="50"/>
        <w:jc w:val="center"/>
        <w:rPr>
          <w:rFonts w:hint="eastAsia" w:ascii="宋体" w:hAnsi="宋体"/>
          <w:b/>
          <w:bCs/>
          <w:color w:val="auto"/>
          <w:sz w:val="32"/>
          <w:szCs w:val="32"/>
          <w:highlight w:val="none"/>
        </w:rPr>
      </w:pPr>
    </w:p>
    <w:p w14:paraId="27E6903D">
      <w:pPr>
        <w:snapToGrid w:val="0"/>
        <w:spacing w:before="165" w:beforeLines="50" w:after="50"/>
        <w:jc w:val="center"/>
        <w:rPr>
          <w:rFonts w:hint="eastAsia" w:ascii="宋体" w:hAnsi="宋体"/>
          <w:b/>
          <w:bCs/>
          <w:color w:val="auto"/>
          <w:sz w:val="32"/>
          <w:szCs w:val="32"/>
          <w:highlight w:val="none"/>
        </w:rPr>
      </w:pPr>
    </w:p>
    <w:p w14:paraId="7E0477F8">
      <w:pPr>
        <w:snapToGrid w:val="0"/>
        <w:spacing w:before="165" w:beforeLines="50" w:after="50"/>
        <w:jc w:val="center"/>
        <w:rPr>
          <w:rFonts w:hint="eastAsia" w:ascii="宋体" w:hAnsi="宋体"/>
          <w:b/>
          <w:bCs/>
          <w:color w:val="auto"/>
          <w:sz w:val="32"/>
          <w:szCs w:val="32"/>
          <w:highlight w:val="none"/>
        </w:rPr>
      </w:pPr>
    </w:p>
    <w:p w14:paraId="43C75475">
      <w:pPr>
        <w:snapToGrid w:val="0"/>
        <w:spacing w:before="165" w:beforeLines="50" w:after="50"/>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技术文件（封面）</w:t>
      </w:r>
    </w:p>
    <w:p w14:paraId="6D68277D">
      <w:pPr>
        <w:snapToGrid w:val="0"/>
        <w:spacing w:before="165" w:beforeLines="50" w:after="50"/>
        <w:rPr>
          <w:rFonts w:hint="eastAsia" w:ascii="宋体" w:hAnsi="宋体"/>
          <w:bCs/>
          <w:color w:val="auto"/>
          <w:sz w:val="24"/>
          <w:szCs w:val="20"/>
          <w:highlight w:val="none"/>
        </w:rPr>
      </w:pPr>
    </w:p>
    <w:p w14:paraId="16FA6D3F">
      <w:pPr>
        <w:snapToGrid w:val="0"/>
        <w:spacing w:before="165" w:beforeLines="50" w:after="50" w:line="400" w:lineRule="exact"/>
        <w:ind w:firstLine="360" w:firstLineChars="150"/>
        <w:rPr>
          <w:rFonts w:hint="eastAsia" w:ascii="宋体" w:hAnsi="宋体"/>
          <w:bCs/>
          <w:color w:val="auto"/>
          <w:sz w:val="24"/>
          <w:szCs w:val="20"/>
          <w:highlight w:val="none"/>
        </w:rPr>
      </w:pPr>
      <w:r>
        <w:rPr>
          <w:rFonts w:hint="eastAsia" w:ascii="宋体" w:hAnsi="宋体"/>
          <w:bCs/>
          <w:color w:val="auto"/>
          <w:sz w:val="24"/>
          <w:highlight w:val="none"/>
        </w:rPr>
        <w:t xml:space="preserve">项目名称： </w:t>
      </w:r>
      <w:r>
        <w:rPr>
          <w:rFonts w:hint="eastAsia" w:ascii="宋体" w:hAnsi="宋体"/>
          <w:bCs/>
          <w:color w:val="auto"/>
          <w:sz w:val="24"/>
          <w:highlight w:val="none"/>
          <w:lang w:eastAsia="zh-CN"/>
        </w:rPr>
        <w:t>2026年广西政务服务统一评估服务项目</w:t>
      </w:r>
      <w:r>
        <w:rPr>
          <w:rFonts w:hint="eastAsia" w:ascii="宋体" w:hAnsi="宋体"/>
          <w:bCs/>
          <w:color w:val="auto"/>
          <w:sz w:val="24"/>
          <w:highlight w:val="none"/>
        </w:rPr>
        <w:t xml:space="preserve"> </w:t>
      </w:r>
    </w:p>
    <w:p w14:paraId="296E44AE">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02416581">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所投分标：</w:t>
      </w:r>
    </w:p>
    <w:p w14:paraId="5BD459B0">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投标人名称：</w:t>
      </w:r>
    </w:p>
    <w:p w14:paraId="0EA464A0">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46031FA4">
      <w:pPr>
        <w:snapToGrid w:val="0"/>
        <w:spacing w:before="165" w:beforeLines="50" w:after="50"/>
        <w:ind w:firstLine="645"/>
        <w:jc w:val="center"/>
        <w:rPr>
          <w:rFonts w:hint="eastAsia" w:ascii="宋体" w:hAnsi="宋体"/>
          <w:color w:val="auto"/>
          <w:sz w:val="24"/>
          <w:highlight w:val="none"/>
        </w:rPr>
      </w:pPr>
      <w:r>
        <w:rPr>
          <w:rFonts w:hint="eastAsia" w:ascii="宋体" w:hAnsi="宋体"/>
          <w:color w:val="auto"/>
          <w:sz w:val="24"/>
          <w:highlight w:val="none"/>
        </w:rPr>
        <w:t xml:space="preserve">                        年    月    日</w:t>
      </w:r>
    </w:p>
    <w:p w14:paraId="12FA5F11">
      <w:pPr>
        <w:snapToGrid w:val="0"/>
        <w:spacing w:before="165" w:beforeLines="50" w:after="50"/>
        <w:ind w:firstLine="645"/>
        <w:jc w:val="center"/>
        <w:rPr>
          <w:rFonts w:hint="eastAsia" w:ascii="宋体" w:hAnsi="宋体"/>
          <w:color w:val="auto"/>
          <w:sz w:val="24"/>
          <w:szCs w:val="20"/>
          <w:highlight w:val="none"/>
        </w:rPr>
      </w:pPr>
    </w:p>
    <w:p w14:paraId="543A34E8">
      <w:pPr>
        <w:jc w:val="center"/>
        <w:rPr>
          <w:rFonts w:hint="eastAsia" w:ascii="方正仿宋_GB2312" w:hAnsi="仿宋" w:eastAsia="方正仿宋_GB2312" w:cs="方正仿宋_GB2312"/>
          <w:b/>
          <w:color w:val="auto"/>
          <w:kern w:val="0"/>
          <w:sz w:val="28"/>
          <w:szCs w:val="28"/>
          <w:highlight w:val="none"/>
        </w:rPr>
      </w:pPr>
      <w:r>
        <w:rPr>
          <w:rFonts w:hint="eastAsia" w:ascii="宋体" w:hAnsi="宋体"/>
          <w:b/>
          <w:bCs/>
          <w:color w:val="auto"/>
          <w:sz w:val="24"/>
          <w:highlight w:val="none"/>
        </w:rPr>
        <w:br w:type="page"/>
      </w:r>
      <w:r>
        <w:rPr>
          <w:rFonts w:hint="eastAsia" w:ascii="方正仿宋_GB2312" w:hAnsi="仿宋" w:eastAsia="方正仿宋_GB2312" w:cs="方正仿宋_GB2312"/>
          <w:b/>
          <w:color w:val="auto"/>
          <w:kern w:val="0"/>
          <w:sz w:val="28"/>
          <w:szCs w:val="28"/>
          <w:highlight w:val="none"/>
        </w:rPr>
        <w:t>技术文件目录</w:t>
      </w:r>
    </w:p>
    <w:p w14:paraId="629EB61D">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一、服务需求、技术需求偏离表  ………………………………………………（页码）</w:t>
      </w:r>
    </w:p>
    <w:p w14:paraId="10D70FD3">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二、服务方案…………………………………………………………………（页码）</w:t>
      </w:r>
    </w:p>
    <w:p w14:paraId="68156779">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三、售后服务方案………………………………</w:t>
      </w:r>
      <w:r>
        <w:rPr>
          <w:rFonts w:hint="eastAsia" w:ascii="方正仿宋_GB2312" w:hAnsi="仿宋" w:eastAsia="方正仿宋_GB2312" w:cs="方正仿宋_GB2312"/>
          <w:color w:val="auto"/>
          <w:sz w:val="24"/>
          <w:highlight w:val="none"/>
          <w:lang w:val="zh-CN"/>
        </w:rPr>
        <w:t>………</w:t>
      </w:r>
      <w:r>
        <w:rPr>
          <w:rFonts w:hint="eastAsia" w:ascii="方正仿宋_GB2312" w:hAnsi="仿宋" w:eastAsia="方正仿宋_GB2312" w:cs="方正仿宋_GB2312"/>
          <w:color w:val="auto"/>
          <w:sz w:val="24"/>
          <w:highlight w:val="none"/>
        </w:rPr>
        <w:t>…………………………（页码）</w:t>
      </w:r>
    </w:p>
    <w:p w14:paraId="086C59BB">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四、</w:t>
      </w:r>
      <w:r>
        <w:rPr>
          <w:rFonts w:hint="eastAsia" w:ascii="方正仿宋_GB2312" w:hAnsi="仿宋" w:eastAsia="方正仿宋_GB2312" w:cs="方正仿宋_GB2312"/>
          <w:color w:val="auto"/>
          <w:sz w:val="24"/>
          <w:highlight w:val="none"/>
          <w:lang w:val="zh-CN"/>
        </w:rPr>
        <w:t>项目实施人员一览表…………………………………</w:t>
      </w:r>
      <w:r>
        <w:rPr>
          <w:rFonts w:hint="eastAsia" w:ascii="方正仿宋_GB2312" w:hAnsi="仿宋" w:eastAsia="方正仿宋_GB2312" w:cs="方正仿宋_GB2312"/>
          <w:color w:val="auto"/>
          <w:sz w:val="24"/>
          <w:highlight w:val="none"/>
        </w:rPr>
        <w:t>………………………（页码）</w:t>
      </w:r>
    </w:p>
    <w:p w14:paraId="489437C6">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五、投标人对项目的合理化建议和改进措施……</w:t>
      </w:r>
      <w:r>
        <w:rPr>
          <w:rFonts w:hint="eastAsia" w:ascii="方正仿宋_GB2312" w:hAnsi="仿宋" w:eastAsia="方正仿宋_GB2312" w:cs="方正仿宋_GB2312"/>
          <w:color w:val="auto"/>
          <w:sz w:val="24"/>
          <w:highlight w:val="none"/>
          <w:lang w:val="zh-CN"/>
        </w:rPr>
        <w:t>………………………</w:t>
      </w:r>
      <w:r>
        <w:rPr>
          <w:rFonts w:hint="eastAsia" w:ascii="方正仿宋_GB2312" w:hAnsi="仿宋" w:eastAsia="方正仿宋_GB2312" w:cs="方正仿宋_GB2312"/>
          <w:color w:val="auto"/>
          <w:sz w:val="24"/>
          <w:highlight w:val="none"/>
        </w:rPr>
        <w:t>………（页码）</w:t>
      </w:r>
    </w:p>
    <w:p w14:paraId="20A120CD">
      <w:pPr>
        <w:adjustRightInd w:val="0"/>
        <w:spacing w:line="360" w:lineRule="auto"/>
        <w:ind w:left="2"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六、认为需要的其他技术文件或说明（如有）…</w:t>
      </w:r>
      <w:r>
        <w:rPr>
          <w:rFonts w:hint="eastAsia" w:ascii="方正仿宋_GB2312" w:hAnsi="仿宋" w:eastAsia="方正仿宋_GB2312" w:cs="方正仿宋_GB2312"/>
          <w:color w:val="auto"/>
          <w:sz w:val="24"/>
          <w:highlight w:val="none"/>
          <w:lang w:val="zh-CN"/>
        </w:rPr>
        <w:t>………………………………</w:t>
      </w:r>
      <w:r>
        <w:rPr>
          <w:rFonts w:hint="eastAsia" w:ascii="方正仿宋_GB2312" w:hAnsi="仿宋" w:eastAsia="方正仿宋_GB2312" w:cs="方正仿宋_GB2312"/>
          <w:color w:val="auto"/>
          <w:sz w:val="24"/>
          <w:highlight w:val="none"/>
        </w:rPr>
        <w:t>（页码）</w:t>
      </w:r>
    </w:p>
    <w:p w14:paraId="6BCC4460">
      <w:pPr>
        <w:spacing w:line="360" w:lineRule="auto"/>
        <w:rPr>
          <w:rFonts w:hint="eastAsia" w:ascii="方正仿宋_GB2312" w:hAnsi="仿宋" w:eastAsia="方正仿宋_GB2312" w:cs="方正仿宋_GB2312"/>
          <w:b/>
          <w:bCs/>
          <w:color w:val="auto"/>
          <w:sz w:val="24"/>
          <w:highlight w:val="none"/>
        </w:rPr>
      </w:pPr>
      <w:r>
        <w:rPr>
          <w:rFonts w:hint="eastAsia" w:ascii="方正仿宋_GB2312" w:hAnsi="仿宋" w:eastAsia="方正仿宋_GB2312" w:cs="方正仿宋_GB2312"/>
          <w:b/>
          <w:bCs/>
          <w:color w:val="auto"/>
          <w:sz w:val="24"/>
          <w:highlight w:val="none"/>
        </w:rPr>
        <w:t>注：以上目录是基本格式要求，各投标人可根据自身情况进一步向下增加内容或细化。</w:t>
      </w:r>
    </w:p>
    <w:p w14:paraId="7C52DB4E">
      <w:pPr>
        <w:snapToGrid w:val="0"/>
        <w:spacing w:before="165" w:beforeLines="50" w:after="50"/>
        <w:ind w:left="143" w:leftChars="68" w:firstLine="472" w:firstLineChars="196"/>
        <w:jc w:val="left"/>
        <w:rPr>
          <w:rFonts w:hint="eastAsia" w:ascii="宋体" w:hAnsi="宋体"/>
          <w:b/>
          <w:color w:val="auto"/>
          <w:sz w:val="24"/>
          <w:highlight w:val="none"/>
        </w:rPr>
      </w:pPr>
    </w:p>
    <w:p w14:paraId="4761C986">
      <w:pPr>
        <w:snapToGrid w:val="0"/>
        <w:spacing w:before="165" w:beforeLines="50" w:after="50"/>
        <w:ind w:left="143" w:leftChars="68" w:firstLine="472" w:firstLineChars="196"/>
        <w:jc w:val="left"/>
        <w:rPr>
          <w:rFonts w:hint="eastAsia" w:ascii="宋体" w:hAnsi="宋体"/>
          <w:b/>
          <w:color w:val="auto"/>
          <w:sz w:val="24"/>
          <w:highlight w:val="none"/>
        </w:rPr>
      </w:pPr>
      <w:r>
        <w:rPr>
          <w:rFonts w:hint="eastAsia" w:ascii="宋体" w:hAnsi="宋体"/>
          <w:b/>
          <w:color w:val="auto"/>
          <w:sz w:val="24"/>
          <w:highlight w:val="none"/>
        </w:rPr>
        <w:br w:type="page"/>
      </w:r>
      <w:r>
        <w:rPr>
          <w:rFonts w:hint="eastAsia" w:ascii="宋体" w:hAnsi="宋体"/>
          <w:b/>
          <w:color w:val="auto"/>
          <w:sz w:val="24"/>
          <w:highlight w:val="none"/>
        </w:rPr>
        <w:t xml:space="preserve"> </w:t>
      </w:r>
    </w:p>
    <w:p w14:paraId="2402D649">
      <w:pPr>
        <w:spacing w:line="500" w:lineRule="exact"/>
        <w:jc w:val="center"/>
        <w:rPr>
          <w:b/>
          <w:bCs/>
          <w:color w:val="auto"/>
          <w:sz w:val="30"/>
          <w:szCs w:val="30"/>
          <w:highlight w:val="none"/>
        </w:rPr>
      </w:pPr>
      <w:r>
        <w:rPr>
          <w:rFonts w:hint="eastAsia"/>
          <w:b/>
          <w:bCs/>
          <w:color w:val="auto"/>
          <w:kern w:val="0"/>
          <w:sz w:val="30"/>
          <w:szCs w:val="30"/>
          <w:highlight w:val="none"/>
        </w:rPr>
        <w:t>一、</w:t>
      </w:r>
      <w:r>
        <w:rPr>
          <w:rFonts w:hint="eastAsia"/>
          <w:b/>
          <w:bCs/>
          <w:color w:val="auto"/>
          <w:sz w:val="30"/>
          <w:szCs w:val="30"/>
          <w:highlight w:val="none"/>
        </w:rPr>
        <w:t>服务需求、技术需求偏离表</w:t>
      </w:r>
    </w:p>
    <w:p w14:paraId="4F84E6CF">
      <w:pPr>
        <w:spacing w:line="440" w:lineRule="exact"/>
        <w:ind w:firstLine="400" w:firstLineChars="200"/>
        <w:rPr>
          <w:rFonts w:ascii="宋体" w:hAnsi="Courier New"/>
          <w:color w:val="auto"/>
          <w:kern w:val="0"/>
          <w:sz w:val="20"/>
          <w:szCs w:val="20"/>
          <w:highlight w:val="none"/>
        </w:rPr>
      </w:pPr>
    </w:p>
    <w:p w14:paraId="07B09D26">
      <w:pPr>
        <w:spacing w:line="600" w:lineRule="exact"/>
        <w:ind w:firstLine="480" w:firstLineChars="200"/>
        <w:rPr>
          <w:rFonts w:hint="eastAsia" w:ascii="宋体" w:hAnsi="宋体"/>
          <w:color w:val="auto"/>
          <w:kern w:val="0"/>
          <w:sz w:val="24"/>
          <w:highlight w:val="none"/>
        </w:rPr>
      </w:pPr>
      <w:r>
        <w:rPr>
          <w:rFonts w:hint="eastAsia" w:ascii="宋体" w:hAnsi="宋体"/>
          <w:color w:val="auto"/>
          <w:kern w:val="0"/>
          <w:sz w:val="24"/>
          <w:highlight w:val="none"/>
        </w:rPr>
        <w:t>请根据所投服务的实际技术参数，</w:t>
      </w:r>
      <w:r>
        <w:rPr>
          <w:rFonts w:hint="eastAsia" w:ascii="宋体" w:hAnsi="宋体"/>
          <w:b/>
          <w:color w:val="auto"/>
          <w:kern w:val="0"/>
          <w:sz w:val="28"/>
          <w:szCs w:val="28"/>
          <w:highlight w:val="none"/>
        </w:rPr>
        <w:t>逐条对应</w:t>
      </w:r>
      <w:r>
        <w:rPr>
          <w:rFonts w:hint="eastAsia" w:ascii="宋体" w:hAnsi="宋体"/>
          <w:color w:val="auto"/>
          <w:kern w:val="0"/>
          <w:sz w:val="24"/>
          <w:highlight w:val="none"/>
        </w:rPr>
        <w:t>本项目招标文件第二章“服务需求一览表”中的</w:t>
      </w:r>
      <w:r>
        <w:rPr>
          <w:rFonts w:hint="eastAsia" w:ascii="宋体" w:hAnsi="宋体"/>
          <w:b/>
          <w:color w:val="auto"/>
          <w:kern w:val="0"/>
          <w:sz w:val="28"/>
          <w:szCs w:val="28"/>
          <w:highlight w:val="none"/>
        </w:rPr>
        <w:t>采购清单及技术服务参数</w:t>
      </w:r>
      <w:r>
        <w:rPr>
          <w:rFonts w:hint="eastAsia" w:ascii="宋体" w:hAnsi="宋体"/>
          <w:color w:val="auto"/>
          <w:kern w:val="0"/>
          <w:sz w:val="24"/>
          <w:highlight w:val="none"/>
        </w:rPr>
        <w:t>详细填写相应的具体内容。“偏离说明”一栏应当选择“正偏离”、“负偏离”或“无偏离”进行填写。</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260"/>
        <w:gridCol w:w="2310"/>
        <w:gridCol w:w="1516"/>
        <w:gridCol w:w="3297"/>
        <w:gridCol w:w="1168"/>
      </w:tblGrid>
      <w:tr w14:paraId="1777B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34" w:type="dxa"/>
            <w:vMerge w:val="restart"/>
            <w:tcBorders>
              <w:top w:val="single" w:color="auto" w:sz="4" w:space="0"/>
              <w:left w:val="single" w:color="auto" w:sz="4" w:space="0"/>
              <w:bottom w:val="single" w:color="auto" w:sz="4" w:space="0"/>
              <w:right w:val="single" w:color="auto" w:sz="4" w:space="0"/>
            </w:tcBorders>
            <w:vAlign w:val="center"/>
          </w:tcPr>
          <w:p w14:paraId="3327E604">
            <w:pPr>
              <w:rPr>
                <w:rFonts w:hint="eastAsia" w:ascii="宋体" w:hAnsi="宋体"/>
                <w:color w:val="auto"/>
                <w:szCs w:val="21"/>
                <w:highlight w:val="none"/>
              </w:rPr>
            </w:pPr>
            <w:r>
              <w:rPr>
                <w:rFonts w:hint="eastAsia" w:ascii="宋体" w:hAnsi="宋体"/>
                <w:color w:val="auto"/>
                <w:szCs w:val="21"/>
                <w:highlight w:val="none"/>
              </w:rPr>
              <w:t>项号</w:t>
            </w:r>
          </w:p>
        </w:tc>
        <w:tc>
          <w:tcPr>
            <w:tcW w:w="3570" w:type="dxa"/>
            <w:gridSpan w:val="2"/>
            <w:tcBorders>
              <w:top w:val="single" w:color="auto" w:sz="4" w:space="0"/>
              <w:left w:val="single" w:color="auto" w:sz="4" w:space="0"/>
              <w:bottom w:val="single" w:color="auto" w:sz="4" w:space="0"/>
              <w:right w:val="single" w:color="auto" w:sz="4" w:space="0"/>
            </w:tcBorders>
            <w:vAlign w:val="center"/>
          </w:tcPr>
          <w:p w14:paraId="363BEA5B">
            <w:pPr>
              <w:jc w:val="center"/>
              <w:rPr>
                <w:rFonts w:hint="eastAsia" w:ascii="宋体" w:hAnsi="宋体"/>
                <w:color w:val="auto"/>
                <w:szCs w:val="21"/>
                <w:highlight w:val="none"/>
              </w:rPr>
            </w:pPr>
            <w:r>
              <w:rPr>
                <w:rFonts w:hint="eastAsia" w:ascii="宋体" w:hAnsi="宋体"/>
                <w:color w:val="auto"/>
                <w:szCs w:val="21"/>
                <w:highlight w:val="none"/>
              </w:rPr>
              <w:t>招标文件需求</w:t>
            </w:r>
          </w:p>
        </w:tc>
        <w:tc>
          <w:tcPr>
            <w:tcW w:w="4813" w:type="dxa"/>
            <w:gridSpan w:val="2"/>
            <w:tcBorders>
              <w:top w:val="single" w:color="auto" w:sz="4" w:space="0"/>
              <w:left w:val="single" w:color="auto" w:sz="4" w:space="0"/>
              <w:bottom w:val="single" w:color="auto" w:sz="4" w:space="0"/>
              <w:right w:val="single" w:color="auto" w:sz="4" w:space="0"/>
            </w:tcBorders>
            <w:vAlign w:val="center"/>
          </w:tcPr>
          <w:p w14:paraId="4F1E8751">
            <w:pPr>
              <w:jc w:val="center"/>
              <w:rPr>
                <w:rFonts w:hint="eastAsia" w:ascii="宋体" w:hAnsi="宋体"/>
                <w:color w:val="auto"/>
                <w:szCs w:val="21"/>
                <w:highlight w:val="none"/>
              </w:rPr>
            </w:pPr>
            <w:r>
              <w:rPr>
                <w:rFonts w:hint="eastAsia" w:ascii="宋体" w:hAnsi="宋体"/>
                <w:color w:val="auto"/>
                <w:szCs w:val="21"/>
                <w:highlight w:val="none"/>
              </w:rPr>
              <w:t>投标文件承诺</w:t>
            </w:r>
          </w:p>
        </w:tc>
        <w:tc>
          <w:tcPr>
            <w:tcW w:w="1168" w:type="dxa"/>
            <w:vMerge w:val="restart"/>
            <w:tcBorders>
              <w:top w:val="single" w:color="auto" w:sz="4" w:space="0"/>
              <w:left w:val="single" w:color="auto" w:sz="4" w:space="0"/>
              <w:bottom w:val="single" w:color="auto" w:sz="4" w:space="0"/>
              <w:right w:val="single" w:color="auto" w:sz="4" w:space="0"/>
            </w:tcBorders>
            <w:vAlign w:val="center"/>
          </w:tcPr>
          <w:p w14:paraId="59DA09F3">
            <w:pPr>
              <w:rPr>
                <w:rFonts w:hint="eastAsia" w:ascii="宋体" w:hAnsi="宋体"/>
                <w:color w:val="auto"/>
                <w:szCs w:val="21"/>
                <w:highlight w:val="none"/>
              </w:rPr>
            </w:pPr>
            <w:r>
              <w:rPr>
                <w:rFonts w:hint="eastAsia" w:ascii="宋体" w:hAnsi="宋体"/>
                <w:color w:val="auto"/>
                <w:szCs w:val="21"/>
                <w:highlight w:val="none"/>
              </w:rPr>
              <w:t>偏离说明</w:t>
            </w:r>
          </w:p>
        </w:tc>
      </w:tr>
      <w:tr w14:paraId="7C2E5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10185" w:type="dxa"/>
            <w:vMerge w:val="continue"/>
            <w:tcBorders>
              <w:top w:val="single" w:color="auto" w:sz="4" w:space="0"/>
              <w:left w:val="single" w:color="auto" w:sz="4" w:space="0"/>
              <w:bottom w:val="single" w:color="auto" w:sz="4" w:space="0"/>
              <w:right w:val="single" w:color="auto" w:sz="4" w:space="0"/>
            </w:tcBorders>
            <w:vAlign w:val="center"/>
          </w:tcPr>
          <w:p w14:paraId="3D434A70">
            <w:pPr>
              <w:widowControl/>
              <w:jc w:val="left"/>
              <w:rPr>
                <w:rFonts w:hint="eastAsia" w:ascii="宋体" w:hAnsi="宋体"/>
                <w:color w:val="auto"/>
                <w:szCs w:val="21"/>
                <w:highlight w:val="none"/>
              </w:rPr>
            </w:pPr>
          </w:p>
        </w:tc>
        <w:tc>
          <w:tcPr>
            <w:tcW w:w="1260" w:type="dxa"/>
            <w:tcBorders>
              <w:top w:val="single" w:color="auto" w:sz="4" w:space="0"/>
              <w:left w:val="single" w:color="auto" w:sz="4" w:space="0"/>
              <w:bottom w:val="single" w:color="auto" w:sz="4" w:space="0"/>
              <w:right w:val="single" w:color="auto" w:sz="4" w:space="0"/>
            </w:tcBorders>
            <w:vAlign w:val="center"/>
          </w:tcPr>
          <w:p w14:paraId="19082ECF">
            <w:pPr>
              <w:jc w:val="center"/>
              <w:rPr>
                <w:rFonts w:hint="eastAsia" w:ascii="宋体" w:hAnsi="宋体"/>
                <w:color w:val="auto"/>
                <w:szCs w:val="21"/>
                <w:highlight w:val="none"/>
              </w:rPr>
            </w:pPr>
            <w:r>
              <w:rPr>
                <w:rFonts w:hint="eastAsia" w:ascii="宋体" w:hAnsi="宋体"/>
                <w:color w:val="auto"/>
                <w:szCs w:val="21"/>
                <w:highlight w:val="none"/>
              </w:rPr>
              <w:t>服务名称</w:t>
            </w:r>
          </w:p>
        </w:tc>
        <w:tc>
          <w:tcPr>
            <w:tcW w:w="2310" w:type="dxa"/>
            <w:tcBorders>
              <w:top w:val="single" w:color="auto" w:sz="4" w:space="0"/>
              <w:left w:val="single" w:color="auto" w:sz="4" w:space="0"/>
              <w:bottom w:val="single" w:color="auto" w:sz="4" w:space="0"/>
              <w:right w:val="single" w:color="auto" w:sz="4" w:space="0"/>
            </w:tcBorders>
            <w:vAlign w:val="center"/>
          </w:tcPr>
          <w:p w14:paraId="286EDD28">
            <w:pPr>
              <w:jc w:val="center"/>
              <w:rPr>
                <w:rFonts w:hint="eastAsia" w:ascii="宋体" w:hAnsi="宋体"/>
                <w:color w:val="auto"/>
                <w:szCs w:val="21"/>
                <w:highlight w:val="none"/>
              </w:rPr>
            </w:pPr>
            <w:r>
              <w:rPr>
                <w:rFonts w:hint="eastAsia" w:ascii="宋体" w:hAnsi="宋体"/>
                <w:color w:val="auto"/>
                <w:szCs w:val="21"/>
                <w:highlight w:val="none"/>
              </w:rPr>
              <w:t>服务参数</w:t>
            </w:r>
          </w:p>
        </w:tc>
        <w:tc>
          <w:tcPr>
            <w:tcW w:w="1516" w:type="dxa"/>
            <w:tcBorders>
              <w:top w:val="single" w:color="auto" w:sz="4" w:space="0"/>
              <w:left w:val="single" w:color="auto" w:sz="4" w:space="0"/>
              <w:bottom w:val="single" w:color="auto" w:sz="4" w:space="0"/>
              <w:right w:val="single" w:color="auto" w:sz="4" w:space="0"/>
            </w:tcBorders>
            <w:vAlign w:val="center"/>
          </w:tcPr>
          <w:p w14:paraId="215F174D">
            <w:pPr>
              <w:jc w:val="center"/>
              <w:rPr>
                <w:rFonts w:hint="eastAsia" w:ascii="宋体" w:hAnsi="宋体"/>
                <w:color w:val="auto"/>
                <w:szCs w:val="21"/>
                <w:highlight w:val="none"/>
              </w:rPr>
            </w:pPr>
            <w:r>
              <w:rPr>
                <w:rFonts w:hint="eastAsia" w:ascii="宋体" w:hAnsi="宋体"/>
                <w:color w:val="auto"/>
                <w:szCs w:val="21"/>
                <w:highlight w:val="none"/>
              </w:rPr>
              <w:t>服务名称</w:t>
            </w:r>
          </w:p>
        </w:tc>
        <w:tc>
          <w:tcPr>
            <w:tcW w:w="3297" w:type="dxa"/>
            <w:tcBorders>
              <w:top w:val="single" w:color="auto" w:sz="4" w:space="0"/>
              <w:left w:val="single" w:color="auto" w:sz="4" w:space="0"/>
              <w:bottom w:val="single" w:color="auto" w:sz="4" w:space="0"/>
              <w:right w:val="single" w:color="auto" w:sz="4" w:space="0"/>
            </w:tcBorders>
            <w:vAlign w:val="center"/>
          </w:tcPr>
          <w:p w14:paraId="5095CD9D">
            <w:pPr>
              <w:jc w:val="center"/>
              <w:rPr>
                <w:rFonts w:hint="eastAsia" w:ascii="宋体" w:hAnsi="宋体"/>
                <w:color w:val="auto"/>
                <w:szCs w:val="21"/>
                <w:highlight w:val="none"/>
              </w:rPr>
            </w:pPr>
            <w:r>
              <w:rPr>
                <w:rFonts w:hint="eastAsia" w:ascii="宋体" w:hAnsi="宋体"/>
                <w:color w:val="auto"/>
                <w:szCs w:val="21"/>
                <w:highlight w:val="none"/>
              </w:rPr>
              <w:t>所提供服务的内容</w:t>
            </w:r>
          </w:p>
        </w:tc>
        <w:tc>
          <w:tcPr>
            <w:tcW w:w="1168" w:type="dxa"/>
            <w:vMerge w:val="continue"/>
            <w:tcBorders>
              <w:top w:val="single" w:color="auto" w:sz="4" w:space="0"/>
              <w:left w:val="single" w:color="auto" w:sz="4" w:space="0"/>
              <w:bottom w:val="single" w:color="auto" w:sz="4" w:space="0"/>
              <w:right w:val="single" w:color="auto" w:sz="4" w:space="0"/>
            </w:tcBorders>
            <w:vAlign w:val="center"/>
          </w:tcPr>
          <w:p w14:paraId="2CCF6FB3">
            <w:pPr>
              <w:widowControl/>
              <w:jc w:val="left"/>
              <w:rPr>
                <w:rFonts w:hint="eastAsia" w:ascii="宋体" w:hAnsi="宋体"/>
                <w:color w:val="auto"/>
                <w:szCs w:val="21"/>
                <w:highlight w:val="none"/>
              </w:rPr>
            </w:pPr>
          </w:p>
        </w:tc>
      </w:tr>
      <w:tr w14:paraId="24E3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16C6A1AA">
            <w:pPr>
              <w:rPr>
                <w:rFonts w:hint="eastAsia" w:ascii="宋体" w:hAnsi="宋体"/>
                <w:color w:val="auto"/>
                <w:szCs w:val="21"/>
                <w:highlight w:val="none"/>
              </w:rPr>
            </w:pPr>
            <w:r>
              <w:rPr>
                <w:rFonts w:hint="eastAsia" w:ascii="宋体" w:hAnsi="宋体"/>
                <w:color w:val="auto"/>
                <w:szCs w:val="21"/>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6781471A">
            <w:pPr>
              <w:rPr>
                <w:rFonts w:hint="eastAsia" w:ascii="宋体" w:hAnsi="宋体"/>
                <w:color w:val="auto"/>
                <w:szCs w:val="21"/>
                <w:highlight w:val="none"/>
              </w:rPr>
            </w:pPr>
            <w:r>
              <w:rPr>
                <w:rFonts w:hint="eastAsia" w:ascii="宋体" w:hAnsi="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702E5AFA">
            <w:pPr>
              <w:rPr>
                <w:rFonts w:hint="eastAsia" w:ascii="宋体" w:hAnsi="宋体"/>
                <w:color w:val="auto"/>
                <w:szCs w:val="21"/>
                <w:highlight w:val="none"/>
              </w:rPr>
            </w:pPr>
            <w:r>
              <w:rPr>
                <w:rFonts w:hint="eastAsia" w:ascii="宋体" w:hAnsi="宋体"/>
                <w:color w:val="auto"/>
                <w:szCs w:val="21"/>
                <w:highlight w:val="none"/>
              </w:rPr>
              <w:t>1  ……</w:t>
            </w:r>
          </w:p>
          <w:p w14:paraId="6DC9D8A1">
            <w:pPr>
              <w:rPr>
                <w:rFonts w:hint="eastAsia" w:ascii="宋体" w:hAnsi="宋体"/>
                <w:color w:val="auto"/>
                <w:szCs w:val="21"/>
                <w:highlight w:val="none"/>
              </w:rPr>
            </w:pPr>
            <w:r>
              <w:rPr>
                <w:rFonts w:hint="eastAsia" w:ascii="宋体" w:hAnsi="宋体"/>
                <w:color w:val="auto"/>
                <w:szCs w:val="21"/>
                <w:highlight w:val="none"/>
              </w:rPr>
              <w:t>2  ……</w:t>
            </w:r>
          </w:p>
          <w:p w14:paraId="244082AE">
            <w:pPr>
              <w:rPr>
                <w:rFonts w:hint="eastAsia" w:ascii="宋体" w:hAnsi="宋体"/>
                <w:color w:val="auto"/>
                <w:szCs w:val="21"/>
                <w:highlight w:val="none"/>
              </w:rPr>
            </w:pPr>
            <w:r>
              <w:rPr>
                <w:rFonts w:hint="eastAsia" w:ascii="宋体" w:hAnsi="宋体"/>
                <w:color w:val="auto"/>
                <w:szCs w:val="21"/>
                <w:highlight w:val="none"/>
              </w:rPr>
              <w:t>3  ……</w:t>
            </w:r>
          </w:p>
          <w:p w14:paraId="0EEB788E">
            <w:pPr>
              <w:rPr>
                <w:rFonts w:hint="eastAsia" w:ascii="宋体" w:hAnsi="宋体"/>
                <w:color w:val="auto"/>
                <w:szCs w:val="21"/>
                <w:highlight w:val="none"/>
              </w:rPr>
            </w:pPr>
            <w:r>
              <w:rPr>
                <w:rFonts w:hint="eastAsia" w:ascii="宋体" w:hAnsi="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55934056">
            <w:pPr>
              <w:rPr>
                <w:rFonts w:hint="eastAsia" w:ascii="宋体" w:hAnsi="宋体"/>
                <w:color w:val="auto"/>
                <w:szCs w:val="21"/>
                <w:highlight w:val="none"/>
              </w:rPr>
            </w:pPr>
            <w:r>
              <w:rPr>
                <w:rFonts w:hint="eastAsia" w:ascii="宋体" w:hAnsi="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34E80A4C">
            <w:pPr>
              <w:rPr>
                <w:rFonts w:hint="eastAsia" w:ascii="宋体" w:hAnsi="宋体"/>
                <w:color w:val="auto"/>
                <w:szCs w:val="21"/>
                <w:highlight w:val="none"/>
              </w:rPr>
            </w:pPr>
            <w:r>
              <w:rPr>
                <w:rFonts w:hint="eastAsia" w:ascii="宋体" w:hAnsi="宋体"/>
                <w:color w:val="auto"/>
                <w:szCs w:val="21"/>
                <w:highlight w:val="none"/>
              </w:rPr>
              <w:t>1  ……</w:t>
            </w:r>
          </w:p>
          <w:p w14:paraId="18521DBA">
            <w:pPr>
              <w:rPr>
                <w:rFonts w:hint="eastAsia" w:ascii="宋体" w:hAnsi="宋体"/>
                <w:color w:val="auto"/>
                <w:szCs w:val="21"/>
                <w:highlight w:val="none"/>
              </w:rPr>
            </w:pPr>
            <w:r>
              <w:rPr>
                <w:rFonts w:hint="eastAsia" w:ascii="宋体" w:hAnsi="宋体"/>
                <w:color w:val="auto"/>
                <w:szCs w:val="21"/>
                <w:highlight w:val="none"/>
              </w:rPr>
              <w:t>2  ……</w:t>
            </w:r>
          </w:p>
          <w:p w14:paraId="5740D134">
            <w:pPr>
              <w:rPr>
                <w:rFonts w:hint="eastAsia" w:ascii="宋体" w:hAnsi="宋体"/>
                <w:color w:val="auto"/>
                <w:szCs w:val="21"/>
                <w:highlight w:val="none"/>
              </w:rPr>
            </w:pPr>
            <w:r>
              <w:rPr>
                <w:rFonts w:hint="eastAsia" w:ascii="宋体" w:hAnsi="宋体"/>
                <w:color w:val="auto"/>
                <w:szCs w:val="21"/>
                <w:highlight w:val="none"/>
              </w:rPr>
              <w:t>3  ……</w:t>
            </w:r>
          </w:p>
          <w:p w14:paraId="47A7A5EA">
            <w:pPr>
              <w:rPr>
                <w:rFonts w:hint="eastAsia" w:ascii="宋体" w:hAnsi="宋体"/>
                <w:color w:val="auto"/>
                <w:szCs w:val="21"/>
                <w:highlight w:val="none"/>
              </w:rPr>
            </w:pPr>
            <w:r>
              <w:rPr>
                <w:rFonts w:hint="eastAsia" w:ascii="宋体" w:hAnsi="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51B1CE6A">
            <w:pPr>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79454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3F35D8AF">
            <w:pPr>
              <w:rPr>
                <w:rFonts w:hint="eastAsia" w:ascii="宋体" w:hAnsi="宋体"/>
                <w:color w:val="auto"/>
                <w:szCs w:val="21"/>
                <w:highlight w:val="none"/>
              </w:rPr>
            </w:pPr>
            <w:r>
              <w:rPr>
                <w:rFonts w:hint="eastAsia" w:ascii="宋体" w:hAnsi="宋体"/>
                <w:color w:val="auto"/>
                <w:szCs w:val="21"/>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05D1F735">
            <w:pPr>
              <w:rPr>
                <w:rFonts w:hint="eastAsia" w:ascii="宋体" w:hAnsi="宋体"/>
                <w:color w:val="auto"/>
                <w:szCs w:val="21"/>
                <w:highlight w:val="none"/>
              </w:rPr>
            </w:pPr>
            <w:r>
              <w:rPr>
                <w:rFonts w:hint="eastAsia" w:ascii="宋体" w:hAnsi="宋体"/>
                <w:color w:val="auto"/>
                <w:szCs w:val="21"/>
                <w:highlight w:val="none"/>
              </w:rPr>
              <w:t>……</w:t>
            </w:r>
          </w:p>
        </w:tc>
        <w:tc>
          <w:tcPr>
            <w:tcW w:w="2310" w:type="dxa"/>
            <w:tcBorders>
              <w:top w:val="single" w:color="auto" w:sz="4" w:space="0"/>
              <w:left w:val="single" w:color="auto" w:sz="4" w:space="0"/>
              <w:bottom w:val="single" w:color="auto" w:sz="4" w:space="0"/>
              <w:right w:val="single" w:color="auto" w:sz="4" w:space="0"/>
            </w:tcBorders>
            <w:vAlign w:val="center"/>
          </w:tcPr>
          <w:p w14:paraId="48C06426">
            <w:pPr>
              <w:rPr>
                <w:rFonts w:hint="eastAsia" w:ascii="宋体" w:hAnsi="宋体"/>
                <w:color w:val="auto"/>
                <w:szCs w:val="21"/>
                <w:highlight w:val="none"/>
              </w:rPr>
            </w:pPr>
            <w:r>
              <w:rPr>
                <w:rFonts w:hint="eastAsia" w:ascii="宋体" w:hAnsi="宋体"/>
                <w:color w:val="auto"/>
                <w:szCs w:val="21"/>
                <w:highlight w:val="none"/>
              </w:rPr>
              <w:t>1  ……</w:t>
            </w:r>
          </w:p>
          <w:p w14:paraId="02B3B849">
            <w:pPr>
              <w:rPr>
                <w:rFonts w:hint="eastAsia" w:ascii="宋体" w:hAnsi="宋体"/>
                <w:color w:val="auto"/>
                <w:szCs w:val="21"/>
                <w:highlight w:val="none"/>
              </w:rPr>
            </w:pPr>
            <w:r>
              <w:rPr>
                <w:rFonts w:hint="eastAsia" w:ascii="宋体" w:hAnsi="宋体"/>
                <w:color w:val="auto"/>
                <w:szCs w:val="21"/>
                <w:highlight w:val="none"/>
              </w:rPr>
              <w:t>2  ……</w:t>
            </w:r>
          </w:p>
          <w:p w14:paraId="6D0BD0D2">
            <w:pPr>
              <w:rPr>
                <w:rFonts w:hint="eastAsia" w:ascii="宋体" w:hAnsi="宋体"/>
                <w:color w:val="auto"/>
                <w:szCs w:val="21"/>
                <w:highlight w:val="none"/>
              </w:rPr>
            </w:pPr>
            <w:r>
              <w:rPr>
                <w:rFonts w:hint="eastAsia" w:ascii="宋体" w:hAnsi="宋体"/>
                <w:color w:val="auto"/>
                <w:szCs w:val="21"/>
                <w:highlight w:val="none"/>
              </w:rPr>
              <w:t>3  ……</w:t>
            </w:r>
          </w:p>
          <w:p w14:paraId="1B8D9540">
            <w:pPr>
              <w:rPr>
                <w:rFonts w:hint="eastAsia" w:ascii="宋体" w:hAnsi="宋体"/>
                <w:color w:val="auto"/>
                <w:szCs w:val="21"/>
                <w:highlight w:val="none"/>
              </w:rPr>
            </w:pPr>
            <w:r>
              <w:rPr>
                <w:rFonts w:hint="eastAsia" w:ascii="宋体" w:hAnsi="宋体"/>
                <w:color w:val="auto"/>
                <w:szCs w:val="21"/>
                <w:highlight w:val="none"/>
              </w:rPr>
              <w:t>……</w:t>
            </w:r>
          </w:p>
        </w:tc>
        <w:tc>
          <w:tcPr>
            <w:tcW w:w="1516" w:type="dxa"/>
            <w:tcBorders>
              <w:top w:val="single" w:color="auto" w:sz="4" w:space="0"/>
              <w:left w:val="single" w:color="auto" w:sz="4" w:space="0"/>
              <w:bottom w:val="single" w:color="auto" w:sz="4" w:space="0"/>
              <w:right w:val="single" w:color="auto" w:sz="4" w:space="0"/>
            </w:tcBorders>
            <w:vAlign w:val="center"/>
          </w:tcPr>
          <w:p w14:paraId="6A9C2D36">
            <w:pPr>
              <w:rPr>
                <w:rFonts w:hint="eastAsia" w:ascii="宋体" w:hAnsi="宋体"/>
                <w:color w:val="auto"/>
                <w:szCs w:val="21"/>
                <w:highlight w:val="none"/>
              </w:rPr>
            </w:pPr>
            <w:r>
              <w:rPr>
                <w:rFonts w:hint="eastAsia" w:ascii="宋体" w:hAnsi="宋体"/>
                <w:color w:val="auto"/>
                <w:szCs w:val="21"/>
                <w:highlight w:val="none"/>
              </w:rPr>
              <w:t>……</w:t>
            </w:r>
          </w:p>
        </w:tc>
        <w:tc>
          <w:tcPr>
            <w:tcW w:w="3297" w:type="dxa"/>
            <w:tcBorders>
              <w:top w:val="single" w:color="auto" w:sz="4" w:space="0"/>
              <w:left w:val="single" w:color="auto" w:sz="4" w:space="0"/>
              <w:bottom w:val="single" w:color="auto" w:sz="4" w:space="0"/>
              <w:right w:val="single" w:color="auto" w:sz="4" w:space="0"/>
            </w:tcBorders>
            <w:vAlign w:val="center"/>
          </w:tcPr>
          <w:p w14:paraId="737F0FC8">
            <w:pPr>
              <w:rPr>
                <w:rFonts w:hint="eastAsia" w:ascii="宋体" w:hAnsi="宋体"/>
                <w:color w:val="auto"/>
                <w:szCs w:val="21"/>
                <w:highlight w:val="none"/>
              </w:rPr>
            </w:pPr>
            <w:r>
              <w:rPr>
                <w:rFonts w:hint="eastAsia" w:ascii="宋体" w:hAnsi="宋体"/>
                <w:color w:val="auto"/>
                <w:szCs w:val="21"/>
                <w:highlight w:val="none"/>
              </w:rPr>
              <w:t>1  ……</w:t>
            </w:r>
          </w:p>
          <w:p w14:paraId="6D736977">
            <w:pPr>
              <w:rPr>
                <w:rFonts w:hint="eastAsia" w:ascii="宋体" w:hAnsi="宋体"/>
                <w:color w:val="auto"/>
                <w:szCs w:val="21"/>
                <w:highlight w:val="none"/>
              </w:rPr>
            </w:pPr>
            <w:r>
              <w:rPr>
                <w:rFonts w:hint="eastAsia" w:ascii="宋体" w:hAnsi="宋体"/>
                <w:color w:val="auto"/>
                <w:szCs w:val="21"/>
                <w:highlight w:val="none"/>
              </w:rPr>
              <w:t>2  ……</w:t>
            </w:r>
          </w:p>
          <w:p w14:paraId="58FF1856">
            <w:pPr>
              <w:rPr>
                <w:rFonts w:hint="eastAsia" w:ascii="宋体" w:hAnsi="宋体"/>
                <w:color w:val="auto"/>
                <w:szCs w:val="21"/>
                <w:highlight w:val="none"/>
              </w:rPr>
            </w:pPr>
            <w:r>
              <w:rPr>
                <w:rFonts w:hint="eastAsia" w:ascii="宋体" w:hAnsi="宋体"/>
                <w:color w:val="auto"/>
                <w:szCs w:val="21"/>
                <w:highlight w:val="none"/>
              </w:rPr>
              <w:t>3  ……</w:t>
            </w:r>
          </w:p>
          <w:p w14:paraId="3A7D12B9">
            <w:pPr>
              <w:rPr>
                <w:rFonts w:hint="eastAsia" w:ascii="宋体" w:hAnsi="宋体"/>
                <w:color w:val="auto"/>
                <w:szCs w:val="21"/>
                <w:highlight w:val="none"/>
              </w:rPr>
            </w:pPr>
            <w:r>
              <w:rPr>
                <w:rFonts w:hint="eastAsia" w:ascii="宋体" w:hAnsi="宋体"/>
                <w:color w:val="auto"/>
                <w:szCs w:val="21"/>
                <w:highlight w:val="none"/>
              </w:rPr>
              <w:t>……</w:t>
            </w:r>
          </w:p>
        </w:tc>
        <w:tc>
          <w:tcPr>
            <w:tcW w:w="1168" w:type="dxa"/>
            <w:tcBorders>
              <w:top w:val="single" w:color="auto" w:sz="4" w:space="0"/>
              <w:left w:val="single" w:color="auto" w:sz="4" w:space="0"/>
              <w:bottom w:val="single" w:color="auto" w:sz="4" w:space="0"/>
              <w:right w:val="single" w:color="auto" w:sz="4" w:space="0"/>
            </w:tcBorders>
            <w:vAlign w:val="center"/>
          </w:tcPr>
          <w:p w14:paraId="191624B9">
            <w:pPr>
              <w:rPr>
                <w:rFonts w:hint="eastAsia" w:ascii="宋体" w:hAnsi="宋体"/>
                <w:color w:val="auto"/>
                <w:szCs w:val="21"/>
                <w:highlight w:val="none"/>
              </w:rPr>
            </w:pPr>
            <w:r>
              <w:rPr>
                <w:rFonts w:hint="eastAsia" w:ascii="宋体" w:hAnsi="宋体"/>
                <w:color w:val="auto"/>
                <w:szCs w:val="21"/>
                <w:highlight w:val="none"/>
              </w:rPr>
              <w:t>正偏离（负偏离或无偏离）</w:t>
            </w:r>
          </w:p>
        </w:tc>
      </w:tr>
      <w:tr w14:paraId="6BF9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tcBorders>
              <w:top w:val="single" w:color="auto" w:sz="4" w:space="0"/>
              <w:left w:val="single" w:color="auto" w:sz="4" w:space="0"/>
              <w:bottom w:val="single" w:color="auto" w:sz="4" w:space="0"/>
              <w:right w:val="single" w:color="auto" w:sz="4" w:space="0"/>
            </w:tcBorders>
            <w:vAlign w:val="center"/>
          </w:tcPr>
          <w:p w14:paraId="14A27A02">
            <w:pPr>
              <w:rPr>
                <w:rFonts w:hint="eastAsia" w:ascii="宋体" w:hAnsi="宋体"/>
                <w:color w:val="auto"/>
                <w:szCs w:val="21"/>
                <w:highlight w:val="none"/>
              </w:rPr>
            </w:pPr>
            <w:r>
              <w:rPr>
                <w:rFonts w:hint="eastAsia" w:ascii="宋体" w:hAnsi="宋体"/>
                <w:color w:val="auto"/>
                <w:szCs w:val="21"/>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00E9FFF0">
            <w:pPr>
              <w:rPr>
                <w:rFonts w:hint="eastAsia" w:ascii="宋体" w:hAnsi="宋体"/>
                <w:color w:val="auto"/>
                <w:szCs w:val="21"/>
                <w:highlight w:val="none"/>
              </w:rPr>
            </w:pPr>
          </w:p>
        </w:tc>
        <w:tc>
          <w:tcPr>
            <w:tcW w:w="2310" w:type="dxa"/>
            <w:tcBorders>
              <w:top w:val="single" w:color="auto" w:sz="4" w:space="0"/>
              <w:left w:val="single" w:color="auto" w:sz="4" w:space="0"/>
              <w:bottom w:val="single" w:color="auto" w:sz="4" w:space="0"/>
              <w:right w:val="single" w:color="auto" w:sz="4" w:space="0"/>
            </w:tcBorders>
            <w:vAlign w:val="center"/>
          </w:tcPr>
          <w:p w14:paraId="42981CB6">
            <w:pPr>
              <w:rPr>
                <w:rFonts w:hint="eastAsia" w:ascii="宋体" w:hAnsi="宋体"/>
                <w:color w:val="auto"/>
                <w:szCs w:val="21"/>
                <w:highlight w:val="none"/>
              </w:rPr>
            </w:pPr>
          </w:p>
        </w:tc>
        <w:tc>
          <w:tcPr>
            <w:tcW w:w="1516" w:type="dxa"/>
            <w:tcBorders>
              <w:top w:val="single" w:color="auto" w:sz="4" w:space="0"/>
              <w:left w:val="single" w:color="auto" w:sz="4" w:space="0"/>
              <w:bottom w:val="single" w:color="auto" w:sz="4" w:space="0"/>
              <w:right w:val="single" w:color="auto" w:sz="4" w:space="0"/>
            </w:tcBorders>
            <w:vAlign w:val="center"/>
          </w:tcPr>
          <w:p w14:paraId="5E17D602">
            <w:pPr>
              <w:rPr>
                <w:rFonts w:hint="eastAsia" w:ascii="宋体" w:hAnsi="宋体"/>
                <w:color w:val="auto"/>
                <w:szCs w:val="21"/>
                <w:highlight w:val="none"/>
              </w:rPr>
            </w:pPr>
          </w:p>
        </w:tc>
        <w:tc>
          <w:tcPr>
            <w:tcW w:w="3297" w:type="dxa"/>
            <w:tcBorders>
              <w:top w:val="single" w:color="auto" w:sz="4" w:space="0"/>
              <w:left w:val="single" w:color="auto" w:sz="4" w:space="0"/>
              <w:bottom w:val="single" w:color="auto" w:sz="4" w:space="0"/>
              <w:right w:val="single" w:color="auto" w:sz="4" w:space="0"/>
            </w:tcBorders>
            <w:vAlign w:val="center"/>
          </w:tcPr>
          <w:p w14:paraId="4D9559E5">
            <w:pPr>
              <w:rPr>
                <w:rFonts w:hint="eastAsia" w:ascii="宋体" w:hAnsi="宋体"/>
                <w:color w:val="auto"/>
                <w:szCs w:val="21"/>
                <w:highlight w:val="none"/>
              </w:rPr>
            </w:pPr>
          </w:p>
        </w:tc>
        <w:tc>
          <w:tcPr>
            <w:tcW w:w="1168" w:type="dxa"/>
            <w:tcBorders>
              <w:top w:val="single" w:color="auto" w:sz="4" w:space="0"/>
              <w:left w:val="single" w:color="auto" w:sz="4" w:space="0"/>
              <w:bottom w:val="single" w:color="auto" w:sz="4" w:space="0"/>
              <w:right w:val="single" w:color="auto" w:sz="4" w:space="0"/>
            </w:tcBorders>
            <w:vAlign w:val="center"/>
          </w:tcPr>
          <w:p w14:paraId="7AECB209">
            <w:pPr>
              <w:rPr>
                <w:rFonts w:hint="eastAsia" w:ascii="宋体" w:hAnsi="宋体"/>
                <w:color w:val="auto"/>
                <w:szCs w:val="21"/>
                <w:highlight w:val="none"/>
              </w:rPr>
            </w:pPr>
          </w:p>
        </w:tc>
      </w:tr>
      <w:tr w14:paraId="01CFD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10185" w:type="dxa"/>
            <w:gridSpan w:val="6"/>
            <w:tcBorders>
              <w:top w:val="single" w:color="auto" w:sz="4" w:space="0"/>
              <w:left w:val="single" w:color="auto" w:sz="4" w:space="0"/>
              <w:bottom w:val="single" w:color="auto" w:sz="4" w:space="0"/>
              <w:right w:val="single" w:color="auto" w:sz="4" w:space="0"/>
            </w:tcBorders>
            <w:vAlign w:val="center"/>
          </w:tcPr>
          <w:p w14:paraId="3C56A568">
            <w:pPr>
              <w:rPr>
                <w:rFonts w:hint="eastAsia" w:ascii="宋体" w:hAnsi="宋体"/>
                <w:color w:val="auto"/>
                <w:szCs w:val="21"/>
                <w:highlight w:val="none"/>
              </w:rPr>
            </w:pPr>
            <w:r>
              <w:rPr>
                <w:rFonts w:hint="eastAsia" w:ascii="宋体" w:hAnsi="宋体"/>
                <w:color w:val="auto"/>
                <w:szCs w:val="21"/>
                <w:highlight w:val="none"/>
                <w:u w:val="single"/>
              </w:rPr>
              <w:t>　　</w:t>
            </w:r>
            <w:r>
              <w:rPr>
                <w:rFonts w:hint="eastAsia" w:ascii="宋体" w:hAnsi="宋体"/>
                <w:color w:val="auto"/>
                <w:szCs w:val="21"/>
                <w:highlight w:val="none"/>
              </w:rPr>
              <w:t>分标（此处有分标时填写具体分标号，无分标时填写“无”）</w:t>
            </w:r>
          </w:p>
        </w:tc>
      </w:tr>
    </w:tbl>
    <w:p w14:paraId="1D9F7AC9">
      <w:pPr>
        <w:spacing w:line="360" w:lineRule="auto"/>
        <w:rPr>
          <w:rFonts w:hint="eastAsia" w:ascii="宋体" w:hAnsi="宋体"/>
          <w:color w:val="auto"/>
          <w:kern w:val="0"/>
          <w:sz w:val="20"/>
          <w:szCs w:val="20"/>
          <w:highlight w:val="none"/>
        </w:rPr>
      </w:pPr>
      <w:r>
        <w:rPr>
          <w:rFonts w:hint="eastAsia" w:ascii="宋体" w:hAnsi="宋体"/>
          <w:color w:val="auto"/>
          <w:kern w:val="0"/>
          <w:sz w:val="20"/>
          <w:szCs w:val="20"/>
          <w:highlight w:val="none"/>
        </w:rPr>
        <w:t>注：</w:t>
      </w:r>
    </w:p>
    <w:p w14:paraId="33BCD4AA">
      <w:pPr>
        <w:spacing w:line="360" w:lineRule="auto"/>
        <w:rPr>
          <w:rFonts w:hint="eastAsia" w:ascii="宋体" w:hAnsi="宋体"/>
          <w:color w:val="auto"/>
          <w:kern w:val="0"/>
          <w:sz w:val="20"/>
          <w:szCs w:val="20"/>
          <w:highlight w:val="none"/>
        </w:rPr>
      </w:pPr>
      <w:r>
        <w:rPr>
          <w:rFonts w:hint="eastAsia" w:ascii="宋体" w:hAnsi="宋体" w:cs="宋体"/>
          <w:color w:val="auto"/>
          <w:kern w:val="0"/>
          <w:sz w:val="20"/>
          <w:szCs w:val="20"/>
          <w:highlight w:val="none"/>
        </w:rPr>
        <w:t>1.</w:t>
      </w:r>
      <w:r>
        <w:rPr>
          <w:rFonts w:hint="eastAsia" w:ascii="宋体" w:hAnsi="宋体"/>
          <w:color w:val="auto"/>
          <w:kern w:val="0"/>
          <w:sz w:val="20"/>
          <w:szCs w:val="20"/>
          <w:highlight w:val="none"/>
        </w:rPr>
        <w:t>表格内容均需按要求填写并盖章，不得留空，</w:t>
      </w:r>
      <w:r>
        <w:rPr>
          <w:rFonts w:hint="eastAsia" w:ascii="宋体" w:hAnsi="宋体"/>
          <w:bCs/>
          <w:color w:val="auto"/>
          <w:kern w:val="0"/>
          <w:sz w:val="20"/>
          <w:szCs w:val="20"/>
          <w:highlight w:val="none"/>
        </w:rPr>
        <w:t>否则按投标无效处理</w:t>
      </w:r>
      <w:r>
        <w:rPr>
          <w:rFonts w:hint="eastAsia" w:ascii="宋体" w:hAnsi="宋体"/>
          <w:color w:val="auto"/>
          <w:kern w:val="0"/>
          <w:sz w:val="20"/>
          <w:szCs w:val="20"/>
          <w:highlight w:val="none"/>
        </w:rPr>
        <w:t>。</w:t>
      </w:r>
    </w:p>
    <w:p w14:paraId="47BE8D12">
      <w:pPr>
        <w:spacing w:line="360" w:lineRule="auto"/>
        <w:rPr>
          <w:rFonts w:hint="eastAsia" w:ascii="宋体" w:hAnsi="宋体"/>
          <w:color w:val="auto"/>
          <w:kern w:val="0"/>
          <w:sz w:val="20"/>
          <w:szCs w:val="20"/>
          <w:highlight w:val="none"/>
        </w:rPr>
      </w:pPr>
      <w:r>
        <w:rPr>
          <w:rFonts w:hint="eastAsia" w:ascii="宋体" w:hAnsi="宋体"/>
          <w:bCs/>
          <w:color w:val="auto"/>
          <w:kern w:val="0"/>
          <w:sz w:val="20"/>
          <w:szCs w:val="20"/>
          <w:highlight w:val="none"/>
        </w:rPr>
        <w:t>2.当投标文件的服务内容低于招标文件要求时，投标人应当如实写明“负偏离”，否则视为虚假应标。</w:t>
      </w:r>
    </w:p>
    <w:p w14:paraId="7839072D">
      <w:pPr>
        <w:spacing w:line="360" w:lineRule="auto"/>
        <w:rPr>
          <w:rFonts w:ascii="宋体" w:hAnsi="Courier New"/>
          <w:color w:val="auto"/>
          <w:kern w:val="0"/>
          <w:sz w:val="20"/>
          <w:szCs w:val="20"/>
          <w:highlight w:val="none"/>
        </w:rPr>
      </w:pPr>
      <w:r>
        <w:rPr>
          <w:rFonts w:hint="eastAsia" w:ascii="宋体" w:hAnsi="Courier New"/>
          <w:color w:val="auto"/>
          <w:kern w:val="0"/>
          <w:sz w:val="20"/>
          <w:szCs w:val="20"/>
          <w:highlight w:val="none"/>
        </w:rPr>
        <w:t>3.</w:t>
      </w:r>
      <w:r>
        <w:rPr>
          <w:rFonts w:hint="eastAsia" w:ascii="宋体" w:hAnsi="宋体" w:cs="宋体"/>
          <w:color w:val="auto"/>
          <w:kern w:val="0"/>
          <w:sz w:val="20"/>
          <w:szCs w:val="20"/>
          <w:highlight w:val="none"/>
        </w:rPr>
        <w:t>采购需求中带“▲”及“★”的条款，也要分别在本表“</w:t>
      </w:r>
      <w:r>
        <w:rPr>
          <w:rFonts w:hint="eastAsia" w:ascii="宋体" w:hAnsi="宋体"/>
          <w:color w:val="auto"/>
          <w:kern w:val="0"/>
          <w:sz w:val="20"/>
          <w:szCs w:val="20"/>
          <w:highlight w:val="none"/>
        </w:rPr>
        <w:t>服务参数</w:t>
      </w:r>
      <w:r>
        <w:rPr>
          <w:rFonts w:hint="eastAsia" w:ascii="宋体" w:hAnsi="宋体" w:cs="宋体"/>
          <w:color w:val="auto"/>
          <w:kern w:val="0"/>
          <w:sz w:val="20"/>
          <w:szCs w:val="20"/>
          <w:highlight w:val="none"/>
        </w:rPr>
        <w:t>”、“</w:t>
      </w:r>
      <w:r>
        <w:rPr>
          <w:rFonts w:hint="eastAsia" w:ascii="宋体" w:hAnsi="宋体"/>
          <w:color w:val="auto"/>
          <w:kern w:val="0"/>
          <w:sz w:val="20"/>
          <w:szCs w:val="20"/>
          <w:highlight w:val="none"/>
        </w:rPr>
        <w:t>所提供服务的内容</w:t>
      </w:r>
      <w:r>
        <w:rPr>
          <w:rFonts w:hint="eastAsia" w:ascii="宋体" w:hAnsi="宋体" w:cs="宋体"/>
          <w:color w:val="auto"/>
          <w:kern w:val="0"/>
          <w:sz w:val="20"/>
          <w:szCs w:val="20"/>
          <w:highlight w:val="none"/>
        </w:rPr>
        <w:t>”中标记。</w:t>
      </w:r>
    </w:p>
    <w:p w14:paraId="44E74354">
      <w:pPr>
        <w:snapToGrid w:val="0"/>
        <w:spacing w:line="360" w:lineRule="auto"/>
        <w:ind w:firstLine="5640" w:firstLineChars="2350"/>
        <w:rPr>
          <w:rFonts w:hint="eastAsia" w:ascii="方正仿宋_GB2312" w:hAnsi="仿宋" w:eastAsia="方正仿宋_GB2312" w:cs="方正仿宋_GB2312"/>
          <w:color w:val="auto"/>
          <w:kern w:val="0"/>
          <w:sz w:val="24"/>
          <w:highlight w:val="none"/>
          <w:lang w:val="zh-CN"/>
        </w:rPr>
      </w:pPr>
    </w:p>
    <w:p w14:paraId="1C9AD2C9">
      <w:pPr>
        <w:snapToGrid w:val="0"/>
        <w:spacing w:line="360" w:lineRule="auto"/>
        <w:ind w:firstLine="5640" w:firstLineChars="235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44ACDCF6">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7F78DD54">
      <w:pPr>
        <w:widowControl/>
        <w:jc w:val="left"/>
        <w:rPr>
          <w:rFonts w:hint="eastAsia" w:ascii="宋体" w:hAnsi="宋体"/>
          <w:color w:val="auto"/>
          <w:sz w:val="30"/>
          <w:szCs w:val="20"/>
          <w:highlight w:val="none"/>
        </w:rPr>
        <w:sectPr>
          <w:pgSz w:w="11906" w:h="16838"/>
          <w:pgMar w:top="1134" w:right="1134" w:bottom="1134" w:left="1134" w:header="720" w:footer="720" w:gutter="0"/>
          <w:cols w:space="720" w:num="1"/>
          <w:docGrid w:type="lines" w:linePitch="331" w:charSpace="0"/>
        </w:sectPr>
      </w:pPr>
    </w:p>
    <w:p w14:paraId="027113A9">
      <w:pPr>
        <w:snapToGrid w:val="0"/>
        <w:spacing w:before="165" w:beforeLines="50" w:after="50"/>
        <w:jc w:val="center"/>
        <w:rPr>
          <w:b/>
          <w:bCs/>
          <w:color w:val="auto"/>
          <w:sz w:val="30"/>
          <w:szCs w:val="30"/>
          <w:highlight w:val="none"/>
        </w:rPr>
      </w:pPr>
    </w:p>
    <w:p w14:paraId="6309460A">
      <w:pPr>
        <w:snapToGrid w:val="0"/>
        <w:spacing w:before="165" w:beforeLines="50" w:after="50"/>
        <w:jc w:val="center"/>
        <w:rPr>
          <w:b/>
          <w:bCs/>
          <w:color w:val="auto"/>
          <w:sz w:val="30"/>
          <w:szCs w:val="30"/>
          <w:highlight w:val="none"/>
        </w:rPr>
      </w:pPr>
    </w:p>
    <w:p w14:paraId="30F83D79">
      <w:pPr>
        <w:snapToGrid w:val="0"/>
        <w:spacing w:before="165" w:beforeLines="50" w:after="50"/>
        <w:jc w:val="center"/>
        <w:rPr>
          <w:b/>
          <w:bCs/>
          <w:color w:val="auto"/>
          <w:sz w:val="30"/>
          <w:szCs w:val="30"/>
          <w:highlight w:val="none"/>
        </w:rPr>
      </w:pPr>
      <w:r>
        <w:rPr>
          <w:rFonts w:hint="eastAsia"/>
          <w:b/>
          <w:bCs/>
          <w:color w:val="auto"/>
          <w:sz w:val="30"/>
          <w:szCs w:val="30"/>
          <w:highlight w:val="none"/>
        </w:rPr>
        <w:t>二、服务方案</w:t>
      </w:r>
    </w:p>
    <w:p w14:paraId="18668877">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（由投标人自行结合“采购需求”及“评标办法”编制，格式自拟）</w:t>
      </w:r>
    </w:p>
    <w:p w14:paraId="6888468C">
      <w:pPr>
        <w:rPr>
          <w:rFonts w:hint="eastAsia" w:ascii="方正仿宋_GB2312" w:hAnsi="仿宋" w:eastAsia="方正仿宋_GB2312" w:cs="方正仿宋_GB2312"/>
          <w:b/>
          <w:bCs/>
          <w:color w:val="auto"/>
          <w:kern w:val="0"/>
          <w:sz w:val="24"/>
          <w:highlight w:val="none"/>
          <w:lang w:val="zh-CN"/>
        </w:rPr>
      </w:pPr>
    </w:p>
    <w:p w14:paraId="0055771E">
      <w:pPr>
        <w:autoSpaceDE w:val="0"/>
        <w:autoSpaceDN w:val="0"/>
        <w:spacing w:line="360" w:lineRule="auto"/>
        <w:ind w:firstLine="4440" w:firstLineChars="185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投标人名称（电子签章）：</w:t>
      </w:r>
    </w:p>
    <w:p w14:paraId="732E7FB5">
      <w:pPr>
        <w:autoSpaceDE w:val="0"/>
        <w:autoSpaceDN w:val="0"/>
        <w:spacing w:line="360" w:lineRule="auto"/>
        <w:rPr>
          <w:rFonts w:hint="eastAsia" w:ascii="方正仿宋_GB2312" w:hAnsi="仿宋" w:eastAsia="方正仿宋_GB2312" w:cs="方正仿宋_GB2312"/>
          <w:b/>
          <w:bCs/>
          <w:color w:val="auto"/>
          <w:sz w:val="32"/>
          <w:szCs w:val="32"/>
          <w:highlight w:val="none"/>
        </w:rPr>
      </w:pP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日期：  年  月   日</w:t>
      </w:r>
    </w:p>
    <w:p w14:paraId="4AA7FD78">
      <w:pP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5114D70F">
      <w:pPr>
        <w:snapToGrid w:val="0"/>
        <w:spacing w:before="165" w:beforeLines="50" w:after="50"/>
        <w:jc w:val="center"/>
        <w:rPr>
          <w:b/>
          <w:bCs/>
          <w:color w:val="auto"/>
          <w:sz w:val="30"/>
          <w:szCs w:val="30"/>
          <w:highlight w:val="none"/>
        </w:rPr>
      </w:pPr>
    </w:p>
    <w:p w14:paraId="441A7093">
      <w:pPr>
        <w:snapToGrid w:val="0"/>
        <w:spacing w:before="165" w:beforeLines="50" w:after="50"/>
        <w:jc w:val="center"/>
        <w:rPr>
          <w:b/>
          <w:bCs/>
          <w:color w:val="auto"/>
          <w:sz w:val="30"/>
          <w:szCs w:val="30"/>
          <w:highlight w:val="none"/>
        </w:rPr>
      </w:pPr>
    </w:p>
    <w:p w14:paraId="75CE1837">
      <w:pPr>
        <w:snapToGrid w:val="0"/>
        <w:spacing w:before="165" w:beforeLines="50" w:after="50"/>
        <w:jc w:val="center"/>
        <w:rPr>
          <w:b/>
          <w:bCs/>
          <w:color w:val="auto"/>
          <w:sz w:val="30"/>
          <w:szCs w:val="30"/>
          <w:highlight w:val="none"/>
        </w:rPr>
      </w:pPr>
    </w:p>
    <w:p w14:paraId="18C1CA69">
      <w:pPr>
        <w:snapToGrid w:val="0"/>
        <w:spacing w:before="165" w:beforeLines="50" w:after="50"/>
        <w:jc w:val="center"/>
        <w:rPr>
          <w:b/>
          <w:bCs/>
          <w:color w:val="auto"/>
          <w:sz w:val="30"/>
          <w:szCs w:val="30"/>
          <w:highlight w:val="none"/>
        </w:rPr>
      </w:pPr>
    </w:p>
    <w:p w14:paraId="6982FF42">
      <w:pPr>
        <w:snapToGrid w:val="0"/>
        <w:spacing w:before="165" w:beforeLines="50" w:after="50"/>
        <w:jc w:val="center"/>
        <w:rPr>
          <w:b/>
          <w:bCs/>
          <w:color w:val="auto"/>
          <w:sz w:val="30"/>
          <w:szCs w:val="30"/>
          <w:highlight w:val="none"/>
        </w:rPr>
      </w:pPr>
      <w:r>
        <w:rPr>
          <w:rFonts w:hint="eastAsia"/>
          <w:b/>
          <w:bCs/>
          <w:color w:val="auto"/>
          <w:sz w:val="30"/>
          <w:szCs w:val="30"/>
          <w:highlight w:val="none"/>
        </w:rPr>
        <w:t>三、售后服务方案</w:t>
      </w:r>
    </w:p>
    <w:p w14:paraId="6FD2B384">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（由投标人根据采购需求及招标文件要求编制）</w:t>
      </w:r>
    </w:p>
    <w:p w14:paraId="60A271F8">
      <w:pPr>
        <w:snapToGrid w:val="0"/>
        <w:spacing w:before="165" w:beforeLines="50" w:after="50"/>
        <w:ind w:left="142"/>
        <w:jc w:val="center"/>
        <w:rPr>
          <w:rFonts w:hint="eastAsia" w:ascii="宋体" w:hAnsi="宋体"/>
          <w:b/>
          <w:color w:val="auto"/>
          <w:sz w:val="32"/>
          <w:szCs w:val="32"/>
          <w:highlight w:val="none"/>
        </w:rPr>
      </w:pPr>
    </w:p>
    <w:p w14:paraId="4FB295D2">
      <w:pPr>
        <w:snapToGrid w:val="0"/>
        <w:spacing w:before="165" w:beforeLines="50" w:line="360" w:lineRule="auto"/>
        <w:ind w:right="480" w:firstLine="3967" w:firstLineChars="1653"/>
        <w:rPr>
          <w:rFonts w:hint="eastAsia" w:ascii="宋体" w:hAnsi="宋体"/>
          <w:color w:val="auto"/>
          <w:sz w:val="24"/>
          <w:highlight w:val="none"/>
        </w:rPr>
      </w:pPr>
    </w:p>
    <w:p w14:paraId="65BC4FF4">
      <w:pPr>
        <w:snapToGrid w:val="0"/>
        <w:spacing w:line="360" w:lineRule="auto"/>
        <w:ind w:firstLine="5160" w:firstLineChars="215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26A46193">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102935A3">
      <w:pPr>
        <w:widowControl/>
        <w:spacing w:line="360" w:lineRule="auto"/>
        <w:jc w:val="left"/>
        <w:rPr>
          <w:rFonts w:hint="eastAsia" w:ascii="宋体" w:hAnsi="宋体"/>
          <w:color w:val="auto"/>
          <w:sz w:val="24"/>
          <w:highlight w:val="none"/>
        </w:rPr>
        <w:sectPr>
          <w:pgSz w:w="11906" w:h="16838"/>
          <w:pgMar w:top="1134" w:right="1134" w:bottom="1134" w:left="1134" w:header="720" w:footer="720" w:gutter="0"/>
          <w:cols w:space="720" w:num="1"/>
          <w:docGrid w:type="lines" w:linePitch="331" w:charSpace="0"/>
        </w:sectPr>
      </w:pPr>
    </w:p>
    <w:p w14:paraId="600C2AF6">
      <w:pPr>
        <w:snapToGrid w:val="0"/>
        <w:spacing w:before="165" w:beforeLines="5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四、项目实施人员一览表</w:t>
      </w:r>
    </w:p>
    <w:p w14:paraId="0E5B94CC">
      <w:pPr>
        <w:spacing w:line="360" w:lineRule="auto"/>
        <w:jc w:val="center"/>
        <w:rPr>
          <w:rFonts w:hint="eastAsia" w:ascii="方正仿宋_GB2312" w:hAnsi="仿宋" w:eastAsia="方正仿宋_GB2312" w:cs="方正仿宋_GB2312"/>
          <w:b/>
          <w:bCs/>
          <w:color w:val="auto"/>
          <w:sz w:val="24"/>
          <w:highlight w:val="none"/>
        </w:rPr>
      </w:pPr>
      <w:r>
        <w:rPr>
          <w:rFonts w:hint="eastAsia" w:ascii="方正仿宋_GB2312" w:hAnsi="仿宋" w:eastAsia="方正仿宋_GB2312" w:cs="方正仿宋_GB2312"/>
          <w:color w:val="auto"/>
          <w:sz w:val="24"/>
          <w:highlight w:val="none"/>
        </w:rPr>
        <w:t>（由投标人根据采购需求及招标文件要求编制）</w:t>
      </w:r>
    </w:p>
    <w:p w14:paraId="2908681C">
      <w:pPr>
        <w:keepNext/>
        <w:autoSpaceDE w:val="0"/>
        <w:autoSpaceDN w:val="0"/>
        <w:spacing w:line="360" w:lineRule="auto"/>
        <w:ind w:firstLine="477"/>
        <w:rPr>
          <w:rFonts w:hint="eastAsia" w:ascii="方正仿宋_GB2312" w:hAnsi="仿宋" w:eastAsia="方正仿宋_GB2312" w:cs="方正仿宋_GB2312"/>
          <w:b/>
          <w:color w:val="auto"/>
          <w:sz w:val="24"/>
          <w:highlight w:val="none"/>
        </w:rPr>
      </w:pPr>
      <w:r>
        <w:rPr>
          <w:rFonts w:hint="eastAsia" w:ascii="方正仿宋_GB2312" w:hAnsi="仿宋" w:eastAsia="方正仿宋_GB2312" w:cs="方正仿宋_GB2312"/>
          <w:b/>
          <w:color w:val="auto"/>
          <w:sz w:val="24"/>
          <w:highlight w:val="none"/>
        </w:rPr>
        <w:t>附表A：本项目的项目经理情况表</w:t>
      </w:r>
    </w:p>
    <w:tbl>
      <w:tblPr>
        <w:tblStyle w:val="19"/>
        <w:tblW w:w="0" w:type="auto"/>
        <w:tblInd w:w="0" w:type="dxa"/>
        <w:tblLayout w:type="fixed"/>
        <w:tblCellMar>
          <w:top w:w="0" w:type="dxa"/>
          <w:left w:w="108" w:type="dxa"/>
          <w:bottom w:w="0" w:type="dxa"/>
          <w:right w:w="108" w:type="dxa"/>
        </w:tblCellMar>
      </w:tblPr>
      <w:tblGrid>
        <w:gridCol w:w="2194"/>
        <w:gridCol w:w="1370"/>
        <w:gridCol w:w="1341"/>
        <w:gridCol w:w="4414"/>
      </w:tblGrid>
      <w:tr w14:paraId="1F740437">
        <w:tblPrEx>
          <w:tblCellMar>
            <w:top w:w="0" w:type="dxa"/>
            <w:left w:w="108" w:type="dxa"/>
            <w:bottom w:w="0" w:type="dxa"/>
            <w:right w:w="108" w:type="dxa"/>
          </w:tblCellMar>
        </w:tblPrEx>
        <w:trPr>
          <w:trHeight w:val="1490" w:hRule="atLeast"/>
        </w:trPr>
        <w:tc>
          <w:tcPr>
            <w:tcW w:w="2194" w:type="dxa"/>
            <w:tcBorders>
              <w:top w:val="single" w:color="auto" w:sz="6" w:space="0"/>
              <w:left w:val="single" w:color="auto" w:sz="6" w:space="0"/>
              <w:bottom w:val="single" w:color="auto" w:sz="6" w:space="0"/>
              <w:right w:val="single" w:color="auto" w:sz="6" w:space="0"/>
            </w:tcBorders>
            <w:vAlign w:val="center"/>
          </w:tcPr>
          <w:p w14:paraId="30374948">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姓名</w:t>
            </w:r>
          </w:p>
        </w:tc>
        <w:tc>
          <w:tcPr>
            <w:tcW w:w="1370" w:type="dxa"/>
            <w:tcBorders>
              <w:top w:val="single" w:color="auto" w:sz="6" w:space="0"/>
              <w:left w:val="single" w:color="auto" w:sz="6" w:space="0"/>
              <w:bottom w:val="single" w:color="auto" w:sz="6" w:space="0"/>
              <w:right w:val="single" w:color="auto" w:sz="4" w:space="0"/>
            </w:tcBorders>
            <w:shd w:val="clear" w:color="auto" w:fill="B3B3B3"/>
            <w:vAlign w:val="center"/>
          </w:tcPr>
          <w:p w14:paraId="4C3C495B">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18EFA6BF">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页码</w:t>
            </w:r>
          </w:p>
        </w:tc>
        <w:tc>
          <w:tcPr>
            <w:tcW w:w="4414" w:type="dxa"/>
            <w:tcBorders>
              <w:top w:val="single" w:color="auto" w:sz="6" w:space="0"/>
              <w:left w:val="single" w:color="auto" w:sz="6" w:space="0"/>
              <w:bottom w:val="single" w:color="auto" w:sz="6" w:space="0"/>
              <w:right w:val="single" w:color="auto" w:sz="6" w:space="0"/>
            </w:tcBorders>
            <w:vAlign w:val="center"/>
          </w:tcPr>
          <w:p w14:paraId="4F8E21C5">
            <w:pPr>
              <w:autoSpaceDE w:val="0"/>
              <w:autoSpaceDN w:val="0"/>
              <w:spacing w:line="360" w:lineRule="auto"/>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投标截止时间前三年业绩及承担的主要工作情况，曾担任项目经理的项目应列明细</w:t>
            </w:r>
          </w:p>
        </w:tc>
      </w:tr>
      <w:tr w14:paraId="0253EED2">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6E996604">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性别</w:t>
            </w:r>
          </w:p>
        </w:tc>
        <w:tc>
          <w:tcPr>
            <w:tcW w:w="1370" w:type="dxa"/>
            <w:tcBorders>
              <w:top w:val="single" w:color="auto" w:sz="6" w:space="0"/>
              <w:left w:val="single" w:color="auto" w:sz="6" w:space="0"/>
              <w:bottom w:val="single" w:color="auto" w:sz="6" w:space="0"/>
              <w:right w:val="single" w:color="auto" w:sz="4" w:space="0"/>
            </w:tcBorders>
            <w:vAlign w:val="center"/>
          </w:tcPr>
          <w:p w14:paraId="608D17F0">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shd w:val="clear" w:color="auto" w:fill="B3B3B3"/>
            <w:vAlign w:val="center"/>
          </w:tcPr>
          <w:p w14:paraId="2D3619AC">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restart"/>
            <w:tcBorders>
              <w:top w:val="single" w:color="auto" w:sz="6" w:space="0"/>
              <w:left w:val="single" w:color="auto" w:sz="6" w:space="0"/>
              <w:bottom w:val="single" w:color="auto" w:sz="6" w:space="0"/>
              <w:right w:val="single" w:color="auto" w:sz="6" w:space="0"/>
            </w:tcBorders>
            <w:vAlign w:val="center"/>
          </w:tcPr>
          <w:p w14:paraId="7F6C0250">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7AB182DC">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4E9420EE">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年龄</w:t>
            </w:r>
          </w:p>
        </w:tc>
        <w:tc>
          <w:tcPr>
            <w:tcW w:w="1370" w:type="dxa"/>
            <w:tcBorders>
              <w:top w:val="single" w:color="auto" w:sz="6" w:space="0"/>
              <w:left w:val="single" w:color="auto" w:sz="6" w:space="0"/>
              <w:bottom w:val="single" w:color="auto" w:sz="6" w:space="0"/>
              <w:right w:val="single" w:color="auto" w:sz="4" w:space="0"/>
            </w:tcBorders>
            <w:vAlign w:val="center"/>
          </w:tcPr>
          <w:p w14:paraId="565C1910">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shd w:val="clear" w:color="auto" w:fill="B3B3B3"/>
            <w:vAlign w:val="center"/>
          </w:tcPr>
          <w:p w14:paraId="6D874801">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598FF826">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05143158">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52DD0608">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职称</w:t>
            </w:r>
          </w:p>
        </w:tc>
        <w:tc>
          <w:tcPr>
            <w:tcW w:w="1370" w:type="dxa"/>
            <w:tcBorders>
              <w:top w:val="single" w:color="auto" w:sz="6" w:space="0"/>
              <w:left w:val="single" w:color="auto" w:sz="6" w:space="0"/>
              <w:bottom w:val="single" w:color="auto" w:sz="6" w:space="0"/>
              <w:right w:val="single" w:color="auto" w:sz="4" w:space="0"/>
            </w:tcBorders>
            <w:vAlign w:val="center"/>
          </w:tcPr>
          <w:p w14:paraId="658FDF4A">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3068A8BD">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195BA5EF">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2FA49811">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3A503B35">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毕业时间</w:t>
            </w:r>
          </w:p>
        </w:tc>
        <w:tc>
          <w:tcPr>
            <w:tcW w:w="1370" w:type="dxa"/>
            <w:tcBorders>
              <w:top w:val="single" w:color="auto" w:sz="6" w:space="0"/>
              <w:left w:val="single" w:color="auto" w:sz="6" w:space="0"/>
              <w:bottom w:val="single" w:color="auto" w:sz="6" w:space="0"/>
              <w:right w:val="single" w:color="auto" w:sz="4" w:space="0"/>
            </w:tcBorders>
            <w:vAlign w:val="center"/>
          </w:tcPr>
          <w:p w14:paraId="4F683A35">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3DD4C256">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62437B51">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43D92E2F">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78CE3653">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所学专业</w:t>
            </w:r>
          </w:p>
        </w:tc>
        <w:tc>
          <w:tcPr>
            <w:tcW w:w="1370" w:type="dxa"/>
            <w:tcBorders>
              <w:top w:val="single" w:color="auto" w:sz="6" w:space="0"/>
              <w:left w:val="single" w:color="auto" w:sz="6" w:space="0"/>
              <w:bottom w:val="single" w:color="auto" w:sz="6" w:space="0"/>
              <w:right w:val="single" w:color="auto" w:sz="4" w:space="0"/>
            </w:tcBorders>
            <w:vAlign w:val="center"/>
          </w:tcPr>
          <w:p w14:paraId="7CAF4C84">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0BF86371">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1C60EC72">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7B8AC3E9">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1D215ECA">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学历</w:t>
            </w:r>
          </w:p>
        </w:tc>
        <w:tc>
          <w:tcPr>
            <w:tcW w:w="1370" w:type="dxa"/>
            <w:tcBorders>
              <w:top w:val="single" w:color="auto" w:sz="6" w:space="0"/>
              <w:left w:val="single" w:color="auto" w:sz="6" w:space="0"/>
              <w:bottom w:val="single" w:color="auto" w:sz="6" w:space="0"/>
              <w:right w:val="single" w:color="auto" w:sz="4" w:space="0"/>
            </w:tcBorders>
            <w:vAlign w:val="center"/>
          </w:tcPr>
          <w:p w14:paraId="3522539B">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776137F3">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50E00D2D">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2AE274AC">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0A5DDA26">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资质证书编号</w:t>
            </w:r>
          </w:p>
        </w:tc>
        <w:tc>
          <w:tcPr>
            <w:tcW w:w="1370" w:type="dxa"/>
            <w:tcBorders>
              <w:top w:val="single" w:color="auto" w:sz="6" w:space="0"/>
              <w:left w:val="single" w:color="auto" w:sz="6" w:space="0"/>
              <w:bottom w:val="single" w:color="auto" w:sz="6" w:space="0"/>
              <w:right w:val="single" w:color="auto" w:sz="4" w:space="0"/>
            </w:tcBorders>
            <w:vAlign w:val="center"/>
          </w:tcPr>
          <w:p w14:paraId="1DB5FD78">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5394E105">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19559D34">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1A1379C6">
        <w:tblPrEx>
          <w:tblCellMar>
            <w:top w:w="0" w:type="dxa"/>
            <w:left w:w="108" w:type="dxa"/>
            <w:bottom w:w="0" w:type="dxa"/>
            <w:right w:w="108" w:type="dxa"/>
          </w:tblCellMar>
        </w:tblPrEx>
        <w:trPr>
          <w:cantSplit/>
          <w:trHeight w:val="506" w:hRule="atLeast"/>
        </w:trPr>
        <w:tc>
          <w:tcPr>
            <w:tcW w:w="2194" w:type="dxa"/>
            <w:tcBorders>
              <w:top w:val="single" w:color="auto" w:sz="6" w:space="0"/>
              <w:left w:val="single" w:color="auto" w:sz="6" w:space="0"/>
              <w:bottom w:val="single" w:color="auto" w:sz="6" w:space="0"/>
              <w:right w:val="single" w:color="auto" w:sz="6" w:space="0"/>
            </w:tcBorders>
            <w:vAlign w:val="center"/>
          </w:tcPr>
          <w:p w14:paraId="35195445">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其他资质情况</w:t>
            </w:r>
          </w:p>
        </w:tc>
        <w:tc>
          <w:tcPr>
            <w:tcW w:w="1370" w:type="dxa"/>
            <w:tcBorders>
              <w:top w:val="single" w:color="auto" w:sz="6" w:space="0"/>
              <w:left w:val="single" w:color="auto" w:sz="6" w:space="0"/>
              <w:bottom w:val="single" w:color="auto" w:sz="6" w:space="0"/>
              <w:right w:val="single" w:color="auto" w:sz="4" w:space="0"/>
            </w:tcBorders>
            <w:vAlign w:val="center"/>
          </w:tcPr>
          <w:p w14:paraId="18E63E4E">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vAlign w:val="center"/>
          </w:tcPr>
          <w:p w14:paraId="0086B27F">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6DBF6385">
            <w:pPr>
              <w:autoSpaceDE w:val="0"/>
              <w:autoSpaceDN w:val="0"/>
              <w:spacing w:line="360" w:lineRule="auto"/>
              <w:jc w:val="center"/>
              <w:rPr>
                <w:rFonts w:hint="eastAsia" w:ascii="方正仿宋_GB2312" w:hAnsi="仿宋" w:eastAsia="方正仿宋_GB2312" w:cs="方正仿宋_GB2312"/>
                <w:color w:val="auto"/>
                <w:sz w:val="24"/>
                <w:highlight w:val="none"/>
              </w:rPr>
            </w:pPr>
          </w:p>
        </w:tc>
      </w:tr>
      <w:tr w14:paraId="55FAFF92">
        <w:tblPrEx>
          <w:tblCellMar>
            <w:top w:w="0" w:type="dxa"/>
            <w:left w:w="108" w:type="dxa"/>
            <w:bottom w:w="0" w:type="dxa"/>
            <w:right w:w="108" w:type="dxa"/>
          </w:tblCellMar>
        </w:tblPrEx>
        <w:trPr>
          <w:cantSplit/>
          <w:trHeight w:val="521" w:hRule="atLeast"/>
        </w:trPr>
        <w:tc>
          <w:tcPr>
            <w:tcW w:w="2194" w:type="dxa"/>
            <w:tcBorders>
              <w:top w:val="single" w:color="auto" w:sz="6" w:space="0"/>
              <w:left w:val="single" w:color="auto" w:sz="6" w:space="0"/>
              <w:bottom w:val="single" w:color="auto" w:sz="6" w:space="0"/>
              <w:right w:val="single" w:color="auto" w:sz="6" w:space="0"/>
            </w:tcBorders>
            <w:vAlign w:val="center"/>
          </w:tcPr>
          <w:p w14:paraId="6CB5DB0A">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联系电话</w:t>
            </w:r>
          </w:p>
        </w:tc>
        <w:tc>
          <w:tcPr>
            <w:tcW w:w="1370" w:type="dxa"/>
            <w:tcBorders>
              <w:top w:val="single" w:color="auto" w:sz="6" w:space="0"/>
              <w:left w:val="single" w:color="auto" w:sz="6" w:space="0"/>
              <w:bottom w:val="single" w:color="auto" w:sz="6" w:space="0"/>
              <w:right w:val="single" w:color="auto" w:sz="4" w:space="0"/>
            </w:tcBorders>
            <w:vAlign w:val="center"/>
          </w:tcPr>
          <w:p w14:paraId="70B80043">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1341" w:type="dxa"/>
            <w:tcBorders>
              <w:top w:val="single" w:color="auto" w:sz="6" w:space="0"/>
              <w:left w:val="single" w:color="auto" w:sz="4" w:space="0"/>
              <w:bottom w:val="single" w:color="auto" w:sz="6" w:space="0"/>
              <w:right w:val="single" w:color="auto" w:sz="6" w:space="0"/>
            </w:tcBorders>
            <w:shd w:val="clear" w:color="auto" w:fill="B3B3B3"/>
            <w:vAlign w:val="center"/>
          </w:tcPr>
          <w:p w14:paraId="6CE59AA5">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4414" w:type="dxa"/>
            <w:vMerge w:val="continue"/>
            <w:tcBorders>
              <w:top w:val="single" w:color="auto" w:sz="6" w:space="0"/>
              <w:left w:val="single" w:color="auto" w:sz="6" w:space="0"/>
              <w:bottom w:val="single" w:color="auto" w:sz="6" w:space="0"/>
              <w:right w:val="single" w:color="auto" w:sz="6" w:space="0"/>
            </w:tcBorders>
            <w:vAlign w:val="center"/>
          </w:tcPr>
          <w:p w14:paraId="08B28B49">
            <w:pPr>
              <w:autoSpaceDE w:val="0"/>
              <w:autoSpaceDN w:val="0"/>
              <w:spacing w:line="360" w:lineRule="auto"/>
              <w:jc w:val="center"/>
              <w:rPr>
                <w:rFonts w:hint="eastAsia" w:ascii="方正仿宋_GB2312" w:hAnsi="仿宋" w:eastAsia="方正仿宋_GB2312" w:cs="方正仿宋_GB2312"/>
                <w:color w:val="auto"/>
                <w:sz w:val="24"/>
                <w:highlight w:val="none"/>
              </w:rPr>
            </w:pPr>
          </w:p>
        </w:tc>
      </w:tr>
    </w:tbl>
    <w:p w14:paraId="71C0B7D5">
      <w:pPr>
        <w:autoSpaceDE w:val="0"/>
        <w:autoSpaceDN w:val="0"/>
        <w:spacing w:line="360" w:lineRule="auto"/>
        <w:rPr>
          <w:rFonts w:hint="eastAsia" w:ascii="方正仿宋_GB2312" w:hAnsi="仿宋" w:eastAsia="方正仿宋_GB2312" w:cs="方正仿宋_GB2312"/>
          <w:b/>
          <w:color w:val="auto"/>
          <w:sz w:val="24"/>
          <w:highlight w:val="none"/>
        </w:rPr>
      </w:pPr>
      <w:r>
        <w:rPr>
          <w:rFonts w:hint="eastAsia" w:ascii="方正仿宋_GB2312" w:hAnsi="仿宋" w:eastAsia="方正仿宋_GB2312" w:cs="方正仿宋_GB2312"/>
          <w:b/>
          <w:color w:val="auto"/>
          <w:sz w:val="24"/>
          <w:highlight w:val="none"/>
        </w:rPr>
        <w:t>注：须随表提交相应的证书复印件并注明所在投标技术文件页码。</w:t>
      </w:r>
    </w:p>
    <w:p w14:paraId="5573BD90">
      <w:pPr>
        <w:autoSpaceDE w:val="0"/>
        <w:autoSpaceDN w:val="0"/>
        <w:spacing w:line="360" w:lineRule="auto"/>
        <w:rPr>
          <w:rFonts w:hint="eastAsia" w:ascii="方正仿宋_GB2312" w:hAnsi="仿宋" w:eastAsia="方正仿宋_GB2312" w:cs="方正仿宋_GB2312"/>
          <w:b/>
          <w:color w:val="auto"/>
          <w:sz w:val="24"/>
          <w:highlight w:val="none"/>
        </w:rPr>
      </w:pPr>
      <w:r>
        <w:rPr>
          <w:rFonts w:hint="eastAsia" w:ascii="方正仿宋_GB2312" w:hAnsi="仿宋" w:eastAsia="方正仿宋_GB2312" w:cs="方正仿宋_GB2312"/>
          <w:b/>
          <w:color w:val="auto"/>
          <w:sz w:val="24"/>
          <w:highlight w:val="none"/>
        </w:rPr>
        <w:t>附表B：本项目的项目小组人员情况表</w:t>
      </w:r>
      <w:r>
        <w:rPr>
          <w:rFonts w:hint="eastAsia" w:ascii="方正仿宋_GB2312" w:hAnsi="仿宋" w:eastAsia="方正仿宋_GB2312" w:cs="方正仿宋_GB2312"/>
          <w:color w:val="auto"/>
          <w:sz w:val="24"/>
          <w:highlight w:val="none"/>
        </w:rPr>
        <w:t>（按此格式自制）</w:t>
      </w:r>
    </w:p>
    <w:tbl>
      <w:tblPr>
        <w:tblStyle w:val="19"/>
        <w:tblW w:w="0" w:type="auto"/>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F9FE2F1">
        <w:tc>
          <w:tcPr>
            <w:tcW w:w="420" w:type="dxa"/>
            <w:tcBorders>
              <w:top w:val="single" w:color="auto" w:sz="6" w:space="0"/>
              <w:left w:val="single" w:color="auto" w:sz="6" w:space="0"/>
              <w:bottom w:val="single" w:color="auto" w:sz="6" w:space="0"/>
              <w:right w:val="single" w:color="auto" w:sz="6" w:space="0"/>
            </w:tcBorders>
            <w:vAlign w:val="center"/>
          </w:tcPr>
          <w:p w14:paraId="6F7673AA">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7F440A1D">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52F56C70">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26A95A73">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388F77E">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学历</w:t>
            </w:r>
          </w:p>
          <w:p w14:paraId="7774E5BD">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33911E5">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专业</w:t>
            </w:r>
          </w:p>
          <w:p w14:paraId="412BD030">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10A057F7">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职称</w:t>
            </w:r>
          </w:p>
          <w:p w14:paraId="1FD18E85">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523F42C8">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C24EAFE">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17B69098">
            <w:pPr>
              <w:autoSpaceDE w:val="0"/>
              <w:autoSpaceDN w:val="0"/>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参与本项目的到位情况</w:t>
            </w:r>
          </w:p>
        </w:tc>
      </w:tr>
      <w:tr w14:paraId="0F8550D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20999C97">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FEFE0D9">
            <w:pPr>
              <w:autoSpaceDE w:val="0"/>
              <w:autoSpaceDN w:val="0"/>
              <w:spacing w:line="360" w:lineRule="auto"/>
              <w:rPr>
                <w:rFonts w:hint="eastAsia" w:ascii="方正仿宋_GB2312" w:hAnsi="仿宋" w:eastAsia="方正仿宋_GB2312" w:cs="方正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EDA85FF">
            <w:pPr>
              <w:autoSpaceDE w:val="0"/>
              <w:autoSpaceDN w:val="0"/>
              <w:spacing w:line="360" w:lineRule="auto"/>
              <w:rPr>
                <w:rFonts w:hint="eastAsia" w:ascii="方正仿宋_GB2312" w:hAnsi="仿宋" w:eastAsia="方正仿宋_GB2312" w:cs="方正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2C5B34A2">
            <w:pPr>
              <w:autoSpaceDE w:val="0"/>
              <w:autoSpaceDN w:val="0"/>
              <w:spacing w:line="360" w:lineRule="auto"/>
              <w:rPr>
                <w:rFonts w:hint="eastAsia" w:ascii="方正仿宋_GB2312" w:hAnsi="仿宋" w:eastAsia="方正仿宋_GB2312" w:cs="方正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2050349">
            <w:pPr>
              <w:autoSpaceDE w:val="0"/>
              <w:autoSpaceDN w:val="0"/>
              <w:spacing w:line="360" w:lineRule="auto"/>
              <w:rPr>
                <w:rFonts w:hint="eastAsia" w:ascii="方正仿宋_GB2312" w:hAnsi="仿宋" w:eastAsia="方正仿宋_GB2312" w:cs="方正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5DC7EB6">
            <w:pPr>
              <w:autoSpaceDE w:val="0"/>
              <w:autoSpaceDN w:val="0"/>
              <w:spacing w:line="360" w:lineRule="auto"/>
              <w:rPr>
                <w:rFonts w:hint="eastAsia" w:ascii="方正仿宋_GB2312" w:hAnsi="仿宋" w:eastAsia="方正仿宋_GB2312" w:cs="方正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F165115">
            <w:pPr>
              <w:autoSpaceDE w:val="0"/>
              <w:autoSpaceDN w:val="0"/>
              <w:spacing w:line="360" w:lineRule="auto"/>
              <w:rPr>
                <w:rFonts w:hint="eastAsia" w:ascii="方正仿宋_GB2312" w:hAnsi="仿宋" w:eastAsia="方正仿宋_GB2312" w:cs="方正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FB4E61B">
            <w:pPr>
              <w:autoSpaceDE w:val="0"/>
              <w:autoSpaceDN w:val="0"/>
              <w:spacing w:line="360" w:lineRule="auto"/>
              <w:rPr>
                <w:rFonts w:hint="eastAsia" w:ascii="方正仿宋_GB2312" w:hAnsi="仿宋" w:eastAsia="方正仿宋_GB2312" w:cs="方正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177B907">
            <w:pPr>
              <w:autoSpaceDE w:val="0"/>
              <w:autoSpaceDN w:val="0"/>
              <w:spacing w:line="360" w:lineRule="auto"/>
              <w:rPr>
                <w:rFonts w:hint="eastAsia" w:ascii="方正仿宋_GB2312" w:hAnsi="仿宋" w:eastAsia="方正仿宋_GB2312" w:cs="方正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4FCAE8AE">
            <w:pPr>
              <w:autoSpaceDE w:val="0"/>
              <w:autoSpaceDN w:val="0"/>
              <w:spacing w:line="360" w:lineRule="auto"/>
              <w:rPr>
                <w:rFonts w:hint="eastAsia" w:ascii="方正仿宋_GB2312" w:hAnsi="仿宋" w:eastAsia="方正仿宋_GB2312" w:cs="方正仿宋_GB2312"/>
                <w:color w:val="auto"/>
                <w:sz w:val="24"/>
                <w:highlight w:val="none"/>
              </w:rPr>
            </w:pPr>
          </w:p>
        </w:tc>
      </w:tr>
      <w:tr w14:paraId="365E61F9">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33EF5314">
            <w:pPr>
              <w:autoSpaceDE w:val="0"/>
              <w:autoSpaceDN w:val="0"/>
              <w:spacing w:line="360" w:lineRule="auto"/>
              <w:jc w:val="center"/>
              <w:rPr>
                <w:rFonts w:hint="eastAsia" w:ascii="方正仿宋_GB2312" w:hAnsi="仿宋" w:eastAsia="方正仿宋_GB2312" w:cs="方正仿宋_GB2312"/>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D1B6D24">
            <w:pPr>
              <w:autoSpaceDE w:val="0"/>
              <w:autoSpaceDN w:val="0"/>
              <w:spacing w:line="360" w:lineRule="auto"/>
              <w:rPr>
                <w:rFonts w:hint="eastAsia" w:ascii="方正仿宋_GB2312" w:hAnsi="仿宋" w:eastAsia="方正仿宋_GB2312" w:cs="方正仿宋_GB2312"/>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76EF295">
            <w:pPr>
              <w:autoSpaceDE w:val="0"/>
              <w:autoSpaceDN w:val="0"/>
              <w:spacing w:line="360" w:lineRule="auto"/>
              <w:rPr>
                <w:rFonts w:hint="eastAsia" w:ascii="方正仿宋_GB2312" w:hAnsi="仿宋" w:eastAsia="方正仿宋_GB2312" w:cs="方正仿宋_GB2312"/>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17EDAE54">
            <w:pPr>
              <w:autoSpaceDE w:val="0"/>
              <w:autoSpaceDN w:val="0"/>
              <w:spacing w:line="360" w:lineRule="auto"/>
              <w:rPr>
                <w:rFonts w:hint="eastAsia" w:ascii="方正仿宋_GB2312" w:hAnsi="仿宋" w:eastAsia="方正仿宋_GB2312" w:cs="方正仿宋_GB2312"/>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7009E76B">
            <w:pPr>
              <w:autoSpaceDE w:val="0"/>
              <w:autoSpaceDN w:val="0"/>
              <w:spacing w:line="360" w:lineRule="auto"/>
              <w:rPr>
                <w:rFonts w:hint="eastAsia" w:ascii="方正仿宋_GB2312" w:hAnsi="仿宋" w:eastAsia="方正仿宋_GB2312" w:cs="方正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05456DD">
            <w:pPr>
              <w:autoSpaceDE w:val="0"/>
              <w:autoSpaceDN w:val="0"/>
              <w:spacing w:line="360" w:lineRule="auto"/>
              <w:rPr>
                <w:rFonts w:hint="eastAsia" w:ascii="方正仿宋_GB2312" w:hAnsi="仿宋" w:eastAsia="方正仿宋_GB2312" w:cs="方正仿宋_GB2312"/>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1A3E8454">
            <w:pPr>
              <w:autoSpaceDE w:val="0"/>
              <w:autoSpaceDN w:val="0"/>
              <w:spacing w:line="360" w:lineRule="auto"/>
              <w:rPr>
                <w:rFonts w:hint="eastAsia" w:ascii="方正仿宋_GB2312" w:hAnsi="仿宋" w:eastAsia="方正仿宋_GB2312" w:cs="方正仿宋_GB2312"/>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DB1342F">
            <w:pPr>
              <w:autoSpaceDE w:val="0"/>
              <w:autoSpaceDN w:val="0"/>
              <w:spacing w:line="360" w:lineRule="auto"/>
              <w:rPr>
                <w:rFonts w:hint="eastAsia" w:ascii="方正仿宋_GB2312" w:hAnsi="仿宋" w:eastAsia="方正仿宋_GB2312" w:cs="方正仿宋_GB2312"/>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242503A">
            <w:pPr>
              <w:autoSpaceDE w:val="0"/>
              <w:autoSpaceDN w:val="0"/>
              <w:spacing w:line="360" w:lineRule="auto"/>
              <w:rPr>
                <w:rFonts w:hint="eastAsia" w:ascii="方正仿宋_GB2312" w:hAnsi="仿宋" w:eastAsia="方正仿宋_GB2312" w:cs="方正仿宋_GB2312"/>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465185C9">
            <w:pPr>
              <w:autoSpaceDE w:val="0"/>
              <w:autoSpaceDN w:val="0"/>
              <w:spacing w:line="360" w:lineRule="auto"/>
              <w:rPr>
                <w:rFonts w:hint="eastAsia" w:ascii="方正仿宋_GB2312" w:hAnsi="仿宋" w:eastAsia="方正仿宋_GB2312" w:cs="方正仿宋_GB2312"/>
                <w:color w:val="auto"/>
                <w:sz w:val="24"/>
                <w:highlight w:val="none"/>
              </w:rPr>
            </w:pPr>
          </w:p>
        </w:tc>
      </w:tr>
    </w:tbl>
    <w:p w14:paraId="5920D428">
      <w:pPr>
        <w:spacing w:line="360" w:lineRule="auto"/>
        <w:rPr>
          <w:rFonts w:hint="eastAsia" w:ascii="方正仿宋_GB2312" w:hAnsi="仿宋" w:eastAsia="方正仿宋_GB2312" w:cs="方正仿宋_GB2312"/>
          <w:b/>
          <w:bCs/>
          <w:color w:val="auto"/>
          <w:sz w:val="24"/>
          <w:highlight w:val="none"/>
        </w:rPr>
      </w:pPr>
      <w:r>
        <w:rPr>
          <w:rFonts w:hint="eastAsia" w:ascii="方正仿宋_GB2312" w:hAnsi="仿宋" w:eastAsia="方正仿宋_GB2312" w:cs="方正仿宋_GB2312"/>
          <w:b/>
          <w:color w:val="auto"/>
          <w:sz w:val="24"/>
          <w:highlight w:val="none"/>
        </w:rPr>
        <w:t>注：投标人可按上述的格式自行编制，须随表提交相应的证书复印件并注明所在投标技术文件页码。</w:t>
      </w:r>
    </w:p>
    <w:p w14:paraId="51A3322F">
      <w:pPr>
        <w:spacing w:line="360" w:lineRule="auto"/>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b/>
          <w:color w:val="auto"/>
          <w:sz w:val="24"/>
          <w:highlight w:val="none"/>
        </w:rPr>
        <w:t>附表C：本项目的项目经理和小组人员交纳社保记录情况表</w:t>
      </w:r>
      <w:r>
        <w:rPr>
          <w:rFonts w:hint="eastAsia" w:ascii="方正仿宋_GB2312" w:hAnsi="仿宋" w:eastAsia="方正仿宋_GB2312" w:cs="方正仿宋_GB2312"/>
          <w:color w:val="auto"/>
          <w:sz w:val="24"/>
          <w:highlight w:val="none"/>
        </w:rPr>
        <w:t>（以社保局缴纳凭证作附件）</w:t>
      </w:r>
    </w:p>
    <w:p w14:paraId="7D5D48BE">
      <w:pPr>
        <w:snapToGrid w:val="0"/>
        <w:spacing w:line="360" w:lineRule="auto"/>
        <w:ind w:firstLine="4320" w:firstLineChars="1800"/>
        <w:rPr>
          <w:rFonts w:hint="eastAsia" w:ascii="方正仿宋_GB2312" w:hAnsi="仿宋" w:eastAsia="方正仿宋_GB2312" w:cs="方正仿宋_GB2312"/>
          <w:color w:val="auto"/>
          <w:kern w:val="0"/>
          <w:sz w:val="24"/>
          <w:highlight w:val="none"/>
          <w:lang w:val="zh-CN"/>
        </w:rPr>
      </w:pPr>
    </w:p>
    <w:p w14:paraId="59C46425">
      <w:pPr>
        <w:snapToGrid w:val="0"/>
        <w:spacing w:line="360" w:lineRule="auto"/>
        <w:ind w:firstLine="4320" w:firstLineChars="1800"/>
        <w:rPr>
          <w:rFonts w:hint="eastAsia" w:ascii="方正仿宋_GB2312" w:hAnsi="仿宋" w:eastAsia="方正仿宋_GB2312" w:cs="方正仿宋_GB2312"/>
          <w:color w:val="auto"/>
          <w:kern w:val="0"/>
          <w:sz w:val="24"/>
          <w:highlight w:val="none"/>
          <w:lang w:val="zh-CN"/>
        </w:rPr>
      </w:pPr>
    </w:p>
    <w:p w14:paraId="5F4DFAB8">
      <w:pPr>
        <w:snapToGrid w:val="0"/>
        <w:spacing w:line="360" w:lineRule="auto"/>
        <w:ind w:firstLine="4320" w:firstLineChars="18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00D64B82">
      <w:pPr>
        <w:snapToGrid w:val="0"/>
        <w:spacing w:before="165" w:beforeLines="50" w:after="50"/>
        <w:jc w:val="left"/>
        <w:rPr>
          <w:rFonts w:hint="eastAsia" w:ascii="宋体" w:hAnsi="宋体"/>
          <w:color w:val="auto"/>
          <w:sz w:val="24"/>
          <w:highlight w:val="none"/>
        </w:rPr>
      </w:pP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日期：  年  月   日</w:t>
      </w:r>
      <w:r>
        <w:rPr>
          <w:rFonts w:hint="eastAsia" w:ascii="宋体" w:hAnsi="宋体"/>
          <w:b/>
          <w:color w:val="auto"/>
          <w:sz w:val="24"/>
          <w:highlight w:val="none"/>
        </w:rPr>
        <w:br w:type="page"/>
      </w:r>
      <w:r>
        <w:rPr>
          <w:rFonts w:hint="eastAsia" w:ascii="宋体" w:hAnsi="宋体"/>
          <w:color w:val="auto"/>
          <w:sz w:val="24"/>
          <w:highlight w:val="none"/>
        </w:rPr>
        <w:t xml:space="preserve"> </w:t>
      </w:r>
    </w:p>
    <w:p w14:paraId="102DAAED">
      <w:pPr>
        <w:snapToGrid w:val="0"/>
        <w:spacing w:before="165" w:beforeLines="50" w:after="50"/>
        <w:ind w:left="142"/>
        <w:jc w:val="center"/>
        <w:rPr>
          <w:rFonts w:hint="eastAsia" w:ascii="宋体" w:hAnsi="宋体"/>
          <w:b/>
          <w:color w:val="auto"/>
          <w:sz w:val="32"/>
          <w:szCs w:val="32"/>
          <w:highlight w:val="none"/>
        </w:rPr>
      </w:pPr>
      <w:r>
        <w:rPr>
          <w:rFonts w:hint="eastAsia" w:ascii="宋体" w:hAnsi="宋体"/>
          <w:b/>
          <w:color w:val="auto"/>
          <w:sz w:val="32"/>
          <w:szCs w:val="32"/>
          <w:highlight w:val="none"/>
        </w:rPr>
        <w:t>五、投标人对项目的合理化建议和改进措施</w:t>
      </w:r>
    </w:p>
    <w:p w14:paraId="69AC0786">
      <w:pPr>
        <w:spacing w:line="360" w:lineRule="auto"/>
        <w:ind w:firstLine="4048" w:firstLineChars="1687"/>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（格式自拟）</w:t>
      </w:r>
    </w:p>
    <w:p w14:paraId="27711333">
      <w:pPr>
        <w:snapToGrid w:val="0"/>
        <w:spacing w:line="360" w:lineRule="auto"/>
        <w:ind w:firstLine="4935" w:firstLineChars="2350"/>
        <w:rPr>
          <w:rFonts w:hint="eastAsia" w:hAnsi="宋体"/>
          <w:color w:val="auto"/>
          <w:szCs w:val="21"/>
          <w:highlight w:val="none"/>
        </w:rPr>
      </w:pPr>
      <w:r>
        <w:rPr>
          <w:rFonts w:hAnsi="宋体"/>
          <w:color w:val="auto"/>
          <w:szCs w:val="21"/>
          <w:highlight w:val="none"/>
        </w:rPr>
        <w:t xml:space="preserve"> </w:t>
      </w:r>
    </w:p>
    <w:p w14:paraId="43F30787">
      <w:pPr>
        <w:snapToGrid w:val="0"/>
        <w:spacing w:line="360" w:lineRule="auto"/>
        <w:ind w:firstLine="4935" w:firstLineChars="2350"/>
        <w:rPr>
          <w:rFonts w:hint="eastAsia" w:hAnsi="宋体"/>
          <w:color w:val="auto"/>
          <w:szCs w:val="21"/>
          <w:highlight w:val="none"/>
        </w:rPr>
      </w:pPr>
    </w:p>
    <w:p w14:paraId="171FEDFD">
      <w:pPr>
        <w:snapToGrid w:val="0"/>
        <w:spacing w:line="360" w:lineRule="auto"/>
        <w:ind w:firstLine="4935" w:firstLineChars="2350"/>
        <w:rPr>
          <w:rFonts w:hint="eastAsia" w:hAnsi="宋体"/>
          <w:color w:val="auto"/>
          <w:szCs w:val="21"/>
          <w:highlight w:val="none"/>
        </w:rPr>
      </w:pPr>
    </w:p>
    <w:p w14:paraId="6B373A42">
      <w:pPr>
        <w:snapToGrid w:val="0"/>
        <w:spacing w:line="360" w:lineRule="auto"/>
        <w:ind w:firstLine="4935" w:firstLineChars="2350"/>
        <w:rPr>
          <w:rFonts w:hint="eastAsia" w:hAnsi="宋体"/>
          <w:color w:val="auto"/>
          <w:szCs w:val="21"/>
          <w:highlight w:val="none"/>
        </w:rPr>
      </w:pPr>
    </w:p>
    <w:p w14:paraId="6377F404">
      <w:pPr>
        <w:snapToGrid w:val="0"/>
        <w:spacing w:line="360" w:lineRule="auto"/>
        <w:ind w:firstLine="4935" w:firstLineChars="2350"/>
        <w:rPr>
          <w:rFonts w:hint="eastAsia" w:ascii="方正仿宋_GB2312" w:hAnsi="仿宋" w:eastAsia="方正仿宋_GB2312" w:cs="方正仿宋_GB2312"/>
          <w:color w:val="auto"/>
          <w:kern w:val="0"/>
          <w:sz w:val="24"/>
          <w:highlight w:val="none"/>
        </w:rPr>
      </w:pPr>
      <w:r>
        <w:rPr>
          <w:rFonts w:hAnsi="宋体"/>
          <w:color w:val="auto"/>
          <w:szCs w:val="21"/>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016DAC05">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24FD5F82">
      <w:pPr>
        <w:autoSpaceDE w:val="0"/>
        <w:autoSpaceDN w:val="0"/>
        <w:spacing w:line="360" w:lineRule="auto"/>
        <w:ind w:firstLine="120"/>
        <w:rPr>
          <w:rFonts w:hint="eastAsia" w:ascii="方正仿宋_GB2312" w:hAnsi="仿宋" w:eastAsia="方正仿宋_GB2312" w:cs="方正仿宋_GB2312"/>
          <w:color w:val="auto"/>
          <w:sz w:val="24"/>
          <w:highlight w:val="none"/>
        </w:rPr>
      </w:pPr>
    </w:p>
    <w:p w14:paraId="6D702BAC">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六、认为需要的其他技术文件或说明</w:t>
      </w:r>
    </w:p>
    <w:p w14:paraId="4ED712CE">
      <w:pPr>
        <w:spacing w:line="360" w:lineRule="auto"/>
        <w:jc w:val="center"/>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（由投标人根据采购需求自行编制）</w:t>
      </w:r>
    </w:p>
    <w:p w14:paraId="79BC5331">
      <w:pPr>
        <w:spacing w:line="360" w:lineRule="auto"/>
        <w:jc w:val="center"/>
        <w:rPr>
          <w:rFonts w:hint="eastAsia" w:ascii="方正仿宋_GB2312" w:hAnsi="仿宋" w:eastAsia="方正仿宋_GB2312" w:cs="方正仿宋_GB2312"/>
          <w:color w:val="auto"/>
          <w:sz w:val="24"/>
          <w:highlight w:val="none"/>
        </w:rPr>
      </w:pPr>
    </w:p>
    <w:p w14:paraId="1501FDE1">
      <w:pPr>
        <w:autoSpaceDE w:val="0"/>
        <w:autoSpaceDN w:val="0"/>
        <w:spacing w:line="360" w:lineRule="auto"/>
        <w:ind w:firstLine="4800" w:firstLineChars="20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kern w:val="0"/>
          <w:sz w:val="24"/>
          <w:highlight w:val="none"/>
        </w:rPr>
        <w:t>投标人名称（电子</w:t>
      </w:r>
      <w:r>
        <w:rPr>
          <w:rFonts w:hint="eastAsia" w:ascii="方正仿宋_GB2312" w:hAnsi="仿宋" w:eastAsia="方正仿宋_GB2312" w:cs="方正仿宋_GB2312"/>
          <w:color w:val="auto"/>
          <w:kern w:val="0"/>
          <w:sz w:val="24"/>
          <w:highlight w:val="none"/>
          <w:lang w:val="zh-CN"/>
        </w:rPr>
        <w:t>签章</w:t>
      </w:r>
      <w:r>
        <w:rPr>
          <w:rFonts w:hint="eastAsia" w:ascii="方正仿宋_GB2312" w:hAnsi="仿宋" w:eastAsia="方正仿宋_GB2312" w:cs="方正仿宋_GB2312"/>
          <w:color w:val="auto"/>
          <w:kern w:val="0"/>
          <w:sz w:val="24"/>
          <w:highlight w:val="none"/>
        </w:rPr>
        <w:t xml:space="preserve">）：                       </w:t>
      </w:r>
    </w:p>
    <w:p w14:paraId="11A79D04">
      <w:pPr>
        <w:autoSpaceDE w:val="0"/>
        <w:autoSpaceDN w:val="0"/>
        <w:spacing w:line="360" w:lineRule="auto"/>
        <w:rPr>
          <w:rFonts w:hint="eastAsia" w:ascii="方正仿宋_GB2312" w:hAnsi="仿宋" w:eastAsia="方正仿宋_GB2312" w:cs="方正仿宋_GB2312"/>
          <w:b/>
          <w:bCs/>
          <w:color w:val="auto"/>
          <w:sz w:val="30"/>
          <w:szCs w:val="30"/>
          <w:highlight w:val="none"/>
        </w:rPr>
      </w:pP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日期：  年  月   日</w:t>
      </w:r>
    </w:p>
    <w:p w14:paraId="32347601">
      <w:pPr>
        <w:widowControl/>
        <w:jc w:val="left"/>
        <w:rPr>
          <w:rFonts w:hint="eastAsia" w:ascii="宋体" w:hAnsi="宋体"/>
          <w:b/>
          <w:bCs/>
          <w:color w:val="auto"/>
          <w:sz w:val="24"/>
          <w:highlight w:val="none"/>
        </w:rPr>
        <w:sectPr>
          <w:pgSz w:w="11906" w:h="16838"/>
          <w:pgMar w:top="1134" w:right="1134" w:bottom="1134" w:left="1134" w:header="720" w:footer="720" w:gutter="0"/>
          <w:cols w:space="720" w:num="1"/>
          <w:docGrid w:type="lines" w:linePitch="331" w:charSpace="0"/>
        </w:sectPr>
      </w:pPr>
    </w:p>
    <w:p w14:paraId="0FC24BCB">
      <w:pPr>
        <w:jc w:val="center"/>
        <w:outlineLvl w:val="1"/>
        <w:rPr>
          <w:rFonts w:hint="eastAsia" w:ascii="宋体" w:hAnsi="宋体"/>
          <w:b/>
          <w:bCs/>
          <w:color w:val="auto"/>
          <w:kern w:val="0"/>
          <w:sz w:val="28"/>
          <w:szCs w:val="28"/>
          <w:highlight w:val="none"/>
        </w:rPr>
      </w:pPr>
      <w:bookmarkStart w:id="50" w:name="_Toc8839"/>
      <w:r>
        <w:rPr>
          <w:rFonts w:hint="eastAsia" w:ascii="宋体" w:hAnsi="宋体"/>
          <w:b/>
          <w:bCs/>
          <w:color w:val="auto"/>
          <w:kern w:val="0"/>
          <w:sz w:val="28"/>
          <w:szCs w:val="28"/>
          <w:highlight w:val="none"/>
        </w:rPr>
        <w:t>第四节 报价文件格式</w:t>
      </w:r>
      <w:bookmarkEnd w:id="50"/>
    </w:p>
    <w:p w14:paraId="27FB5899">
      <w:pPr>
        <w:snapToGrid w:val="0"/>
        <w:spacing w:before="165" w:beforeLines="50" w:after="50" w:line="400" w:lineRule="exact"/>
        <w:rPr>
          <w:rFonts w:hint="eastAsia" w:ascii="宋体" w:hAnsi="宋体"/>
          <w:bCs/>
          <w:color w:val="auto"/>
          <w:sz w:val="32"/>
          <w:szCs w:val="20"/>
          <w:highlight w:val="none"/>
        </w:rPr>
      </w:pPr>
      <w:r>
        <w:rPr>
          <w:rFonts w:hint="eastAsia" w:ascii="宋体" w:hAnsi="宋体"/>
          <w:color w:val="auto"/>
          <w:sz w:val="24"/>
          <w:highlight w:val="none"/>
        </w:rPr>
        <w:t xml:space="preserve">                                                            </w:t>
      </w:r>
      <w:r>
        <w:rPr>
          <w:rFonts w:hint="eastAsia" w:ascii="宋体" w:hAnsi="宋体"/>
          <w:bCs/>
          <w:color w:val="auto"/>
          <w:highlight w:val="none"/>
        </w:rPr>
        <w:t>电子投标文件</w:t>
      </w:r>
    </w:p>
    <w:p w14:paraId="530DA693">
      <w:pPr>
        <w:snapToGrid w:val="0"/>
        <w:spacing w:before="165" w:beforeLines="50" w:after="50" w:line="400" w:lineRule="exact"/>
        <w:jc w:val="center"/>
        <w:rPr>
          <w:rFonts w:hint="eastAsia" w:ascii="宋体" w:hAnsi="宋体"/>
          <w:bCs/>
          <w:color w:val="auto"/>
          <w:sz w:val="24"/>
          <w:szCs w:val="20"/>
          <w:highlight w:val="none"/>
        </w:rPr>
      </w:pPr>
    </w:p>
    <w:p w14:paraId="709A18FE">
      <w:pPr>
        <w:snapToGrid w:val="0"/>
        <w:spacing w:before="165" w:beforeLines="50"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报价文件（封面）</w:t>
      </w:r>
    </w:p>
    <w:p w14:paraId="2B825426">
      <w:pPr>
        <w:snapToGrid w:val="0"/>
        <w:spacing w:before="165" w:beforeLines="50" w:after="50" w:line="400" w:lineRule="exact"/>
        <w:rPr>
          <w:rFonts w:hint="eastAsia" w:ascii="宋体" w:hAnsi="宋体"/>
          <w:bCs/>
          <w:color w:val="auto"/>
          <w:sz w:val="24"/>
          <w:szCs w:val="20"/>
          <w:highlight w:val="none"/>
        </w:rPr>
      </w:pPr>
    </w:p>
    <w:p w14:paraId="4AC539C7">
      <w:pPr>
        <w:snapToGrid w:val="0"/>
        <w:spacing w:before="165" w:beforeLines="50" w:after="50" w:line="400" w:lineRule="exact"/>
        <w:rPr>
          <w:rFonts w:hint="eastAsia" w:ascii="宋体" w:hAnsi="宋体"/>
          <w:bCs/>
          <w:color w:val="auto"/>
          <w:sz w:val="24"/>
          <w:szCs w:val="20"/>
          <w:highlight w:val="none"/>
        </w:rPr>
      </w:pPr>
    </w:p>
    <w:p w14:paraId="50D3C58A">
      <w:pPr>
        <w:snapToGrid w:val="0"/>
        <w:spacing w:before="165" w:beforeLines="50" w:after="50" w:line="400" w:lineRule="exact"/>
        <w:rPr>
          <w:rFonts w:hint="eastAsia" w:ascii="宋体" w:hAnsi="宋体"/>
          <w:bCs/>
          <w:color w:val="auto"/>
          <w:sz w:val="24"/>
          <w:szCs w:val="20"/>
          <w:highlight w:val="none"/>
        </w:rPr>
      </w:pPr>
    </w:p>
    <w:p w14:paraId="59106EA1">
      <w:pPr>
        <w:snapToGrid w:val="0"/>
        <w:spacing w:before="165" w:beforeLines="50" w:after="50" w:line="400" w:lineRule="exact"/>
        <w:rPr>
          <w:rFonts w:hint="eastAsia" w:ascii="宋体" w:hAnsi="宋体"/>
          <w:bCs/>
          <w:color w:val="auto"/>
          <w:sz w:val="24"/>
          <w:szCs w:val="20"/>
          <w:highlight w:val="none"/>
        </w:rPr>
      </w:pPr>
    </w:p>
    <w:p w14:paraId="5A5F9AB7">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项目名称： </w:t>
      </w:r>
      <w:r>
        <w:rPr>
          <w:rFonts w:hint="eastAsia" w:ascii="宋体" w:hAnsi="宋体"/>
          <w:bCs/>
          <w:color w:val="auto"/>
          <w:sz w:val="24"/>
          <w:highlight w:val="none"/>
          <w:lang w:eastAsia="zh-CN"/>
        </w:rPr>
        <w:t>2026年广西政务服务统一评估服务项目</w:t>
      </w:r>
      <w:r>
        <w:rPr>
          <w:rFonts w:hint="eastAsia" w:ascii="宋体" w:hAnsi="宋体"/>
          <w:bCs/>
          <w:color w:val="auto"/>
          <w:sz w:val="24"/>
          <w:highlight w:val="none"/>
        </w:rPr>
        <w:t xml:space="preserve"> </w:t>
      </w:r>
    </w:p>
    <w:p w14:paraId="3E83D3A3">
      <w:pPr>
        <w:snapToGrid w:val="0"/>
        <w:spacing w:before="165" w:beforeLines="50" w:after="50" w:line="400" w:lineRule="exact"/>
        <w:ind w:firstLine="360" w:firstLineChars="150"/>
        <w:rPr>
          <w:rFonts w:hint="eastAsia" w:ascii="宋体" w:hAnsi="宋体"/>
          <w:bCs/>
          <w:color w:val="auto"/>
          <w:sz w:val="24"/>
          <w:highlight w:val="none"/>
        </w:rPr>
      </w:pPr>
    </w:p>
    <w:p w14:paraId="4C51C959">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 xml:space="preserve">项目编号： </w:t>
      </w:r>
    </w:p>
    <w:p w14:paraId="56311AC4">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所投分标：</w:t>
      </w:r>
    </w:p>
    <w:p w14:paraId="0C969C3D">
      <w:pPr>
        <w:snapToGrid w:val="0"/>
        <w:spacing w:before="165" w:beforeLines="50" w:after="50" w:line="400" w:lineRule="exact"/>
        <w:ind w:firstLine="360" w:firstLineChars="150"/>
        <w:rPr>
          <w:rFonts w:hint="eastAsia" w:ascii="宋体" w:hAnsi="宋体"/>
          <w:bCs/>
          <w:color w:val="auto"/>
          <w:sz w:val="24"/>
          <w:highlight w:val="none"/>
        </w:rPr>
      </w:pPr>
    </w:p>
    <w:p w14:paraId="7B67E409">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投标人名称：</w:t>
      </w:r>
    </w:p>
    <w:p w14:paraId="293910C4">
      <w:pPr>
        <w:snapToGrid w:val="0"/>
        <w:spacing w:before="165" w:beforeLines="50" w:after="50" w:line="400" w:lineRule="exact"/>
        <w:ind w:firstLine="360" w:firstLineChars="150"/>
        <w:rPr>
          <w:rFonts w:hint="eastAsia" w:ascii="宋体" w:hAnsi="宋体"/>
          <w:bCs/>
          <w:color w:val="auto"/>
          <w:sz w:val="24"/>
          <w:highlight w:val="none"/>
        </w:rPr>
      </w:pPr>
    </w:p>
    <w:p w14:paraId="0ADCEA72">
      <w:pPr>
        <w:snapToGrid w:val="0"/>
        <w:spacing w:before="165" w:beforeLines="50" w:after="50" w:line="400" w:lineRule="exact"/>
        <w:ind w:firstLine="360" w:firstLineChars="150"/>
        <w:rPr>
          <w:rFonts w:hint="eastAsia" w:ascii="宋体" w:hAnsi="宋体"/>
          <w:bCs/>
          <w:color w:val="auto"/>
          <w:sz w:val="24"/>
          <w:highlight w:val="none"/>
        </w:rPr>
      </w:pPr>
      <w:r>
        <w:rPr>
          <w:rFonts w:hint="eastAsia" w:ascii="宋体" w:hAnsi="宋体"/>
          <w:bCs/>
          <w:color w:val="auto"/>
          <w:sz w:val="24"/>
          <w:highlight w:val="none"/>
        </w:rPr>
        <w:t>投标人地址：</w:t>
      </w:r>
    </w:p>
    <w:p w14:paraId="53DE1AC6">
      <w:pPr>
        <w:snapToGrid w:val="0"/>
        <w:spacing w:before="50" w:after="50" w:line="400" w:lineRule="exact"/>
        <w:ind w:firstLine="960" w:firstLineChars="400"/>
        <w:rPr>
          <w:rFonts w:hint="eastAsia" w:ascii="宋体" w:hAnsi="宋体"/>
          <w:bCs/>
          <w:color w:val="auto"/>
          <w:sz w:val="24"/>
          <w:highlight w:val="none"/>
        </w:rPr>
      </w:pPr>
    </w:p>
    <w:p w14:paraId="51F3F621">
      <w:pPr>
        <w:snapToGrid w:val="0"/>
        <w:spacing w:before="165" w:beforeLines="50" w:after="50" w:line="400" w:lineRule="exact"/>
        <w:rPr>
          <w:rFonts w:hint="eastAsia" w:ascii="宋体" w:hAnsi="宋体"/>
          <w:color w:val="auto"/>
          <w:sz w:val="24"/>
          <w:highlight w:val="none"/>
        </w:rPr>
      </w:pPr>
      <w:r>
        <w:rPr>
          <w:rFonts w:hint="eastAsia" w:ascii="宋体" w:hAnsi="宋体"/>
          <w:color w:val="auto"/>
          <w:sz w:val="24"/>
          <w:highlight w:val="none"/>
        </w:rPr>
        <w:t xml:space="preserve">                                                       年  月  日</w:t>
      </w:r>
    </w:p>
    <w:p w14:paraId="62C5BCA9">
      <w:pPr>
        <w:widowControl/>
        <w:jc w:val="left"/>
        <w:rPr>
          <w:rFonts w:hint="eastAsia" w:ascii="宋体" w:hAnsi="宋体"/>
          <w:color w:val="auto"/>
          <w:sz w:val="24"/>
          <w:highlight w:val="none"/>
        </w:rPr>
        <w:sectPr>
          <w:pgSz w:w="11906" w:h="16838"/>
          <w:pgMar w:top="1134" w:right="1134" w:bottom="1134" w:left="1134" w:header="720" w:footer="720" w:gutter="0"/>
          <w:cols w:space="720" w:num="1"/>
          <w:docGrid w:type="lines" w:linePitch="331" w:charSpace="0"/>
        </w:sectPr>
      </w:pPr>
    </w:p>
    <w:p w14:paraId="415F7B1E">
      <w:pPr>
        <w:rPr>
          <w:rFonts w:hint="eastAsia" w:ascii="宋体" w:hAnsi="宋体" w:cs="宋体"/>
          <w:color w:val="auto"/>
          <w:highlight w:val="none"/>
        </w:rPr>
      </w:pPr>
    </w:p>
    <w:p w14:paraId="21741F39">
      <w:pPr>
        <w:snapToGrid w:val="0"/>
        <w:spacing w:before="165" w:beforeLines="50" w:after="50"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报价文件目录</w:t>
      </w:r>
    </w:p>
    <w:p w14:paraId="617DB0B0">
      <w:pPr>
        <w:rPr>
          <w:rFonts w:hint="eastAsia" w:ascii="宋体" w:hAnsi="宋体" w:cs="宋体"/>
          <w:color w:val="auto"/>
          <w:highlight w:val="none"/>
        </w:rPr>
      </w:pPr>
    </w:p>
    <w:p w14:paraId="33235C0B">
      <w:pPr>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一、投标函…………………………………………………………………（页码）</w:t>
      </w:r>
    </w:p>
    <w:p w14:paraId="75CB2985">
      <w:pPr>
        <w:spacing w:line="360" w:lineRule="auto"/>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rPr>
        <w:t>二、开标一览表……………………………………………………………（页码）</w:t>
      </w:r>
    </w:p>
    <w:p w14:paraId="4B2B31D4">
      <w:pPr>
        <w:spacing w:line="360" w:lineRule="auto"/>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kern w:val="0"/>
          <w:sz w:val="24"/>
          <w:highlight w:val="none"/>
        </w:rPr>
        <w:t>三、中小企业声明函………………………………………………………（页码）</w:t>
      </w:r>
    </w:p>
    <w:p w14:paraId="1A80062D">
      <w:pPr>
        <w:widowControl/>
        <w:jc w:val="left"/>
        <w:rPr>
          <w:rFonts w:hint="eastAsia" w:ascii="宋体" w:hAnsi="宋体"/>
          <w:color w:val="auto"/>
          <w:sz w:val="30"/>
          <w:szCs w:val="20"/>
          <w:highlight w:val="none"/>
        </w:rPr>
        <w:sectPr>
          <w:pgSz w:w="11906" w:h="16838"/>
          <w:pgMar w:top="1134" w:right="1134" w:bottom="1134" w:left="1134" w:header="720" w:footer="720" w:gutter="0"/>
          <w:cols w:space="720" w:num="1"/>
          <w:docGrid w:type="lines" w:linePitch="331" w:charSpace="0"/>
        </w:sectPr>
      </w:pPr>
    </w:p>
    <w:p w14:paraId="17AAA14F">
      <w:pPr>
        <w:spacing w:line="500" w:lineRule="exact"/>
        <w:jc w:val="center"/>
        <w:rPr>
          <w:b/>
          <w:bCs/>
          <w:color w:val="auto"/>
          <w:kern w:val="0"/>
          <w:sz w:val="30"/>
          <w:szCs w:val="30"/>
          <w:highlight w:val="none"/>
        </w:rPr>
      </w:pPr>
      <w:r>
        <w:rPr>
          <w:rFonts w:hint="eastAsia"/>
          <w:b/>
          <w:bCs/>
          <w:color w:val="auto"/>
          <w:kern w:val="0"/>
          <w:sz w:val="30"/>
          <w:szCs w:val="30"/>
          <w:highlight w:val="none"/>
        </w:rPr>
        <w:t>一、投标函</w:t>
      </w:r>
    </w:p>
    <w:p w14:paraId="03967C4C">
      <w:p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致：</w:t>
      </w:r>
      <w:r>
        <w:rPr>
          <w:rFonts w:hint="eastAsia" w:ascii="宋体" w:hAnsi="宋体" w:cs="宋体"/>
          <w:color w:val="auto"/>
          <w:kern w:val="0"/>
          <w:szCs w:val="21"/>
          <w:highlight w:val="none"/>
          <w:u w:val="single"/>
        </w:rPr>
        <w:t>广西翔正项目管理有限公司</w:t>
      </w:r>
    </w:p>
    <w:p w14:paraId="6BDA3906">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我方已仔细阅读了贵方组织的</w:t>
      </w:r>
      <w:r>
        <w:rPr>
          <w:rFonts w:hint="eastAsia" w:ascii="宋体" w:hAnsi="宋体" w:cs="宋体"/>
          <w:color w:val="auto"/>
          <w:kern w:val="0"/>
          <w:szCs w:val="21"/>
          <w:highlight w:val="none"/>
          <w:u w:val="single"/>
          <w:lang w:val="en-US" w:eastAsia="zh-CN"/>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项目（项目编号</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）的招标文件的全部内容，授权</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(全权代表姓名)</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(职务、职称)为全权代表，现正式递交下述文件参加贵方组织的本次政府采购活动： </w:t>
      </w:r>
    </w:p>
    <w:p w14:paraId="70ADE253">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一、报价文件电子版一份（包含按投标人须知前附表要求提交的全部文件）；</w:t>
      </w:r>
    </w:p>
    <w:p w14:paraId="17327DB6">
      <w:pPr>
        <w:spacing w:line="440" w:lineRule="exact"/>
        <w:ind w:firstLine="482"/>
        <w:rPr>
          <w:rFonts w:hint="eastAsia" w:ascii="宋体" w:hAnsi="宋体" w:cs="宋体"/>
          <w:color w:val="auto"/>
          <w:kern w:val="0"/>
          <w:szCs w:val="21"/>
          <w:highlight w:val="none"/>
        </w:rPr>
      </w:pPr>
      <w:r>
        <w:rPr>
          <w:rFonts w:hint="eastAsia" w:ascii="宋体" w:hAnsi="宋体" w:cs="宋体"/>
          <w:color w:val="auto"/>
          <w:kern w:val="0"/>
          <w:szCs w:val="21"/>
          <w:highlight w:val="none"/>
        </w:rPr>
        <w:t>二、资格文件电子版一份（包含按投标人须知前附表要求提交的全部文件）；</w:t>
      </w:r>
    </w:p>
    <w:p w14:paraId="7C92DA96">
      <w:pPr>
        <w:spacing w:line="440" w:lineRule="exact"/>
        <w:ind w:firstLine="482"/>
        <w:rPr>
          <w:rFonts w:hint="eastAsia" w:ascii="宋体" w:hAnsi="宋体" w:cs="宋体"/>
          <w:color w:val="auto"/>
          <w:kern w:val="0"/>
          <w:szCs w:val="21"/>
          <w:highlight w:val="none"/>
        </w:rPr>
      </w:pPr>
      <w:r>
        <w:rPr>
          <w:rFonts w:hint="eastAsia" w:ascii="宋体" w:hAnsi="宋体" w:cs="宋体"/>
          <w:color w:val="auto"/>
          <w:kern w:val="0"/>
          <w:szCs w:val="21"/>
          <w:highlight w:val="none"/>
        </w:rPr>
        <w:t>三、技术文件电子版一份（包含按投标人须知前附表要求提交的全部文件）；</w:t>
      </w:r>
    </w:p>
    <w:p w14:paraId="61AEB536">
      <w:pPr>
        <w:spacing w:line="440" w:lineRule="exact"/>
        <w:ind w:firstLine="482"/>
        <w:rPr>
          <w:rFonts w:hint="eastAsia" w:ascii="宋体" w:hAnsi="宋体" w:cs="宋体"/>
          <w:color w:val="auto"/>
          <w:kern w:val="0"/>
          <w:szCs w:val="21"/>
          <w:highlight w:val="none"/>
        </w:rPr>
      </w:pPr>
      <w:r>
        <w:rPr>
          <w:rFonts w:hint="eastAsia" w:ascii="宋体" w:hAnsi="宋体" w:cs="宋体"/>
          <w:color w:val="auto"/>
          <w:kern w:val="0"/>
          <w:szCs w:val="21"/>
          <w:highlight w:val="none"/>
        </w:rPr>
        <w:t>四、商务文件电子版一份（包含按投标人须知前附表要求提交的全部文件）；</w:t>
      </w:r>
    </w:p>
    <w:p w14:paraId="0A6CABE2">
      <w:pPr>
        <w:spacing w:line="440" w:lineRule="exact"/>
        <w:ind w:firstLine="482"/>
        <w:rPr>
          <w:rFonts w:hint="eastAsia" w:ascii="宋体" w:hAnsi="宋体" w:cs="宋体"/>
          <w:color w:val="auto"/>
          <w:kern w:val="0"/>
          <w:szCs w:val="21"/>
          <w:highlight w:val="none"/>
        </w:rPr>
      </w:pPr>
      <w:r>
        <w:rPr>
          <w:rFonts w:hint="eastAsia" w:ascii="宋体" w:hAnsi="宋体" w:cs="宋体"/>
          <w:color w:val="auto"/>
          <w:kern w:val="0"/>
          <w:szCs w:val="21"/>
          <w:highlight w:val="none"/>
        </w:rPr>
        <w:t>据此函，签字人兹宣布：</w:t>
      </w:r>
    </w:p>
    <w:p w14:paraId="70DD88BF">
      <w:pPr>
        <w:numPr>
          <w:ilvl w:val="0"/>
          <w:numId w:val="19"/>
        </w:numPr>
        <w:spacing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我方愿意以（大写）人民币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元)的投标总报价，提交服务成果时间（无分标时填写）：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，提供本项目招标文件第二章“服务需求”中的相应的采购内容。</w:t>
      </w:r>
    </w:p>
    <w:p w14:paraId="423325FF">
      <w:pPr>
        <w:pStyle w:val="9"/>
        <w:spacing w:line="440" w:lineRule="exact"/>
        <w:ind w:firstLine="420" w:firstLineChars="200"/>
        <w:rPr>
          <w:rFonts w:hint="eastAsia" w:hAnsi="宋体" w:cs="宋体"/>
          <w:color w:val="auto"/>
          <w:sz w:val="21"/>
          <w:highlight w:val="none"/>
        </w:rPr>
      </w:pPr>
      <w:r>
        <w:rPr>
          <w:rFonts w:hint="eastAsia" w:hAnsi="宋体" w:cs="宋体"/>
          <w:color w:val="auto"/>
          <w:sz w:val="21"/>
          <w:highlight w:val="none"/>
        </w:rPr>
        <w:t>其中（有分标时填写）：</w:t>
      </w:r>
    </w:p>
    <w:p w14:paraId="6828529B">
      <w:pPr>
        <w:pStyle w:val="9"/>
        <w:spacing w:line="440" w:lineRule="exact"/>
        <w:ind w:firstLine="420" w:firstLineChars="200"/>
        <w:rPr>
          <w:rFonts w:hint="eastAsia" w:hAnsi="宋体" w:cs="宋体"/>
          <w:color w:val="auto"/>
          <w:sz w:val="21"/>
          <w:highlight w:val="none"/>
          <w:u w:val="single"/>
        </w:rPr>
      </w:pPr>
      <w:r>
        <w:rPr>
          <w:rFonts w:hint="eastAsia" w:hAnsi="宋体" w:cs="宋体"/>
          <w:color w:val="auto"/>
          <w:sz w:val="21"/>
          <w:highlight w:val="none"/>
          <w:u w:val="single"/>
        </w:rPr>
        <w:t xml:space="preserve">     </w:t>
      </w:r>
      <w:r>
        <w:rPr>
          <w:rFonts w:hint="eastAsia" w:hAnsi="宋体" w:cs="宋体"/>
          <w:color w:val="auto"/>
          <w:sz w:val="21"/>
          <w:highlight w:val="none"/>
        </w:rPr>
        <w:t>分标报价为（大写）人民币</w:t>
      </w:r>
      <w:r>
        <w:rPr>
          <w:rFonts w:hint="eastAsia" w:hAnsi="宋体" w:cs="宋体"/>
          <w:color w:val="auto"/>
          <w:sz w:val="21"/>
          <w:highlight w:val="none"/>
          <w:u w:val="single"/>
        </w:rPr>
        <w:t xml:space="preserve">              </w:t>
      </w:r>
      <w:r>
        <w:rPr>
          <w:rFonts w:hint="eastAsia" w:hAnsi="宋体" w:cs="宋体"/>
          <w:color w:val="auto"/>
          <w:sz w:val="21"/>
          <w:highlight w:val="none"/>
        </w:rPr>
        <w:t>元 (￥</w:t>
      </w:r>
      <w:r>
        <w:rPr>
          <w:rFonts w:hint="eastAsia" w:hAnsi="宋体" w:cs="宋体"/>
          <w:color w:val="auto"/>
          <w:sz w:val="21"/>
          <w:highlight w:val="none"/>
          <w:u w:val="single"/>
        </w:rPr>
        <w:t xml:space="preserve">          </w:t>
      </w:r>
      <w:r>
        <w:rPr>
          <w:rFonts w:hint="eastAsia" w:hAnsi="宋体" w:cs="宋体"/>
          <w:color w:val="auto"/>
          <w:sz w:val="21"/>
          <w:highlight w:val="none"/>
        </w:rPr>
        <w:t>元)，</w:t>
      </w:r>
      <w:r>
        <w:rPr>
          <w:rFonts w:hint="eastAsia" w:hAnsi="宋体" w:cs="宋体"/>
          <w:color w:val="auto"/>
          <w:highlight w:val="none"/>
        </w:rPr>
        <w:t>提交服务成果时间</w:t>
      </w:r>
      <w:r>
        <w:rPr>
          <w:rFonts w:hint="eastAsia" w:hAnsi="宋体" w:cs="宋体"/>
          <w:color w:val="auto"/>
          <w:sz w:val="21"/>
          <w:highlight w:val="none"/>
        </w:rPr>
        <w:t>：</w:t>
      </w:r>
      <w:r>
        <w:rPr>
          <w:rFonts w:hint="eastAsia" w:hAnsi="宋体" w:cs="宋体"/>
          <w:color w:val="auto"/>
          <w:sz w:val="21"/>
          <w:highlight w:val="none"/>
          <w:u w:val="single"/>
        </w:rPr>
        <w:t xml:space="preserve">          </w:t>
      </w:r>
      <w:r>
        <w:rPr>
          <w:rFonts w:hint="eastAsia" w:hAnsi="宋体" w:cs="宋体"/>
          <w:color w:val="auto"/>
          <w:sz w:val="21"/>
          <w:highlight w:val="none"/>
        </w:rPr>
        <w:t>；</w:t>
      </w:r>
    </w:p>
    <w:p w14:paraId="6119B529">
      <w:pPr>
        <w:spacing w:line="440" w:lineRule="exact"/>
        <w:ind w:firstLine="420" w:firstLineChars="200"/>
        <w:rPr>
          <w:rFonts w:hint="eastAsia" w:hAnsi="宋体" w:cs="宋体"/>
          <w:color w:val="auto"/>
          <w:szCs w:val="21"/>
          <w:highlight w:val="none"/>
        </w:rPr>
      </w:pPr>
      <w:r>
        <w:rPr>
          <w:rFonts w:hint="eastAsia" w:hAnsi="宋体" w:cs="宋体"/>
          <w:color w:val="auto"/>
          <w:szCs w:val="21"/>
          <w:highlight w:val="none"/>
          <w:u w:val="single"/>
        </w:rPr>
        <w:t xml:space="preserve">     </w:t>
      </w:r>
      <w:r>
        <w:rPr>
          <w:rFonts w:hint="eastAsia" w:hAnsi="宋体" w:cs="宋体"/>
          <w:color w:val="auto"/>
          <w:szCs w:val="21"/>
          <w:highlight w:val="none"/>
        </w:rPr>
        <w:t>分标报价为（大写）人民币</w:t>
      </w:r>
      <w:r>
        <w:rPr>
          <w:rFonts w:hint="eastAsia" w:hAnsi="宋体" w:cs="宋体"/>
          <w:color w:val="auto"/>
          <w:szCs w:val="21"/>
          <w:highlight w:val="none"/>
          <w:u w:val="single"/>
        </w:rPr>
        <w:t xml:space="preserve">              </w:t>
      </w:r>
      <w:r>
        <w:rPr>
          <w:rFonts w:hint="eastAsia" w:hAnsi="宋体" w:cs="宋体"/>
          <w:color w:val="auto"/>
          <w:szCs w:val="21"/>
          <w:highlight w:val="none"/>
        </w:rPr>
        <w:t>元 (￥</w:t>
      </w:r>
      <w:r>
        <w:rPr>
          <w:rFonts w:hint="eastAsia" w:hAnsi="宋体" w:cs="宋体"/>
          <w:color w:val="auto"/>
          <w:szCs w:val="21"/>
          <w:highlight w:val="none"/>
          <w:u w:val="single"/>
        </w:rPr>
        <w:t xml:space="preserve">          </w:t>
      </w:r>
      <w:r>
        <w:rPr>
          <w:rFonts w:hint="eastAsia" w:hAnsi="宋体" w:cs="宋体"/>
          <w:color w:val="auto"/>
          <w:szCs w:val="21"/>
          <w:highlight w:val="none"/>
        </w:rPr>
        <w:t>元)，</w:t>
      </w:r>
      <w:r>
        <w:rPr>
          <w:rFonts w:hint="eastAsia" w:ascii="宋体" w:hAnsi="宋体" w:cs="宋体"/>
          <w:color w:val="auto"/>
          <w:szCs w:val="21"/>
          <w:highlight w:val="none"/>
        </w:rPr>
        <w:t>提交服务成果时间</w:t>
      </w:r>
      <w:r>
        <w:rPr>
          <w:rFonts w:hint="eastAsia" w:hAnsi="宋体" w:cs="宋体"/>
          <w:color w:val="auto"/>
          <w:szCs w:val="21"/>
          <w:highlight w:val="none"/>
        </w:rPr>
        <w:t>：</w:t>
      </w:r>
      <w:r>
        <w:rPr>
          <w:rFonts w:hint="eastAsia" w:hAnsi="宋体" w:cs="宋体"/>
          <w:color w:val="auto"/>
          <w:szCs w:val="21"/>
          <w:highlight w:val="none"/>
          <w:u w:val="single"/>
        </w:rPr>
        <w:t xml:space="preserve">          </w:t>
      </w:r>
      <w:r>
        <w:rPr>
          <w:rFonts w:hint="eastAsia" w:hAnsi="宋体" w:cs="宋体"/>
          <w:color w:val="auto"/>
          <w:szCs w:val="21"/>
          <w:highlight w:val="none"/>
        </w:rPr>
        <w:t>；</w:t>
      </w:r>
    </w:p>
    <w:p w14:paraId="3847DD26">
      <w:pPr>
        <w:pStyle w:val="17"/>
        <w:spacing w:line="440" w:lineRule="exact"/>
        <w:ind w:firstLineChars="200"/>
        <w:rPr>
          <w:color w:val="auto"/>
          <w:highlight w:val="none"/>
        </w:rPr>
      </w:pPr>
      <w:r>
        <w:rPr>
          <w:rFonts w:hint="eastAsia" w:hAnsi="宋体" w:cs="宋体"/>
          <w:color w:val="auto"/>
          <w:szCs w:val="21"/>
          <w:highlight w:val="none"/>
        </w:rPr>
        <w:t>……</w:t>
      </w:r>
    </w:p>
    <w:p w14:paraId="6B378E4E">
      <w:pPr>
        <w:spacing w:line="44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2、我方同意自本项目招标文件“第三章 投标人须知”第一节 投标人须知前附表 第21.2项规定的投标截止时间（开标时间）起遵循本投标函，并承诺在“投标人须知前附表”第17.2项规定的投标有效期内不修改、撤销投标文件。</w:t>
      </w:r>
    </w:p>
    <w:p w14:paraId="0186296B">
      <w:pPr>
        <w:spacing w:line="440" w:lineRule="exact"/>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3、我方所递交的投标文件及有关资料都是内容完整、真实和准确的。</w:t>
      </w:r>
    </w:p>
    <w:p w14:paraId="1AA486A9">
      <w:pPr>
        <w:spacing w:line="440" w:lineRule="exact"/>
        <w:ind w:firstLine="482"/>
        <w:rPr>
          <w:rFonts w:hint="eastAsia" w:ascii="宋体" w:hAnsi="宋体" w:cs="宋体"/>
          <w:color w:val="auto"/>
          <w:kern w:val="0"/>
          <w:szCs w:val="21"/>
          <w:highlight w:val="none"/>
        </w:rPr>
      </w:pPr>
      <w:r>
        <w:rPr>
          <w:rFonts w:hint="eastAsia" w:ascii="宋体" w:hAnsi="宋体" w:cs="宋体"/>
          <w:color w:val="auto"/>
          <w:kern w:val="0"/>
          <w:szCs w:val="21"/>
          <w:highlight w:val="none"/>
        </w:rPr>
        <w:t>4、如本项目采购内容涉及须符合国家强制规定的，我方承诺我方本次投标（包括资格条件和所投产品）均符合国家有关强制规定。</w:t>
      </w:r>
    </w:p>
    <w:p w14:paraId="0517CD69">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如我方中标，我方承诺在收到中标通知书后，在中标通知书规定的期限内，根据招标文件、我方的投标文件及有关澄清承诺书的要求按第五章“拟签订的合同文本”与采购人订立书面合同，并按照合同约定承担完成合同的责任和义务。</w:t>
      </w:r>
    </w:p>
    <w:p w14:paraId="0CE46B05">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6、我方已详细审核招标文件，我方知道必须放弃提出含糊不清或误解问题的权利。</w:t>
      </w:r>
    </w:p>
    <w:p w14:paraId="60BE74E7">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7、我方同意应贵方要求提供与本投标有关的任何数据或资料。若贵方需要，我方愿意提供我方作出的一切承诺的证明材料。</w:t>
      </w:r>
    </w:p>
    <w:p w14:paraId="284E7E0D">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8、我方完全理解贵方不一定接受投标报价最低的投标人为中标供应商的行为。</w:t>
      </w:r>
    </w:p>
    <w:p w14:paraId="73C5BEE6">
      <w:pPr>
        <w:spacing w:line="440" w:lineRule="exact"/>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C667A41">
      <w:pPr>
        <w:numPr>
          <w:ilvl w:val="0"/>
          <w:numId w:val="20"/>
        </w:num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提供虚假材料谋取中标、成交的；</w:t>
      </w:r>
    </w:p>
    <w:p w14:paraId="7A491BAA">
      <w:pPr>
        <w:numPr>
          <w:ilvl w:val="0"/>
          <w:numId w:val="20"/>
        </w:num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采取不正当手段诋毁、排挤其他供应商的；</w:t>
      </w:r>
    </w:p>
    <w:p w14:paraId="64C692CA">
      <w:pPr>
        <w:numPr>
          <w:ilvl w:val="0"/>
          <w:numId w:val="20"/>
        </w:num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与采购人、其他供应商或者采购代理机构恶意串通的；</w:t>
      </w:r>
    </w:p>
    <w:p w14:paraId="70905077">
      <w:pPr>
        <w:numPr>
          <w:ilvl w:val="0"/>
          <w:numId w:val="20"/>
        </w:num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向采购人、采购代理机构行贿或者提供其他不正当利益的；</w:t>
      </w:r>
    </w:p>
    <w:p w14:paraId="65F96A47">
      <w:pPr>
        <w:numPr>
          <w:ilvl w:val="0"/>
          <w:numId w:val="20"/>
        </w:num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在招标采购过程中与采购人进行协商谈判的；</w:t>
      </w:r>
    </w:p>
    <w:p w14:paraId="4CBAB2FC">
      <w:pPr>
        <w:numPr>
          <w:ilvl w:val="0"/>
          <w:numId w:val="20"/>
        </w:numPr>
        <w:spacing w:line="44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拒绝有关部门监督检查或提供虚假情况的。</w:t>
      </w:r>
    </w:p>
    <w:p w14:paraId="54E4E600">
      <w:pPr>
        <w:spacing w:line="440" w:lineRule="exact"/>
        <w:ind w:left="420"/>
        <w:rPr>
          <w:rFonts w:hint="eastAsia" w:ascii="宋体" w:hAnsi="宋体" w:cs="宋体"/>
          <w:color w:val="auto"/>
          <w:kern w:val="0"/>
          <w:szCs w:val="21"/>
          <w:highlight w:val="none"/>
        </w:rPr>
      </w:pPr>
      <w:r>
        <w:rPr>
          <w:rFonts w:hint="eastAsia" w:ascii="宋体" w:hAnsi="宋体" w:cs="宋体"/>
          <w:color w:val="auto"/>
          <w:kern w:val="0"/>
          <w:szCs w:val="21"/>
          <w:highlight w:val="none"/>
        </w:rPr>
        <w:t>10、我方及由本人担任法定代表人的其他机构最近三年内被处罚的违法行为有：</w:t>
      </w:r>
      <w:r>
        <w:rPr>
          <w:rFonts w:hint="eastAsia" w:ascii="宋体" w:hAnsi="宋体" w:cs="宋体"/>
          <w:color w:val="auto"/>
          <w:kern w:val="0"/>
          <w:szCs w:val="21"/>
          <w:highlight w:val="none"/>
          <w:u w:val="single"/>
        </w:rPr>
        <w:t xml:space="preserve">                                        </w:t>
      </w:r>
    </w:p>
    <w:p w14:paraId="724B53AA">
      <w:pPr>
        <w:spacing w:line="440" w:lineRule="exact"/>
        <w:ind w:left="420"/>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 xml:space="preserve">                                                                                                                        </w:t>
      </w:r>
    </w:p>
    <w:p w14:paraId="65ADF30D">
      <w:pPr>
        <w:spacing w:line="44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11、以上事项如有虚假或隐瞒，我方愿意承担一切后果，并不再寻求任何旨在减轻或免除法律责任的辩解。</w:t>
      </w:r>
    </w:p>
    <w:p w14:paraId="47CA9C99">
      <w:pPr>
        <w:spacing w:line="44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12、与本投标有关的一切正式往来信函请寄：</w:t>
      </w:r>
      <w:r>
        <w:rPr>
          <w:rFonts w:hint="eastAsia" w:ascii="宋体" w:hAnsi="宋体" w:cs="宋体"/>
          <w:color w:val="auto"/>
          <w:kern w:val="0"/>
          <w:szCs w:val="21"/>
          <w:highlight w:val="none"/>
          <w:u w:val="single"/>
        </w:rPr>
        <w:t xml:space="preserve"> </w:t>
      </w:r>
    </w:p>
    <w:p w14:paraId="40645C4A">
      <w:pPr>
        <w:spacing w:line="44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地址：</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 xml:space="preserve"> </w:t>
      </w:r>
    </w:p>
    <w:p w14:paraId="0084D645">
      <w:pPr>
        <w:spacing w:line="440" w:lineRule="exact"/>
        <w:ind w:firstLine="42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电话：</w:t>
      </w:r>
      <w:r>
        <w:rPr>
          <w:rFonts w:hint="eastAsia" w:ascii="宋体" w:hAnsi="宋体" w:cs="宋体"/>
          <w:color w:val="auto"/>
          <w:kern w:val="0"/>
          <w:szCs w:val="21"/>
          <w:highlight w:val="none"/>
          <w:u w:val="single"/>
        </w:rPr>
        <w:t xml:space="preserve">                                      　　　　　　　　　</w:t>
      </w:r>
    </w:p>
    <w:p w14:paraId="35FFA47C">
      <w:pPr>
        <w:spacing w:line="440" w:lineRule="exact"/>
        <w:ind w:firstLine="420"/>
        <w:rPr>
          <w:rFonts w:hint="eastAsia" w:ascii="宋体" w:hAnsi="宋体" w:cs="宋体"/>
          <w:color w:val="auto"/>
          <w:kern w:val="0"/>
          <w:szCs w:val="21"/>
          <w:highlight w:val="none"/>
        </w:rPr>
      </w:pPr>
      <w:r>
        <w:rPr>
          <w:rFonts w:hint="eastAsia" w:ascii="宋体" w:hAnsi="宋体" w:cs="宋体"/>
          <w:color w:val="auto"/>
          <w:kern w:val="0"/>
          <w:szCs w:val="21"/>
          <w:highlight w:val="none"/>
        </w:rPr>
        <w:t>传真：</w:t>
      </w:r>
      <w:r>
        <w:rPr>
          <w:rFonts w:hint="eastAsia" w:ascii="宋体" w:hAnsi="宋体" w:cs="宋体"/>
          <w:color w:val="auto"/>
          <w:kern w:val="0"/>
          <w:szCs w:val="21"/>
          <w:highlight w:val="none"/>
          <w:u w:val="single"/>
        </w:rPr>
        <w:t>　　　　　　　　　　　　　　　　　　　　　　　　　　　　</w:t>
      </w:r>
    </w:p>
    <w:p w14:paraId="29D2E729">
      <w:pPr>
        <w:spacing w:line="440" w:lineRule="exact"/>
        <w:ind w:firstLine="42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邮政编码：</w:t>
      </w:r>
      <w:r>
        <w:rPr>
          <w:rFonts w:hint="eastAsia" w:ascii="宋体" w:hAnsi="宋体" w:cs="宋体"/>
          <w:color w:val="auto"/>
          <w:kern w:val="0"/>
          <w:szCs w:val="21"/>
          <w:highlight w:val="none"/>
          <w:u w:val="single"/>
        </w:rPr>
        <w:t xml:space="preserve">                                                    </w:t>
      </w:r>
    </w:p>
    <w:p w14:paraId="5C21BFE7">
      <w:pPr>
        <w:spacing w:line="440" w:lineRule="exact"/>
        <w:ind w:firstLine="42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开户名称：</w:t>
      </w:r>
      <w:r>
        <w:rPr>
          <w:rFonts w:hint="eastAsia" w:ascii="宋体" w:hAnsi="宋体" w:cs="宋体"/>
          <w:color w:val="auto"/>
          <w:kern w:val="0"/>
          <w:szCs w:val="21"/>
          <w:highlight w:val="none"/>
          <w:u w:val="single"/>
        </w:rPr>
        <w:t xml:space="preserve">                                                    </w:t>
      </w:r>
    </w:p>
    <w:p w14:paraId="7D4DA2A4">
      <w:pPr>
        <w:spacing w:line="440" w:lineRule="exact"/>
        <w:ind w:firstLine="42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开户银行：</w:t>
      </w:r>
      <w:r>
        <w:rPr>
          <w:rFonts w:hint="eastAsia" w:ascii="宋体" w:hAnsi="宋体" w:cs="宋体"/>
          <w:color w:val="auto"/>
          <w:kern w:val="0"/>
          <w:szCs w:val="21"/>
          <w:highlight w:val="none"/>
          <w:u w:val="single"/>
        </w:rPr>
        <w:t xml:space="preserve">                                                    </w:t>
      </w:r>
    </w:p>
    <w:p w14:paraId="4AD096A9">
      <w:pPr>
        <w:spacing w:line="440" w:lineRule="exact"/>
        <w:ind w:firstLine="42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银行账号：</w:t>
      </w:r>
      <w:r>
        <w:rPr>
          <w:rFonts w:hint="eastAsia" w:ascii="宋体" w:hAnsi="宋体" w:cs="宋体"/>
          <w:color w:val="auto"/>
          <w:kern w:val="0"/>
          <w:szCs w:val="21"/>
          <w:highlight w:val="none"/>
          <w:u w:val="single"/>
        </w:rPr>
        <w:t xml:space="preserve">                                                    </w:t>
      </w:r>
    </w:p>
    <w:p w14:paraId="2132E2FD">
      <w:pPr>
        <w:snapToGrid w:val="0"/>
        <w:spacing w:line="440" w:lineRule="exact"/>
        <w:ind w:firstLine="5040" w:firstLineChars="2100"/>
        <w:rPr>
          <w:rFonts w:hint="eastAsia" w:ascii="方正仿宋_GB2312" w:hAnsi="仿宋" w:eastAsia="方正仿宋_GB2312" w:cs="方正仿宋_GB2312"/>
          <w:color w:val="auto"/>
          <w:kern w:val="0"/>
          <w:sz w:val="24"/>
          <w:highlight w:val="none"/>
          <w:lang w:val="zh-CN"/>
        </w:rPr>
      </w:pPr>
    </w:p>
    <w:p w14:paraId="266964B2">
      <w:pPr>
        <w:snapToGrid w:val="0"/>
        <w:spacing w:line="440" w:lineRule="exact"/>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412C8598">
      <w:pPr>
        <w:snapToGrid w:val="0"/>
        <w:spacing w:line="440" w:lineRule="exact"/>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5A488E10">
      <w:pPr>
        <w:widowControl/>
        <w:spacing w:line="440" w:lineRule="exact"/>
        <w:jc w:val="left"/>
        <w:rPr>
          <w:rFonts w:hint="eastAsia" w:ascii="方正仿宋_GB2312" w:hAnsi="仿宋" w:eastAsia="方正仿宋_GB2312" w:cs="方正仿宋_GB2312"/>
          <w:color w:val="auto"/>
          <w:kern w:val="0"/>
          <w:sz w:val="24"/>
          <w:highlight w:val="none"/>
          <w:lang w:val="zh-CN"/>
        </w:rPr>
        <w:sectPr>
          <w:pgSz w:w="11906" w:h="16838"/>
          <w:pgMar w:top="1134" w:right="1134" w:bottom="1134" w:left="1134" w:header="720" w:footer="720" w:gutter="0"/>
          <w:cols w:space="720" w:num="1"/>
          <w:docGrid w:type="lines" w:linePitch="331" w:charSpace="0"/>
        </w:sectPr>
      </w:pPr>
    </w:p>
    <w:p w14:paraId="55E0731F">
      <w:pPr>
        <w:spacing w:line="360" w:lineRule="auto"/>
        <w:jc w:val="center"/>
        <w:rPr>
          <w:rFonts w:ascii="宋体" w:hAnsi="Courier New"/>
          <w:b/>
          <w:color w:val="auto"/>
          <w:kern w:val="0"/>
          <w:sz w:val="30"/>
          <w:szCs w:val="30"/>
          <w:highlight w:val="none"/>
        </w:rPr>
      </w:pPr>
      <w:r>
        <w:rPr>
          <w:rFonts w:hint="eastAsia" w:ascii="宋体" w:hAnsi="宋体"/>
          <w:color w:val="auto"/>
          <w:kern w:val="0"/>
          <w:sz w:val="30"/>
          <w:szCs w:val="20"/>
          <w:highlight w:val="none"/>
        </w:rPr>
        <w:t>二、</w:t>
      </w:r>
      <w:r>
        <w:rPr>
          <w:rFonts w:hint="eastAsia" w:ascii="宋体" w:hAnsi="Courier New"/>
          <w:b/>
          <w:color w:val="auto"/>
          <w:kern w:val="0"/>
          <w:sz w:val="30"/>
          <w:szCs w:val="30"/>
          <w:highlight w:val="none"/>
        </w:rPr>
        <w:t>开标一览表</w:t>
      </w:r>
      <w:r>
        <w:rPr>
          <w:rFonts w:hint="eastAsia" w:ascii="方正仿宋_GB2312" w:hAnsi="仿宋" w:eastAsia="方正仿宋_GB2312" w:cs="方正仿宋_GB2312"/>
          <w:b/>
          <w:color w:val="auto"/>
          <w:kern w:val="0"/>
          <w:sz w:val="24"/>
          <w:szCs w:val="20"/>
          <w:highlight w:val="none"/>
          <w:lang w:val="zh-CN"/>
        </w:rPr>
        <w:t>(单位均为人民币元)</w:t>
      </w:r>
    </w:p>
    <w:p w14:paraId="00D46BF8">
      <w:pPr>
        <w:snapToGrid w:val="0"/>
        <w:spacing w:before="50" w:after="50" w:line="360" w:lineRule="auto"/>
        <w:rPr>
          <w:rFonts w:hint="eastAsia" w:ascii="宋体" w:hAnsi="宋体"/>
          <w:color w:val="auto"/>
          <w:sz w:val="24"/>
          <w:highlight w:val="none"/>
        </w:rPr>
      </w:pPr>
    </w:p>
    <w:p w14:paraId="07642716">
      <w:pPr>
        <w:snapToGrid w:val="0"/>
        <w:spacing w:before="50" w:after="50"/>
        <w:rPr>
          <w:rFonts w:hint="eastAsia" w:ascii="宋体" w:hAnsi="宋体"/>
          <w:color w:val="auto"/>
          <w:sz w:val="24"/>
          <w:highlight w:val="none"/>
        </w:rPr>
      </w:pPr>
      <w:r>
        <w:rPr>
          <w:rFonts w:hint="eastAsia" w:ascii="宋体" w:hAnsi="宋体"/>
          <w:color w:val="auto"/>
          <w:sz w:val="24"/>
          <w:highlight w:val="none"/>
        </w:rPr>
        <w:t>项目名称：</w:t>
      </w:r>
      <w:r>
        <w:rPr>
          <w:rFonts w:hint="eastAsia" w:ascii="宋体" w:hAnsi="宋体"/>
          <w:color w:val="auto"/>
          <w:sz w:val="24"/>
          <w:highlight w:val="none"/>
          <w:u w:val="single"/>
        </w:rPr>
        <w:t xml:space="preserve"> </w:t>
      </w:r>
      <w:r>
        <w:rPr>
          <w:rFonts w:hint="eastAsia" w:ascii="宋体" w:hAnsi="宋体"/>
          <w:color w:val="auto"/>
          <w:sz w:val="24"/>
          <w:highlight w:val="none"/>
          <w:u w:val="single"/>
          <w:lang w:eastAsia="zh-CN"/>
        </w:rPr>
        <w:t>2026年广西政务服务统一评估服务项目</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w:t>
      </w:r>
    </w:p>
    <w:p w14:paraId="2D160957">
      <w:pPr>
        <w:snapToGrid w:val="0"/>
        <w:spacing w:before="50" w:after="50"/>
        <w:rPr>
          <w:rFonts w:hint="eastAsia" w:ascii="宋体" w:hAnsi="宋体"/>
          <w:color w:val="auto"/>
          <w:sz w:val="24"/>
          <w:highlight w:val="none"/>
          <w:u w:val="single"/>
        </w:rPr>
      </w:pPr>
      <w:r>
        <w:rPr>
          <w:rFonts w:hint="eastAsia" w:ascii="宋体" w:hAnsi="宋体"/>
          <w:color w:val="auto"/>
          <w:sz w:val="24"/>
          <w:highlight w:val="none"/>
        </w:rPr>
        <w:t>项目编号：</w:t>
      </w:r>
      <w:r>
        <w:rPr>
          <w:rFonts w:hint="eastAsia" w:ascii="宋体" w:hAnsi="宋体"/>
          <w:color w:val="auto"/>
          <w:sz w:val="24"/>
          <w:highlight w:val="none"/>
          <w:u w:val="single"/>
        </w:rPr>
        <w:t xml:space="preserve">                         </w:t>
      </w:r>
    </w:p>
    <w:p w14:paraId="0EBC45E6">
      <w:pPr>
        <w:rPr>
          <w:rFonts w:ascii="宋体" w:hAnsi="Courier New"/>
          <w:b/>
          <w:color w:val="auto"/>
          <w:kern w:val="0"/>
          <w:sz w:val="32"/>
          <w:szCs w:val="20"/>
          <w:highlight w:val="none"/>
          <w:u w:val="single"/>
        </w:rPr>
      </w:pPr>
      <w:r>
        <w:rPr>
          <w:rFonts w:hint="eastAsia" w:ascii="宋体" w:hAnsi="宋体"/>
          <w:color w:val="auto"/>
          <w:kern w:val="0"/>
          <w:sz w:val="24"/>
          <w:szCs w:val="20"/>
          <w:highlight w:val="none"/>
        </w:rPr>
        <w:t>投标人名称：</w:t>
      </w:r>
      <w:r>
        <w:rPr>
          <w:rFonts w:hint="eastAsia" w:ascii="宋体" w:hAnsi="宋体"/>
          <w:color w:val="auto"/>
          <w:kern w:val="0"/>
          <w:sz w:val="24"/>
          <w:szCs w:val="20"/>
          <w:highlight w:val="none"/>
          <w:u w:val="single"/>
        </w:rPr>
        <w:t xml:space="preserve">                     </w:t>
      </w:r>
      <w:r>
        <w:rPr>
          <w:rFonts w:hint="eastAsia" w:ascii="宋体" w:hAnsi="宋体"/>
          <w:color w:val="auto"/>
          <w:kern w:val="0"/>
          <w:sz w:val="24"/>
          <w:szCs w:val="20"/>
          <w:highlight w:val="none"/>
        </w:rPr>
        <w:t xml:space="preserve">             分标号：</w:t>
      </w:r>
      <w:r>
        <w:rPr>
          <w:rFonts w:hint="eastAsia" w:ascii="宋体" w:hAnsi="宋体"/>
          <w:color w:val="auto"/>
          <w:kern w:val="0"/>
          <w:sz w:val="24"/>
          <w:szCs w:val="20"/>
          <w:highlight w:val="none"/>
          <w:u w:val="single"/>
        </w:rPr>
        <w:t xml:space="preserve">                   </w:t>
      </w:r>
    </w:p>
    <w:tbl>
      <w:tblPr>
        <w:tblStyle w:val="19"/>
        <w:tblW w:w="9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260"/>
        <w:gridCol w:w="2382"/>
        <w:gridCol w:w="1134"/>
        <w:gridCol w:w="1417"/>
        <w:gridCol w:w="1560"/>
        <w:gridCol w:w="1341"/>
      </w:tblGrid>
      <w:tr w14:paraId="4D07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719" w:type="dxa"/>
            <w:tcBorders>
              <w:top w:val="single" w:color="auto" w:sz="4" w:space="0"/>
              <w:left w:val="single" w:color="auto" w:sz="4" w:space="0"/>
              <w:bottom w:val="single" w:color="auto" w:sz="4" w:space="0"/>
              <w:right w:val="single" w:color="auto" w:sz="4" w:space="0"/>
            </w:tcBorders>
            <w:vAlign w:val="center"/>
          </w:tcPr>
          <w:p w14:paraId="55AE04F5">
            <w:pPr>
              <w:rPr>
                <w:rFonts w:hint="eastAsia" w:ascii="宋体" w:hAnsi="宋体"/>
                <w:color w:val="auto"/>
                <w:szCs w:val="22"/>
                <w:highlight w:val="none"/>
              </w:rPr>
            </w:pPr>
            <w:r>
              <w:rPr>
                <w:rFonts w:hint="eastAsia" w:ascii="宋体" w:hAnsi="宋体"/>
                <w:color w:val="auto"/>
                <w:szCs w:val="22"/>
                <w:highlight w:val="none"/>
              </w:rPr>
              <w:t>序号</w:t>
            </w:r>
          </w:p>
        </w:tc>
        <w:tc>
          <w:tcPr>
            <w:tcW w:w="1260" w:type="dxa"/>
            <w:tcBorders>
              <w:top w:val="single" w:color="auto" w:sz="4" w:space="0"/>
              <w:left w:val="single" w:color="auto" w:sz="4" w:space="0"/>
              <w:bottom w:val="single" w:color="auto" w:sz="4" w:space="0"/>
              <w:right w:val="single" w:color="auto" w:sz="4" w:space="0"/>
            </w:tcBorders>
            <w:vAlign w:val="center"/>
          </w:tcPr>
          <w:p w14:paraId="54B10F46">
            <w:pPr>
              <w:rPr>
                <w:rFonts w:hint="eastAsia" w:ascii="宋体" w:hAnsi="宋体"/>
                <w:color w:val="auto"/>
                <w:szCs w:val="22"/>
                <w:highlight w:val="none"/>
              </w:rPr>
            </w:pPr>
            <w:r>
              <w:rPr>
                <w:rFonts w:hint="eastAsia" w:ascii="宋体" w:hAnsi="宋体"/>
                <w:color w:val="auto"/>
                <w:szCs w:val="22"/>
                <w:highlight w:val="none"/>
              </w:rPr>
              <w:t>服务名称</w:t>
            </w:r>
          </w:p>
        </w:tc>
        <w:tc>
          <w:tcPr>
            <w:tcW w:w="2382" w:type="dxa"/>
            <w:tcBorders>
              <w:top w:val="single" w:color="auto" w:sz="4" w:space="0"/>
              <w:left w:val="single" w:color="auto" w:sz="4" w:space="0"/>
              <w:bottom w:val="single" w:color="auto" w:sz="4" w:space="0"/>
              <w:right w:val="single" w:color="auto" w:sz="4" w:space="0"/>
            </w:tcBorders>
            <w:vAlign w:val="center"/>
          </w:tcPr>
          <w:p w14:paraId="6B8AB382">
            <w:pPr>
              <w:jc w:val="center"/>
              <w:rPr>
                <w:rFonts w:hint="eastAsia" w:ascii="宋体" w:hAnsi="宋体"/>
                <w:color w:val="auto"/>
                <w:szCs w:val="22"/>
                <w:highlight w:val="none"/>
              </w:rPr>
            </w:pPr>
            <w:r>
              <w:rPr>
                <w:rFonts w:hint="eastAsia" w:ascii="宋体" w:hAnsi="宋体"/>
                <w:color w:val="auto"/>
                <w:szCs w:val="22"/>
                <w:highlight w:val="none"/>
              </w:rPr>
              <w:t>具体服务内容</w:t>
            </w:r>
          </w:p>
        </w:tc>
        <w:tc>
          <w:tcPr>
            <w:tcW w:w="1134" w:type="dxa"/>
            <w:tcBorders>
              <w:top w:val="single" w:color="auto" w:sz="4" w:space="0"/>
              <w:left w:val="single" w:color="auto" w:sz="4" w:space="0"/>
              <w:bottom w:val="single" w:color="auto" w:sz="4" w:space="0"/>
              <w:right w:val="single" w:color="auto" w:sz="4" w:space="0"/>
            </w:tcBorders>
            <w:vAlign w:val="center"/>
          </w:tcPr>
          <w:p w14:paraId="0EE870B6">
            <w:pPr>
              <w:jc w:val="center"/>
              <w:rPr>
                <w:rFonts w:hint="eastAsia" w:ascii="宋体" w:hAnsi="宋体"/>
                <w:color w:val="auto"/>
                <w:szCs w:val="22"/>
                <w:highlight w:val="none"/>
              </w:rPr>
            </w:pPr>
            <w:r>
              <w:rPr>
                <w:rFonts w:hint="eastAsia" w:ascii="宋体" w:hAnsi="宋体"/>
                <w:color w:val="auto"/>
                <w:szCs w:val="22"/>
                <w:highlight w:val="none"/>
              </w:rPr>
              <w:t>数量</w:t>
            </w:r>
            <w:r>
              <w:rPr>
                <w:rFonts w:ascii="宋体" w:hAnsi="宋体"/>
                <w:color w:val="auto"/>
                <w:szCs w:val="22"/>
                <w:highlight w:val="none"/>
              </w:rPr>
              <w:t>①</w:t>
            </w:r>
          </w:p>
        </w:tc>
        <w:tc>
          <w:tcPr>
            <w:tcW w:w="1417" w:type="dxa"/>
            <w:tcBorders>
              <w:top w:val="single" w:color="auto" w:sz="4" w:space="0"/>
              <w:left w:val="single" w:color="auto" w:sz="4" w:space="0"/>
              <w:bottom w:val="single" w:color="auto" w:sz="4" w:space="0"/>
              <w:right w:val="single" w:color="auto" w:sz="4" w:space="0"/>
            </w:tcBorders>
            <w:vAlign w:val="center"/>
          </w:tcPr>
          <w:p w14:paraId="1113155C">
            <w:pPr>
              <w:rPr>
                <w:rFonts w:hint="eastAsia" w:ascii="宋体" w:hAnsi="宋体"/>
                <w:color w:val="auto"/>
                <w:szCs w:val="22"/>
                <w:highlight w:val="none"/>
              </w:rPr>
            </w:pPr>
            <w:r>
              <w:rPr>
                <w:rFonts w:hint="eastAsia" w:ascii="宋体" w:hAnsi="宋体"/>
                <w:color w:val="auto"/>
                <w:szCs w:val="22"/>
                <w:highlight w:val="none"/>
              </w:rPr>
              <w:t>单价</w:t>
            </w:r>
            <w:r>
              <w:rPr>
                <w:rFonts w:ascii="宋体" w:hAnsi="宋体"/>
                <w:color w:val="auto"/>
                <w:szCs w:val="22"/>
                <w:highlight w:val="none"/>
              </w:rPr>
              <w:t>(</w:t>
            </w:r>
            <w:r>
              <w:rPr>
                <w:rFonts w:hint="eastAsia" w:ascii="宋体" w:hAnsi="宋体"/>
                <w:color w:val="auto"/>
                <w:szCs w:val="22"/>
                <w:highlight w:val="none"/>
              </w:rPr>
              <w:t>元</w:t>
            </w:r>
            <w:r>
              <w:rPr>
                <w:rFonts w:ascii="宋体" w:hAnsi="宋体"/>
                <w:color w:val="auto"/>
                <w:szCs w:val="22"/>
                <w:highlight w:val="none"/>
              </w:rPr>
              <w:t>)②</w:t>
            </w:r>
          </w:p>
        </w:tc>
        <w:tc>
          <w:tcPr>
            <w:tcW w:w="1560" w:type="dxa"/>
            <w:tcBorders>
              <w:top w:val="single" w:color="auto" w:sz="4" w:space="0"/>
              <w:left w:val="single" w:color="auto" w:sz="4" w:space="0"/>
              <w:bottom w:val="single" w:color="auto" w:sz="4" w:space="0"/>
              <w:right w:val="single" w:color="auto" w:sz="4" w:space="0"/>
            </w:tcBorders>
            <w:vAlign w:val="center"/>
          </w:tcPr>
          <w:p w14:paraId="52CCD896">
            <w:pPr>
              <w:rPr>
                <w:rFonts w:hint="eastAsia" w:ascii="宋体" w:hAnsi="宋体"/>
                <w:color w:val="auto"/>
                <w:szCs w:val="22"/>
                <w:highlight w:val="none"/>
              </w:rPr>
            </w:pPr>
            <w:r>
              <w:rPr>
                <w:rFonts w:hint="eastAsia" w:ascii="宋体" w:hAnsi="宋体"/>
                <w:color w:val="auto"/>
                <w:szCs w:val="22"/>
                <w:highlight w:val="none"/>
              </w:rPr>
              <w:t>单项合价（元）</w:t>
            </w:r>
          </w:p>
          <w:p w14:paraId="7E79F79F">
            <w:pPr>
              <w:rPr>
                <w:rFonts w:hint="eastAsia" w:ascii="宋体" w:hAnsi="宋体"/>
                <w:color w:val="auto"/>
                <w:szCs w:val="22"/>
                <w:highlight w:val="none"/>
              </w:rPr>
            </w:pPr>
            <w:r>
              <w:rPr>
                <w:rFonts w:ascii="宋体" w:hAnsi="宋体"/>
                <w:color w:val="auto"/>
                <w:szCs w:val="22"/>
                <w:highlight w:val="none"/>
              </w:rPr>
              <w:t>③</w:t>
            </w:r>
            <w:r>
              <w:rPr>
                <w:rFonts w:hint="eastAsia" w:ascii="宋体" w:hAnsi="宋体"/>
                <w:color w:val="auto"/>
                <w:szCs w:val="22"/>
                <w:highlight w:val="none"/>
              </w:rPr>
              <w:t>＝</w:t>
            </w:r>
            <w:r>
              <w:rPr>
                <w:rFonts w:ascii="宋体" w:hAnsi="宋体"/>
                <w:color w:val="auto"/>
                <w:szCs w:val="22"/>
                <w:highlight w:val="none"/>
              </w:rPr>
              <w:t>①×②</w:t>
            </w:r>
          </w:p>
        </w:tc>
        <w:tc>
          <w:tcPr>
            <w:tcW w:w="1341" w:type="dxa"/>
            <w:tcBorders>
              <w:top w:val="single" w:color="auto" w:sz="4" w:space="0"/>
              <w:left w:val="single" w:color="auto" w:sz="4" w:space="0"/>
              <w:bottom w:val="single" w:color="auto" w:sz="4" w:space="0"/>
              <w:right w:val="single" w:color="auto" w:sz="4" w:space="0"/>
            </w:tcBorders>
            <w:vAlign w:val="center"/>
          </w:tcPr>
          <w:p w14:paraId="6126F19D">
            <w:pPr>
              <w:jc w:val="center"/>
              <w:rPr>
                <w:rFonts w:hint="eastAsia" w:ascii="宋体" w:hAnsi="宋体"/>
                <w:color w:val="auto"/>
                <w:szCs w:val="22"/>
                <w:highlight w:val="none"/>
              </w:rPr>
            </w:pPr>
            <w:r>
              <w:rPr>
                <w:rFonts w:hint="eastAsia" w:ascii="宋体" w:hAnsi="宋体"/>
                <w:color w:val="auto"/>
                <w:szCs w:val="22"/>
                <w:highlight w:val="none"/>
              </w:rPr>
              <w:t>备注</w:t>
            </w:r>
          </w:p>
        </w:tc>
      </w:tr>
      <w:tr w14:paraId="78841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719" w:type="dxa"/>
            <w:tcBorders>
              <w:top w:val="single" w:color="auto" w:sz="4" w:space="0"/>
              <w:left w:val="single" w:color="auto" w:sz="4" w:space="0"/>
              <w:bottom w:val="single" w:color="auto" w:sz="4" w:space="0"/>
              <w:right w:val="single" w:color="auto" w:sz="4" w:space="0"/>
            </w:tcBorders>
            <w:vAlign w:val="center"/>
          </w:tcPr>
          <w:p w14:paraId="21CB8712">
            <w:pPr>
              <w:rPr>
                <w:rFonts w:hint="eastAsia" w:ascii="宋体" w:hAnsi="宋体"/>
                <w:color w:val="auto"/>
                <w:szCs w:val="22"/>
                <w:highlight w:val="none"/>
              </w:rPr>
            </w:pPr>
            <w:r>
              <w:rPr>
                <w:rFonts w:ascii="宋体" w:hAnsi="宋体"/>
                <w:color w:val="auto"/>
                <w:szCs w:val="22"/>
                <w:highlight w:val="none"/>
              </w:rPr>
              <w:t>1</w:t>
            </w:r>
          </w:p>
        </w:tc>
        <w:tc>
          <w:tcPr>
            <w:tcW w:w="1260" w:type="dxa"/>
            <w:tcBorders>
              <w:top w:val="single" w:color="auto" w:sz="4" w:space="0"/>
              <w:left w:val="single" w:color="auto" w:sz="4" w:space="0"/>
              <w:bottom w:val="single" w:color="auto" w:sz="4" w:space="0"/>
              <w:right w:val="single" w:color="auto" w:sz="4" w:space="0"/>
            </w:tcBorders>
            <w:vAlign w:val="center"/>
          </w:tcPr>
          <w:p w14:paraId="6B64248E">
            <w:pPr>
              <w:rPr>
                <w:rFonts w:hint="eastAsia" w:ascii="宋体" w:hAnsi="宋体"/>
                <w:color w:val="auto"/>
                <w:szCs w:val="22"/>
                <w:highlight w:val="none"/>
              </w:rPr>
            </w:pPr>
          </w:p>
        </w:tc>
        <w:tc>
          <w:tcPr>
            <w:tcW w:w="2382" w:type="dxa"/>
            <w:tcBorders>
              <w:top w:val="single" w:color="auto" w:sz="4" w:space="0"/>
              <w:left w:val="single" w:color="auto" w:sz="4" w:space="0"/>
              <w:bottom w:val="single" w:color="auto" w:sz="4" w:space="0"/>
              <w:right w:val="single" w:color="auto" w:sz="4" w:space="0"/>
            </w:tcBorders>
            <w:vAlign w:val="center"/>
          </w:tcPr>
          <w:p w14:paraId="54C28ED2">
            <w:pPr>
              <w:rPr>
                <w:rFonts w:hint="eastAsia" w:ascii="宋体" w:hAnsi="宋体"/>
                <w:color w:val="auto"/>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D7DC419">
            <w:pPr>
              <w:rPr>
                <w:rFonts w:hint="eastAsia" w:ascii="宋体" w:hAnsi="宋体"/>
                <w:color w:val="auto"/>
                <w:szCs w:val="22"/>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A646E05">
            <w:pPr>
              <w:rPr>
                <w:rFonts w:hint="eastAsia" w:ascii="宋体" w:hAnsi="宋体"/>
                <w:color w:val="auto"/>
                <w:szCs w:val="22"/>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3AC9AEB4">
            <w:pPr>
              <w:rPr>
                <w:rFonts w:hint="eastAsia" w:ascii="宋体" w:hAnsi="宋体"/>
                <w:color w:val="auto"/>
                <w:szCs w:val="22"/>
                <w:highlight w:val="none"/>
              </w:rPr>
            </w:pPr>
          </w:p>
        </w:tc>
        <w:tc>
          <w:tcPr>
            <w:tcW w:w="1341" w:type="dxa"/>
            <w:tcBorders>
              <w:top w:val="single" w:color="auto" w:sz="4" w:space="0"/>
              <w:left w:val="single" w:color="auto" w:sz="4" w:space="0"/>
              <w:bottom w:val="single" w:color="auto" w:sz="4" w:space="0"/>
              <w:right w:val="single" w:color="auto" w:sz="4" w:space="0"/>
            </w:tcBorders>
            <w:vAlign w:val="center"/>
          </w:tcPr>
          <w:p w14:paraId="258D47F1">
            <w:pPr>
              <w:jc w:val="center"/>
              <w:rPr>
                <w:rFonts w:hint="eastAsia" w:ascii="宋体" w:hAnsi="宋体"/>
                <w:color w:val="auto"/>
                <w:szCs w:val="22"/>
                <w:highlight w:val="none"/>
              </w:rPr>
            </w:pPr>
          </w:p>
        </w:tc>
      </w:tr>
      <w:tr w14:paraId="14A3C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719" w:type="dxa"/>
            <w:tcBorders>
              <w:top w:val="single" w:color="auto" w:sz="4" w:space="0"/>
              <w:left w:val="single" w:color="auto" w:sz="4" w:space="0"/>
              <w:bottom w:val="single" w:color="auto" w:sz="4" w:space="0"/>
              <w:right w:val="single" w:color="auto" w:sz="4" w:space="0"/>
            </w:tcBorders>
            <w:vAlign w:val="center"/>
          </w:tcPr>
          <w:p w14:paraId="3BCF0BF9">
            <w:pPr>
              <w:rPr>
                <w:rFonts w:hint="eastAsia" w:ascii="宋体" w:hAnsi="宋体"/>
                <w:color w:val="auto"/>
                <w:szCs w:val="22"/>
                <w:highlight w:val="none"/>
              </w:rPr>
            </w:pPr>
            <w:r>
              <w:rPr>
                <w:rFonts w:ascii="宋体" w:hAnsi="宋体"/>
                <w:color w:val="auto"/>
                <w:szCs w:val="22"/>
                <w:highlight w:val="none"/>
              </w:rPr>
              <w:t>2</w:t>
            </w:r>
          </w:p>
        </w:tc>
        <w:tc>
          <w:tcPr>
            <w:tcW w:w="1260" w:type="dxa"/>
            <w:tcBorders>
              <w:top w:val="single" w:color="auto" w:sz="4" w:space="0"/>
              <w:left w:val="single" w:color="auto" w:sz="4" w:space="0"/>
              <w:bottom w:val="single" w:color="auto" w:sz="4" w:space="0"/>
              <w:right w:val="single" w:color="auto" w:sz="4" w:space="0"/>
            </w:tcBorders>
            <w:vAlign w:val="center"/>
          </w:tcPr>
          <w:p w14:paraId="310999FD">
            <w:pPr>
              <w:rPr>
                <w:rFonts w:hint="eastAsia" w:ascii="宋体" w:hAnsi="宋体"/>
                <w:color w:val="auto"/>
                <w:szCs w:val="22"/>
                <w:highlight w:val="none"/>
              </w:rPr>
            </w:pPr>
          </w:p>
        </w:tc>
        <w:tc>
          <w:tcPr>
            <w:tcW w:w="2382" w:type="dxa"/>
            <w:tcBorders>
              <w:top w:val="single" w:color="auto" w:sz="4" w:space="0"/>
              <w:left w:val="single" w:color="auto" w:sz="4" w:space="0"/>
              <w:bottom w:val="single" w:color="auto" w:sz="4" w:space="0"/>
              <w:right w:val="single" w:color="auto" w:sz="4" w:space="0"/>
            </w:tcBorders>
            <w:vAlign w:val="center"/>
          </w:tcPr>
          <w:p w14:paraId="72ED73D5">
            <w:pPr>
              <w:rPr>
                <w:rFonts w:hint="eastAsia" w:ascii="宋体" w:hAnsi="宋体"/>
                <w:color w:val="auto"/>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C867D65">
            <w:pPr>
              <w:rPr>
                <w:rFonts w:hint="eastAsia" w:ascii="宋体" w:hAnsi="宋体"/>
                <w:color w:val="auto"/>
                <w:szCs w:val="22"/>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B672AC7">
            <w:pPr>
              <w:rPr>
                <w:rFonts w:hint="eastAsia" w:ascii="宋体" w:hAnsi="宋体"/>
                <w:color w:val="auto"/>
                <w:szCs w:val="22"/>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59F403AE">
            <w:pPr>
              <w:rPr>
                <w:rFonts w:hint="eastAsia" w:ascii="宋体" w:hAnsi="宋体"/>
                <w:color w:val="auto"/>
                <w:szCs w:val="22"/>
                <w:highlight w:val="none"/>
              </w:rPr>
            </w:pPr>
          </w:p>
        </w:tc>
        <w:tc>
          <w:tcPr>
            <w:tcW w:w="1341" w:type="dxa"/>
            <w:tcBorders>
              <w:top w:val="single" w:color="auto" w:sz="4" w:space="0"/>
              <w:left w:val="single" w:color="auto" w:sz="4" w:space="0"/>
              <w:bottom w:val="single" w:color="auto" w:sz="4" w:space="0"/>
              <w:right w:val="single" w:color="auto" w:sz="4" w:space="0"/>
            </w:tcBorders>
            <w:vAlign w:val="center"/>
          </w:tcPr>
          <w:p w14:paraId="2D19C79F">
            <w:pPr>
              <w:jc w:val="center"/>
              <w:rPr>
                <w:rFonts w:hint="eastAsia" w:ascii="宋体" w:hAnsi="宋体"/>
                <w:color w:val="auto"/>
                <w:szCs w:val="22"/>
                <w:highlight w:val="none"/>
              </w:rPr>
            </w:pPr>
          </w:p>
        </w:tc>
      </w:tr>
      <w:tr w14:paraId="1EB01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trPr>
        <w:tc>
          <w:tcPr>
            <w:tcW w:w="719" w:type="dxa"/>
            <w:tcBorders>
              <w:top w:val="single" w:color="auto" w:sz="4" w:space="0"/>
              <w:left w:val="single" w:color="auto" w:sz="4" w:space="0"/>
              <w:bottom w:val="single" w:color="auto" w:sz="4" w:space="0"/>
              <w:right w:val="single" w:color="auto" w:sz="4" w:space="0"/>
            </w:tcBorders>
            <w:vAlign w:val="center"/>
          </w:tcPr>
          <w:p w14:paraId="3C6EB6B4">
            <w:pPr>
              <w:rPr>
                <w:rFonts w:hint="eastAsia" w:ascii="宋体" w:hAnsi="宋体"/>
                <w:color w:val="auto"/>
                <w:szCs w:val="22"/>
                <w:highlight w:val="none"/>
              </w:rPr>
            </w:pPr>
            <w:r>
              <w:rPr>
                <w:rFonts w:ascii="宋体" w:hAnsi="宋体"/>
                <w:color w:val="auto"/>
                <w:szCs w:val="22"/>
                <w:highlight w:val="none"/>
              </w:rPr>
              <w:t>...</w:t>
            </w:r>
          </w:p>
        </w:tc>
        <w:tc>
          <w:tcPr>
            <w:tcW w:w="1260" w:type="dxa"/>
            <w:tcBorders>
              <w:top w:val="single" w:color="auto" w:sz="4" w:space="0"/>
              <w:left w:val="single" w:color="auto" w:sz="4" w:space="0"/>
              <w:bottom w:val="single" w:color="auto" w:sz="4" w:space="0"/>
              <w:right w:val="single" w:color="auto" w:sz="4" w:space="0"/>
            </w:tcBorders>
            <w:vAlign w:val="center"/>
          </w:tcPr>
          <w:p w14:paraId="1C926BE0">
            <w:pPr>
              <w:rPr>
                <w:rFonts w:hint="eastAsia" w:ascii="宋体" w:hAnsi="宋体"/>
                <w:color w:val="auto"/>
                <w:szCs w:val="22"/>
                <w:highlight w:val="none"/>
              </w:rPr>
            </w:pPr>
          </w:p>
        </w:tc>
        <w:tc>
          <w:tcPr>
            <w:tcW w:w="2382" w:type="dxa"/>
            <w:tcBorders>
              <w:top w:val="single" w:color="auto" w:sz="4" w:space="0"/>
              <w:left w:val="single" w:color="auto" w:sz="4" w:space="0"/>
              <w:bottom w:val="single" w:color="auto" w:sz="4" w:space="0"/>
              <w:right w:val="single" w:color="auto" w:sz="4" w:space="0"/>
            </w:tcBorders>
            <w:vAlign w:val="center"/>
          </w:tcPr>
          <w:p w14:paraId="3440E79B">
            <w:pPr>
              <w:rPr>
                <w:rFonts w:hint="eastAsia" w:ascii="宋体" w:hAnsi="宋体"/>
                <w:color w:val="auto"/>
                <w:szCs w:val="22"/>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4ECD936">
            <w:pPr>
              <w:rPr>
                <w:rFonts w:hint="eastAsia" w:ascii="宋体" w:hAnsi="宋体"/>
                <w:color w:val="auto"/>
                <w:szCs w:val="22"/>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BDFBB35">
            <w:pPr>
              <w:rPr>
                <w:rFonts w:hint="eastAsia" w:ascii="宋体" w:hAnsi="宋体"/>
                <w:color w:val="auto"/>
                <w:szCs w:val="22"/>
                <w:highlight w:val="none"/>
              </w:rPr>
            </w:pPr>
          </w:p>
        </w:tc>
        <w:tc>
          <w:tcPr>
            <w:tcW w:w="1560" w:type="dxa"/>
            <w:tcBorders>
              <w:top w:val="single" w:color="auto" w:sz="4" w:space="0"/>
              <w:left w:val="single" w:color="auto" w:sz="4" w:space="0"/>
              <w:bottom w:val="single" w:color="auto" w:sz="4" w:space="0"/>
              <w:right w:val="single" w:color="auto" w:sz="4" w:space="0"/>
            </w:tcBorders>
            <w:vAlign w:val="center"/>
          </w:tcPr>
          <w:p w14:paraId="0990CB61">
            <w:pPr>
              <w:rPr>
                <w:rFonts w:hint="eastAsia" w:ascii="宋体" w:hAnsi="宋体"/>
                <w:color w:val="auto"/>
                <w:szCs w:val="22"/>
                <w:highlight w:val="none"/>
              </w:rPr>
            </w:pPr>
          </w:p>
        </w:tc>
        <w:tc>
          <w:tcPr>
            <w:tcW w:w="1341" w:type="dxa"/>
            <w:tcBorders>
              <w:top w:val="single" w:color="auto" w:sz="4" w:space="0"/>
              <w:left w:val="single" w:color="auto" w:sz="4" w:space="0"/>
              <w:bottom w:val="single" w:color="auto" w:sz="4" w:space="0"/>
              <w:right w:val="single" w:color="auto" w:sz="4" w:space="0"/>
            </w:tcBorders>
            <w:vAlign w:val="center"/>
          </w:tcPr>
          <w:p w14:paraId="434AE389">
            <w:pPr>
              <w:jc w:val="center"/>
              <w:rPr>
                <w:rFonts w:hint="eastAsia" w:ascii="宋体" w:hAnsi="宋体"/>
                <w:color w:val="auto"/>
                <w:szCs w:val="22"/>
                <w:highlight w:val="none"/>
              </w:rPr>
            </w:pPr>
          </w:p>
        </w:tc>
      </w:tr>
      <w:tr w14:paraId="71B7A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813" w:type="dxa"/>
            <w:gridSpan w:val="7"/>
            <w:tcBorders>
              <w:top w:val="single" w:color="auto" w:sz="4" w:space="0"/>
              <w:left w:val="single" w:color="auto" w:sz="4" w:space="0"/>
              <w:bottom w:val="single" w:color="auto" w:sz="4" w:space="0"/>
              <w:right w:val="single" w:color="auto" w:sz="4" w:space="0"/>
            </w:tcBorders>
          </w:tcPr>
          <w:p w14:paraId="64BC10BE">
            <w:pPr>
              <w:rPr>
                <w:rFonts w:hint="eastAsia" w:ascii="宋体" w:hAnsi="宋体"/>
                <w:color w:val="auto"/>
                <w:szCs w:val="22"/>
                <w:highlight w:val="none"/>
              </w:rPr>
            </w:pPr>
            <w:r>
              <w:rPr>
                <w:rFonts w:hint="eastAsia" w:ascii="宋体" w:hAnsi="宋体"/>
                <w:color w:val="auto"/>
                <w:szCs w:val="22"/>
                <w:highlight w:val="none"/>
              </w:rPr>
              <w:t>报价合计（包含税费等所有费用）：（大写）人民币</w:t>
            </w:r>
            <w:r>
              <w:rPr>
                <w:rFonts w:ascii="宋体" w:hAnsi="宋体"/>
                <w:color w:val="auto"/>
                <w:szCs w:val="22"/>
                <w:highlight w:val="none"/>
              </w:rPr>
              <w:t xml:space="preserve">                                       </w:t>
            </w:r>
            <w:r>
              <w:rPr>
                <w:rFonts w:hint="eastAsia" w:ascii="宋体" w:hAnsi="宋体"/>
                <w:color w:val="auto"/>
                <w:szCs w:val="22"/>
                <w:highlight w:val="none"/>
              </w:rPr>
              <w:t>（￥</w:t>
            </w:r>
            <w:r>
              <w:rPr>
                <w:rFonts w:ascii="宋体" w:hAnsi="宋体"/>
                <w:color w:val="auto"/>
                <w:szCs w:val="22"/>
                <w:highlight w:val="none"/>
              </w:rPr>
              <w:t xml:space="preserve">                </w:t>
            </w:r>
            <w:r>
              <w:rPr>
                <w:rFonts w:hint="eastAsia" w:ascii="宋体" w:hAnsi="宋体"/>
                <w:color w:val="auto"/>
                <w:szCs w:val="22"/>
                <w:highlight w:val="none"/>
              </w:rPr>
              <w:t>元）</w:t>
            </w:r>
          </w:p>
        </w:tc>
      </w:tr>
    </w:tbl>
    <w:p w14:paraId="0C4F01BB">
      <w:pPr>
        <w:snapToGrid w:val="0"/>
        <w:spacing w:before="50" w:after="50" w:line="440" w:lineRule="exact"/>
        <w:ind w:firstLine="480" w:firstLineChars="200"/>
        <w:jc w:val="left"/>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 xml:space="preserve">注： </w:t>
      </w:r>
    </w:p>
    <w:p w14:paraId="513ED1FF">
      <w:pPr>
        <w:snapToGrid w:val="0"/>
        <w:spacing w:before="50" w:after="50" w:line="440" w:lineRule="exact"/>
        <w:ind w:firstLine="480" w:firstLineChars="200"/>
        <w:jc w:val="left"/>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1、投标人需按本表格式填写，不得自行更改，也不得留空, 如有多分标，按分标分别提供开标一览表，必须加盖投标人有效电子公章，</w:t>
      </w:r>
      <w:r>
        <w:rPr>
          <w:rFonts w:hint="eastAsia" w:ascii="方正仿宋_GB2312" w:hAnsi="仿宋" w:eastAsia="方正仿宋_GB2312" w:cs="方正仿宋_GB2312"/>
          <w:b/>
          <w:color w:val="auto"/>
          <w:kern w:val="0"/>
          <w:sz w:val="24"/>
          <w:highlight w:val="none"/>
          <w:lang w:val="zh-CN"/>
        </w:rPr>
        <w:t>否则其投标作无效标处理。</w:t>
      </w:r>
    </w:p>
    <w:p w14:paraId="528083F3">
      <w:pPr>
        <w:snapToGrid w:val="0"/>
        <w:spacing w:before="50" w:after="50" w:line="440" w:lineRule="exact"/>
        <w:ind w:firstLine="480" w:firstLineChars="200"/>
        <w:jc w:val="left"/>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2、本表内容均不能涂改，</w:t>
      </w:r>
      <w:r>
        <w:rPr>
          <w:rFonts w:hint="eastAsia" w:ascii="方正仿宋_GB2312" w:hAnsi="仿宋" w:eastAsia="方正仿宋_GB2312" w:cs="方正仿宋_GB2312"/>
          <w:b/>
          <w:color w:val="auto"/>
          <w:kern w:val="0"/>
          <w:sz w:val="24"/>
          <w:highlight w:val="none"/>
          <w:lang w:val="zh-CN"/>
        </w:rPr>
        <w:t>否则其投标作无效标处理。</w:t>
      </w:r>
    </w:p>
    <w:p w14:paraId="5F81DBBD">
      <w:pPr>
        <w:snapToGrid w:val="0"/>
        <w:spacing w:line="440" w:lineRule="exact"/>
        <w:ind w:firstLine="480" w:firstLineChars="200"/>
        <w:jc w:val="left"/>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3、符合招标文件中列明的可享受中小企业扶持政策的投标人，请填写中小企业声明函。注：投标人</w:t>
      </w:r>
      <w:r>
        <w:rPr>
          <w:rFonts w:ascii="方正仿宋_GB2312" w:hAnsi="仿宋" w:eastAsia="方正仿宋_GB2312" w:cs="方正仿宋_GB2312"/>
          <w:color w:val="auto"/>
          <w:kern w:val="0"/>
          <w:sz w:val="24"/>
          <w:highlight w:val="none"/>
          <w:lang w:val="zh-CN"/>
        </w:rPr>
        <w:t>提供</w:t>
      </w:r>
      <w:r>
        <w:rPr>
          <w:rFonts w:hint="eastAsia" w:ascii="方正仿宋_GB2312" w:hAnsi="仿宋" w:eastAsia="方正仿宋_GB2312" w:cs="方正仿宋_GB2312"/>
          <w:color w:val="auto"/>
          <w:kern w:val="0"/>
          <w:sz w:val="24"/>
          <w:highlight w:val="none"/>
          <w:lang w:val="zh-CN"/>
        </w:rPr>
        <w:t>的中小企业</w:t>
      </w:r>
      <w:r>
        <w:rPr>
          <w:rFonts w:ascii="方正仿宋_GB2312" w:hAnsi="仿宋" w:eastAsia="方正仿宋_GB2312" w:cs="方正仿宋_GB2312"/>
          <w:color w:val="auto"/>
          <w:kern w:val="0"/>
          <w:sz w:val="24"/>
          <w:highlight w:val="none"/>
          <w:lang w:val="zh-CN"/>
        </w:rPr>
        <w:t>声明函内容不实的，属于提供虚假材料谋取中标、成交，依照《中华人民共和国政府采购法》等国家有关规定追究相应责任。</w:t>
      </w:r>
    </w:p>
    <w:p w14:paraId="2B98EC60">
      <w:pPr>
        <w:snapToGrid w:val="0"/>
        <w:spacing w:line="440" w:lineRule="exact"/>
        <w:ind w:firstLine="480" w:firstLineChars="200"/>
        <w:jc w:val="left"/>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6、如为联合体投标，“投标人名称”处必须列明联合体各方名称，并标注联合体牵头人名称，</w:t>
      </w:r>
      <w:r>
        <w:rPr>
          <w:rFonts w:hint="eastAsia" w:ascii="方正仿宋_GB2312" w:hAnsi="仿宋" w:eastAsia="方正仿宋_GB2312" w:cs="方正仿宋_GB2312"/>
          <w:b/>
          <w:color w:val="auto"/>
          <w:kern w:val="0"/>
          <w:sz w:val="24"/>
          <w:highlight w:val="none"/>
          <w:lang w:val="zh-CN"/>
        </w:rPr>
        <w:t>否则其投标作无效标处理</w:t>
      </w:r>
      <w:r>
        <w:rPr>
          <w:rFonts w:hint="eastAsia" w:ascii="方正仿宋_GB2312" w:hAnsi="仿宋" w:eastAsia="方正仿宋_GB2312" w:cs="方正仿宋_GB2312"/>
          <w:color w:val="auto"/>
          <w:kern w:val="0"/>
          <w:sz w:val="24"/>
          <w:highlight w:val="none"/>
          <w:lang w:val="zh-CN"/>
        </w:rPr>
        <w:t>。</w:t>
      </w:r>
    </w:p>
    <w:p w14:paraId="6FB315B3">
      <w:pPr>
        <w:snapToGrid w:val="0"/>
        <w:spacing w:line="440" w:lineRule="exact"/>
        <w:ind w:firstLine="480" w:firstLineChars="200"/>
        <w:jc w:val="left"/>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7、如为联合体投标，盖章处须加盖联合体牵头人电子签章，</w:t>
      </w:r>
      <w:r>
        <w:rPr>
          <w:rFonts w:hint="eastAsia" w:ascii="方正仿宋_GB2312" w:hAnsi="仿宋" w:eastAsia="方正仿宋_GB2312" w:cs="方正仿宋_GB2312"/>
          <w:b/>
          <w:color w:val="auto"/>
          <w:kern w:val="0"/>
          <w:sz w:val="24"/>
          <w:highlight w:val="none"/>
          <w:lang w:val="zh-CN"/>
        </w:rPr>
        <w:t>否则其投标作无效标处理</w:t>
      </w:r>
      <w:r>
        <w:rPr>
          <w:rFonts w:hint="eastAsia" w:ascii="方正仿宋_GB2312" w:hAnsi="仿宋" w:eastAsia="方正仿宋_GB2312" w:cs="方正仿宋_GB2312"/>
          <w:color w:val="auto"/>
          <w:kern w:val="0"/>
          <w:sz w:val="24"/>
          <w:highlight w:val="none"/>
          <w:lang w:val="zh-CN"/>
        </w:rPr>
        <w:t>。</w:t>
      </w:r>
    </w:p>
    <w:p w14:paraId="4101A696">
      <w:pPr>
        <w:snapToGrid w:val="0"/>
        <w:spacing w:line="440" w:lineRule="exact"/>
        <w:ind w:firstLine="5040" w:firstLineChars="2100"/>
        <w:rPr>
          <w:rFonts w:hint="eastAsia" w:ascii="方正仿宋_GB2312" w:hAnsi="仿宋" w:eastAsia="方正仿宋_GB2312" w:cs="方正仿宋_GB2312"/>
          <w:color w:val="auto"/>
          <w:kern w:val="0"/>
          <w:sz w:val="24"/>
          <w:highlight w:val="none"/>
        </w:rPr>
      </w:pPr>
      <w:r>
        <w:rPr>
          <w:rFonts w:hint="eastAsia" w:ascii="方正仿宋_GB2312" w:hAnsi="仿宋" w:eastAsia="方正仿宋_GB2312" w:cs="方正仿宋_GB2312"/>
          <w:color w:val="auto"/>
          <w:kern w:val="0"/>
          <w:sz w:val="24"/>
          <w:highlight w:val="none"/>
          <w:lang w:val="zh-CN"/>
        </w:rPr>
        <w:t>投标人名称(电子签章)：</w:t>
      </w:r>
    </w:p>
    <w:p w14:paraId="0D53FB0A">
      <w:pPr>
        <w:snapToGrid w:val="0"/>
        <w:spacing w:line="440" w:lineRule="exact"/>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3ACADD65">
      <w:pPr>
        <w:widowControl/>
        <w:jc w:val="left"/>
        <w:rPr>
          <w:rFonts w:hint="eastAsia" w:ascii="宋体" w:hAnsi="宋体"/>
          <w:color w:val="auto"/>
          <w:sz w:val="30"/>
          <w:szCs w:val="20"/>
          <w:highlight w:val="none"/>
        </w:rPr>
        <w:sectPr>
          <w:pgSz w:w="11906" w:h="16838"/>
          <w:pgMar w:top="1134" w:right="1134" w:bottom="1134" w:left="1134" w:header="720" w:footer="720" w:gutter="0"/>
          <w:cols w:space="720" w:num="1"/>
          <w:docGrid w:type="lines" w:linePitch="331" w:charSpace="0"/>
        </w:sectPr>
      </w:pPr>
    </w:p>
    <w:p w14:paraId="23763A40">
      <w:pPr>
        <w:jc w:val="center"/>
        <w:rPr>
          <w:b/>
          <w:color w:val="auto"/>
          <w:kern w:val="0"/>
          <w:sz w:val="30"/>
          <w:szCs w:val="30"/>
          <w:highlight w:val="none"/>
        </w:rPr>
      </w:pPr>
      <w:r>
        <w:rPr>
          <w:rFonts w:hint="eastAsia"/>
          <w:b/>
          <w:color w:val="auto"/>
          <w:kern w:val="0"/>
          <w:sz w:val="30"/>
          <w:szCs w:val="30"/>
          <w:highlight w:val="none"/>
        </w:rPr>
        <w:t>三、中小企业声明函</w:t>
      </w:r>
    </w:p>
    <w:p w14:paraId="6F7DFF95">
      <w:pPr>
        <w:rPr>
          <w:rFonts w:ascii="宋体" w:hAnsi="Courier New"/>
          <w:color w:val="auto"/>
          <w:spacing w:val="-4"/>
          <w:kern w:val="0"/>
          <w:szCs w:val="21"/>
          <w:highlight w:val="none"/>
        </w:rPr>
      </w:pPr>
      <w:r>
        <w:rPr>
          <w:rFonts w:hint="eastAsia" w:ascii="宋体" w:hAnsi="宋体"/>
          <w:color w:val="auto"/>
          <w:spacing w:val="-4"/>
          <w:kern w:val="0"/>
          <w:szCs w:val="21"/>
          <w:highlight w:val="none"/>
        </w:rPr>
        <w:t>说明：</w:t>
      </w:r>
    </w:p>
    <w:p w14:paraId="455C261F">
      <w:pPr>
        <w:ind w:firstLine="404" w:firstLineChars="200"/>
        <w:rPr>
          <w:rFonts w:ascii="宋体" w:hAnsi="Courier New"/>
          <w:color w:val="auto"/>
          <w:spacing w:val="-4"/>
          <w:kern w:val="0"/>
          <w:szCs w:val="21"/>
          <w:highlight w:val="none"/>
        </w:rPr>
      </w:pPr>
      <w:r>
        <w:rPr>
          <w:rFonts w:ascii="宋体" w:hAnsi="Courier New"/>
          <w:color w:val="auto"/>
          <w:spacing w:val="-4"/>
          <w:kern w:val="0"/>
          <w:szCs w:val="21"/>
          <w:highlight w:val="none"/>
        </w:rPr>
        <w:t>1</w:t>
      </w:r>
      <w:r>
        <w:rPr>
          <w:rFonts w:hint="eastAsia" w:ascii="宋体" w:hAnsi="宋体"/>
          <w:color w:val="auto"/>
          <w:spacing w:val="-4"/>
          <w:kern w:val="0"/>
          <w:szCs w:val="21"/>
          <w:highlight w:val="none"/>
        </w:rPr>
        <w:t>、本声明函主要供参加政府采购活动的中小企业填写，非中小企业无需填写。</w:t>
      </w:r>
    </w:p>
    <w:p w14:paraId="1E087B1D">
      <w:pPr>
        <w:ind w:firstLine="404" w:firstLineChars="200"/>
        <w:rPr>
          <w:rFonts w:hint="eastAsia" w:ascii="宋体" w:hAnsi="宋体"/>
          <w:color w:val="auto"/>
          <w:spacing w:val="-4"/>
          <w:kern w:val="0"/>
          <w:szCs w:val="21"/>
          <w:highlight w:val="none"/>
        </w:rPr>
      </w:pPr>
      <w:r>
        <w:rPr>
          <w:rFonts w:ascii="宋体" w:hAnsi="Courier New"/>
          <w:color w:val="auto"/>
          <w:spacing w:val="-4"/>
          <w:kern w:val="0"/>
          <w:szCs w:val="21"/>
          <w:highlight w:val="none"/>
        </w:rPr>
        <w:t>2</w:t>
      </w:r>
      <w:r>
        <w:rPr>
          <w:rFonts w:hint="eastAsia" w:ascii="宋体" w:hAnsi="宋体"/>
          <w:color w:val="auto"/>
          <w:spacing w:val="-4"/>
          <w:kern w:val="0"/>
          <w:szCs w:val="21"/>
          <w:highlight w:val="none"/>
        </w:rPr>
        <w:t>、小型、微型企业提供中型企业提供的服务的，视同为中型企业。</w:t>
      </w:r>
    </w:p>
    <w:p w14:paraId="48147FAE">
      <w:pPr>
        <w:ind w:firstLine="404" w:firstLineChars="200"/>
        <w:rPr>
          <w:rFonts w:hint="eastAsia" w:ascii="宋体" w:hAnsi="宋体"/>
          <w:color w:val="auto"/>
          <w:spacing w:val="-4"/>
          <w:kern w:val="0"/>
          <w:szCs w:val="21"/>
          <w:highlight w:val="none"/>
        </w:rPr>
      </w:pPr>
    </w:p>
    <w:p w14:paraId="38D8CB22">
      <w:pPr>
        <w:spacing w:after="120" w:line="500" w:lineRule="exact"/>
        <w:ind w:right="142"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本公司（联合体）郑重声明，根据《政府采购促进中小企业发展管理办法》（财库﹝2020﹞46号）的规定，本公司（联合体）参加</w:t>
      </w:r>
      <w:r>
        <w:rPr>
          <w:rFonts w:hint="eastAsia" w:ascii="宋体" w:hAnsi="宋体"/>
          <w:color w:val="auto"/>
          <w:kern w:val="0"/>
          <w:szCs w:val="21"/>
          <w:highlight w:val="none"/>
          <w:u w:val="single"/>
          <w:lang w:eastAsia="zh-CN"/>
        </w:rPr>
        <w:t xml:space="preserve">广西壮族自治区大数据发展局  </w:t>
      </w:r>
      <w:r>
        <w:rPr>
          <w:rFonts w:hint="eastAsia" w:ascii="宋体" w:hAnsi="宋体"/>
          <w:color w:val="auto"/>
          <w:kern w:val="0"/>
          <w:szCs w:val="21"/>
          <w:highlight w:val="none"/>
        </w:rPr>
        <w:t>的</w:t>
      </w:r>
      <w:r>
        <w:rPr>
          <w:rFonts w:hint="eastAsia" w:ascii="宋体" w:hAnsi="宋体"/>
          <w:color w:val="auto"/>
          <w:kern w:val="0"/>
          <w:szCs w:val="21"/>
          <w:highlight w:val="none"/>
          <w:u w:val="single"/>
          <w:lang w:eastAsia="zh-CN"/>
        </w:rPr>
        <w:t>2026年广西政务服务统一评估服务项目</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采购活动，服务全部由符合政策要求的中小企业承接。相关企业（含联合体中的中小企业、签订分包意向协议的中小企业）的具体情况如下：</w:t>
      </w:r>
    </w:p>
    <w:p w14:paraId="57802B39">
      <w:pPr>
        <w:tabs>
          <w:tab w:val="left" w:pos="1384"/>
          <w:tab w:val="left" w:pos="4562"/>
          <w:tab w:val="left" w:pos="6803"/>
        </w:tabs>
        <w:spacing w:before="13" w:line="500" w:lineRule="exact"/>
        <w:ind w:right="142" w:firstLine="600" w:firstLineChars="286"/>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（标的名称）</w:t>
      </w:r>
      <w:r>
        <w:rPr>
          <w:rFonts w:hint="eastAsia" w:ascii="宋体" w:hAnsi="宋体"/>
          <w:color w:val="auto"/>
          <w:szCs w:val="21"/>
          <w:highlight w:val="none"/>
        </w:rPr>
        <w:t>，属于</w:t>
      </w:r>
      <w:r>
        <w:rPr>
          <w:rFonts w:hint="eastAsia" w:ascii="宋体" w:hAnsi="宋体"/>
          <w:color w:val="auto"/>
          <w:szCs w:val="21"/>
          <w:highlight w:val="none"/>
          <w:u w:val="single"/>
        </w:rPr>
        <w:t>（采购文件中明确的所属行业）</w:t>
      </w:r>
      <w:r>
        <w:rPr>
          <w:rFonts w:hint="eastAsia" w:ascii="宋体" w:hAnsi="宋体"/>
          <w:color w:val="auto"/>
          <w:szCs w:val="21"/>
          <w:highlight w:val="none"/>
        </w:rPr>
        <w:t>；承接企业为</w:t>
      </w:r>
      <w:r>
        <w:rPr>
          <w:rFonts w:hint="eastAsia" w:ascii="宋体" w:hAnsi="宋体"/>
          <w:color w:val="auto"/>
          <w:szCs w:val="21"/>
          <w:highlight w:val="none"/>
          <w:u w:val="single"/>
        </w:rPr>
        <w:t>（企业名称）</w:t>
      </w:r>
      <w:r>
        <w:rPr>
          <w:rFonts w:hint="eastAsia" w:ascii="宋体" w:hAnsi="宋体"/>
          <w:color w:val="auto"/>
          <w:szCs w:val="21"/>
          <w:highlight w:val="none"/>
        </w:rPr>
        <w:t>，从业人员</w:t>
      </w:r>
      <w:r>
        <w:rPr>
          <w:rFonts w:hint="eastAsia" w:ascii="宋体" w:hAnsi="宋体"/>
          <w:color w:val="auto"/>
          <w:szCs w:val="21"/>
          <w:highlight w:val="none"/>
          <w:u w:val="single"/>
        </w:rPr>
        <w:t xml:space="preserve">      </w:t>
      </w:r>
      <w:r>
        <w:rPr>
          <w:rFonts w:hint="eastAsia" w:ascii="宋体" w:hAnsi="宋体"/>
          <w:color w:val="auto"/>
          <w:szCs w:val="21"/>
          <w:highlight w:val="none"/>
        </w:rPr>
        <w:t>人，营业收入为</w:t>
      </w:r>
      <w:r>
        <w:rPr>
          <w:rFonts w:hint="eastAsia" w:ascii="宋体" w:hAnsi="宋体"/>
          <w:color w:val="auto"/>
          <w:szCs w:val="21"/>
          <w:highlight w:val="none"/>
          <w:u w:val="single"/>
        </w:rPr>
        <w:t xml:space="preserve">      </w:t>
      </w:r>
      <w:r>
        <w:rPr>
          <w:rFonts w:hint="eastAsia" w:ascii="宋体" w:hAnsi="宋体"/>
          <w:color w:val="auto"/>
          <w:szCs w:val="21"/>
          <w:highlight w:val="none"/>
        </w:rPr>
        <w:t>万元，资产总额为</w:t>
      </w:r>
      <w:r>
        <w:rPr>
          <w:rFonts w:hint="eastAsia" w:ascii="宋体" w:hAnsi="宋体"/>
          <w:color w:val="auto"/>
          <w:szCs w:val="21"/>
          <w:highlight w:val="none"/>
          <w:u w:val="single"/>
        </w:rPr>
        <w:t xml:space="preserve">      </w:t>
      </w:r>
      <w:r>
        <w:rPr>
          <w:rFonts w:hint="eastAsia" w:ascii="宋体" w:hAnsi="宋体"/>
          <w:color w:val="auto"/>
          <w:szCs w:val="21"/>
          <w:highlight w:val="none"/>
        </w:rPr>
        <w:t>万元，属于</w:t>
      </w:r>
      <w:r>
        <w:rPr>
          <w:rFonts w:hint="eastAsia" w:ascii="宋体" w:hAnsi="宋体"/>
          <w:color w:val="auto"/>
          <w:szCs w:val="21"/>
          <w:highlight w:val="none"/>
          <w:u w:val="single"/>
        </w:rPr>
        <w:t>（中型企业、小型企业、微型企业）</w:t>
      </w:r>
      <w:r>
        <w:rPr>
          <w:rFonts w:hint="eastAsia" w:ascii="宋体" w:hAnsi="宋体"/>
          <w:color w:val="auto"/>
          <w:szCs w:val="21"/>
          <w:highlight w:val="none"/>
        </w:rPr>
        <w:t>；</w:t>
      </w:r>
    </w:p>
    <w:p w14:paraId="59707CB1">
      <w:pPr>
        <w:tabs>
          <w:tab w:val="left" w:pos="1065"/>
          <w:tab w:val="left" w:pos="4262"/>
          <w:tab w:val="left" w:pos="6477"/>
        </w:tabs>
        <w:spacing w:before="20" w:line="500" w:lineRule="exact"/>
        <w:ind w:right="84" w:firstLine="600" w:firstLineChars="286"/>
        <w:rPr>
          <w:rFonts w:hint="eastAsia" w:ascii="宋体" w:hAnsi="宋体"/>
          <w:color w:val="auto"/>
          <w:szCs w:val="21"/>
          <w:highlight w:val="none"/>
          <w:u w:val="single"/>
        </w:rPr>
      </w:pPr>
      <w:r>
        <w:rPr>
          <w:rFonts w:hint="eastAsia" w:ascii="宋体" w:hAnsi="宋体"/>
          <w:color w:val="auto"/>
          <w:szCs w:val="21"/>
          <w:highlight w:val="none"/>
        </w:rPr>
        <w:t>2.</w:t>
      </w:r>
      <w:r>
        <w:rPr>
          <w:rFonts w:hint="eastAsia" w:ascii="宋体" w:hAnsi="宋体"/>
          <w:color w:val="auto"/>
          <w:szCs w:val="21"/>
          <w:highlight w:val="none"/>
          <w:u w:val="single"/>
        </w:rPr>
        <w:t>（标的名称）</w:t>
      </w:r>
      <w:r>
        <w:rPr>
          <w:rFonts w:hint="eastAsia" w:ascii="宋体" w:hAnsi="宋体"/>
          <w:color w:val="auto"/>
          <w:szCs w:val="21"/>
          <w:highlight w:val="none"/>
        </w:rPr>
        <w:t>，属于</w:t>
      </w:r>
      <w:r>
        <w:rPr>
          <w:rFonts w:hint="eastAsia" w:ascii="宋体" w:hAnsi="宋体"/>
          <w:color w:val="auto"/>
          <w:szCs w:val="21"/>
          <w:highlight w:val="none"/>
          <w:u w:val="single"/>
        </w:rPr>
        <w:t>（采购文件中明确的所属行业）</w:t>
      </w:r>
      <w:r>
        <w:rPr>
          <w:rFonts w:hint="eastAsia" w:ascii="宋体" w:hAnsi="宋体"/>
          <w:color w:val="auto"/>
          <w:szCs w:val="21"/>
          <w:highlight w:val="none"/>
        </w:rPr>
        <w:t>；承接企业为</w:t>
      </w:r>
      <w:r>
        <w:rPr>
          <w:rFonts w:hint="eastAsia" w:ascii="宋体" w:hAnsi="宋体"/>
          <w:color w:val="auto"/>
          <w:szCs w:val="21"/>
          <w:highlight w:val="none"/>
          <w:u w:val="single"/>
        </w:rPr>
        <w:t>（企业名称）</w:t>
      </w:r>
      <w:r>
        <w:rPr>
          <w:rFonts w:hint="eastAsia" w:ascii="宋体" w:hAnsi="宋体"/>
          <w:color w:val="auto"/>
          <w:szCs w:val="21"/>
          <w:highlight w:val="none"/>
        </w:rPr>
        <w:t>，从业人员</w:t>
      </w:r>
      <w:r>
        <w:rPr>
          <w:rFonts w:hint="eastAsia" w:ascii="宋体" w:hAnsi="宋体"/>
          <w:color w:val="auto"/>
          <w:szCs w:val="21"/>
          <w:highlight w:val="none"/>
          <w:u w:val="single"/>
        </w:rPr>
        <w:t xml:space="preserve">      </w:t>
      </w:r>
      <w:r>
        <w:rPr>
          <w:rFonts w:hint="eastAsia" w:ascii="宋体" w:hAnsi="宋体"/>
          <w:color w:val="auto"/>
          <w:szCs w:val="21"/>
          <w:highlight w:val="none"/>
        </w:rPr>
        <w:t>人，营业收入为</w:t>
      </w:r>
      <w:r>
        <w:rPr>
          <w:rFonts w:hint="eastAsia" w:ascii="宋体" w:hAnsi="宋体"/>
          <w:color w:val="auto"/>
          <w:szCs w:val="21"/>
          <w:highlight w:val="none"/>
          <w:u w:val="single"/>
        </w:rPr>
        <w:t xml:space="preserve">      </w:t>
      </w:r>
      <w:r>
        <w:rPr>
          <w:rFonts w:hint="eastAsia" w:ascii="宋体" w:hAnsi="宋体"/>
          <w:color w:val="auto"/>
          <w:szCs w:val="21"/>
          <w:highlight w:val="none"/>
        </w:rPr>
        <w:t>万元，资产总额为</w:t>
      </w:r>
      <w:r>
        <w:rPr>
          <w:rFonts w:hint="eastAsia" w:ascii="宋体" w:hAnsi="宋体"/>
          <w:color w:val="auto"/>
          <w:szCs w:val="21"/>
          <w:highlight w:val="none"/>
          <w:u w:val="single"/>
        </w:rPr>
        <w:t xml:space="preserve">      </w:t>
      </w:r>
      <w:r>
        <w:rPr>
          <w:rFonts w:hint="eastAsia" w:ascii="宋体" w:hAnsi="宋体"/>
          <w:color w:val="auto"/>
          <w:szCs w:val="21"/>
          <w:highlight w:val="none"/>
        </w:rPr>
        <w:t>万元，属于</w:t>
      </w:r>
      <w:r>
        <w:rPr>
          <w:rFonts w:hint="eastAsia" w:ascii="宋体" w:hAnsi="宋体"/>
          <w:color w:val="auto"/>
          <w:szCs w:val="21"/>
          <w:highlight w:val="none"/>
          <w:u w:val="single"/>
        </w:rPr>
        <w:t>（中型企业、小型企业、微型企业）</w:t>
      </w:r>
      <w:r>
        <w:rPr>
          <w:rFonts w:hint="eastAsia" w:ascii="宋体" w:hAnsi="宋体"/>
          <w:color w:val="auto"/>
          <w:szCs w:val="21"/>
          <w:highlight w:val="none"/>
        </w:rPr>
        <w:t>；</w:t>
      </w:r>
    </w:p>
    <w:p w14:paraId="5DBFAE3A">
      <w:pPr>
        <w:spacing w:before="34" w:after="120" w:line="500" w:lineRule="exact"/>
        <w:ind w:left="765" w:right="142" w:hanging="5"/>
        <w:rPr>
          <w:rFonts w:hint="eastAsia" w:ascii="宋体" w:hAnsi="宋体"/>
          <w:color w:val="auto"/>
          <w:kern w:val="0"/>
          <w:szCs w:val="21"/>
          <w:highlight w:val="none"/>
        </w:rPr>
      </w:pPr>
      <w:r>
        <w:rPr>
          <w:rFonts w:hint="eastAsia" w:ascii="宋体" w:hAnsi="宋体"/>
          <w:color w:val="auto"/>
          <w:kern w:val="0"/>
          <w:szCs w:val="21"/>
          <w:highlight w:val="none"/>
        </w:rPr>
        <w:t xml:space="preserve">…… </w:t>
      </w:r>
    </w:p>
    <w:p w14:paraId="0017CD3B">
      <w:pPr>
        <w:spacing w:before="34" w:after="120" w:line="500" w:lineRule="exact"/>
        <w:ind w:right="142"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以上企业，不属于大企业的分支机构，不存在控股股东为大企业的情形，也不存在与大企业的负责人为同一人的情形。</w:t>
      </w:r>
    </w:p>
    <w:p w14:paraId="0EE3C81C">
      <w:pPr>
        <w:spacing w:before="34" w:after="120" w:line="500" w:lineRule="exact"/>
        <w:ind w:right="142"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本企业对上述声明内容的真实性负责。如有虚假，将依法承担相应责任。</w:t>
      </w:r>
    </w:p>
    <w:p w14:paraId="5913F0BC">
      <w:pPr>
        <w:spacing w:line="360" w:lineRule="auto"/>
        <w:ind w:firstLine="420" w:firstLineChars="200"/>
        <w:rPr>
          <w:rFonts w:hint="eastAsia" w:ascii="宋体" w:hAnsi="宋体"/>
          <w:color w:val="auto"/>
          <w:kern w:val="0"/>
          <w:szCs w:val="21"/>
          <w:highlight w:val="none"/>
        </w:rPr>
      </w:pPr>
    </w:p>
    <w:p w14:paraId="3587FFD1">
      <w:pPr>
        <w:spacing w:line="360" w:lineRule="auto"/>
        <w:ind w:firstLine="420" w:firstLineChars="200"/>
        <w:rPr>
          <w:rFonts w:hint="eastAsia" w:ascii="宋体" w:hAnsi="宋体"/>
          <w:color w:val="auto"/>
          <w:kern w:val="0"/>
          <w:szCs w:val="21"/>
          <w:highlight w:val="none"/>
        </w:rPr>
      </w:pPr>
    </w:p>
    <w:p w14:paraId="63AB0031">
      <w:pPr>
        <w:snapToGrid w:val="0"/>
        <w:spacing w:line="360" w:lineRule="auto"/>
        <w:ind w:firstLine="4410" w:firstLineChars="2100"/>
        <w:rPr>
          <w:rFonts w:hint="eastAsia" w:ascii="方正仿宋_GB2312" w:hAnsi="仿宋" w:eastAsia="方正仿宋_GB2312" w:cs="方正仿宋_GB2312"/>
          <w:color w:val="auto"/>
          <w:kern w:val="0"/>
          <w:szCs w:val="21"/>
          <w:highlight w:val="none"/>
        </w:rPr>
      </w:pPr>
      <w:r>
        <w:rPr>
          <w:rFonts w:hint="eastAsia" w:ascii="方正仿宋_GB2312" w:hAnsi="仿宋" w:eastAsia="方正仿宋_GB2312" w:cs="方正仿宋_GB2312"/>
          <w:color w:val="auto"/>
          <w:kern w:val="0"/>
          <w:szCs w:val="21"/>
          <w:highlight w:val="none"/>
          <w:lang w:val="zh-CN"/>
        </w:rPr>
        <w:t>投标人名称(电子签章)：</w:t>
      </w:r>
    </w:p>
    <w:p w14:paraId="3766E821">
      <w:pPr>
        <w:snapToGrid w:val="0"/>
        <w:spacing w:line="360" w:lineRule="auto"/>
        <w:ind w:firstLine="4515" w:firstLineChars="2150"/>
        <w:rPr>
          <w:rFonts w:hint="eastAsia" w:ascii="方正仿宋_GB2312" w:hAnsi="仿宋" w:eastAsia="方正仿宋_GB2312" w:cs="方正仿宋_GB2312"/>
          <w:color w:val="auto"/>
          <w:kern w:val="0"/>
          <w:szCs w:val="21"/>
          <w:highlight w:val="none"/>
          <w:lang w:val="zh-CN"/>
        </w:rPr>
      </w:pPr>
      <w:r>
        <w:rPr>
          <w:rFonts w:hint="eastAsia" w:ascii="方正仿宋_GB2312" w:hAnsi="仿宋" w:eastAsia="方正仿宋_GB2312" w:cs="方正仿宋_GB2312"/>
          <w:color w:val="auto"/>
          <w:kern w:val="0"/>
          <w:szCs w:val="21"/>
          <w:highlight w:val="none"/>
          <w:lang w:val="zh-CN"/>
        </w:rPr>
        <w:t>日期</w:t>
      </w:r>
      <w:r>
        <w:rPr>
          <w:rFonts w:hint="eastAsia" w:ascii="方正仿宋_GB2312" w:hAnsi="仿宋" w:eastAsia="方正仿宋_GB2312" w:cs="方正仿宋_GB2312"/>
          <w:color w:val="auto"/>
          <w:kern w:val="0"/>
          <w:szCs w:val="21"/>
          <w:highlight w:val="none"/>
        </w:rPr>
        <w:t xml:space="preserve">：  年  </w:t>
      </w:r>
      <w:r>
        <w:rPr>
          <w:rFonts w:hint="eastAsia" w:ascii="方正仿宋_GB2312" w:hAnsi="仿宋" w:eastAsia="方正仿宋_GB2312" w:cs="方正仿宋_GB2312"/>
          <w:color w:val="auto"/>
          <w:kern w:val="0"/>
          <w:szCs w:val="21"/>
          <w:highlight w:val="none"/>
          <w:lang w:val="zh-CN"/>
        </w:rPr>
        <w:t>月</w:t>
      </w:r>
      <w:r>
        <w:rPr>
          <w:rFonts w:hint="eastAsia" w:ascii="方正仿宋_GB2312" w:hAnsi="仿宋" w:eastAsia="方正仿宋_GB2312" w:cs="方正仿宋_GB2312"/>
          <w:color w:val="auto"/>
          <w:kern w:val="0"/>
          <w:szCs w:val="21"/>
          <w:highlight w:val="none"/>
        </w:rPr>
        <w:t xml:space="preserve">   </w:t>
      </w:r>
      <w:r>
        <w:rPr>
          <w:rFonts w:hint="eastAsia" w:ascii="方正仿宋_GB2312" w:hAnsi="仿宋" w:eastAsia="方正仿宋_GB2312" w:cs="方正仿宋_GB2312"/>
          <w:color w:val="auto"/>
          <w:kern w:val="0"/>
          <w:szCs w:val="21"/>
          <w:highlight w:val="none"/>
          <w:lang w:val="zh-CN"/>
        </w:rPr>
        <w:t>日</w:t>
      </w:r>
    </w:p>
    <w:p w14:paraId="4EE5EBFC">
      <w:pPr>
        <w:spacing w:line="360" w:lineRule="auto"/>
        <w:ind w:firstLine="420" w:firstLineChars="200"/>
        <w:rPr>
          <w:rFonts w:hint="eastAsia" w:ascii="宋体" w:hAnsi="宋体"/>
          <w:color w:val="auto"/>
          <w:kern w:val="0"/>
          <w:szCs w:val="21"/>
          <w:highlight w:val="none"/>
        </w:rPr>
      </w:pPr>
    </w:p>
    <w:p w14:paraId="48032ED0">
      <w:pPr>
        <w:snapToGrid w:val="0"/>
        <w:spacing w:before="50" w:after="165" w:afterLines="50" w:line="360" w:lineRule="auto"/>
        <w:jc w:val="left"/>
        <w:rPr>
          <w:rFonts w:hint="eastAsia" w:hAnsi="宋体" w:cs="宋体"/>
          <w:color w:val="auto"/>
          <w:szCs w:val="21"/>
          <w:highlight w:val="none"/>
        </w:rPr>
      </w:pPr>
      <w:r>
        <w:rPr>
          <w:rFonts w:hint="eastAsia" w:hAnsi="宋体" w:cs="宋体"/>
          <w:color w:val="auto"/>
          <w:szCs w:val="21"/>
          <w:highlight w:val="none"/>
        </w:rPr>
        <w:t>注：</w:t>
      </w:r>
    </w:p>
    <w:p w14:paraId="082D8472">
      <w:pPr>
        <w:numPr>
          <w:ilvl w:val="0"/>
          <w:numId w:val="21"/>
        </w:numPr>
        <w:snapToGrid w:val="0"/>
        <w:spacing w:before="50" w:after="165" w:afterLines="50" w:line="360" w:lineRule="auto"/>
        <w:jc w:val="left"/>
        <w:rPr>
          <w:color w:val="auto"/>
          <w:szCs w:val="21"/>
          <w:highlight w:val="none"/>
        </w:rPr>
      </w:pPr>
      <w:r>
        <w:rPr>
          <w:rFonts w:hint="eastAsia"/>
          <w:color w:val="auto"/>
          <w:szCs w:val="21"/>
          <w:highlight w:val="none"/>
        </w:rPr>
        <w:t>从业人员、营业收入、资产总额填报上一年度数据，无上一年度数据的新成立企业可不填报。</w:t>
      </w:r>
    </w:p>
    <w:p w14:paraId="5B7B0C74">
      <w:pPr>
        <w:snapToGrid w:val="0"/>
        <w:spacing w:before="50" w:after="165" w:afterLines="50" w:line="360" w:lineRule="auto"/>
        <w:ind w:firstLine="315" w:firstLineChars="150"/>
        <w:jc w:val="left"/>
        <w:rPr>
          <w:color w:val="auto"/>
          <w:szCs w:val="21"/>
          <w:highlight w:val="none"/>
        </w:rPr>
      </w:pPr>
      <w:r>
        <w:rPr>
          <w:color w:val="auto"/>
          <w:szCs w:val="21"/>
          <w:highlight w:val="none"/>
        </w:rPr>
        <w:t>2</w:t>
      </w:r>
      <w:r>
        <w:rPr>
          <w:rFonts w:hint="eastAsia"/>
          <w:color w:val="auto"/>
          <w:szCs w:val="21"/>
          <w:highlight w:val="none"/>
        </w:rPr>
        <w:t>、请根据自己的真实情况出具《中小企业声明函》。依法享受中小企业优惠政策的，采购人或者采购代理机构在公告中标结果时，同时公告其《中小企业声明函》，接受社会监督。</w:t>
      </w:r>
    </w:p>
    <w:p w14:paraId="36E5FE80">
      <w:pPr>
        <w:widowControl/>
        <w:spacing w:line="360" w:lineRule="auto"/>
        <w:jc w:val="left"/>
        <w:rPr>
          <w:color w:val="auto"/>
          <w:szCs w:val="21"/>
          <w:highlight w:val="none"/>
        </w:rPr>
        <w:sectPr>
          <w:pgSz w:w="11906" w:h="16838"/>
          <w:pgMar w:top="1134" w:right="1134" w:bottom="1134" w:left="1134" w:header="720" w:footer="720" w:gutter="0"/>
          <w:cols w:space="720" w:num="1"/>
          <w:docGrid w:type="lines" w:linePitch="331" w:charSpace="0"/>
        </w:sectPr>
      </w:pPr>
    </w:p>
    <w:p w14:paraId="2DF525B0">
      <w:pPr>
        <w:snapToGrid w:val="0"/>
        <w:spacing w:before="165" w:beforeLines="50" w:after="50"/>
        <w:jc w:val="center"/>
        <w:outlineLvl w:val="1"/>
        <w:rPr>
          <w:rFonts w:hint="eastAsia" w:ascii="宋体" w:hAnsi="宋体"/>
          <w:b/>
          <w:bCs/>
          <w:color w:val="auto"/>
          <w:sz w:val="28"/>
          <w:szCs w:val="28"/>
          <w:highlight w:val="none"/>
        </w:rPr>
      </w:pPr>
      <w:bookmarkStart w:id="51" w:name="_Toc22946"/>
      <w:r>
        <w:rPr>
          <w:rFonts w:hint="eastAsia" w:ascii="宋体" w:hAnsi="宋体"/>
          <w:b/>
          <w:bCs/>
          <w:color w:val="auto"/>
          <w:sz w:val="28"/>
          <w:szCs w:val="28"/>
          <w:highlight w:val="none"/>
        </w:rPr>
        <w:t>第五节 其他文书、文件格式</w:t>
      </w:r>
      <w:bookmarkEnd w:id="51"/>
    </w:p>
    <w:p w14:paraId="6092D691">
      <w:pPr>
        <w:jc w:val="center"/>
        <w:rPr>
          <w:rFonts w:hint="eastAsia" w:ascii="宋体" w:hAnsi="宋体" w:cs="宋体"/>
          <w:b/>
          <w:bCs/>
          <w:color w:val="auto"/>
          <w:sz w:val="32"/>
          <w:szCs w:val="32"/>
          <w:highlight w:val="none"/>
          <w:lang w:val="en"/>
        </w:rPr>
      </w:pPr>
    </w:p>
    <w:p w14:paraId="686F1DCD">
      <w:pPr>
        <w:jc w:val="center"/>
        <w:rPr>
          <w:rFonts w:hint="eastAsia" w:ascii="宋体" w:hAnsi="宋体" w:cs="宋体"/>
          <w:b/>
          <w:bCs/>
          <w:color w:val="auto"/>
          <w:sz w:val="32"/>
          <w:szCs w:val="32"/>
          <w:highlight w:val="none"/>
          <w:lang w:val="en"/>
        </w:rPr>
      </w:pPr>
      <w:r>
        <w:rPr>
          <w:rFonts w:hint="eastAsia" w:ascii="宋体" w:hAnsi="宋体" w:cs="宋体"/>
          <w:b/>
          <w:bCs/>
          <w:color w:val="auto"/>
          <w:sz w:val="32"/>
          <w:szCs w:val="32"/>
          <w:highlight w:val="none"/>
          <w:lang w:val="en"/>
        </w:rPr>
        <w:t>知识产权合规性声明</w:t>
      </w:r>
    </w:p>
    <w:p w14:paraId="5C3C44AB">
      <w:pPr>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color w:val="auto"/>
          <w:sz w:val="30"/>
          <w:szCs w:val="30"/>
          <w:highlight w:val="none"/>
        </w:rPr>
        <w:t xml:space="preserve">    </w:t>
      </w:r>
    </w:p>
    <w:p w14:paraId="2FB470B3">
      <w:pPr>
        <w:rPr>
          <w:rFonts w:hint="eastAsia" w:ascii="方正仿宋_GB2312" w:hAnsi="方正仿宋_GB2312" w:eastAsia="方正仿宋_GB2312" w:cs="方正仿宋_GB2312"/>
          <w:color w:val="auto"/>
          <w:sz w:val="30"/>
          <w:szCs w:val="30"/>
          <w:highlight w:val="none"/>
          <w:lang w:val="en"/>
        </w:rPr>
      </w:pPr>
      <w:r>
        <w:rPr>
          <w:rFonts w:hint="eastAsia" w:ascii="方正仿宋_GB2312" w:hAnsi="方正仿宋_GB2312" w:eastAsia="方正仿宋_GB2312" w:cs="方正仿宋_GB2312"/>
          <w:color w:val="auto"/>
          <w:sz w:val="30"/>
          <w:szCs w:val="30"/>
          <w:highlight w:val="none"/>
        </w:rPr>
        <w:t xml:space="preserve">    本</w:t>
      </w:r>
      <w:r>
        <w:rPr>
          <w:rFonts w:hint="eastAsia" w:ascii="方正仿宋_GB2312" w:hAnsi="方正仿宋_GB2312" w:eastAsia="方正仿宋_GB2312" w:cs="方正仿宋_GB2312"/>
          <w:color w:val="auto"/>
          <w:sz w:val="30"/>
          <w:szCs w:val="30"/>
          <w:highlight w:val="none"/>
          <w:lang w:val="en"/>
        </w:rPr>
        <w:t>企业自愿参与政府投资政府采购的</w:t>
      </w:r>
      <w:r>
        <w:rPr>
          <w:rFonts w:hint="eastAsia" w:ascii="方正仿宋_GB2312" w:hAnsi="方正仿宋_GB2312" w:eastAsia="方正仿宋_GB2312" w:cs="方正仿宋_GB2312"/>
          <w:color w:val="auto"/>
          <w:sz w:val="30"/>
          <w:szCs w:val="30"/>
          <w:highlight w:val="none"/>
          <w:u w:val="single"/>
          <w:lang w:val="en-US" w:eastAsia="zh-CN"/>
        </w:rPr>
        <w:t xml:space="preserve">              </w:t>
      </w:r>
      <w:r>
        <w:rPr>
          <w:rFonts w:hint="eastAsia" w:ascii="方正仿宋_GB2312" w:hAnsi="方正仿宋_GB2312" w:eastAsia="方正仿宋_GB2312" w:cs="方正仿宋_GB2312"/>
          <w:color w:val="auto"/>
          <w:sz w:val="30"/>
          <w:szCs w:val="30"/>
          <w:highlight w:val="none"/>
          <w:lang w:val="en"/>
        </w:rPr>
        <w:t>项目，</w:t>
      </w:r>
      <w:r>
        <w:rPr>
          <w:rFonts w:hint="eastAsia" w:ascii="方正仿宋_GB2312" w:hAnsi="方正仿宋_GB2312" w:eastAsia="方正仿宋_GB2312" w:cs="方正仿宋_GB2312"/>
          <w:b/>
          <w:bCs/>
          <w:color w:val="auto"/>
          <w:sz w:val="30"/>
          <w:szCs w:val="30"/>
          <w:highlight w:val="none"/>
          <w:lang w:val="en"/>
        </w:rPr>
        <w:t>在此郑重承诺：</w:t>
      </w:r>
      <w:r>
        <w:rPr>
          <w:rFonts w:hint="eastAsia" w:ascii="方正仿宋_GB2312" w:hAnsi="方正仿宋_GB2312" w:eastAsia="方正仿宋_GB2312" w:cs="方正仿宋_GB2312"/>
          <w:color w:val="auto"/>
          <w:sz w:val="30"/>
          <w:szCs w:val="30"/>
          <w:highlight w:val="none"/>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将承担由此产生的全部责任。</w:t>
      </w:r>
    </w:p>
    <w:p w14:paraId="2DF0B537">
      <w:pPr>
        <w:snapToGrid w:val="0"/>
        <w:spacing w:line="360" w:lineRule="auto"/>
        <w:ind w:left="5137" w:leftChars="1736" w:hanging="1491" w:hangingChars="825"/>
        <w:rPr>
          <w:b/>
          <w:color w:val="auto"/>
          <w:sz w:val="18"/>
          <w:szCs w:val="18"/>
          <w:highlight w:val="none"/>
        </w:rPr>
      </w:pPr>
      <w:r>
        <w:rPr>
          <w:b/>
          <w:color w:val="auto"/>
          <w:sz w:val="18"/>
          <w:szCs w:val="18"/>
          <w:highlight w:val="none"/>
        </w:rPr>
        <w:t xml:space="preserve">           </w:t>
      </w:r>
    </w:p>
    <w:p w14:paraId="1FC1C757">
      <w:pPr>
        <w:snapToGrid w:val="0"/>
        <w:spacing w:line="360" w:lineRule="auto"/>
        <w:ind w:left="5137" w:leftChars="1736" w:hanging="1491" w:hangingChars="825"/>
        <w:rPr>
          <w:b/>
          <w:color w:val="auto"/>
          <w:sz w:val="18"/>
          <w:szCs w:val="18"/>
          <w:highlight w:val="none"/>
        </w:rPr>
      </w:pPr>
    </w:p>
    <w:p w14:paraId="128EB453">
      <w:pPr>
        <w:snapToGrid w:val="0"/>
        <w:spacing w:line="360" w:lineRule="auto"/>
        <w:ind w:left="5137" w:leftChars="1736" w:hanging="1491" w:hangingChars="825"/>
        <w:rPr>
          <w:b/>
          <w:color w:val="auto"/>
          <w:sz w:val="18"/>
          <w:szCs w:val="18"/>
          <w:highlight w:val="none"/>
        </w:rPr>
      </w:pPr>
    </w:p>
    <w:p w14:paraId="493E627B">
      <w:pPr>
        <w:snapToGrid w:val="0"/>
        <w:spacing w:line="360" w:lineRule="auto"/>
        <w:ind w:left="5137" w:leftChars="1736" w:hanging="1491" w:hangingChars="825"/>
        <w:rPr>
          <w:b/>
          <w:color w:val="auto"/>
          <w:sz w:val="18"/>
          <w:szCs w:val="18"/>
          <w:highlight w:val="none"/>
        </w:rPr>
      </w:pPr>
    </w:p>
    <w:p w14:paraId="7F8A73B2">
      <w:pPr>
        <w:snapToGrid w:val="0"/>
        <w:spacing w:line="360" w:lineRule="auto"/>
        <w:ind w:left="5137" w:leftChars="1736" w:hanging="1491" w:hangingChars="825"/>
        <w:rPr>
          <w:rFonts w:hint="eastAsia" w:ascii="方正仿宋_GB2312" w:hAnsi="仿宋" w:eastAsia="方正仿宋_GB2312" w:cs="方正仿宋_GB2312"/>
          <w:color w:val="auto"/>
          <w:kern w:val="0"/>
          <w:sz w:val="24"/>
          <w:highlight w:val="none"/>
        </w:rPr>
      </w:pPr>
      <w:r>
        <w:rPr>
          <w:b/>
          <w:color w:val="auto"/>
          <w:sz w:val="18"/>
          <w:szCs w:val="18"/>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6B754811">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2930937B">
      <w:pPr>
        <w:spacing w:line="360" w:lineRule="auto"/>
        <w:jc w:val="center"/>
        <w:rPr>
          <w:rFonts w:ascii="宋体" w:hAnsi="Courier New"/>
          <w:b/>
          <w:color w:val="auto"/>
          <w:kern w:val="0"/>
          <w:sz w:val="30"/>
          <w:szCs w:val="30"/>
          <w:highlight w:val="none"/>
        </w:rPr>
      </w:pPr>
      <w:r>
        <w:rPr>
          <w:rFonts w:hint="eastAsia" w:ascii="宋体" w:hAnsi="Courier New"/>
          <w:b/>
          <w:color w:val="auto"/>
          <w:kern w:val="0"/>
          <w:sz w:val="30"/>
          <w:szCs w:val="30"/>
          <w:highlight w:val="none"/>
        </w:rPr>
        <w:br w:type="page"/>
      </w:r>
      <w:r>
        <w:rPr>
          <w:rFonts w:hint="eastAsia" w:ascii="宋体" w:hAnsi="Courier New"/>
          <w:b/>
          <w:color w:val="auto"/>
          <w:kern w:val="0"/>
          <w:sz w:val="30"/>
          <w:szCs w:val="30"/>
          <w:highlight w:val="none"/>
        </w:rPr>
        <w:t>残疾人福利性单位声明函（如有）</w:t>
      </w:r>
    </w:p>
    <w:p w14:paraId="303F8140">
      <w:pPr>
        <w:spacing w:line="360" w:lineRule="auto"/>
        <w:jc w:val="center"/>
        <w:rPr>
          <w:rFonts w:ascii="宋体" w:hAnsi="Courier New"/>
          <w:b/>
          <w:color w:val="auto"/>
          <w:kern w:val="0"/>
          <w:sz w:val="30"/>
          <w:szCs w:val="30"/>
          <w:highlight w:val="none"/>
        </w:rPr>
      </w:pPr>
    </w:p>
    <w:p w14:paraId="0A60F87B">
      <w:pPr>
        <w:spacing w:line="360" w:lineRule="auto"/>
        <w:jc w:val="left"/>
        <w:rPr>
          <w:rFonts w:ascii="方正仿宋_GB2312" w:hAnsi="Courier New" w:eastAsia="方正仿宋_GB2312"/>
          <w:color w:val="auto"/>
          <w:kern w:val="0"/>
          <w:sz w:val="24"/>
          <w:highlight w:val="none"/>
        </w:rPr>
      </w:pPr>
      <w:r>
        <w:rPr>
          <w:rFonts w:hint="eastAsia" w:ascii="宋体" w:hAnsi="Courier New"/>
          <w:color w:val="auto"/>
          <w:kern w:val="0"/>
          <w:sz w:val="30"/>
          <w:szCs w:val="30"/>
          <w:highlight w:val="none"/>
        </w:rPr>
        <w:t xml:space="preserve">   </w:t>
      </w:r>
      <w:r>
        <w:rPr>
          <w:rFonts w:hint="eastAsia" w:ascii="方正仿宋_GB2312" w:hAnsi="Courier New" w:eastAsia="方正仿宋_GB2312"/>
          <w:color w:val="auto"/>
          <w:kern w:val="0"/>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方正仿宋_GB2312" w:hAnsi="Courier New" w:eastAsia="方正仿宋_GB2312"/>
          <w:color w:val="auto"/>
          <w:kern w:val="0"/>
          <w:sz w:val="24"/>
          <w:highlight w:val="none"/>
          <w:u w:val="single"/>
        </w:rPr>
        <w:t xml:space="preserve"> </w:t>
      </w:r>
      <w:r>
        <w:rPr>
          <w:rFonts w:hint="eastAsia" w:ascii="方正仿宋_GB2312" w:hAnsi="Courier New" w:eastAsia="方正仿宋_GB2312"/>
          <w:color w:val="auto"/>
          <w:kern w:val="0"/>
          <w:sz w:val="24"/>
          <w:highlight w:val="none"/>
          <w:u w:val="single"/>
          <w:lang w:eastAsia="zh-CN"/>
        </w:rPr>
        <w:t xml:space="preserve">广西壮族自治区大数据发展局  </w:t>
      </w:r>
      <w:r>
        <w:rPr>
          <w:rFonts w:hint="eastAsia" w:ascii="方正仿宋_GB2312" w:hAnsi="Courier New" w:eastAsia="方正仿宋_GB2312"/>
          <w:color w:val="auto"/>
          <w:kern w:val="0"/>
          <w:sz w:val="24"/>
          <w:highlight w:val="none"/>
          <w:u w:val="single"/>
        </w:rPr>
        <w:t xml:space="preserve"> </w:t>
      </w:r>
      <w:r>
        <w:rPr>
          <w:rFonts w:hint="eastAsia" w:ascii="方正仿宋_GB2312" w:hAnsi="Courier New" w:eastAsia="方正仿宋_GB2312"/>
          <w:color w:val="auto"/>
          <w:kern w:val="0"/>
          <w:sz w:val="24"/>
          <w:highlight w:val="none"/>
        </w:rPr>
        <w:t>单位的</w:t>
      </w:r>
      <w:r>
        <w:rPr>
          <w:rFonts w:hint="eastAsia" w:ascii="方正仿宋_GB2312" w:hAnsi="Courier New" w:eastAsia="方正仿宋_GB2312"/>
          <w:color w:val="auto"/>
          <w:kern w:val="0"/>
          <w:sz w:val="24"/>
          <w:highlight w:val="none"/>
          <w:u w:val="single"/>
          <w:lang w:eastAsia="zh-CN"/>
        </w:rPr>
        <w:t>2026年广西政务服务统一评估服务项目</w:t>
      </w:r>
      <w:r>
        <w:rPr>
          <w:rFonts w:hint="eastAsia" w:ascii="方正仿宋_GB2312" w:hAnsi="Courier New" w:eastAsia="方正仿宋_GB2312"/>
          <w:color w:val="auto"/>
          <w:kern w:val="0"/>
          <w:sz w:val="24"/>
          <w:highlight w:val="none"/>
          <w:u w:val="single"/>
        </w:rPr>
        <w:t xml:space="preserve"> </w:t>
      </w:r>
      <w:r>
        <w:rPr>
          <w:rFonts w:hint="eastAsia" w:ascii="方正仿宋_GB2312" w:hAnsi="Courier New" w:eastAsia="方正仿宋_GB2312"/>
          <w:color w:val="auto"/>
          <w:kern w:val="0"/>
          <w:sz w:val="24"/>
          <w:highlight w:val="none"/>
        </w:rPr>
        <w:t>项目采购活动提供本单位制造的货物（由本单位承担工程/提供服务），或者提供其他残疾人福利性单位制造的货物（不包括使用非残疾人福利性单位注册商标的货物）。</w:t>
      </w:r>
    </w:p>
    <w:p w14:paraId="2C78E9B8">
      <w:pPr>
        <w:spacing w:line="360" w:lineRule="auto"/>
        <w:ind w:firstLine="480" w:firstLineChars="200"/>
        <w:jc w:val="left"/>
        <w:rPr>
          <w:rFonts w:ascii="方正仿宋_GB2312" w:hAnsi="Courier New" w:eastAsia="方正仿宋_GB2312"/>
          <w:color w:val="auto"/>
          <w:kern w:val="0"/>
          <w:sz w:val="24"/>
          <w:highlight w:val="none"/>
        </w:rPr>
      </w:pPr>
      <w:r>
        <w:rPr>
          <w:rFonts w:hint="eastAsia" w:ascii="方正仿宋_GB2312" w:hAnsi="Courier New" w:eastAsia="方正仿宋_GB2312"/>
          <w:color w:val="auto"/>
          <w:kern w:val="0"/>
          <w:sz w:val="24"/>
          <w:highlight w:val="none"/>
        </w:rPr>
        <w:t>本公司对上述声明的真实性负责。如有虚假，将依法承担相应责任。</w:t>
      </w:r>
    </w:p>
    <w:p w14:paraId="68F9BC5D">
      <w:pPr>
        <w:spacing w:line="360" w:lineRule="auto"/>
        <w:jc w:val="left"/>
        <w:rPr>
          <w:rFonts w:ascii="宋体" w:hAnsi="Courier New"/>
          <w:b/>
          <w:color w:val="auto"/>
          <w:kern w:val="0"/>
          <w:sz w:val="20"/>
          <w:szCs w:val="20"/>
          <w:highlight w:val="none"/>
        </w:rPr>
      </w:pPr>
    </w:p>
    <w:p w14:paraId="0D560ED2">
      <w:pPr>
        <w:spacing w:line="360" w:lineRule="auto"/>
        <w:jc w:val="left"/>
        <w:rPr>
          <w:rFonts w:ascii="宋体" w:hAnsi="Courier New"/>
          <w:b/>
          <w:color w:val="auto"/>
          <w:kern w:val="0"/>
          <w:sz w:val="20"/>
          <w:szCs w:val="20"/>
          <w:highlight w:val="none"/>
        </w:rPr>
      </w:pPr>
    </w:p>
    <w:p w14:paraId="42B5F559">
      <w:pPr>
        <w:snapToGrid w:val="0"/>
        <w:spacing w:line="360" w:lineRule="auto"/>
        <w:ind w:left="5137" w:leftChars="1736" w:hanging="1491" w:hangingChars="825"/>
        <w:rPr>
          <w:rFonts w:hint="eastAsia" w:ascii="方正仿宋_GB2312" w:hAnsi="仿宋" w:eastAsia="方正仿宋_GB2312" w:cs="方正仿宋_GB2312"/>
          <w:color w:val="auto"/>
          <w:kern w:val="0"/>
          <w:sz w:val="24"/>
          <w:highlight w:val="none"/>
        </w:rPr>
      </w:pPr>
      <w:r>
        <w:rPr>
          <w:b/>
          <w:color w:val="auto"/>
          <w:sz w:val="18"/>
          <w:szCs w:val="18"/>
          <w:highlight w:val="none"/>
        </w:rPr>
        <w:t xml:space="preserve">                                                                    </w:t>
      </w:r>
      <w:r>
        <w:rPr>
          <w:rFonts w:hint="eastAsia" w:ascii="方正仿宋_GB2312" w:hAnsi="仿宋" w:eastAsia="方正仿宋_GB2312" w:cs="方正仿宋_GB2312"/>
          <w:color w:val="auto"/>
          <w:kern w:val="0"/>
          <w:sz w:val="24"/>
          <w:highlight w:val="none"/>
          <w:lang w:val="zh-CN"/>
        </w:rPr>
        <w:t>投标人名称(电子签章)：</w:t>
      </w:r>
    </w:p>
    <w:p w14:paraId="085EFCF5">
      <w:pPr>
        <w:snapToGrid w:val="0"/>
        <w:spacing w:line="360" w:lineRule="auto"/>
        <w:ind w:firstLine="5160" w:firstLineChars="2150"/>
        <w:rPr>
          <w:rFonts w:hint="eastAsia" w:ascii="方正仿宋_GB2312" w:hAnsi="仿宋" w:eastAsia="方正仿宋_GB2312" w:cs="方正仿宋_GB2312"/>
          <w:color w:val="auto"/>
          <w:kern w:val="0"/>
          <w:sz w:val="24"/>
          <w:highlight w:val="none"/>
          <w:lang w:val="zh-CN"/>
        </w:rPr>
      </w:pPr>
      <w:r>
        <w:rPr>
          <w:rFonts w:hint="eastAsia" w:ascii="方正仿宋_GB2312" w:hAnsi="仿宋" w:eastAsia="方正仿宋_GB2312" w:cs="方正仿宋_GB2312"/>
          <w:color w:val="auto"/>
          <w:kern w:val="0"/>
          <w:sz w:val="24"/>
          <w:highlight w:val="none"/>
          <w:lang w:val="zh-CN"/>
        </w:rPr>
        <w:t>日期</w:t>
      </w:r>
      <w:r>
        <w:rPr>
          <w:rFonts w:hint="eastAsia" w:ascii="方正仿宋_GB2312" w:hAnsi="仿宋" w:eastAsia="方正仿宋_GB2312" w:cs="方正仿宋_GB2312"/>
          <w:color w:val="auto"/>
          <w:kern w:val="0"/>
          <w:sz w:val="24"/>
          <w:highlight w:val="none"/>
        </w:rPr>
        <w:t xml:space="preserve">：  年  </w:t>
      </w:r>
      <w:r>
        <w:rPr>
          <w:rFonts w:hint="eastAsia" w:ascii="方正仿宋_GB2312" w:hAnsi="仿宋" w:eastAsia="方正仿宋_GB2312" w:cs="方正仿宋_GB2312"/>
          <w:color w:val="auto"/>
          <w:kern w:val="0"/>
          <w:sz w:val="24"/>
          <w:highlight w:val="none"/>
          <w:lang w:val="zh-CN"/>
        </w:rPr>
        <w:t>月</w:t>
      </w:r>
      <w:r>
        <w:rPr>
          <w:rFonts w:hint="eastAsia" w:ascii="方正仿宋_GB2312" w:hAnsi="仿宋" w:eastAsia="方正仿宋_GB2312" w:cs="方正仿宋_GB2312"/>
          <w:color w:val="auto"/>
          <w:kern w:val="0"/>
          <w:sz w:val="24"/>
          <w:highlight w:val="none"/>
        </w:rPr>
        <w:t xml:space="preserve">   </w:t>
      </w:r>
      <w:r>
        <w:rPr>
          <w:rFonts w:hint="eastAsia" w:ascii="方正仿宋_GB2312" w:hAnsi="仿宋" w:eastAsia="方正仿宋_GB2312" w:cs="方正仿宋_GB2312"/>
          <w:color w:val="auto"/>
          <w:kern w:val="0"/>
          <w:sz w:val="24"/>
          <w:highlight w:val="none"/>
          <w:lang w:val="zh-CN"/>
        </w:rPr>
        <w:t>日</w:t>
      </w:r>
    </w:p>
    <w:p w14:paraId="716CA8C8">
      <w:pPr>
        <w:spacing w:line="360" w:lineRule="auto"/>
        <w:ind w:left="5132" w:leftChars="1979" w:hanging="976" w:hangingChars="488"/>
        <w:rPr>
          <w:rFonts w:ascii="宋体" w:hAnsi="Courier New"/>
          <w:color w:val="auto"/>
          <w:kern w:val="0"/>
          <w:sz w:val="20"/>
          <w:szCs w:val="20"/>
          <w:highlight w:val="none"/>
        </w:rPr>
      </w:pPr>
    </w:p>
    <w:p w14:paraId="05C814A1">
      <w:pPr>
        <w:spacing w:line="360" w:lineRule="auto"/>
        <w:ind w:right="420" w:firstLine="480" w:firstLineChars="200"/>
        <w:rPr>
          <w:rFonts w:hint="eastAsia" w:ascii="方正仿宋_GB2312" w:hAnsi="仿宋" w:eastAsia="方正仿宋_GB2312" w:cs="方正仿宋_GB2312"/>
          <w:color w:val="auto"/>
          <w:sz w:val="24"/>
          <w:highlight w:val="none"/>
        </w:rPr>
      </w:pPr>
      <w:r>
        <w:rPr>
          <w:rFonts w:hint="eastAsia" w:ascii="方正仿宋_GB2312" w:hAnsi="仿宋" w:eastAsia="方正仿宋_GB2312" w:cs="方正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根据《关于政府采购支持监狱企业发展有关问题的通知》（财库[2014]68号）的规定，投标人提供由省级以上监狱管理局、戒毒管理局（含新疆生产建设兵团）出具的属于监狱企业证明文件的，视同为小型和微型企业。</w:t>
      </w:r>
    </w:p>
    <w:p w14:paraId="3084FB49">
      <w:pPr>
        <w:widowControl/>
        <w:spacing w:line="360" w:lineRule="auto"/>
        <w:jc w:val="left"/>
        <w:rPr>
          <w:color w:val="auto"/>
          <w:sz w:val="20"/>
          <w:highlight w:val="none"/>
        </w:rPr>
        <w:sectPr>
          <w:pgSz w:w="11906" w:h="16838"/>
          <w:pgMar w:top="1134" w:right="1134" w:bottom="1134" w:left="1134" w:header="720" w:footer="720" w:gutter="0"/>
          <w:cols w:space="720" w:num="1"/>
          <w:docGrid w:type="lines" w:linePitch="331" w:charSpace="0"/>
        </w:sectPr>
      </w:pPr>
    </w:p>
    <w:p w14:paraId="525B0AC3">
      <w:pPr>
        <w:snapToGrid w:val="0"/>
        <w:spacing w:before="50" w:after="165" w:afterLines="50" w:line="360" w:lineRule="auto"/>
        <w:jc w:val="left"/>
        <w:rPr>
          <w:color w:val="auto"/>
          <w:sz w:val="20"/>
          <w:highlight w:val="none"/>
        </w:rPr>
      </w:pPr>
    </w:p>
    <w:p w14:paraId="51795AC1">
      <w:pPr>
        <w:tabs>
          <w:tab w:val="left" w:pos="2472"/>
        </w:tabs>
        <w:spacing w:line="460" w:lineRule="exact"/>
        <w:jc w:val="center"/>
        <w:rPr>
          <w:b/>
          <w:color w:val="auto"/>
          <w:kern w:val="0"/>
          <w:sz w:val="36"/>
          <w:szCs w:val="20"/>
          <w:highlight w:val="none"/>
        </w:rPr>
      </w:pPr>
    </w:p>
    <w:p w14:paraId="40EAEBDA">
      <w:pPr>
        <w:tabs>
          <w:tab w:val="left" w:pos="2472"/>
        </w:tabs>
        <w:spacing w:line="460" w:lineRule="exact"/>
        <w:jc w:val="center"/>
        <w:rPr>
          <w:b/>
          <w:color w:val="auto"/>
          <w:kern w:val="0"/>
          <w:sz w:val="36"/>
          <w:szCs w:val="20"/>
          <w:highlight w:val="none"/>
        </w:rPr>
      </w:pPr>
    </w:p>
    <w:p w14:paraId="6783443A">
      <w:pPr>
        <w:tabs>
          <w:tab w:val="left" w:pos="2472"/>
        </w:tabs>
        <w:spacing w:line="460" w:lineRule="exact"/>
        <w:jc w:val="center"/>
        <w:rPr>
          <w:b/>
          <w:color w:val="auto"/>
          <w:kern w:val="0"/>
          <w:sz w:val="36"/>
          <w:szCs w:val="20"/>
          <w:highlight w:val="none"/>
        </w:rPr>
      </w:pPr>
    </w:p>
    <w:p w14:paraId="6B90B17A">
      <w:pPr>
        <w:tabs>
          <w:tab w:val="left" w:pos="2472"/>
        </w:tabs>
        <w:spacing w:line="460" w:lineRule="exact"/>
        <w:jc w:val="center"/>
        <w:rPr>
          <w:b/>
          <w:color w:val="auto"/>
          <w:kern w:val="0"/>
          <w:sz w:val="36"/>
          <w:szCs w:val="20"/>
          <w:highlight w:val="none"/>
        </w:rPr>
      </w:pPr>
    </w:p>
    <w:p w14:paraId="397293FE">
      <w:pPr>
        <w:tabs>
          <w:tab w:val="left" w:pos="2472"/>
        </w:tabs>
        <w:spacing w:line="460" w:lineRule="exact"/>
        <w:jc w:val="center"/>
        <w:rPr>
          <w:b/>
          <w:color w:val="auto"/>
          <w:kern w:val="0"/>
          <w:sz w:val="36"/>
          <w:szCs w:val="20"/>
          <w:highlight w:val="none"/>
        </w:rPr>
      </w:pPr>
    </w:p>
    <w:p w14:paraId="7C26BA19">
      <w:pPr>
        <w:tabs>
          <w:tab w:val="left" w:pos="2472"/>
        </w:tabs>
        <w:spacing w:line="460" w:lineRule="exact"/>
        <w:jc w:val="center"/>
        <w:rPr>
          <w:b/>
          <w:color w:val="auto"/>
          <w:kern w:val="0"/>
          <w:sz w:val="36"/>
          <w:szCs w:val="20"/>
          <w:highlight w:val="none"/>
        </w:rPr>
      </w:pPr>
    </w:p>
    <w:p w14:paraId="3A8C74ED">
      <w:pPr>
        <w:tabs>
          <w:tab w:val="left" w:pos="2472"/>
        </w:tabs>
        <w:spacing w:line="460" w:lineRule="exact"/>
        <w:jc w:val="center"/>
        <w:rPr>
          <w:b/>
          <w:color w:val="auto"/>
          <w:kern w:val="0"/>
          <w:sz w:val="36"/>
          <w:szCs w:val="20"/>
          <w:highlight w:val="none"/>
        </w:rPr>
      </w:pPr>
    </w:p>
    <w:p w14:paraId="6E6D53CE">
      <w:pPr>
        <w:tabs>
          <w:tab w:val="left" w:pos="2472"/>
        </w:tabs>
        <w:spacing w:line="460" w:lineRule="exact"/>
        <w:jc w:val="center"/>
        <w:rPr>
          <w:b/>
          <w:color w:val="auto"/>
          <w:kern w:val="0"/>
          <w:sz w:val="36"/>
          <w:szCs w:val="20"/>
          <w:highlight w:val="none"/>
        </w:rPr>
      </w:pPr>
    </w:p>
    <w:p w14:paraId="2309C807">
      <w:pPr>
        <w:tabs>
          <w:tab w:val="left" w:pos="2472"/>
        </w:tabs>
        <w:spacing w:line="460" w:lineRule="exact"/>
        <w:jc w:val="center"/>
        <w:rPr>
          <w:b/>
          <w:color w:val="auto"/>
          <w:kern w:val="0"/>
          <w:sz w:val="36"/>
          <w:szCs w:val="20"/>
          <w:highlight w:val="none"/>
        </w:rPr>
      </w:pPr>
    </w:p>
    <w:p w14:paraId="7A72589F">
      <w:pPr>
        <w:tabs>
          <w:tab w:val="left" w:pos="2472"/>
        </w:tabs>
        <w:spacing w:line="460" w:lineRule="exact"/>
        <w:jc w:val="center"/>
        <w:rPr>
          <w:b/>
          <w:color w:val="auto"/>
          <w:kern w:val="0"/>
          <w:sz w:val="36"/>
          <w:szCs w:val="20"/>
          <w:highlight w:val="none"/>
        </w:rPr>
      </w:pPr>
    </w:p>
    <w:p w14:paraId="61596FD6">
      <w:pPr>
        <w:tabs>
          <w:tab w:val="left" w:pos="2472"/>
        </w:tabs>
        <w:spacing w:line="460" w:lineRule="exact"/>
        <w:jc w:val="center"/>
        <w:rPr>
          <w:b/>
          <w:color w:val="auto"/>
          <w:kern w:val="0"/>
          <w:sz w:val="36"/>
          <w:szCs w:val="20"/>
          <w:highlight w:val="none"/>
        </w:rPr>
      </w:pPr>
    </w:p>
    <w:p w14:paraId="403F5D76">
      <w:pPr>
        <w:tabs>
          <w:tab w:val="left" w:pos="2472"/>
        </w:tabs>
        <w:spacing w:line="460" w:lineRule="exact"/>
        <w:jc w:val="center"/>
        <w:outlineLvl w:val="0"/>
        <w:rPr>
          <w:b/>
          <w:color w:val="auto"/>
          <w:kern w:val="0"/>
          <w:sz w:val="36"/>
          <w:szCs w:val="20"/>
          <w:highlight w:val="none"/>
        </w:rPr>
      </w:pPr>
      <w:bookmarkStart w:id="52" w:name="_Toc7086"/>
      <w:r>
        <w:rPr>
          <w:rFonts w:hint="eastAsia"/>
          <w:b/>
          <w:color w:val="auto"/>
          <w:kern w:val="0"/>
          <w:sz w:val="36"/>
          <w:szCs w:val="20"/>
          <w:highlight w:val="none"/>
        </w:rPr>
        <w:t>第七章</w:t>
      </w:r>
      <w:r>
        <w:rPr>
          <w:b/>
          <w:color w:val="auto"/>
          <w:kern w:val="0"/>
          <w:sz w:val="36"/>
          <w:szCs w:val="20"/>
          <w:highlight w:val="none"/>
        </w:rPr>
        <w:t xml:space="preserve"> </w:t>
      </w:r>
      <w:r>
        <w:rPr>
          <w:rFonts w:hint="eastAsia"/>
          <w:b/>
          <w:color w:val="auto"/>
          <w:kern w:val="0"/>
          <w:sz w:val="36"/>
          <w:szCs w:val="20"/>
          <w:highlight w:val="none"/>
        </w:rPr>
        <w:t>质疑、投诉证明材料格式</w:t>
      </w:r>
      <w:bookmarkEnd w:id="52"/>
    </w:p>
    <w:p w14:paraId="05D5564E">
      <w:pPr>
        <w:widowControl/>
        <w:spacing w:line="360" w:lineRule="auto"/>
        <w:jc w:val="left"/>
        <w:rPr>
          <w:color w:val="auto"/>
          <w:sz w:val="20"/>
          <w:highlight w:val="none"/>
        </w:rPr>
        <w:sectPr>
          <w:pgSz w:w="11906" w:h="16838"/>
          <w:pgMar w:top="1134" w:right="1134" w:bottom="1134" w:left="1134" w:header="720" w:footer="720" w:gutter="0"/>
          <w:cols w:space="720" w:num="1"/>
          <w:docGrid w:type="lines" w:linePitch="331" w:charSpace="0"/>
        </w:sectPr>
      </w:pPr>
    </w:p>
    <w:p w14:paraId="1A8B2443">
      <w:pPr>
        <w:widowControl/>
        <w:shd w:val="clear" w:color="auto" w:fill="FFFFFF"/>
        <w:spacing w:line="260" w:lineRule="exact"/>
        <w:jc w:val="left"/>
        <w:rPr>
          <w:rFonts w:hint="eastAsia" w:ascii="宋体" w:hAnsi="宋体"/>
          <w:b/>
          <w:bCs/>
          <w:color w:val="auto"/>
          <w:sz w:val="28"/>
          <w:szCs w:val="28"/>
          <w:highlight w:val="none"/>
        </w:rPr>
      </w:pPr>
    </w:p>
    <w:p w14:paraId="5530998B">
      <w:pPr>
        <w:keepNext/>
        <w:keepLines/>
        <w:spacing w:before="260" w:after="260" w:line="413" w:lineRule="auto"/>
        <w:jc w:val="center"/>
        <w:outlineLvl w:val="1"/>
        <w:rPr>
          <w:rFonts w:hint="eastAsia" w:ascii="宋体" w:hAnsi="宋体" w:eastAsia="黑体"/>
          <w:color w:val="auto"/>
          <w:kern w:val="0"/>
          <w:sz w:val="32"/>
          <w:szCs w:val="32"/>
          <w:highlight w:val="none"/>
        </w:rPr>
      </w:pPr>
      <w:bookmarkStart w:id="53" w:name="_Toc5343"/>
      <w:r>
        <w:rPr>
          <w:rFonts w:hint="eastAsia" w:ascii="宋体" w:hAnsi="宋体" w:eastAsia="黑体"/>
          <w:color w:val="auto"/>
          <w:kern w:val="0"/>
          <w:sz w:val="32"/>
          <w:szCs w:val="32"/>
          <w:highlight w:val="none"/>
        </w:rPr>
        <w:t>第一节 质疑函（格式）</w:t>
      </w:r>
      <w:bookmarkEnd w:id="53"/>
    </w:p>
    <w:p w14:paraId="2AF8C6BA">
      <w:pPr>
        <w:jc w:val="center"/>
        <w:rPr>
          <w:rFonts w:hint="eastAsia"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14:paraId="51C9FBDF">
      <w:pPr>
        <w:adjustRightInd w:val="0"/>
        <w:snapToGrid w:val="0"/>
        <w:spacing w:before="331" w:beforeLines="100"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一、质疑供应商基本信息</w:t>
      </w:r>
    </w:p>
    <w:p w14:paraId="522D3B39">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14:paraId="2C253504">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50AE8778">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14:paraId="37575D37">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14:paraId="3990B2F1">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 xml:space="preserve"> </w:t>
      </w:r>
    </w:p>
    <w:p w14:paraId="42242B48">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地址：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14:paraId="5ABA631F">
      <w:pPr>
        <w:adjustRightInd w:val="0"/>
        <w:snapToGrid w:val="0"/>
        <w:spacing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二、质疑项目基本情况</w:t>
      </w:r>
    </w:p>
    <w:p w14:paraId="51EE807E">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u w:val="dotted"/>
          <w:lang w:eastAsia="zh-CN"/>
        </w:rPr>
        <w:t>2026年广西政务服务统一评估服务项目</w:t>
      </w:r>
      <w:r>
        <w:rPr>
          <w:rFonts w:hint="eastAsia" w:ascii="仿宋" w:hAnsi="仿宋" w:eastAsia="仿宋" w:cs="仿宋"/>
          <w:color w:val="auto"/>
          <w:sz w:val="32"/>
          <w:szCs w:val="32"/>
          <w:highlight w:val="none"/>
          <w:u w:val="dotted"/>
        </w:rPr>
        <w:t xml:space="preserve">      </w:t>
      </w:r>
    </w:p>
    <w:p w14:paraId="78D354AB">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14:paraId="09DEEDF3">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u w:val="dotted"/>
          <w:lang w:eastAsia="zh-CN"/>
        </w:rPr>
        <w:t xml:space="preserve">广西壮族自治区大数据发展局  </w:t>
      </w:r>
      <w:r>
        <w:rPr>
          <w:rFonts w:hint="eastAsia" w:ascii="仿宋" w:hAnsi="仿宋" w:eastAsia="仿宋" w:cs="仿宋"/>
          <w:color w:val="auto"/>
          <w:sz w:val="32"/>
          <w:szCs w:val="32"/>
          <w:highlight w:val="none"/>
          <w:u w:val="dotted"/>
        </w:rPr>
        <w:t xml:space="preserve">  </w:t>
      </w:r>
    </w:p>
    <w:p w14:paraId="4EB46C51">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14:paraId="429342C8">
      <w:pPr>
        <w:adjustRightInd w:val="0"/>
        <w:snapToGrid w:val="0"/>
        <w:spacing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三、质疑事项具体内容</w:t>
      </w:r>
    </w:p>
    <w:p w14:paraId="2340F228">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14:paraId="56BC7E2B">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14:paraId="68D90043">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u w:val="dotted"/>
        </w:rPr>
        <w:t xml:space="preserve">                                                       </w:t>
      </w:r>
    </w:p>
    <w:p w14:paraId="6A36232D">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14:paraId="3EEA660E">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u w:val="dotted"/>
        </w:rPr>
        <w:t xml:space="preserve">                                                     </w:t>
      </w:r>
    </w:p>
    <w:p w14:paraId="2D82DE59">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14:paraId="7D64B7AD">
      <w:pPr>
        <w:adjustRightInd w:val="0"/>
        <w:snapToGrid w:val="0"/>
        <w:spacing w:line="360" w:lineRule="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14:paraId="07DED698">
      <w:pPr>
        <w:adjustRightInd w:val="0"/>
        <w:snapToGrid w:val="0"/>
        <w:spacing w:line="360" w:lineRule="auto"/>
        <w:rPr>
          <w:rFonts w:hint="eastAsia"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四、与质疑事项相关的质疑请求</w:t>
      </w:r>
    </w:p>
    <w:p w14:paraId="6869EDE7">
      <w:pPr>
        <w:adjustRightInd w:val="0"/>
        <w:snapToGrid w:val="0"/>
        <w:spacing w:line="360" w:lineRule="auto"/>
        <w:rPr>
          <w:rFonts w:hint="eastAsia"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14:paraId="220C2C3E">
      <w:pPr>
        <w:rPr>
          <w:rFonts w:ascii="方正仿宋_GB2312" w:eastAsia="方正仿宋_GB2312"/>
          <w:color w:val="auto"/>
          <w:sz w:val="30"/>
          <w:szCs w:val="30"/>
          <w:highlight w:val="none"/>
        </w:rPr>
      </w:pPr>
      <w:r>
        <w:rPr>
          <w:rFonts w:hint="eastAsia" w:ascii="方正仿宋_GB2312" w:eastAsia="方正仿宋_GB2312"/>
          <w:color w:val="auto"/>
          <w:sz w:val="30"/>
          <w:szCs w:val="30"/>
          <w:highlight w:val="none"/>
        </w:rPr>
        <w:t xml:space="preserve">签字(签章)：                   公章：                      </w:t>
      </w:r>
    </w:p>
    <w:p w14:paraId="6E856C56">
      <w:pPr>
        <w:rPr>
          <w:rFonts w:ascii="方正仿宋_GB2312" w:eastAsia="方正仿宋_GB2312"/>
          <w:color w:val="auto"/>
          <w:sz w:val="30"/>
          <w:szCs w:val="30"/>
          <w:highlight w:val="none"/>
        </w:rPr>
      </w:pPr>
      <w:r>
        <w:rPr>
          <w:rFonts w:hint="eastAsia" w:ascii="方正仿宋_GB2312" w:eastAsia="方正仿宋_GB2312"/>
          <w:color w:val="auto"/>
          <w:sz w:val="30"/>
          <w:szCs w:val="30"/>
          <w:highlight w:val="none"/>
        </w:rPr>
        <w:t xml:space="preserve">日期：    </w:t>
      </w:r>
    </w:p>
    <w:p w14:paraId="182BD6F7">
      <w:pPr>
        <w:adjustRightInd w:val="0"/>
        <w:snapToGrid w:val="0"/>
        <w:spacing w:line="360" w:lineRule="auto"/>
        <w:rPr>
          <w:rFonts w:hint="eastAsia" w:ascii="仿宋" w:hAnsi="仿宋" w:eastAsia="仿宋" w:cs="仿宋"/>
          <w:color w:val="auto"/>
          <w:sz w:val="32"/>
          <w:szCs w:val="32"/>
          <w:highlight w:val="none"/>
        </w:rPr>
      </w:pPr>
    </w:p>
    <w:p w14:paraId="66255FDE">
      <w:pPr>
        <w:adjustRightInd w:val="0"/>
        <w:snapToGrid w:val="0"/>
        <w:spacing w:line="360" w:lineRule="auto"/>
        <w:rPr>
          <w:rFonts w:hint="eastAsia" w:ascii="仿宋" w:hAnsi="仿宋" w:eastAsia="仿宋" w:cs="仿宋"/>
          <w:color w:val="auto"/>
          <w:sz w:val="32"/>
          <w:szCs w:val="32"/>
          <w:highlight w:val="none"/>
        </w:rPr>
      </w:pPr>
    </w:p>
    <w:p w14:paraId="4A20D575">
      <w:pPr>
        <w:jc w:val="center"/>
        <w:rPr>
          <w:rFonts w:hint="eastAsia" w:ascii="仿宋" w:hAnsi="仿宋" w:eastAsia="仿宋" w:cs="仿宋"/>
          <w:b/>
          <w:bCs/>
          <w:color w:val="auto"/>
          <w:sz w:val="32"/>
          <w:szCs w:val="32"/>
          <w:highlight w:val="none"/>
        </w:rPr>
      </w:pPr>
    </w:p>
    <w:p w14:paraId="0A290AB4">
      <w:pPr>
        <w:jc w:val="center"/>
        <w:rPr>
          <w:rFonts w:hint="eastAsia" w:ascii="仿宋" w:hAnsi="仿宋" w:eastAsia="仿宋" w:cs="仿宋"/>
          <w:b/>
          <w:bCs/>
          <w:color w:val="auto"/>
          <w:sz w:val="32"/>
          <w:szCs w:val="32"/>
          <w:highlight w:val="none"/>
        </w:rPr>
      </w:pPr>
    </w:p>
    <w:p w14:paraId="165A1B92">
      <w:pPr>
        <w:jc w:val="center"/>
        <w:rPr>
          <w:rFonts w:hint="eastAsia" w:ascii="仿宋" w:hAnsi="仿宋" w:eastAsia="仿宋" w:cs="仿宋"/>
          <w:b/>
          <w:bCs/>
          <w:color w:val="auto"/>
          <w:sz w:val="32"/>
          <w:szCs w:val="32"/>
          <w:highlight w:val="none"/>
        </w:rPr>
      </w:pPr>
    </w:p>
    <w:p w14:paraId="65E915DE">
      <w:pPr>
        <w:jc w:val="center"/>
        <w:rPr>
          <w:rFonts w:hint="eastAsia" w:ascii="仿宋" w:hAnsi="仿宋" w:eastAsia="仿宋" w:cs="仿宋"/>
          <w:b/>
          <w:bCs/>
          <w:color w:val="auto"/>
          <w:sz w:val="32"/>
          <w:szCs w:val="32"/>
          <w:highlight w:val="none"/>
        </w:rPr>
      </w:pPr>
    </w:p>
    <w:p w14:paraId="131C52E2">
      <w:pPr>
        <w:jc w:val="center"/>
        <w:rPr>
          <w:rFonts w:hint="eastAsia" w:ascii="仿宋" w:hAnsi="仿宋" w:eastAsia="仿宋" w:cs="仿宋"/>
          <w:b/>
          <w:bCs/>
          <w:color w:val="auto"/>
          <w:sz w:val="32"/>
          <w:szCs w:val="32"/>
          <w:highlight w:val="none"/>
        </w:rPr>
      </w:pPr>
    </w:p>
    <w:p w14:paraId="5F422B01">
      <w:pPr>
        <w:jc w:val="center"/>
        <w:rPr>
          <w:rFonts w:hint="eastAsia" w:ascii="仿宋" w:hAnsi="仿宋" w:eastAsia="仿宋" w:cs="仿宋"/>
          <w:b/>
          <w:bCs/>
          <w:color w:val="auto"/>
          <w:sz w:val="32"/>
          <w:szCs w:val="32"/>
          <w:highlight w:val="none"/>
        </w:rPr>
      </w:pPr>
    </w:p>
    <w:p w14:paraId="1C34397E">
      <w:pPr>
        <w:jc w:val="center"/>
        <w:rPr>
          <w:rFonts w:hint="eastAsia" w:ascii="仿宋" w:hAnsi="仿宋" w:eastAsia="仿宋" w:cs="仿宋"/>
          <w:b/>
          <w:bCs/>
          <w:color w:val="auto"/>
          <w:sz w:val="32"/>
          <w:szCs w:val="32"/>
          <w:highlight w:val="none"/>
        </w:rPr>
      </w:pPr>
    </w:p>
    <w:p w14:paraId="41C77488">
      <w:pPr>
        <w:rPr>
          <w:rFonts w:hint="eastAsia" w:ascii="黑体" w:hAnsi="黑体" w:eastAsia="黑体"/>
          <w:b/>
          <w:color w:val="auto"/>
          <w:sz w:val="32"/>
          <w:szCs w:val="32"/>
          <w:highlight w:val="none"/>
        </w:rPr>
      </w:pPr>
    </w:p>
    <w:p w14:paraId="08013B6E">
      <w:pPr>
        <w:rPr>
          <w:rFonts w:hint="eastAsia" w:ascii="黑体" w:hAnsi="黑体" w:eastAsia="黑体"/>
          <w:b/>
          <w:color w:val="auto"/>
          <w:sz w:val="32"/>
          <w:szCs w:val="32"/>
          <w:highlight w:val="none"/>
        </w:rPr>
      </w:pPr>
    </w:p>
    <w:p w14:paraId="6EF07575">
      <w:pPr>
        <w:rPr>
          <w:rFonts w:hint="eastAsia" w:ascii="黑体" w:hAnsi="黑体" w:eastAsia="黑体"/>
          <w:b/>
          <w:color w:val="auto"/>
          <w:sz w:val="32"/>
          <w:szCs w:val="32"/>
          <w:highlight w:val="none"/>
        </w:rPr>
      </w:pPr>
    </w:p>
    <w:p w14:paraId="7F8A2C70">
      <w:pPr>
        <w:rPr>
          <w:rFonts w:hint="eastAsia" w:ascii="黑体" w:hAnsi="黑体" w:eastAsia="黑体"/>
          <w:b/>
          <w:color w:val="auto"/>
          <w:sz w:val="32"/>
          <w:szCs w:val="32"/>
          <w:highlight w:val="none"/>
        </w:rPr>
      </w:pPr>
    </w:p>
    <w:p w14:paraId="12D51B54">
      <w:pPr>
        <w:rPr>
          <w:rFonts w:hint="eastAsia" w:ascii="黑体" w:hAnsi="黑体" w:eastAsia="黑体"/>
          <w:b/>
          <w:color w:val="auto"/>
          <w:sz w:val="32"/>
          <w:szCs w:val="32"/>
          <w:highlight w:val="none"/>
        </w:rPr>
      </w:pPr>
    </w:p>
    <w:p w14:paraId="0D76B83B">
      <w:pPr>
        <w:rPr>
          <w:rFonts w:hint="eastAsia" w:ascii="黑体" w:hAnsi="黑体" w:eastAsia="黑体"/>
          <w:b/>
          <w:color w:val="auto"/>
          <w:sz w:val="32"/>
          <w:szCs w:val="32"/>
          <w:highlight w:val="none"/>
        </w:rPr>
      </w:pPr>
    </w:p>
    <w:p w14:paraId="6A5D6889">
      <w:pPr>
        <w:rPr>
          <w:rFonts w:hint="eastAsia" w:ascii="黑体" w:hAnsi="黑体" w:eastAsia="黑体"/>
          <w:b/>
          <w:color w:val="auto"/>
          <w:sz w:val="32"/>
          <w:szCs w:val="32"/>
          <w:highlight w:val="none"/>
        </w:rPr>
      </w:pPr>
    </w:p>
    <w:p w14:paraId="7722482D">
      <w:pPr>
        <w:rPr>
          <w:rFonts w:hint="eastAsia" w:ascii="黑体" w:hAnsi="黑体" w:eastAsia="黑体"/>
          <w:b/>
          <w:color w:val="auto"/>
          <w:sz w:val="32"/>
          <w:szCs w:val="32"/>
          <w:highlight w:val="none"/>
        </w:rPr>
      </w:pPr>
    </w:p>
    <w:p w14:paraId="60E3E1EA">
      <w:pPr>
        <w:rPr>
          <w:rFonts w:hint="eastAsia" w:ascii="黑体" w:hAnsi="黑体" w:eastAsia="黑体"/>
          <w:b/>
          <w:color w:val="auto"/>
          <w:sz w:val="32"/>
          <w:szCs w:val="32"/>
          <w:highlight w:val="none"/>
        </w:rPr>
      </w:pPr>
    </w:p>
    <w:p w14:paraId="3327CDEB">
      <w:pPr>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t>质疑函制作说明：</w:t>
      </w:r>
    </w:p>
    <w:p w14:paraId="09C9B1DE">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1.供应商提出质疑时，应提交质疑函和必要的证明材料。</w:t>
      </w:r>
    </w:p>
    <w:p w14:paraId="12B38691">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2.质疑供应商若委托代理人进行质疑的，质疑函应按要求列明“授权代表”的有关内容，并在附件中提交由质疑</w:t>
      </w:r>
      <w:r>
        <w:rPr>
          <w:rFonts w:hint="eastAsia" w:ascii="方正仿宋_GB2312" w:hAnsi="宋体" w:eastAsia="方正仿宋_GB2312" w:cs="宋体"/>
          <w:color w:val="auto"/>
          <w:kern w:val="0"/>
          <w:sz w:val="32"/>
          <w:szCs w:val="32"/>
          <w:highlight w:val="none"/>
        </w:rPr>
        <w:t>供应商签署的授权委托书。授权委托书应载明代理人的姓名或者名称、代理事项、具体权限、期限和相关事项。</w:t>
      </w:r>
    </w:p>
    <w:p w14:paraId="36CA4572">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3.质疑供应商若对项目的某一分包进行质疑，质疑函中应列明具体分包号。</w:t>
      </w:r>
    </w:p>
    <w:p w14:paraId="6967E620">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4.质疑函的质疑事项应具体、明确，并有必要的事实依据和法律依据。</w:t>
      </w:r>
    </w:p>
    <w:p w14:paraId="75FD9206">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5.质疑函的质疑请求应与质疑事项相关。</w:t>
      </w:r>
    </w:p>
    <w:p w14:paraId="66A94C52">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14:paraId="757AEAA0">
      <w:pPr>
        <w:widowControl/>
        <w:ind w:firstLine="600" w:firstLineChars="200"/>
        <w:jc w:val="left"/>
        <w:rPr>
          <w:rFonts w:ascii="方正仿宋_GB2312" w:eastAsia="方正仿宋_GB2312"/>
          <w:color w:val="auto"/>
          <w:sz w:val="30"/>
          <w:szCs w:val="30"/>
          <w:highlight w:val="none"/>
        </w:rPr>
      </w:pPr>
    </w:p>
    <w:p w14:paraId="74261038">
      <w:pPr>
        <w:widowControl/>
        <w:spacing w:line="360" w:lineRule="auto"/>
        <w:jc w:val="left"/>
        <w:rPr>
          <w:rFonts w:hint="eastAsia" w:ascii="黑体" w:hAnsi="黑体" w:cs="宋体"/>
          <w:color w:val="auto"/>
          <w:kern w:val="0"/>
          <w:sz w:val="24"/>
          <w:highlight w:val="none"/>
        </w:rPr>
        <w:sectPr>
          <w:pgSz w:w="11906" w:h="16838"/>
          <w:pgMar w:top="1134" w:right="1134" w:bottom="1134" w:left="1134" w:header="720" w:footer="720" w:gutter="0"/>
          <w:cols w:space="720" w:num="1"/>
          <w:docGrid w:type="lines" w:linePitch="331" w:charSpace="0"/>
        </w:sectPr>
      </w:pPr>
    </w:p>
    <w:p w14:paraId="1837D0E2">
      <w:pPr>
        <w:keepNext/>
        <w:keepLines/>
        <w:spacing w:before="260" w:after="260" w:line="413" w:lineRule="auto"/>
        <w:jc w:val="center"/>
        <w:outlineLvl w:val="1"/>
        <w:rPr>
          <w:rFonts w:hint="eastAsia" w:ascii="宋体" w:hAnsi="宋体" w:eastAsia="黑体"/>
          <w:color w:val="auto"/>
          <w:kern w:val="0"/>
          <w:sz w:val="32"/>
          <w:szCs w:val="32"/>
          <w:highlight w:val="none"/>
        </w:rPr>
      </w:pPr>
      <w:bookmarkStart w:id="54" w:name="_Toc19198"/>
      <w:r>
        <w:rPr>
          <w:rFonts w:hint="eastAsia" w:ascii="宋体" w:hAnsi="宋体" w:eastAsia="黑体"/>
          <w:color w:val="auto"/>
          <w:kern w:val="0"/>
          <w:sz w:val="32"/>
          <w:szCs w:val="32"/>
          <w:highlight w:val="none"/>
        </w:rPr>
        <w:t>第二节 投诉书（格式）</w:t>
      </w:r>
      <w:bookmarkEnd w:id="54"/>
    </w:p>
    <w:p w14:paraId="4E5669C3">
      <w:pPr>
        <w:jc w:val="center"/>
        <w:rPr>
          <w:rFonts w:hint="eastAsia" w:ascii="宋体" w:hAnsi="宋体"/>
          <w:b/>
          <w:color w:val="auto"/>
          <w:sz w:val="44"/>
          <w:szCs w:val="44"/>
          <w:highlight w:val="none"/>
        </w:rPr>
      </w:pPr>
      <w:r>
        <w:rPr>
          <w:rFonts w:hint="eastAsia" w:ascii="宋体" w:hAnsi="宋体"/>
          <w:b/>
          <w:color w:val="auto"/>
          <w:sz w:val="44"/>
          <w:szCs w:val="44"/>
          <w:highlight w:val="none"/>
        </w:rPr>
        <w:t>投诉书范本</w:t>
      </w:r>
    </w:p>
    <w:p w14:paraId="7B59B60F">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一、投诉相关主体基本情况</w:t>
      </w:r>
    </w:p>
    <w:p w14:paraId="15CACA0D">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投诉人：</w:t>
      </w:r>
      <w:r>
        <w:rPr>
          <w:rFonts w:hint="eastAsia" w:ascii="方正仿宋_GB2312" w:eastAsia="方正仿宋_GB2312"/>
          <w:color w:val="auto"/>
          <w:sz w:val="32"/>
          <w:szCs w:val="32"/>
          <w:highlight w:val="none"/>
          <w:u w:val="dotted"/>
        </w:rPr>
        <w:t xml:space="preserve">                                               </w:t>
      </w:r>
    </w:p>
    <w:p w14:paraId="22CAAA07">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地     址：</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邮编：</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44F999B3">
      <w:pPr>
        <w:tabs>
          <w:tab w:val="left" w:pos="6510"/>
        </w:tabs>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法定代表人/主要负责人：</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 xml:space="preserve">  </w:t>
      </w:r>
    </w:p>
    <w:p w14:paraId="5DE8D4EA">
      <w:pPr>
        <w:tabs>
          <w:tab w:val="left" w:pos="6510"/>
        </w:tabs>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联系电话：</w:t>
      </w:r>
      <w:r>
        <w:rPr>
          <w:rFonts w:hint="eastAsia" w:ascii="方正仿宋_GB2312" w:eastAsia="方正仿宋_GB2312"/>
          <w:color w:val="auto"/>
          <w:sz w:val="32"/>
          <w:szCs w:val="32"/>
          <w:highlight w:val="none"/>
          <w:u w:val="dotted"/>
        </w:rPr>
        <w:t xml:space="preserve">                                             </w:t>
      </w:r>
    </w:p>
    <w:p w14:paraId="3FD899A4">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授权代表：</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联系电话</w:t>
      </w:r>
      <w:r>
        <w:rPr>
          <w:rFonts w:hint="eastAsia" w:ascii="方正仿宋_GB2312" w:eastAsia="方正仿宋_GB2312"/>
          <w:color w:val="auto"/>
          <w:sz w:val="32"/>
          <w:szCs w:val="32"/>
          <w:highlight w:val="none"/>
          <w:u w:val="dotted"/>
        </w:rPr>
        <w:t xml:space="preserve">：                  </w:t>
      </w:r>
    </w:p>
    <w:p w14:paraId="4F0A0CB6">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地     址：</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邮编：</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r>
        <w:rPr>
          <w:rFonts w:hint="eastAsia" w:ascii="方正仿宋_GB2312" w:eastAsia="方正仿宋_GB2312"/>
          <w:color w:val="auto"/>
          <w:sz w:val="32"/>
          <w:szCs w:val="32"/>
          <w:highlight w:val="none"/>
          <w:u w:val="dotted"/>
        </w:rPr>
        <w:t xml:space="preserve">                   </w:t>
      </w:r>
    </w:p>
    <w:p w14:paraId="6FBB6567">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被投诉人1：</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4768C32E">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地     址：</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邮编：</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300649B3">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联系人：</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联系电话：</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4F9FB112">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被投诉人2</w:t>
      </w:r>
    </w:p>
    <w:p w14:paraId="4318A82F">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w:t>
      </w:r>
    </w:p>
    <w:p w14:paraId="6C7353CE">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相关供应商：</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1C834DEB">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地     址：</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邮编：</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440440AE">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联系人：</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联系电话：</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single"/>
        </w:rPr>
        <w:t xml:space="preserve">      </w:t>
      </w:r>
    </w:p>
    <w:p w14:paraId="2E126170">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二、投诉项目基本情况</w:t>
      </w:r>
    </w:p>
    <w:p w14:paraId="06B60696">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采购项目名称：</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dotted"/>
          <w:lang w:eastAsia="zh-CN"/>
        </w:rPr>
        <w:t>2026年广西政务服务统一评估服务项目</w:t>
      </w:r>
      <w:r>
        <w:rPr>
          <w:rFonts w:hint="eastAsia" w:ascii="方正仿宋_GB2312" w:eastAsia="方正仿宋_GB2312"/>
          <w:color w:val="auto"/>
          <w:sz w:val="32"/>
          <w:szCs w:val="32"/>
          <w:highlight w:val="none"/>
          <w:u w:val="dotted"/>
        </w:rPr>
        <w:t xml:space="preserve">    </w:t>
      </w:r>
    </w:p>
    <w:p w14:paraId="3D071505">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采购项目编号：</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包号：</w:t>
      </w:r>
      <w:r>
        <w:rPr>
          <w:rFonts w:hint="eastAsia" w:ascii="方正仿宋_GB2312" w:eastAsia="方正仿宋_GB2312"/>
          <w:color w:val="auto"/>
          <w:sz w:val="32"/>
          <w:szCs w:val="32"/>
          <w:highlight w:val="none"/>
          <w:u w:val="dotted"/>
        </w:rPr>
        <w:t xml:space="preserve">              </w:t>
      </w:r>
    </w:p>
    <w:p w14:paraId="3F931544">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采购人名称：</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u w:val="dotted"/>
          <w:lang w:eastAsia="zh-CN"/>
        </w:rPr>
        <w:t xml:space="preserve">广西壮族自治区大数据发展局  </w:t>
      </w:r>
      <w:r>
        <w:rPr>
          <w:rFonts w:hint="eastAsia" w:ascii="方正仿宋_GB2312" w:eastAsia="方正仿宋_GB2312"/>
          <w:color w:val="auto"/>
          <w:sz w:val="32"/>
          <w:szCs w:val="32"/>
          <w:highlight w:val="none"/>
          <w:u w:val="single"/>
        </w:rPr>
        <w:t xml:space="preserve">  </w:t>
      </w:r>
    </w:p>
    <w:p w14:paraId="7DBAF264">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代理机构名称：</w:t>
      </w:r>
      <w:r>
        <w:rPr>
          <w:rFonts w:hint="eastAsia" w:ascii="方正仿宋_GB2312" w:eastAsia="方正仿宋_GB2312"/>
          <w:color w:val="auto"/>
          <w:sz w:val="32"/>
          <w:szCs w:val="32"/>
          <w:highlight w:val="none"/>
          <w:u w:val="dotted"/>
        </w:rPr>
        <w:t xml:space="preserve">                                         </w:t>
      </w:r>
    </w:p>
    <w:p w14:paraId="43DB4D00">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采购文件公告:</w:t>
      </w:r>
      <w:r>
        <w:rPr>
          <w:rFonts w:hint="eastAsia" w:ascii="方正仿宋_GB2312" w:eastAsia="方正仿宋_GB2312"/>
          <w:color w:val="auto"/>
          <w:sz w:val="32"/>
          <w:szCs w:val="32"/>
          <w:highlight w:val="none"/>
          <w:u w:val="dotted"/>
        </w:rPr>
        <w:t xml:space="preserve">是/否 </w:t>
      </w:r>
      <w:r>
        <w:rPr>
          <w:rFonts w:hint="eastAsia" w:ascii="方正仿宋_GB2312" w:eastAsia="方正仿宋_GB2312"/>
          <w:color w:val="auto"/>
          <w:sz w:val="32"/>
          <w:szCs w:val="32"/>
          <w:highlight w:val="none"/>
        </w:rPr>
        <w:t>公告期限：</w:t>
      </w:r>
      <w:r>
        <w:rPr>
          <w:rFonts w:hint="eastAsia" w:ascii="方正仿宋_GB2312" w:eastAsia="方正仿宋_GB2312"/>
          <w:color w:val="auto"/>
          <w:sz w:val="32"/>
          <w:szCs w:val="32"/>
          <w:highlight w:val="none"/>
          <w:u w:val="dotted"/>
        </w:rPr>
        <w:t xml:space="preserve">                                 </w:t>
      </w:r>
    </w:p>
    <w:p w14:paraId="3067124F">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采购结果公告:</w:t>
      </w:r>
      <w:r>
        <w:rPr>
          <w:rFonts w:hint="eastAsia" w:ascii="方正仿宋_GB2312" w:eastAsia="方正仿宋_GB2312"/>
          <w:color w:val="auto"/>
          <w:sz w:val="32"/>
          <w:szCs w:val="32"/>
          <w:highlight w:val="none"/>
          <w:u w:val="dotted"/>
        </w:rPr>
        <w:t xml:space="preserve">是/否 </w:t>
      </w:r>
      <w:r>
        <w:rPr>
          <w:rFonts w:hint="eastAsia" w:ascii="方正仿宋_GB2312" w:eastAsia="方正仿宋_GB2312"/>
          <w:color w:val="auto"/>
          <w:sz w:val="32"/>
          <w:szCs w:val="32"/>
          <w:highlight w:val="none"/>
        </w:rPr>
        <w:t>公告期限：</w:t>
      </w:r>
      <w:r>
        <w:rPr>
          <w:rFonts w:hint="eastAsia" w:ascii="方正仿宋_GB2312" w:eastAsia="方正仿宋_GB2312"/>
          <w:color w:val="auto"/>
          <w:sz w:val="32"/>
          <w:szCs w:val="32"/>
          <w:highlight w:val="none"/>
          <w:u w:val="dotted"/>
        </w:rPr>
        <w:t xml:space="preserve">                        </w:t>
      </w:r>
    </w:p>
    <w:p w14:paraId="5B02AD3E">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三、质疑基本情况</w:t>
      </w:r>
    </w:p>
    <w:p w14:paraId="174B1234">
      <w:pPr>
        <w:ind w:firstLine="640" w:firstLineChars="200"/>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投诉人于</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年</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月</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日,向</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提出质疑，质疑事项为：</w:t>
      </w:r>
      <w:r>
        <w:rPr>
          <w:rFonts w:hint="eastAsia" w:ascii="方正仿宋_GB2312" w:eastAsia="方正仿宋_GB2312"/>
          <w:color w:val="auto"/>
          <w:sz w:val="32"/>
          <w:szCs w:val="32"/>
          <w:highlight w:val="none"/>
          <w:u w:val="dotted"/>
        </w:rPr>
        <w:t xml:space="preserve">                                </w:t>
      </w:r>
    </w:p>
    <w:p w14:paraId="0678871C">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 xml:space="preserve">  </w:t>
      </w:r>
    </w:p>
    <w:p w14:paraId="6CDECF42">
      <w:pPr>
        <w:ind w:firstLine="480" w:firstLineChars="150"/>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u w:val="dotted"/>
        </w:rPr>
        <w:t>采购人/代理机构</w:t>
      </w:r>
      <w:r>
        <w:rPr>
          <w:rFonts w:hint="eastAsia" w:ascii="方正仿宋_GB2312" w:eastAsia="方正仿宋_GB2312"/>
          <w:color w:val="auto"/>
          <w:sz w:val="32"/>
          <w:szCs w:val="32"/>
          <w:highlight w:val="none"/>
        </w:rPr>
        <w:t>于</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年</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月</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日,就质疑事项作出了答复/没有在法定期限内作出答复。</w:t>
      </w:r>
    </w:p>
    <w:p w14:paraId="5E9A3B73">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四、投诉事项具体内容</w:t>
      </w:r>
    </w:p>
    <w:p w14:paraId="03E43657">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投诉事项 1：</w:t>
      </w:r>
      <w:r>
        <w:rPr>
          <w:rFonts w:hint="eastAsia" w:ascii="方正仿宋_GB2312" w:eastAsia="方正仿宋_GB2312"/>
          <w:color w:val="auto"/>
          <w:sz w:val="32"/>
          <w:szCs w:val="32"/>
          <w:highlight w:val="none"/>
          <w:u w:val="dotted"/>
        </w:rPr>
        <w:t xml:space="preserve">                                       </w:t>
      </w:r>
    </w:p>
    <w:p w14:paraId="08D44128">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事实依据：</w:t>
      </w:r>
      <w:r>
        <w:rPr>
          <w:rFonts w:hint="eastAsia" w:ascii="方正仿宋_GB2312" w:eastAsia="方正仿宋_GB2312"/>
          <w:color w:val="auto"/>
          <w:sz w:val="32"/>
          <w:szCs w:val="32"/>
          <w:highlight w:val="none"/>
          <w:u w:val="dotted"/>
        </w:rPr>
        <w:t xml:space="preserve">                                         </w:t>
      </w:r>
    </w:p>
    <w:p w14:paraId="390BC093">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u w:val="dotted"/>
        </w:rPr>
        <w:t xml:space="preserve">                                                      </w:t>
      </w:r>
    </w:p>
    <w:p w14:paraId="1CC55E80">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法律依据：</w:t>
      </w:r>
      <w:r>
        <w:rPr>
          <w:rFonts w:hint="eastAsia" w:ascii="方正仿宋_GB2312" w:eastAsia="方正仿宋_GB2312"/>
          <w:color w:val="auto"/>
          <w:sz w:val="32"/>
          <w:szCs w:val="32"/>
          <w:highlight w:val="none"/>
          <w:u w:val="dotted"/>
        </w:rPr>
        <w:t xml:space="preserve">                                          </w:t>
      </w:r>
    </w:p>
    <w:p w14:paraId="0A8AF40B">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u w:val="dotted"/>
        </w:rPr>
        <w:t xml:space="preserve">                                                      </w:t>
      </w:r>
    </w:p>
    <w:p w14:paraId="21E96EAD">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投诉事项2</w:t>
      </w:r>
    </w:p>
    <w:p w14:paraId="18098357">
      <w:pPr>
        <w:rPr>
          <w:rFonts w:ascii="方正仿宋_GB2312" w:eastAsia="方正仿宋_GB2312"/>
          <w:color w:val="auto"/>
          <w:sz w:val="32"/>
          <w:szCs w:val="32"/>
          <w:highlight w:val="none"/>
          <w:u w:val="dotted"/>
        </w:rPr>
      </w:pPr>
      <w:r>
        <w:rPr>
          <w:rFonts w:hint="eastAsia" w:ascii="方正仿宋_GB2312" w:eastAsia="方正仿宋_GB2312"/>
          <w:color w:val="auto"/>
          <w:sz w:val="32"/>
          <w:szCs w:val="32"/>
          <w:highlight w:val="none"/>
        </w:rPr>
        <w:t>……</w:t>
      </w:r>
    </w:p>
    <w:p w14:paraId="3FF66F40">
      <w:pPr>
        <w:rPr>
          <w:rFonts w:hint="eastAsia" w:ascii="黑体" w:hAnsi="黑体" w:eastAsia="黑体"/>
          <w:color w:val="auto"/>
          <w:sz w:val="32"/>
          <w:szCs w:val="32"/>
          <w:highlight w:val="none"/>
        </w:rPr>
      </w:pPr>
      <w:r>
        <w:rPr>
          <w:rFonts w:hint="eastAsia" w:ascii="黑体" w:hAnsi="黑体" w:eastAsia="黑体"/>
          <w:color w:val="auto"/>
          <w:sz w:val="32"/>
          <w:szCs w:val="32"/>
          <w:highlight w:val="none"/>
        </w:rPr>
        <w:t>五、与投诉事项相关的投诉请求</w:t>
      </w:r>
    </w:p>
    <w:p w14:paraId="07737DAF">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请求：</w:t>
      </w:r>
      <w:r>
        <w:rPr>
          <w:rFonts w:hint="eastAsia" w:ascii="方正仿宋_GB2312" w:eastAsia="方正仿宋_GB2312"/>
          <w:color w:val="auto"/>
          <w:sz w:val="32"/>
          <w:szCs w:val="32"/>
          <w:highlight w:val="none"/>
          <w:u w:val="dotted"/>
        </w:rPr>
        <w:t xml:space="preserve">                                              </w:t>
      </w:r>
      <w:r>
        <w:rPr>
          <w:rFonts w:hint="eastAsia" w:ascii="方正仿宋_GB2312" w:eastAsia="方正仿宋_GB2312"/>
          <w:color w:val="auto"/>
          <w:sz w:val="32"/>
          <w:szCs w:val="32"/>
          <w:highlight w:val="none"/>
        </w:rPr>
        <w:t xml:space="preserve"> </w:t>
      </w:r>
    </w:p>
    <w:p w14:paraId="6A76548D">
      <w:pPr>
        <w:rPr>
          <w:rFonts w:ascii="方正仿宋_GB2312" w:eastAsia="方正仿宋_GB2312"/>
          <w:color w:val="auto"/>
          <w:sz w:val="32"/>
          <w:szCs w:val="32"/>
          <w:highlight w:val="none"/>
          <w:u w:val="single"/>
        </w:rPr>
      </w:pPr>
      <w:r>
        <w:rPr>
          <w:rFonts w:hint="eastAsia" w:ascii="方正仿宋_GB2312" w:eastAsia="方正仿宋_GB2312"/>
          <w:color w:val="auto"/>
          <w:sz w:val="32"/>
          <w:szCs w:val="32"/>
          <w:highlight w:val="none"/>
        </w:rPr>
        <w:t xml:space="preserve">                                                                                                    </w:t>
      </w:r>
    </w:p>
    <w:p w14:paraId="1ECD18B4">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 xml:space="preserve">签字(签章)：                   公章：                      </w:t>
      </w:r>
    </w:p>
    <w:p w14:paraId="0FA5D53B">
      <w:pPr>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 xml:space="preserve">日期：    </w:t>
      </w:r>
    </w:p>
    <w:p w14:paraId="65A41CA5">
      <w:pPr>
        <w:rPr>
          <w:rFonts w:hint="eastAsia" w:ascii="黑体" w:hAnsi="黑体" w:eastAsia="黑体"/>
          <w:b/>
          <w:color w:val="auto"/>
          <w:sz w:val="32"/>
          <w:szCs w:val="32"/>
          <w:highlight w:val="none"/>
        </w:rPr>
      </w:pPr>
    </w:p>
    <w:p w14:paraId="7138E639">
      <w:pPr>
        <w:rPr>
          <w:rFonts w:hint="eastAsia" w:ascii="黑体" w:hAnsi="黑体" w:eastAsia="黑体"/>
          <w:b/>
          <w:color w:val="auto"/>
          <w:sz w:val="32"/>
          <w:szCs w:val="32"/>
          <w:highlight w:val="none"/>
        </w:rPr>
      </w:pPr>
      <w:r>
        <w:rPr>
          <w:rFonts w:hint="eastAsia" w:ascii="黑体" w:hAnsi="黑体" w:eastAsia="黑体"/>
          <w:b/>
          <w:color w:val="auto"/>
          <w:sz w:val="32"/>
          <w:szCs w:val="32"/>
          <w:highlight w:val="none"/>
        </w:rPr>
        <w:t>投诉书制作说明：</w:t>
      </w:r>
    </w:p>
    <w:p w14:paraId="3397287D">
      <w:pPr>
        <w:widowControl/>
        <w:ind w:firstLine="640" w:firstLineChars="200"/>
        <w:rPr>
          <w:rFonts w:hint="eastAsia" w:ascii="方正仿宋_GB2312" w:hAnsi="宋体" w:eastAsia="方正仿宋_GB2312" w:cs="宋体"/>
          <w:color w:val="auto"/>
          <w:kern w:val="0"/>
          <w:sz w:val="32"/>
          <w:szCs w:val="32"/>
          <w:highlight w:val="none"/>
        </w:rPr>
      </w:pPr>
      <w:r>
        <w:rPr>
          <w:rFonts w:hint="eastAsia" w:ascii="方正仿宋_GB2312" w:eastAsia="方正仿宋_GB2312"/>
          <w:color w:val="auto"/>
          <w:sz w:val="32"/>
          <w:szCs w:val="32"/>
          <w:highlight w:val="none"/>
        </w:rPr>
        <w:t>1.投诉人提起投诉时，应当提交投诉书和必要的证明材料，并按照被投诉人和与投诉事项有关的供应商数量提供投诉书副本。</w:t>
      </w:r>
    </w:p>
    <w:p w14:paraId="0EC5E266">
      <w:pPr>
        <w:widowControl/>
        <w:ind w:firstLine="640" w:firstLineChars="200"/>
        <w:jc w:val="left"/>
        <w:rPr>
          <w:rFonts w:hint="eastAsia" w:ascii="方正仿宋_GB2312" w:hAnsi="宋体" w:eastAsia="方正仿宋_GB2312" w:cs="宋体"/>
          <w:color w:val="auto"/>
          <w:kern w:val="0"/>
          <w:sz w:val="32"/>
          <w:szCs w:val="32"/>
          <w:highlight w:val="none"/>
        </w:rPr>
      </w:pPr>
      <w:r>
        <w:rPr>
          <w:rFonts w:hint="eastAsia" w:ascii="方正仿宋_GB2312" w:eastAsia="方正仿宋_GB2312"/>
          <w:color w:val="auto"/>
          <w:sz w:val="32"/>
          <w:szCs w:val="32"/>
          <w:highlight w:val="none"/>
        </w:rPr>
        <w:t>2.投诉人若委托代理人进行投诉的，投诉书应按照要求列明“授权代表”的有关内容，并在附件中提交由</w:t>
      </w:r>
      <w:r>
        <w:rPr>
          <w:rFonts w:hint="eastAsia" w:ascii="方正仿宋_GB2312" w:hAnsi="宋体" w:eastAsia="方正仿宋_GB2312" w:cs="宋体"/>
          <w:color w:val="auto"/>
          <w:kern w:val="0"/>
          <w:sz w:val="32"/>
          <w:szCs w:val="32"/>
          <w:highlight w:val="none"/>
        </w:rPr>
        <w:t>投诉人签署的授权委托书。授权委托书应当载明代理人的姓名或者名称、代理事项、具体权限、期限和相关事项。</w:t>
      </w:r>
    </w:p>
    <w:p w14:paraId="192DCA52">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3.投诉人若对项目的某一分包进行投诉，投诉书应列明具体分包号。</w:t>
      </w:r>
    </w:p>
    <w:p w14:paraId="0DEE2B90">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4.投诉书应简要列明质疑事项，质疑函、质疑答复等作为附件材料提供。</w:t>
      </w:r>
    </w:p>
    <w:p w14:paraId="5AE42C0D">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5.投诉书的投诉事项应具体、明确，并有必要的事实依据和法律依据。</w:t>
      </w:r>
    </w:p>
    <w:p w14:paraId="0ED4ED0B">
      <w:pPr>
        <w:widowControl/>
        <w:ind w:firstLine="640" w:firstLineChars="200"/>
        <w:jc w:val="left"/>
        <w:rPr>
          <w:rFonts w:ascii="方正仿宋_GB2312" w:eastAsia="方正仿宋_GB2312"/>
          <w:color w:val="auto"/>
          <w:sz w:val="32"/>
          <w:szCs w:val="32"/>
          <w:highlight w:val="none"/>
        </w:rPr>
      </w:pPr>
      <w:r>
        <w:rPr>
          <w:rFonts w:hint="eastAsia" w:ascii="方正仿宋_GB2312" w:eastAsia="方正仿宋_GB2312"/>
          <w:color w:val="auto"/>
          <w:sz w:val="32"/>
          <w:szCs w:val="32"/>
          <w:highlight w:val="none"/>
        </w:rPr>
        <w:t>6.投诉书的投诉请求应与投诉事项相关。</w:t>
      </w:r>
    </w:p>
    <w:p w14:paraId="226217FB">
      <w:pPr>
        <w:widowControl/>
        <w:ind w:firstLine="640" w:firstLineChars="200"/>
        <w:jc w:val="left"/>
        <w:rPr>
          <w:rFonts w:hint="eastAsia" w:ascii="方正仿宋_GB2312" w:hAnsi="宋体" w:eastAsia="方正仿宋_GB2312" w:cs="宋体"/>
          <w:color w:val="auto"/>
          <w:kern w:val="0"/>
          <w:sz w:val="32"/>
          <w:szCs w:val="32"/>
          <w:highlight w:val="none"/>
        </w:rPr>
      </w:pPr>
      <w:r>
        <w:rPr>
          <w:rFonts w:hint="eastAsia" w:ascii="方正仿宋_GB2312" w:eastAsia="方正仿宋_GB2312"/>
          <w:color w:val="auto"/>
          <w:sz w:val="32"/>
          <w:szCs w:val="32"/>
          <w:highlight w:val="none"/>
        </w:rPr>
        <w:t>7.投诉人为自然人的，投诉书应当由本人签字；投诉人为法人或者其他组织的，投诉书应当由法定代表人、主要负责人，或者其授权代表签字或者盖章，并加盖公章。</w:t>
      </w:r>
    </w:p>
    <w:p w14:paraId="5CAE17A7">
      <w:pPr>
        <w:rPr>
          <w:color w:val="auto"/>
          <w:highlight w:val="none"/>
        </w:rPr>
      </w:pPr>
    </w:p>
    <w:p w14:paraId="24AFD1DD">
      <w:pPr>
        <w:rPr>
          <w:rFonts w:ascii="Calibri" w:hAnsi="Calibri"/>
          <w:color w:val="auto"/>
          <w:szCs w:val="22"/>
          <w:highlight w:val="none"/>
        </w:rPr>
      </w:pPr>
    </w:p>
    <w:p w14:paraId="6C943B63">
      <w:pPr>
        <w:rPr>
          <w:color w:val="auto"/>
          <w:highlight w:val="none"/>
        </w:rPr>
      </w:pPr>
    </w:p>
    <w:p w14:paraId="5434AF11">
      <w:pPr>
        <w:rPr>
          <w:rFonts w:ascii="Calibri" w:hAnsi="Calibri"/>
          <w:color w:val="auto"/>
          <w:szCs w:val="22"/>
          <w:highlight w:val="none"/>
        </w:rPr>
      </w:pPr>
    </w:p>
    <w:p w14:paraId="137C926E">
      <w:pPr>
        <w:rPr>
          <w:color w:val="auto"/>
          <w:highlight w:val="none"/>
        </w:rPr>
      </w:pPr>
      <w:bookmarkStart w:id="55" w:name="_8.1提供相同品牌产品且通过资格审查、符合性审查的不同投标人参加同一合"/>
      <w:bookmarkEnd w:id="55"/>
      <w:bookmarkStart w:id="56" w:name="_19.2投标文件应按报价文件、资格证明文件、商务文件、技术文件分别编制"/>
      <w:bookmarkEnd w:id="56"/>
      <w:bookmarkStart w:id="57" w:name="_17.1投标有效期应按“投标人须知中的前附表”规定的期限。"/>
      <w:bookmarkEnd w:id="57"/>
      <w:bookmarkStart w:id="58" w:name="_39.1中标人须于签订合同前按本须知前附表规定的金额转账或电汇到指定账"/>
      <w:bookmarkEnd w:id="58"/>
      <w:bookmarkStart w:id="59" w:name="_25.3_投标人有下列情形之一的，资格审查不通过而导致其投标无效："/>
      <w:bookmarkEnd w:id="59"/>
      <w:bookmarkStart w:id="60" w:name="_13.3商务文件:_具体材料见“投标人须知前附表”。"/>
      <w:bookmarkEnd w:id="60"/>
      <w:bookmarkStart w:id="61" w:name="PO_TDCUS_ITEM_PB_REQ_TABLE_2_1_1"/>
      <w:bookmarkEnd w:id="61"/>
      <w:bookmarkStart w:id="62" w:name="_40.1投标人接到中标通知书后，按须知前附表规定向采购人出示相关资格证"/>
      <w:bookmarkEnd w:id="62"/>
      <w:bookmarkStart w:id="63" w:name="_42.代理服务费"/>
      <w:bookmarkEnd w:id="63"/>
      <w:bookmarkStart w:id="64" w:name="_13.4技术文件：具体材料见“投标人须知前附表”。"/>
      <w:bookmarkEnd w:id="64"/>
      <w:bookmarkStart w:id="65" w:name="_13.5投标文件电子版：具体材料见“投标人须知前附表”。"/>
      <w:bookmarkEnd w:id="65"/>
      <w:bookmarkStart w:id="66" w:name="_18.投标保证金"/>
      <w:bookmarkEnd w:id="66"/>
      <w:bookmarkStart w:id="67" w:name="_13.2资格证明文件：具体材料见“投标人须知前附表”。"/>
      <w:bookmarkEnd w:id="67"/>
      <w:bookmarkStart w:id="68" w:name="_5.投标费用"/>
      <w:bookmarkEnd w:id="68"/>
      <w:bookmarkStart w:id="69" w:name="PO_TDCUS_ITEM_PB_REQ_TABLE_1_1_1"/>
      <w:bookmarkEnd w:id="69"/>
      <w:bookmarkStart w:id="70" w:name="_16.2投标报价具体定义见投标人须知前附表。"/>
      <w:bookmarkEnd w:id="70"/>
      <w:bookmarkStart w:id="71" w:name="PO_TDCUS_ITEM_PB_REQ_TABLE_3_1_1"/>
      <w:bookmarkEnd w:id="71"/>
      <w:bookmarkStart w:id="72" w:name="_21.1投标人必须在“投标人须知中的前附表”规定的投标文件接收时间和投"/>
      <w:bookmarkEnd w:id="72"/>
      <w:bookmarkStart w:id="73" w:name="_23.开标时间和地点"/>
      <w:bookmarkEnd w:id="73"/>
      <w:bookmarkStart w:id="74" w:name="_9.2质疑、投诉应当采用书面形式，质疑函、投诉书均应明确阐述招标文件、"/>
      <w:bookmarkEnd w:id="74"/>
      <w:bookmarkStart w:id="75" w:name="_13.1报价文件:_具体材料见“投标人须知前附表”。"/>
      <w:bookmarkEnd w:id="75"/>
      <w:bookmarkStart w:id="76" w:name="_41.政府采购合同公告"/>
      <w:bookmarkEnd w:id="76"/>
      <w:bookmarkStart w:id="77" w:name="_26.组建评标委员会"/>
      <w:bookmarkEnd w:id="77"/>
      <w:bookmarkStart w:id="78" w:name="_28.3评标方法。本项目将按须知前附表规定的评标办法进行评标，具体评标"/>
      <w:bookmarkEnd w:id="78"/>
      <w:bookmarkStart w:id="79" w:name="_八、其他事项"/>
      <w:bookmarkEnd w:id="79"/>
    </w:p>
    <w:p w14:paraId="094DA7CC">
      <w:pPr>
        <w:rPr>
          <w:color w:val="auto"/>
          <w:highlight w:val="none"/>
        </w:rPr>
      </w:pPr>
    </w:p>
    <w:sectPr>
      <w:footerReference r:id="rId8" w:type="first"/>
      <w:headerReference r:id="rId5" w:type="default"/>
      <w:footerReference r:id="rId6" w:type="default"/>
      <w:footerReference r:id="rId7" w:type="even"/>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A6A423C-E419-4EDD-B2E5-3183C8D21374}"/>
  </w:font>
  <w:font w:name="黑体">
    <w:panose1 w:val="02010609060101010101"/>
    <w:charset w:val="86"/>
    <w:family w:val="auto"/>
    <w:pitch w:val="default"/>
    <w:sig w:usb0="800002BF" w:usb1="38CF7CFA" w:usb2="00000016" w:usb3="00000000" w:csb0="00040001" w:csb1="00000000"/>
    <w:embedRegular r:id="rId2" w:fontKey="{AE9A9535-7094-4144-B74D-FD06DD58995D}"/>
  </w:font>
  <w:font w:name="Courier New">
    <w:panose1 w:val="02070309020205020404"/>
    <w:charset w:val="01"/>
    <w:family w:val="modern"/>
    <w:pitch w:val="default"/>
    <w:sig w:usb0="E0002EFF" w:usb1="C0007843" w:usb2="00000009" w:usb3="00000000" w:csb0="400001FF" w:csb1="FFFF0000"/>
    <w:embedRegular r:id="rId3" w:fontKey="{C00AB2B6-63CD-40B4-80DE-2CD854277EE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1" w:usb3="00000000" w:csb0="0000019F" w:csb1="00000000"/>
    <w:embedRegular r:id="rId4" w:fontKey="{7A490422-0AA2-48A3-8953-EA683DA608EC}"/>
  </w:font>
  <w:font w:name="Arial Unicode MS">
    <w:panose1 w:val="020B0604020202020204"/>
    <w:charset w:val="86"/>
    <w:family w:val="swiss"/>
    <w:pitch w:val="default"/>
    <w:sig w:usb0="FFFFFFFF" w:usb1="E9FFFFFF" w:usb2="0000003F" w:usb3="00000000" w:csb0="603F01FF" w:csb1="FFFF0000"/>
    <w:embedRegular r:id="rId5" w:fontKey="{F02776D9-C685-46EB-81C7-18FFE114407A}"/>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embedRegular r:id="rId6" w:fontKey="{6C5C3B7B-A010-432D-A713-626361880863}"/>
  </w:font>
  <w:font w:name="仿宋">
    <w:panose1 w:val="02010609060101010101"/>
    <w:charset w:val="86"/>
    <w:family w:val="modern"/>
    <w:pitch w:val="default"/>
    <w:sig w:usb0="800002BF" w:usb1="38CF7CFA" w:usb2="00000016" w:usb3="00000000" w:csb0="00040001" w:csb1="00000000"/>
    <w:embedRegular r:id="rId7" w:fontKey="{1BB46ED5-02F6-475F-BC52-1CBD71F98CA7}"/>
  </w:font>
  <w:font w:name="方正仿宋_GB2312">
    <w:panose1 w:val="02000000000000000000"/>
    <w:charset w:val="86"/>
    <w:family w:val="auto"/>
    <w:pitch w:val="default"/>
    <w:sig w:usb0="A00002BF" w:usb1="184F6CFA" w:usb2="00000012" w:usb3="00000000" w:csb0="00040001" w:csb1="00000000"/>
    <w:embedRegular r:id="rId8" w:fontKey="{02A409A8-5851-4C41-9978-DD10444EA948}"/>
  </w:font>
  <w:font w:name="Ms">
    <w:altName w:val="Segoe Print"/>
    <w:panose1 w:val="00000000000000000000"/>
    <w:charset w:val="00"/>
    <w:family w:val="auto"/>
    <w:pitch w:val="default"/>
    <w:sig w:usb0="00000000" w:usb1="00000000" w:usb2="00000000" w:usb3="00000000" w:csb0="00000000" w:csb1="00000000"/>
    <w:embedRegular r:id="rId9" w:fontKey="{C952B433-8204-417C-AB20-38EEF91194D8}"/>
  </w:font>
  <w:font w:name="Segoe Print">
    <w:panose1 w:val="02000600000000000000"/>
    <w:charset w:val="00"/>
    <w:family w:val="auto"/>
    <w:pitch w:val="default"/>
    <w:sig w:usb0="0000028F" w:usb1="00000000" w:usb2="00000000" w:usb3="00000000" w:csb0="2000009F" w:csb1="47010000"/>
  </w:font>
  <w:font w:name="Miss Sweetie">
    <w:panose1 w:val="02000503000000000000"/>
    <w:charset w:val="00"/>
    <w:family w:val="auto"/>
    <w:pitch w:val="default"/>
    <w:sig w:usb0="00000000" w:usb1="00000000" w:usb2="00000000" w:usb3="00000000" w:csb0="00000001" w:csb1="00000000"/>
    <w:embedRegular r:id="rId10" w:fontKey="{4C3B9989-4FD4-40C6-BA9B-6CB0DF6471FC}"/>
  </w:font>
  <w:font w:name="MS PGothic">
    <w:altName w:val="Meiryo UI"/>
    <w:panose1 w:val="020B0600070205080204"/>
    <w:charset w:val="80"/>
    <w:family w:val="swiss"/>
    <w:pitch w:val="default"/>
    <w:sig w:usb0="00000000" w:usb1="00000000" w:usb2="00000012" w:usb3="00000000" w:csb0="4002009F" w:csb1="DFD70000"/>
    <w:embedRegular r:id="rId11" w:fontKey="{C5556EF7-A7AB-47FC-B22E-28C6531CABCA}"/>
  </w:font>
  <w:font w:name="楷体">
    <w:panose1 w:val="02010609060101010101"/>
    <w:charset w:val="86"/>
    <w:family w:val="modern"/>
    <w:pitch w:val="default"/>
    <w:sig w:usb0="800002BF" w:usb1="38CF7CFA" w:usb2="00000016" w:usb3="00000000" w:csb0="00040001" w:csb1="00000000"/>
    <w:embedRegular r:id="rId12" w:fontKey="{6F009BEF-BC39-4246-AA32-BAAC062BEAF8}"/>
  </w:font>
  <w:font w:name="MS Mincho">
    <w:panose1 w:val="02020609040205080304"/>
    <w:charset w:val="80"/>
    <w:family w:val="modern"/>
    <w:pitch w:val="default"/>
    <w:sig w:usb0="E00002FF" w:usb1="6AC7FDFB" w:usb2="00000012" w:usb3="00000000" w:csb0="4002009F" w:csb1="DFD70000"/>
    <w:embedRegular r:id="rId13" w:fontKey="{47AB31E9-D9E2-4287-B851-32CE96BA7D8B}"/>
  </w:font>
  <w:font w:name="Therese">
    <w:panose1 w:val="00000500000000000000"/>
    <w:charset w:val="00"/>
    <w:family w:val="auto"/>
    <w:pitch w:val="default"/>
    <w:sig w:usb0="20000007" w:usb1="00000000" w:usb2="00000000" w:usb3="00000000" w:csb0="00000193" w:csb1="00000000"/>
    <w:embedRegular r:id="rId14" w:fontKey="{EAE1A07B-FBF9-462D-8638-208579951D1F}"/>
  </w:font>
  <w:font w:name="WPSEMBED2">
    <w:panose1 w:val="02000000000000000000"/>
    <w:charset w:val="86"/>
    <w:family w:val="auto"/>
    <w:pitch w:val="default"/>
    <w:sig w:usb0="A00002BF" w:usb1="184F6CFA" w:usb2="00000012" w:usb3="00000000" w:csb0="00040001" w:csb1="00000000"/>
  </w:font>
  <w:font w:name="WPSEMBED1">
    <w:panose1 w:val="020F0502020204030204"/>
    <w:charset w:val="00"/>
    <w:family w:val="auto"/>
    <w:pitch w:val="default"/>
    <w:sig w:usb0="E10002FF" w:usb1="4000ACFF" w:usb2="00000009" w:usb3="00000000" w:csb0="2000019F" w:csb1="00000000"/>
  </w:font>
  <w:font w:name="WPSEMBED3">
    <w:panose1 w:val="02000503000000000000"/>
    <w:charset w:val="00"/>
    <w:family w:val="auto"/>
    <w:pitch w:val="default"/>
    <w:sig w:usb0="00000000" w:usb1="00000000" w:usb2="00000000" w:usb3="00000000" w:csb0="00000001" w:csb1="00000000"/>
  </w:font>
  <w:font w:name="Meiryo UI">
    <w:panose1 w:val="020B0604030504040204"/>
    <w:charset w:val="80"/>
    <w:family w:val="auto"/>
    <w:pitch w:val="default"/>
    <w:sig w:usb0="E10102FF" w:usb1="EAC7FFFF" w:usb2="00010012" w:usb3="00000000" w:csb0="6002009F" w:csb1="DFD70000"/>
  </w:font>
  <w:font w:name="WPSEMBED5">
    <w:panose1 w:val="02020609040205080304"/>
    <w:charset w:val="80"/>
    <w:family w:val="auto"/>
    <w:pitch w:val="default"/>
    <w:sig w:usb0="E00002FF" w:usb1="6AC7FDFB" w:usb2="00000012" w:usb3="00000000" w:csb0="4002009F" w:csb1="DFD70000"/>
  </w:font>
  <w:font w:name="WPSEMBED6">
    <w:panose1 w:val="00000500000000000000"/>
    <w:charset w:val="00"/>
    <w:family w:val="auto"/>
    <w:pitch w:val="default"/>
    <w:sig w:usb0="20000007" w:usb1="00000000" w:usb2="00000000" w:usb3="00000000" w:csb0="00000193"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07CAB">
    <w:pPr>
      <w:pStyle w:val="10"/>
      <w:jc w:val="center"/>
    </w:pPr>
    <w:r>
      <w:fldChar w:fldCharType="begin"/>
    </w:r>
    <w:r>
      <w:instrText xml:space="preserve"> PAGE   \* MERGEFORMAT </w:instrText>
    </w:r>
    <w:r>
      <w:fldChar w:fldCharType="separate"/>
    </w:r>
    <w:r>
      <w:rPr>
        <w:lang w:val="zh-CN"/>
      </w:rPr>
      <w:t>1</w:t>
    </w:r>
    <w:r>
      <w:fldChar w:fldCharType="end"/>
    </w:r>
  </w:p>
  <w:p w14:paraId="7C95A3C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4851D">
    <w:pPr>
      <w:pStyle w:val="10"/>
      <w:jc w:val="center"/>
    </w:pPr>
    <w:r>
      <w:fldChar w:fldCharType="begin"/>
    </w:r>
    <w:r>
      <w:instrText xml:space="preserve"> PAGE  \* MERGEFORMAT </w:instrText>
    </w:r>
    <w:r>
      <w:fldChar w:fldCharType="separate"/>
    </w:r>
    <w:r>
      <w:t>124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BA89">
    <w:pPr>
      <w:pStyle w:val="10"/>
      <w:jc w:val="center"/>
    </w:pPr>
    <w:r>
      <w:fldChar w:fldCharType="begin"/>
    </w:r>
    <w:r>
      <w:instrText xml:space="preserve"> PAGE   \* MERGEFORMAT </w:instrText>
    </w:r>
    <w:r>
      <w:fldChar w:fldCharType="separate"/>
    </w:r>
    <w:r>
      <w:rPr>
        <w:lang w:val="zh-CN"/>
      </w:rPr>
      <w:t>127</w:t>
    </w:r>
    <w:r>
      <w:fldChar w:fldCharType="end"/>
    </w:r>
  </w:p>
  <w:p w14:paraId="68A8FE0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28F3D">
    <w:pPr>
      <w:pStyle w:val="10"/>
      <w:framePr w:wrap="around" w:vAnchor="text" w:hAnchor="margin" w:xAlign="center" w:y="1"/>
      <w:rPr>
        <w:rStyle w:val="21"/>
      </w:rPr>
    </w:pPr>
    <w:r>
      <w:fldChar w:fldCharType="begin"/>
    </w:r>
    <w:r>
      <w:rPr>
        <w:rStyle w:val="21"/>
      </w:rPr>
      <w:instrText xml:space="preserve">PAGE  </w:instrText>
    </w:r>
    <w:r>
      <w:fldChar w:fldCharType="end"/>
    </w:r>
  </w:p>
  <w:p w14:paraId="1CCF1D55">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383BF">
    <w:pPr>
      <w:pStyle w:val="10"/>
      <w:framePr w:wrap="around" w:vAnchor="text" w:hAnchor="margin" w:xAlign="right" w:y="1"/>
      <w:rPr>
        <w:rStyle w:val="21"/>
      </w:rPr>
    </w:pPr>
    <w:r>
      <w:fldChar w:fldCharType="begin"/>
    </w:r>
    <w:r>
      <w:rPr>
        <w:rStyle w:val="21"/>
      </w:rPr>
      <w:instrText xml:space="preserve">PAGE  </w:instrText>
    </w:r>
    <w:r>
      <w:fldChar w:fldCharType="separate"/>
    </w:r>
    <w:r>
      <w:rPr>
        <w:rStyle w:val="21"/>
      </w:rPr>
      <w:t>122</w:t>
    </w:r>
    <w:r>
      <w:fldChar w:fldCharType="end"/>
    </w:r>
  </w:p>
  <w:p w14:paraId="11B37B15">
    <w:pPr>
      <w:pStyle w:val="10"/>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D1004">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634DA8"/>
    <w:multiLevelType w:val="singleLevel"/>
    <w:tmpl w:val="94634DA8"/>
    <w:lvl w:ilvl="0" w:tentative="0">
      <w:start w:val="1"/>
      <w:numFmt w:val="decimal"/>
      <w:suff w:val="nothing"/>
      <w:lvlText w:val="%1、"/>
      <w:lvlJc w:val="left"/>
    </w:lvl>
  </w:abstractNum>
  <w:abstractNum w:abstractNumId="1">
    <w:nsid w:val="A1F176E8"/>
    <w:multiLevelType w:val="singleLevel"/>
    <w:tmpl w:val="A1F176E8"/>
    <w:lvl w:ilvl="0" w:tentative="0">
      <w:start w:val="16"/>
      <w:numFmt w:val="chineseCounting"/>
      <w:suff w:val="nothing"/>
      <w:lvlText w:val="第%1条　"/>
      <w:lvlJc w:val="left"/>
      <w:rPr>
        <w:rFonts w:hint="eastAsia"/>
      </w:rPr>
    </w:lvl>
  </w:abstractNum>
  <w:abstractNum w:abstractNumId="2">
    <w:nsid w:val="A42E5E69"/>
    <w:multiLevelType w:val="singleLevel"/>
    <w:tmpl w:val="A42E5E69"/>
    <w:lvl w:ilvl="0" w:tentative="0">
      <w:start w:val="1"/>
      <w:numFmt w:val="decimal"/>
      <w:suff w:val="nothing"/>
      <w:lvlText w:val="%1．"/>
      <w:lvlJc w:val="left"/>
      <w:pPr>
        <w:ind w:left="0" w:firstLine="400"/>
      </w:pPr>
      <w:rPr>
        <w:rFonts w:hint="default"/>
      </w:rPr>
    </w:lvl>
  </w:abstractNum>
  <w:abstractNum w:abstractNumId="3">
    <w:nsid w:val="AA11D75F"/>
    <w:multiLevelType w:val="singleLevel"/>
    <w:tmpl w:val="AA11D75F"/>
    <w:lvl w:ilvl="0" w:tentative="0">
      <w:start w:val="1"/>
      <w:numFmt w:val="decimal"/>
      <w:suff w:val="nothing"/>
      <w:lvlText w:val="%1．"/>
      <w:lvlJc w:val="left"/>
      <w:pPr>
        <w:ind w:left="0" w:firstLine="400"/>
      </w:pPr>
      <w:rPr>
        <w:rFonts w:hint="default"/>
      </w:rPr>
    </w:lvl>
  </w:abstractNum>
  <w:abstractNum w:abstractNumId="4">
    <w:nsid w:val="C386B301"/>
    <w:multiLevelType w:val="singleLevel"/>
    <w:tmpl w:val="C386B301"/>
    <w:lvl w:ilvl="0" w:tentative="0">
      <w:start w:val="1"/>
      <w:numFmt w:val="decimal"/>
      <w:suff w:val="nothing"/>
      <w:lvlText w:val="%1．"/>
      <w:lvlJc w:val="left"/>
      <w:pPr>
        <w:ind w:left="0" w:firstLine="400"/>
      </w:pPr>
      <w:rPr>
        <w:rFonts w:hint="default"/>
      </w:rPr>
    </w:lvl>
  </w:abstractNum>
  <w:abstractNum w:abstractNumId="5">
    <w:nsid w:val="C9BDA2A6"/>
    <w:multiLevelType w:val="singleLevel"/>
    <w:tmpl w:val="C9BDA2A6"/>
    <w:lvl w:ilvl="0" w:tentative="0">
      <w:start w:val="1"/>
      <w:numFmt w:val="decimal"/>
      <w:suff w:val="nothing"/>
      <w:lvlText w:val="%1．"/>
      <w:lvlJc w:val="left"/>
      <w:pPr>
        <w:ind w:left="0" w:firstLine="400"/>
      </w:pPr>
      <w:rPr>
        <w:rFonts w:hint="default"/>
      </w:rPr>
    </w:lvl>
  </w:abstractNum>
  <w:abstractNum w:abstractNumId="6">
    <w:nsid w:val="D85E5271"/>
    <w:multiLevelType w:val="singleLevel"/>
    <w:tmpl w:val="D85E5271"/>
    <w:lvl w:ilvl="0" w:tentative="0">
      <w:start w:val="1"/>
      <w:numFmt w:val="decimal"/>
      <w:suff w:val="nothing"/>
      <w:lvlText w:val="%1．"/>
      <w:lvlJc w:val="left"/>
      <w:pPr>
        <w:ind w:left="0" w:firstLine="400"/>
      </w:pPr>
      <w:rPr>
        <w:rFonts w:hint="default"/>
      </w:rPr>
    </w:lvl>
  </w:abstractNum>
  <w:abstractNum w:abstractNumId="7">
    <w:nsid w:val="DC3C4FD3"/>
    <w:multiLevelType w:val="singleLevel"/>
    <w:tmpl w:val="DC3C4FD3"/>
    <w:lvl w:ilvl="0" w:tentative="0">
      <w:start w:val="1"/>
      <w:numFmt w:val="decimal"/>
      <w:suff w:val="nothing"/>
      <w:lvlText w:val="（%1）"/>
      <w:lvlJc w:val="left"/>
    </w:lvl>
  </w:abstractNum>
  <w:abstractNum w:abstractNumId="8">
    <w:nsid w:val="DFBE6132"/>
    <w:multiLevelType w:val="singleLevel"/>
    <w:tmpl w:val="DFBE6132"/>
    <w:lvl w:ilvl="0" w:tentative="0">
      <w:start w:val="1"/>
      <w:numFmt w:val="decimal"/>
      <w:suff w:val="nothing"/>
      <w:lvlText w:val="%1．"/>
      <w:lvlJc w:val="left"/>
      <w:pPr>
        <w:ind w:left="0" w:firstLine="400"/>
      </w:pPr>
      <w:rPr>
        <w:rFonts w:hint="default"/>
      </w:rPr>
    </w:lvl>
  </w:abstractNum>
  <w:abstractNum w:abstractNumId="9">
    <w:nsid w:val="E69BFE6F"/>
    <w:multiLevelType w:val="singleLevel"/>
    <w:tmpl w:val="E69BFE6F"/>
    <w:lvl w:ilvl="0" w:tentative="0">
      <w:start w:val="1"/>
      <w:numFmt w:val="decimal"/>
      <w:suff w:val="nothing"/>
      <w:lvlText w:val="%1．"/>
      <w:lvlJc w:val="left"/>
      <w:pPr>
        <w:ind w:left="0" w:firstLine="400"/>
      </w:pPr>
      <w:rPr>
        <w:rFonts w:hint="default"/>
      </w:rPr>
    </w:lvl>
  </w:abstractNum>
  <w:abstractNum w:abstractNumId="10">
    <w:nsid w:val="ED64C85C"/>
    <w:multiLevelType w:val="singleLevel"/>
    <w:tmpl w:val="ED64C85C"/>
    <w:lvl w:ilvl="0" w:tentative="0">
      <w:start w:val="1"/>
      <w:numFmt w:val="decimal"/>
      <w:suff w:val="nothing"/>
      <w:lvlText w:val="%1．"/>
      <w:lvlJc w:val="left"/>
      <w:pPr>
        <w:ind w:left="0" w:firstLine="400"/>
      </w:pPr>
      <w:rPr>
        <w:rFonts w:hint="default"/>
      </w:rPr>
    </w:lvl>
  </w:abstractNum>
  <w:abstractNum w:abstractNumId="11">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2">
    <w:nsid w:val="0000000A"/>
    <w:multiLevelType w:val="multilevel"/>
    <w:tmpl w:val="0000000A"/>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13">
    <w:nsid w:val="34444808"/>
    <w:multiLevelType w:val="multilevel"/>
    <w:tmpl w:val="34444808"/>
    <w:lvl w:ilvl="0" w:tentative="0">
      <w:start w:val="1"/>
      <w:numFmt w:val="decimal"/>
      <w:lvlText w:val="%1、"/>
      <w:lvlJc w:val="left"/>
      <w:pPr>
        <w:ind w:left="660" w:hanging="360"/>
      </w:pPr>
      <w:rPr>
        <w:rFonts w:hint="default"/>
      </w:r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14">
    <w:nsid w:val="3A15ACD7"/>
    <w:multiLevelType w:val="singleLevel"/>
    <w:tmpl w:val="3A15ACD7"/>
    <w:lvl w:ilvl="0" w:tentative="0">
      <w:start w:val="1"/>
      <w:numFmt w:val="decimal"/>
      <w:suff w:val="nothing"/>
      <w:lvlText w:val="%1．"/>
      <w:lvlJc w:val="left"/>
      <w:pPr>
        <w:ind w:left="0" w:firstLine="400"/>
      </w:pPr>
      <w:rPr>
        <w:rFonts w:hint="default"/>
      </w:rPr>
    </w:lvl>
  </w:abstractNum>
  <w:abstractNum w:abstractNumId="15">
    <w:nsid w:val="41367BD3"/>
    <w:multiLevelType w:val="multilevel"/>
    <w:tmpl w:val="41367BD3"/>
    <w:lvl w:ilvl="0" w:tentative="0">
      <w:start w:val="6"/>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4F7A8AF"/>
    <w:multiLevelType w:val="singleLevel"/>
    <w:tmpl w:val="44F7A8AF"/>
    <w:lvl w:ilvl="0" w:tentative="0">
      <w:start w:val="1"/>
      <w:numFmt w:val="decimal"/>
      <w:suff w:val="nothing"/>
      <w:lvlText w:val="%1．"/>
      <w:lvlJc w:val="left"/>
      <w:pPr>
        <w:ind w:left="0" w:firstLine="400"/>
      </w:pPr>
      <w:rPr>
        <w:rFonts w:hint="default"/>
      </w:rPr>
    </w:lvl>
  </w:abstractNum>
  <w:abstractNum w:abstractNumId="17">
    <w:nsid w:val="51536378"/>
    <w:multiLevelType w:val="singleLevel"/>
    <w:tmpl w:val="51536378"/>
    <w:lvl w:ilvl="0" w:tentative="0">
      <w:start w:val="1"/>
      <w:numFmt w:val="decimal"/>
      <w:suff w:val="nothing"/>
      <w:lvlText w:val="（%1）"/>
      <w:lvlJc w:val="left"/>
      <w:pPr>
        <w:ind w:left="0" w:firstLine="0"/>
      </w:pPr>
    </w:lvl>
  </w:abstractNum>
  <w:abstractNum w:abstractNumId="18">
    <w:nsid w:val="52C68C80"/>
    <w:multiLevelType w:val="singleLevel"/>
    <w:tmpl w:val="52C68C80"/>
    <w:lvl w:ilvl="0" w:tentative="0">
      <w:start w:val="1"/>
      <w:numFmt w:val="decimal"/>
      <w:suff w:val="nothing"/>
      <w:lvlText w:val="%1．"/>
      <w:lvlJc w:val="left"/>
      <w:pPr>
        <w:ind w:left="0" w:firstLine="400"/>
      </w:pPr>
      <w:rPr>
        <w:rFonts w:hint="default"/>
      </w:rPr>
    </w:lvl>
  </w:abstractNum>
  <w:abstractNum w:abstractNumId="19">
    <w:nsid w:val="683F32DB"/>
    <w:multiLevelType w:val="singleLevel"/>
    <w:tmpl w:val="683F32DB"/>
    <w:lvl w:ilvl="0" w:tentative="0">
      <w:start w:val="1"/>
      <w:numFmt w:val="decimal"/>
      <w:lvlText w:val="%1."/>
      <w:lvlJc w:val="left"/>
      <w:pPr>
        <w:tabs>
          <w:tab w:val="left" w:pos="312"/>
        </w:tabs>
      </w:pPr>
    </w:lvl>
  </w:abstractNum>
  <w:abstractNum w:abstractNumId="20">
    <w:nsid w:val="72962756"/>
    <w:multiLevelType w:val="multilevel"/>
    <w:tmpl w:val="7296275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num w:numId="1">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7"/>
  </w:num>
  <w:num w:numId="4">
    <w:abstractNumId w:val="17"/>
    <w:lvlOverride w:ilvl="0">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0"/>
  </w:num>
  <w:num w:numId="9">
    <w:abstractNumId w:val="9"/>
  </w:num>
  <w:num w:numId="10">
    <w:abstractNumId w:val="6"/>
  </w:num>
  <w:num w:numId="11">
    <w:abstractNumId w:val="8"/>
  </w:num>
  <w:num w:numId="12">
    <w:abstractNumId w:val="3"/>
  </w:num>
  <w:num w:numId="13">
    <w:abstractNumId w:val="16"/>
  </w:num>
  <w:num w:numId="14">
    <w:abstractNumId w:val="2"/>
  </w:num>
  <w:num w:numId="15">
    <w:abstractNumId w:val="14"/>
  </w:num>
  <w:num w:numId="16">
    <w:abstractNumId w:val="4"/>
  </w:num>
  <w:num w:numId="17">
    <w:abstractNumId w:val="1"/>
  </w:num>
  <w:num w:numId="18">
    <w:abstractNumId w:val="18"/>
  </w:num>
  <w:num w:numId="19">
    <w:abstractNumId w:val="0"/>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iZjk3NGYwNWRhYjIxM2Y2NzQxMmRhOTI3MWVhMzAifQ=="/>
  </w:docVars>
  <w:rsids>
    <w:rsidRoot w:val="64AD79B6"/>
    <w:rsid w:val="000B21EB"/>
    <w:rsid w:val="0023361C"/>
    <w:rsid w:val="00262784"/>
    <w:rsid w:val="003A0AD2"/>
    <w:rsid w:val="005831B3"/>
    <w:rsid w:val="005E3129"/>
    <w:rsid w:val="006B46C4"/>
    <w:rsid w:val="007006BC"/>
    <w:rsid w:val="007630D7"/>
    <w:rsid w:val="008A73FD"/>
    <w:rsid w:val="008F5F00"/>
    <w:rsid w:val="00994B64"/>
    <w:rsid w:val="00D830C9"/>
    <w:rsid w:val="00DA7A37"/>
    <w:rsid w:val="00E20C80"/>
    <w:rsid w:val="013A4B29"/>
    <w:rsid w:val="016135C8"/>
    <w:rsid w:val="01675739"/>
    <w:rsid w:val="01C13DA7"/>
    <w:rsid w:val="020D1D77"/>
    <w:rsid w:val="025949D7"/>
    <w:rsid w:val="02813C8E"/>
    <w:rsid w:val="02E90F3A"/>
    <w:rsid w:val="03040BE9"/>
    <w:rsid w:val="03313C02"/>
    <w:rsid w:val="03D068D0"/>
    <w:rsid w:val="04FF212C"/>
    <w:rsid w:val="053C512E"/>
    <w:rsid w:val="06336531"/>
    <w:rsid w:val="06E343AC"/>
    <w:rsid w:val="06FA74CE"/>
    <w:rsid w:val="071B5E3E"/>
    <w:rsid w:val="075C0A70"/>
    <w:rsid w:val="07801673"/>
    <w:rsid w:val="07A7031D"/>
    <w:rsid w:val="08327ECF"/>
    <w:rsid w:val="098B738A"/>
    <w:rsid w:val="09F579B7"/>
    <w:rsid w:val="0AF3628F"/>
    <w:rsid w:val="0B316DB7"/>
    <w:rsid w:val="0B9E7D4E"/>
    <w:rsid w:val="0BEC6012"/>
    <w:rsid w:val="0C5117A6"/>
    <w:rsid w:val="0C985340"/>
    <w:rsid w:val="0D203B55"/>
    <w:rsid w:val="0DC3019B"/>
    <w:rsid w:val="0DFD619F"/>
    <w:rsid w:val="0F576731"/>
    <w:rsid w:val="0FE8236A"/>
    <w:rsid w:val="10A32D7E"/>
    <w:rsid w:val="10C04292"/>
    <w:rsid w:val="11965BC6"/>
    <w:rsid w:val="123C676E"/>
    <w:rsid w:val="12B66520"/>
    <w:rsid w:val="12CD79BC"/>
    <w:rsid w:val="12D469A6"/>
    <w:rsid w:val="136E6592"/>
    <w:rsid w:val="138E1B40"/>
    <w:rsid w:val="13BA5B9C"/>
    <w:rsid w:val="13E7095B"/>
    <w:rsid w:val="15067F9A"/>
    <w:rsid w:val="1534197E"/>
    <w:rsid w:val="169B185F"/>
    <w:rsid w:val="16BA3D6A"/>
    <w:rsid w:val="16C3674E"/>
    <w:rsid w:val="177E6FB3"/>
    <w:rsid w:val="179B3E73"/>
    <w:rsid w:val="1821451A"/>
    <w:rsid w:val="189D00F6"/>
    <w:rsid w:val="18B96776"/>
    <w:rsid w:val="18CF2E44"/>
    <w:rsid w:val="19917063"/>
    <w:rsid w:val="19F96418"/>
    <w:rsid w:val="1A405E98"/>
    <w:rsid w:val="1ADF5B23"/>
    <w:rsid w:val="1AF17D11"/>
    <w:rsid w:val="1C7E55CF"/>
    <w:rsid w:val="1CDF128A"/>
    <w:rsid w:val="1E323653"/>
    <w:rsid w:val="1E6D7CAF"/>
    <w:rsid w:val="1E8900C8"/>
    <w:rsid w:val="1EEC6AAF"/>
    <w:rsid w:val="1EF44C0A"/>
    <w:rsid w:val="1F8D1CC6"/>
    <w:rsid w:val="202B2A83"/>
    <w:rsid w:val="206C46C2"/>
    <w:rsid w:val="20F163A4"/>
    <w:rsid w:val="212925B3"/>
    <w:rsid w:val="214C05FE"/>
    <w:rsid w:val="2156503C"/>
    <w:rsid w:val="215C0EF4"/>
    <w:rsid w:val="224A6E8D"/>
    <w:rsid w:val="22AC092D"/>
    <w:rsid w:val="22E83DA8"/>
    <w:rsid w:val="236A6F74"/>
    <w:rsid w:val="23AB5501"/>
    <w:rsid w:val="23D305B4"/>
    <w:rsid w:val="24967286"/>
    <w:rsid w:val="249957D7"/>
    <w:rsid w:val="24C820E3"/>
    <w:rsid w:val="250273A3"/>
    <w:rsid w:val="255907B5"/>
    <w:rsid w:val="256202A5"/>
    <w:rsid w:val="258B383C"/>
    <w:rsid w:val="25C603D0"/>
    <w:rsid w:val="26086C3B"/>
    <w:rsid w:val="27196C26"/>
    <w:rsid w:val="278F441B"/>
    <w:rsid w:val="28013FBB"/>
    <w:rsid w:val="28131319"/>
    <w:rsid w:val="28A05971"/>
    <w:rsid w:val="296E789C"/>
    <w:rsid w:val="29E3458A"/>
    <w:rsid w:val="2D656721"/>
    <w:rsid w:val="2DC1144A"/>
    <w:rsid w:val="2DC31DAF"/>
    <w:rsid w:val="2DCC2611"/>
    <w:rsid w:val="2E065C40"/>
    <w:rsid w:val="2E393162"/>
    <w:rsid w:val="2E5A555F"/>
    <w:rsid w:val="2F4036AC"/>
    <w:rsid w:val="2FD96CBA"/>
    <w:rsid w:val="30AE3B50"/>
    <w:rsid w:val="30F90FEB"/>
    <w:rsid w:val="315973DA"/>
    <w:rsid w:val="320D019B"/>
    <w:rsid w:val="328E4A8F"/>
    <w:rsid w:val="33CE4884"/>
    <w:rsid w:val="343A42BF"/>
    <w:rsid w:val="34D75B8D"/>
    <w:rsid w:val="35943644"/>
    <w:rsid w:val="35E06546"/>
    <w:rsid w:val="3623361D"/>
    <w:rsid w:val="37256F21"/>
    <w:rsid w:val="373E1FED"/>
    <w:rsid w:val="37CB1054"/>
    <w:rsid w:val="38752E7D"/>
    <w:rsid w:val="387D5F26"/>
    <w:rsid w:val="39C12F31"/>
    <w:rsid w:val="3A041722"/>
    <w:rsid w:val="3A11163F"/>
    <w:rsid w:val="3A761D8E"/>
    <w:rsid w:val="3BAC33D4"/>
    <w:rsid w:val="3BE85519"/>
    <w:rsid w:val="3C26613B"/>
    <w:rsid w:val="3CCD6C33"/>
    <w:rsid w:val="3D9723E7"/>
    <w:rsid w:val="3DC87EDE"/>
    <w:rsid w:val="3E2B12C1"/>
    <w:rsid w:val="3EED47C8"/>
    <w:rsid w:val="3F95173B"/>
    <w:rsid w:val="40817955"/>
    <w:rsid w:val="41065AEE"/>
    <w:rsid w:val="41A5138A"/>
    <w:rsid w:val="41D6036C"/>
    <w:rsid w:val="4247145B"/>
    <w:rsid w:val="430238BB"/>
    <w:rsid w:val="439671DC"/>
    <w:rsid w:val="44586B88"/>
    <w:rsid w:val="45C72B3E"/>
    <w:rsid w:val="46400721"/>
    <w:rsid w:val="46603AD2"/>
    <w:rsid w:val="46624DF1"/>
    <w:rsid w:val="467767AB"/>
    <w:rsid w:val="46A77952"/>
    <w:rsid w:val="46E6039D"/>
    <w:rsid w:val="485926EB"/>
    <w:rsid w:val="487D6BBD"/>
    <w:rsid w:val="48835E40"/>
    <w:rsid w:val="4922756D"/>
    <w:rsid w:val="49FA008C"/>
    <w:rsid w:val="4A92782B"/>
    <w:rsid w:val="4B145FCB"/>
    <w:rsid w:val="4B186B05"/>
    <w:rsid w:val="4B46598C"/>
    <w:rsid w:val="4B6F1B38"/>
    <w:rsid w:val="4B6F6E49"/>
    <w:rsid w:val="4C12445C"/>
    <w:rsid w:val="4C337B43"/>
    <w:rsid w:val="4C5A1FF7"/>
    <w:rsid w:val="4C6753F2"/>
    <w:rsid w:val="4CA5340D"/>
    <w:rsid w:val="4CE4720A"/>
    <w:rsid w:val="4D5D6FBD"/>
    <w:rsid w:val="4D8C1650"/>
    <w:rsid w:val="4DF92A0A"/>
    <w:rsid w:val="4F1A33B7"/>
    <w:rsid w:val="502F2E92"/>
    <w:rsid w:val="50C3182D"/>
    <w:rsid w:val="50E76A22"/>
    <w:rsid w:val="51355098"/>
    <w:rsid w:val="517A35F0"/>
    <w:rsid w:val="518800BF"/>
    <w:rsid w:val="51907240"/>
    <w:rsid w:val="52617FC4"/>
    <w:rsid w:val="52F43F1F"/>
    <w:rsid w:val="537449FC"/>
    <w:rsid w:val="547C5F7A"/>
    <w:rsid w:val="54C92123"/>
    <w:rsid w:val="55A06B88"/>
    <w:rsid w:val="563A60ED"/>
    <w:rsid w:val="568C5477"/>
    <w:rsid w:val="57672F12"/>
    <w:rsid w:val="57990273"/>
    <w:rsid w:val="581874DD"/>
    <w:rsid w:val="59534961"/>
    <w:rsid w:val="595B6AA6"/>
    <w:rsid w:val="595E7F4F"/>
    <w:rsid w:val="596876B2"/>
    <w:rsid w:val="59D57692"/>
    <w:rsid w:val="5A2F7F4E"/>
    <w:rsid w:val="5AD60E1E"/>
    <w:rsid w:val="5B251D2C"/>
    <w:rsid w:val="5BEC7C63"/>
    <w:rsid w:val="5C050F4B"/>
    <w:rsid w:val="5C9E492E"/>
    <w:rsid w:val="5D267383"/>
    <w:rsid w:val="5D752101"/>
    <w:rsid w:val="5E115985"/>
    <w:rsid w:val="5E257683"/>
    <w:rsid w:val="5E527E8C"/>
    <w:rsid w:val="5E8E5228"/>
    <w:rsid w:val="5E937857"/>
    <w:rsid w:val="5F583B22"/>
    <w:rsid w:val="5F6366B5"/>
    <w:rsid w:val="5F6B5569"/>
    <w:rsid w:val="5F8A409D"/>
    <w:rsid w:val="5FC34740"/>
    <w:rsid w:val="60512DA2"/>
    <w:rsid w:val="60624BBE"/>
    <w:rsid w:val="60966616"/>
    <w:rsid w:val="61CD6067"/>
    <w:rsid w:val="61F41C83"/>
    <w:rsid w:val="627241F3"/>
    <w:rsid w:val="630A5099"/>
    <w:rsid w:val="639A641D"/>
    <w:rsid w:val="63A20F30"/>
    <w:rsid w:val="642D0164"/>
    <w:rsid w:val="644D7933"/>
    <w:rsid w:val="64A532CB"/>
    <w:rsid w:val="64AD79B6"/>
    <w:rsid w:val="650035F4"/>
    <w:rsid w:val="65075D34"/>
    <w:rsid w:val="65A66BFD"/>
    <w:rsid w:val="65A74E21"/>
    <w:rsid w:val="65CB0B10"/>
    <w:rsid w:val="666540FE"/>
    <w:rsid w:val="66B91F79"/>
    <w:rsid w:val="66F519F6"/>
    <w:rsid w:val="67900423"/>
    <w:rsid w:val="68016A6B"/>
    <w:rsid w:val="68B62288"/>
    <w:rsid w:val="68C55A0F"/>
    <w:rsid w:val="6AB701CA"/>
    <w:rsid w:val="6AF74155"/>
    <w:rsid w:val="6B0D3978"/>
    <w:rsid w:val="6B482C03"/>
    <w:rsid w:val="6BD6628C"/>
    <w:rsid w:val="6BDB7A24"/>
    <w:rsid w:val="6C027425"/>
    <w:rsid w:val="6CD54AF6"/>
    <w:rsid w:val="6CE93F71"/>
    <w:rsid w:val="6D513FF0"/>
    <w:rsid w:val="6D5779A6"/>
    <w:rsid w:val="6D5835D1"/>
    <w:rsid w:val="6D91423F"/>
    <w:rsid w:val="6E1C6B08"/>
    <w:rsid w:val="6E9879FD"/>
    <w:rsid w:val="6EDB68A7"/>
    <w:rsid w:val="6F0D066A"/>
    <w:rsid w:val="6F35349E"/>
    <w:rsid w:val="6FC57A0E"/>
    <w:rsid w:val="702A0361"/>
    <w:rsid w:val="70B96158"/>
    <w:rsid w:val="70CC1689"/>
    <w:rsid w:val="710D3D44"/>
    <w:rsid w:val="715533A3"/>
    <w:rsid w:val="71564587"/>
    <w:rsid w:val="717F3A40"/>
    <w:rsid w:val="71922E29"/>
    <w:rsid w:val="72376466"/>
    <w:rsid w:val="728A50C8"/>
    <w:rsid w:val="73125FD0"/>
    <w:rsid w:val="736101DB"/>
    <w:rsid w:val="73E2428B"/>
    <w:rsid w:val="743323A8"/>
    <w:rsid w:val="743957DE"/>
    <w:rsid w:val="74D13C69"/>
    <w:rsid w:val="74F811F5"/>
    <w:rsid w:val="75E8126A"/>
    <w:rsid w:val="76123CD5"/>
    <w:rsid w:val="764B5A65"/>
    <w:rsid w:val="768674F2"/>
    <w:rsid w:val="7697757F"/>
    <w:rsid w:val="76A84578"/>
    <w:rsid w:val="76D338D8"/>
    <w:rsid w:val="774E70C6"/>
    <w:rsid w:val="775F37AE"/>
    <w:rsid w:val="77601818"/>
    <w:rsid w:val="779D7B79"/>
    <w:rsid w:val="79773031"/>
    <w:rsid w:val="799C7F60"/>
    <w:rsid w:val="7A395141"/>
    <w:rsid w:val="7AB36AA2"/>
    <w:rsid w:val="7ADD3A1B"/>
    <w:rsid w:val="7BA774D1"/>
    <w:rsid w:val="7BE60184"/>
    <w:rsid w:val="7C120DEF"/>
    <w:rsid w:val="7C6E38E0"/>
    <w:rsid w:val="7D00333D"/>
    <w:rsid w:val="7D034BDB"/>
    <w:rsid w:val="7D1D1D53"/>
    <w:rsid w:val="7E946FE7"/>
    <w:rsid w:val="7F0C34D6"/>
    <w:rsid w:val="7F0F57F2"/>
    <w:rsid w:val="7F2E04BA"/>
    <w:rsid w:val="7F3C6183"/>
    <w:rsid w:val="7F5B2AAD"/>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99"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qFormat/>
    <w:uiPriority w:val="0"/>
    <w:pPr>
      <w:spacing w:line="360" w:lineRule="auto"/>
      <w:jc w:val="center"/>
      <w:outlineLvl w:val="2"/>
    </w:pPr>
    <w:rPr>
      <w:rFonts w:ascii="Calibri" w:hAnsi="Calibri"/>
      <w:b/>
      <w:sz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lock Text"/>
    <w:basedOn w:val="1"/>
    <w:qFormat/>
    <w:uiPriority w:val="0"/>
    <w:pPr>
      <w:ind w:left="1440" w:leftChars="700" w:right="700" w:rightChars="700"/>
    </w:pPr>
  </w:style>
  <w:style w:type="paragraph" w:styleId="4">
    <w:name w:val="Normal Indent"/>
    <w:basedOn w:val="1"/>
    <w:qFormat/>
    <w:uiPriority w:val="0"/>
    <w:pPr>
      <w:ind w:firstLine="420" w:firstLineChars="200"/>
    </w:pPr>
    <w:rPr>
      <w:sz w:val="32"/>
      <w:szCs w:val="32"/>
    </w:rPr>
  </w:style>
  <w:style w:type="paragraph" w:styleId="5">
    <w:name w:val="annotation text"/>
    <w:basedOn w:val="1"/>
    <w:qFormat/>
    <w:uiPriority w:val="0"/>
    <w:pPr>
      <w:jc w:val="left"/>
    </w:pPr>
  </w:style>
  <w:style w:type="paragraph" w:styleId="6">
    <w:name w:val="Body Text"/>
    <w:basedOn w:val="1"/>
    <w:next w:val="1"/>
    <w:link w:val="26"/>
    <w:unhideWhenUsed/>
    <w:qFormat/>
    <w:uiPriority w:val="0"/>
    <w:pPr>
      <w:spacing w:after="120"/>
    </w:pPr>
  </w:style>
  <w:style w:type="paragraph" w:styleId="7">
    <w:name w:val="Body Text Indent"/>
    <w:basedOn w:val="1"/>
    <w:qFormat/>
    <w:uiPriority w:val="0"/>
    <w:pPr>
      <w:spacing w:line="200" w:lineRule="exact"/>
      <w:ind w:firstLine="301"/>
    </w:pPr>
    <w:rPr>
      <w:rFonts w:ascii="宋体" w:hAnsi="Courier New"/>
      <w:spacing w:val="-4"/>
      <w:sz w:val="18"/>
      <w:szCs w:val="20"/>
    </w:rPr>
  </w:style>
  <w:style w:type="paragraph" w:styleId="8">
    <w:name w:val="toc 3"/>
    <w:basedOn w:val="1"/>
    <w:next w:val="1"/>
    <w:qFormat/>
    <w:uiPriority w:val="0"/>
    <w:pPr>
      <w:ind w:left="840" w:leftChars="400"/>
    </w:pPr>
  </w:style>
  <w:style w:type="paragraph" w:styleId="9">
    <w:name w:val="Plain Text"/>
    <w:basedOn w:val="1"/>
    <w:qFormat/>
    <w:uiPriority w:val="0"/>
    <w:rPr>
      <w:rFonts w:ascii="宋体" w:hAnsi="Courier New"/>
      <w:kern w:val="0"/>
      <w:sz w:val="20"/>
      <w:szCs w:val="21"/>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style>
  <w:style w:type="paragraph" w:styleId="13">
    <w:name w:val="toc 6"/>
    <w:basedOn w:val="1"/>
    <w:next w:val="1"/>
    <w:semiHidden/>
    <w:qFormat/>
    <w:uiPriority w:val="99"/>
    <w:pPr>
      <w:ind w:left="2100" w:leftChars="1000"/>
    </w:pPr>
  </w:style>
  <w:style w:type="paragraph" w:styleId="14">
    <w:name w:val="table of figures"/>
    <w:basedOn w:val="1"/>
    <w:next w:val="1"/>
    <w:qFormat/>
    <w:uiPriority w:val="0"/>
    <w:pPr>
      <w:ind w:left="200" w:leftChars="200" w:hanging="200" w:hangingChars="200"/>
    </w:pPr>
  </w:style>
  <w:style w:type="paragraph" w:styleId="15">
    <w:name w:val="toc 2"/>
    <w:basedOn w:val="1"/>
    <w:next w:val="1"/>
    <w:qFormat/>
    <w:uiPriority w:val="0"/>
    <w:pPr>
      <w:ind w:left="420" w:leftChars="200"/>
    </w:pPr>
  </w:style>
  <w:style w:type="paragraph" w:styleId="16">
    <w:name w:val="Normal (Web)"/>
    <w:basedOn w:val="1"/>
    <w:qFormat/>
    <w:uiPriority w:val="99"/>
    <w:pPr>
      <w:widowControl/>
      <w:spacing w:before="100" w:beforeAutospacing="1" w:after="100" w:afterAutospacing="1"/>
      <w:jc w:val="left"/>
    </w:pPr>
    <w:rPr>
      <w:rFonts w:hint="eastAsia" w:ascii="宋体" w:hAnsi="宋体"/>
      <w:kern w:val="0"/>
      <w:sz w:val="24"/>
    </w:rPr>
  </w:style>
  <w:style w:type="paragraph" w:styleId="17">
    <w:name w:val="Body Text First Indent"/>
    <w:basedOn w:val="6"/>
    <w:next w:val="13"/>
    <w:unhideWhenUsed/>
    <w:qFormat/>
    <w:uiPriority w:val="0"/>
    <w:pPr>
      <w:ind w:firstLine="420" w:firstLineChars="100"/>
    </w:pPr>
    <w:rPr>
      <w:rFonts w:ascii="Calibri" w:hAnsi="Calibri"/>
    </w:rPr>
  </w:style>
  <w:style w:type="paragraph" w:styleId="18">
    <w:name w:val="Body Text First Indent 2"/>
    <w:basedOn w:val="7"/>
    <w:next w:val="1"/>
    <w:qFormat/>
    <w:uiPriority w:val="0"/>
    <w:pPr>
      <w:spacing w:line="360" w:lineRule="auto"/>
      <w:ind w:firstLine="0"/>
    </w:pPr>
    <w:rPr>
      <w:sz w:val="24"/>
    </w:rPr>
  </w:style>
  <w:style w:type="character" w:styleId="21">
    <w:name w:val="page number"/>
    <w:qFormat/>
    <w:uiPriority w:val="0"/>
  </w:style>
  <w:style w:type="paragraph" w:customStyle="1" w:styleId="22">
    <w:name w:val="正文 A"/>
    <w:qFormat/>
    <w:uiPriority w:val="99"/>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23">
    <w:name w:val="Default"/>
    <w:basedOn w:val="24"/>
    <w:qFormat/>
    <w:uiPriority w:val="0"/>
    <w:pPr>
      <w:autoSpaceDE w:val="0"/>
      <w:autoSpaceDN w:val="0"/>
      <w:adjustRightInd w:val="0"/>
    </w:pPr>
    <w:rPr>
      <w:color w:val="000000"/>
      <w:sz w:val="24"/>
      <w:szCs w:val="24"/>
    </w:rPr>
  </w:style>
  <w:style w:type="paragraph" w:customStyle="1" w:styleId="24">
    <w:name w:val="纯文本1"/>
    <w:basedOn w:val="1"/>
    <w:qFormat/>
    <w:uiPriority w:val="0"/>
    <w:rPr>
      <w:rFonts w:ascii="宋体" w:hAnsi="Courier New"/>
      <w:szCs w:val="20"/>
    </w:rPr>
  </w:style>
  <w:style w:type="paragraph" w:styleId="25">
    <w:name w:val="List Paragraph"/>
    <w:basedOn w:val="1"/>
    <w:qFormat/>
    <w:uiPriority w:val="34"/>
    <w:pPr>
      <w:ind w:firstLine="420" w:firstLineChars="200"/>
    </w:pPr>
  </w:style>
  <w:style w:type="character" w:customStyle="1" w:styleId="26">
    <w:name w:val="正文文本 字符"/>
    <w:basedOn w:val="20"/>
    <w:link w:val="6"/>
    <w:qFormat/>
    <w:uiPriority w:val="0"/>
    <w:rPr>
      <w:rFonts w:hint="default" w:ascii="Times New Roman" w:hAnsi="Times New Roman" w:eastAsia="宋体" w:cs="Times New Roman"/>
      <w:szCs w:val="21"/>
    </w:rPr>
  </w:style>
  <w:style w:type="character" w:customStyle="1" w:styleId="27">
    <w:name w:val="纯文本 字符"/>
    <w:qFormat/>
    <w:uiPriority w:val="0"/>
    <w:rPr>
      <w:rFonts w:ascii="宋体" w:hAnsi="Courier New"/>
      <w:kern w:val="2"/>
      <w:sz w:val="21"/>
    </w:rPr>
  </w:style>
  <w:style w:type="paragraph" w:customStyle="1" w:styleId="28">
    <w:name w:val="Table Text"/>
    <w:basedOn w:val="1"/>
    <w:semiHidden/>
    <w:qFormat/>
    <w:uiPriority w:val="0"/>
    <w:rPr>
      <w:rFonts w:ascii="方正仿宋_GBK" w:hAnsi="方正仿宋_GBK" w:eastAsia="方正仿宋_GBK" w:cs="方正仿宋_GBK"/>
      <w:sz w:val="31"/>
      <w:szCs w:val="31"/>
      <w:lang w:val="en-US" w:eastAsia="en-US" w:bidi="ar-SA"/>
    </w:rPr>
  </w:style>
  <w:style w:type="paragraph" w:customStyle="1" w:styleId="29">
    <w:name w:val="Table Paragraph"/>
    <w:basedOn w:val="1"/>
    <w:qFormat/>
    <w:uiPriority w:val="1"/>
    <w:pPr>
      <w:jc w:val="left"/>
    </w:pPr>
    <w:rPr>
      <w:rFonts w:ascii="Times New Roman" w:hAnsi="Times New Roman" w:eastAsia="宋体" w:cs="Times New Roman"/>
      <w:kern w:val="0"/>
      <w:sz w:val="22"/>
      <w:szCs w:val="24"/>
      <w:lang w:eastAsia="en-US"/>
    </w:rPr>
  </w:style>
  <w:style w:type="paragraph" w:customStyle="1" w:styleId="30">
    <w:name w:val="BodyText"/>
    <w:basedOn w:val="1"/>
    <w:qFormat/>
    <w:uiPriority w:val="0"/>
    <w:pPr>
      <w:spacing w:line="360" w:lineRule="auto"/>
    </w:pPr>
    <w:rPr>
      <w:rFonts w:ascii="Times New Roman" w:hAnsi="Times New Roman"/>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134</Pages>
  <Words>380</Words>
  <Characters>439</Characters>
  <Lines>2157</Lines>
  <Paragraphs>2246</Paragraphs>
  <TotalTime>11</TotalTime>
  <ScaleCrop>false</ScaleCrop>
  <LinksUpToDate>false</LinksUpToDate>
  <CharactersWithSpaces>539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2025-06-04T08:15:00Z</dcterms:created>
  <dc:creator>NTKO</dc:creator>
  <cp:lastModifiedBy>独宠肉和男色</cp:lastModifiedBy>
  <dcterms:modified xsi:type="dcterms:W3CDTF">2026-09-24T12:26:01Z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7069BC87C116428CA4EFD6E212D2D960_13</vt:lpwstr>
  </property>
  <property fmtid="{D5CDD505-2E9C-101B-9397-08002B2CF9AE}" pid="4" name="KSOTemplateDocerSaveRecord">
    <vt:lpwstr>eyJoZGlkIjoiMTRjMmI3YzUwNTFhYjg4NzVjYzcxODZmNDI4NzdjMGYiLCJ1c2VySWQiOiI3MTU3MDkzNDMifQ==</vt:lpwstr>
  </property>
</Properties>
</file>