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tabs>
          <w:tab w:val="left" w:pos="1129"/>
        </w:tabs>
        <w:spacing w:before="139" w:line="230" w:lineRule="auto"/>
        <w:ind w:left="3247" w:right="820" w:hanging="2316"/>
        <w:jc w:val="center"/>
        <w:rPr>
          <w:rFonts w:hint="eastAsia" w:asciiTheme="majorEastAsia" w:hAnsiTheme="majorEastAsia" w:eastAsiaTheme="majorEastAsia" w:cstheme="majorEastAsia"/>
          <w:b/>
          <w:bCs/>
          <w:color w:val="auto"/>
          <w:sz w:val="36"/>
          <w:szCs w:val="36"/>
          <w:lang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pacing w:val="0"/>
          <w:sz w:val="36"/>
          <w:szCs w:val="36"/>
          <w:lang w:eastAsia="zh-CN"/>
        </w:rPr>
        <w:t>百色学院2</w:t>
      </w:r>
      <w:r>
        <w:rPr>
          <w:rFonts w:hint="eastAsia" w:asciiTheme="majorEastAsia" w:hAnsiTheme="majorEastAsia" w:eastAsiaTheme="majorEastAsia" w:cstheme="majorEastAsia"/>
          <w:b/>
          <w:bCs/>
          <w:color w:val="auto"/>
          <w:spacing w:val="0"/>
          <w:sz w:val="36"/>
          <w:szCs w:val="36"/>
          <w:lang w:eastAsia="zh-CN"/>
        </w:rPr>
        <w:t>026年</w:t>
      </w:r>
      <w:r>
        <w:rPr>
          <w:rFonts w:hint="eastAsia" w:asciiTheme="majorEastAsia" w:hAnsiTheme="majorEastAsia" w:eastAsiaTheme="majorEastAsia" w:cstheme="majorEastAsia"/>
          <w:b/>
          <w:bCs/>
          <w:color w:val="auto"/>
          <w:spacing w:val="0"/>
          <w:sz w:val="36"/>
          <w:szCs w:val="36"/>
          <w:lang w:val="en-US" w:eastAsia="zh-CN"/>
        </w:rPr>
        <w:t>8</w:t>
      </w:r>
      <w:r>
        <w:rPr>
          <w:rFonts w:hint="eastAsia" w:asciiTheme="majorEastAsia" w:hAnsiTheme="majorEastAsia" w:eastAsiaTheme="majorEastAsia" w:cstheme="majorEastAsia"/>
          <w:b/>
          <w:bCs/>
          <w:color w:val="auto"/>
          <w:spacing w:val="0"/>
          <w:sz w:val="36"/>
          <w:szCs w:val="36"/>
          <w:lang w:eastAsia="zh-CN"/>
        </w:rPr>
        <w:t>至</w:t>
      </w:r>
      <w:r>
        <w:rPr>
          <w:rFonts w:hint="eastAsia" w:asciiTheme="majorEastAsia" w:hAnsiTheme="majorEastAsia" w:eastAsiaTheme="majorEastAsia" w:cstheme="majorEastAsia"/>
          <w:b/>
          <w:bCs/>
          <w:color w:val="auto"/>
          <w:spacing w:val="0"/>
          <w:sz w:val="36"/>
          <w:szCs w:val="36"/>
          <w:lang w:val="en-US" w:eastAsia="zh-CN"/>
        </w:rPr>
        <w:t>9</w:t>
      </w:r>
      <w:r>
        <w:rPr>
          <w:rFonts w:hint="eastAsia" w:asciiTheme="majorEastAsia" w:hAnsiTheme="majorEastAsia" w:eastAsiaTheme="majorEastAsia" w:cstheme="majorEastAsia"/>
          <w:b/>
          <w:bCs/>
          <w:color w:val="auto"/>
          <w:spacing w:val="0"/>
          <w:sz w:val="36"/>
          <w:szCs w:val="36"/>
          <w:lang w:eastAsia="zh-CN"/>
        </w:rPr>
        <w:t>月政府采购意向</w:t>
      </w:r>
    </w:p>
    <w:p>
      <w:pPr>
        <w:spacing w:before="130" w:line="298" w:lineRule="auto"/>
        <w:ind w:left="124" w:firstLine="649"/>
        <w:jc w:val="both"/>
        <w:rPr>
          <w:rFonts w:ascii="FangSong_GB2312" w:hAnsi="FangSong_GB2312" w:eastAsia="FangSong_GB2312" w:cs="FangSong_GB2312"/>
          <w:sz w:val="31"/>
          <w:szCs w:val="31"/>
          <w:lang w:eastAsia="zh-CN"/>
        </w:rPr>
      </w:pPr>
      <w:r>
        <w:rPr>
          <w:rFonts w:ascii="FangSong_GB2312" w:hAnsi="FangSong_GB2312" w:eastAsia="FangSong_GB2312" w:cs="FangSong_GB2312"/>
          <w:color w:val="auto"/>
          <w:spacing w:val="7"/>
          <w:sz w:val="31"/>
          <w:szCs w:val="31"/>
          <w:lang w:eastAsia="zh-CN"/>
        </w:rPr>
        <w:t>为便于供应商及时了解政府采购信息，根据《财</w:t>
      </w:r>
      <w:r>
        <w:rPr>
          <w:rFonts w:ascii="FangSong_GB2312" w:hAnsi="FangSong_GB2312" w:eastAsia="FangSong_GB2312" w:cs="FangSong_GB2312"/>
          <w:color w:val="auto"/>
          <w:spacing w:val="6"/>
          <w:sz w:val="31"/>
          <w:szCs w:val="31"/>
          <w:lang w:eastAsia="zh-CN"/>
        </w:rPr>
        <w:t>政部关于开</w:t>
      </w:r>
      <w:r>
        <w:rPr>
          <w:rFonts w:ascii="FangSong_GB2312" w:hAnsi="FangSong_GB2312" w:eastAsia="FangSong_GB2312" w:cs="FangSong_GB2312"/>
          <w:color w:val="auto"/>
          <w:spacing w:val="3"/>
          <w:sz w:val="31"/>
          <w:szCs w:val="31"/>
          <w:lang w:eastAsia="zh-CN"/>
        </w:rPr>
        <w:t>展政府采购意向公开工作的通知》（财库〔2020〕10</w:t>
      </w:r>
      <w:r>
        <w:rPr>
          <w:rFonts w:ascii="FangSong_GB2312" w:hAnsi="FangSong_GB2312" w:eastAsia="FangSong_GB2312" w:cs="FangSong_GB2312"/>
          <w:color w:val="auto"/>
          <w:spacing w:val="-42"/>
          <w:sz w:val="31"/>
          <w:szCs w:val="31"/>
          <w:lang w:eastAsia="zh-CN"/>
        </w:rPr>
        <w:t xml:space="preserve"> </w:t>
      </w:r>
      <w:r>
        <w:rPr>
          <w:rFonts w:ascii="FangSong_GB2312" w:hAnsi="FangSong_GB2312" w:eastAsia="FangSong_GB2312" w:cs="FangSong_GB2312"/>
          <w:color w:val="auto"/>
          <w:spacing w:val="3"/>
          <w:sz w:val="31"/>
          <w:szCs w:val="31"/>
          <w:lang w:eastAsia="zh-CN"/>
        </w:rPr>
        <w:t>号）等有关</w:t>
      </w:r>
      <w:r>
        <w:rPr>
          <w:rFonts w:ascii="FangSong_GB2312" w:hAnsi="FangSong_GB2312" w:eastAsia="FangSong_GB2312" w:cs="FangSong_GB2312"/>
          <w:color w:val="auto"/>
          <w:spacing w:val="9"/>
          <w:sz w:val="31"/>
          <w:szCs w:val="31"/>
          <w:lang w:eastAsia="zh-CN"/>
        </w:rPr>
        <w:t>规定，现将</w:t>
      </w:r>
      <w:r>
        <w:rPr>
          <w:rFonts w:hint="eastAsia" w:ascii="FangSong_GB2312" w:hAnsi="FangSong_GB2312" w:eastAsia="FangSong_GB2312" w:cs="FangSong_GB2312"/>
          <w:color w:val="auto"/>
          <w:spacing w:val="9"/>
          <w:sz w:val="31"/>
          <w:szCs w:val="31"/>
          <w:lang w:eastAsia="zh-CN"/>
        </w:rPr>
        <w:t>百色学院</w:t>
      </w:r>
      <w:r>
        <w:rPr>
          <w:rFonts w:hint="eastAsia" w:ascii="FangSong_GB2312" w:hAnsi="FangSong_GB2312" w:eastAsia="FangSong_GB2312" w:cs="FangSong_GB2312"/>
          <w:color w:val="auto"/>
          <w:spacing w:val="9"/>
          <w:sz w:val="31"/>
          <w:szCs w:val="31"/>
          <w:u w:val="single"/>
          <w:lang w:eastAsia="zh-CN"/>
        </w:rPr>
        <w:t>2026</w:t>
      </w:r>
      <w:r>
        <w:rPr>
          <w:rFonts w:ascii="FangSong_GB2312" w:hAnsi="FangSong_GB2312" w:eastAsia="FangSong_GB2312" w:cs="FangSong_GB2312"/>
          <w:color w:val="auto"/>
          <w:spacing w:val="9"/>
          <w:sz w:val="31"/>
          <w:szCs w:val="31"/>
          <w:lang w:eastAsia="zh-CN"/>
        </w:rPr>
        <w:t>年</w:t>
      </w:r>
      <w:r>
        <w:rPr>
          <w:rFonts w:hint="eastAsia" w:ascii="FangSong_GB2312" w:hAnsi="FangSong_GB2312" w:eastAsia="FangSong_GB2312" w:cs="FangSong_GB2312"/>
          <w:color w:val="auto"/>
          <w:spacing w:val="9"/>
          <w:sz w:val="31"/>
          <w:szCs w:val="31"/>
          <w:u w:val="single"/>
          <w:lang w:val="en-US" w:eastAsia="zh-CN"/>
        </w:rPr>
        <w:t>8</w:t>
      </w:r>
      <w:r>
        <w:rPr>
          <w:rFonts w:hint="eastAsia" w:ascii="FangSong_GB2312" w:hAnsi="FangSong_GB2312" w:eastAsia="FangSong_GB2312" w:cs="FangSong_GB2312"/>
          <w:color w:val="auto"/>
          <w:spacing w:val="9"/>
          <w:sz w:val="31"/>
          <w:szCs w:val="31"/>
          <w:lang w:val="en-US" w:eastAsia="zh-CN"/>
        </w:rPr>
        <w:t>（</w:t>
      </w:r>
      <w:r>
        <w:rPr>
          <w:rFonts w:ascii="FangSong_GB2312" w:hAnsi="FangSong_GB2312" w:eastAsia="FangSong_GB2312" w:cs="FangSong_GB2312"/>
          <w:color w:val="auto"/>
          <w:spacing w:val="9"/>
          <w:sz w:val="31"/>
          <w:szCs w:val="31"/>
          <w:lang w:eastAsia="zh-CN"/>
        </w:rPr>
        <w:t>至）</w:t>
      </w:r>
      <w:r>
        <w:rPr>
          <w:rFonts w:hint="eastAsia" w:ascii="FangSong_GB2312" w:hAnsi="FangSong_GB2312" w:eastAsia="FangSong_GB2312" w:cs="FangSong_GB2312"/>
          <w:color w:val="auto"/>
          <w:spacing w:val="9"/>
          <w:sz w:val="31"/>
          <w:szCs w:val="31"/>
          <w:u w:val="single"/>
          <w:lang w:val="en-US" w:eastAsia="zh-CN"/>
        </w:rPr>
        <w:t>9</w:t>
      </w:r>
      <w:r>
        <w:rPr>
          <w:rFonts w:ascii="FangSong_GB2312" w:hAnsi="FangSong_GB2312" w:eastAsia="FangSong_GB2312" w:cs="FangSong_GB2312"/>
          <w:color w:val="auto"/>
          <w:spacing w:val="9"/>
          <w:sz w:val="31"/>
          <w:szCs w:val="31"/>
          <w:lang w:eastAsia="zh-CN"/>
        </w:rPr>
        <w:t>月政府采</w:t>
      </w:r>
      <w:r>
        <w:rPr>
          <w:rFonts w:ascii="FangSong_GB2312" w:hAnsi="FangSong_GB2312" w:eastAsia="FangSong_GB2312" w:cs="FangSong_GB2312"/>
          <w:spacing w:val="9"/>
          <w:sz w:val="31"/>
          <w:szCs w:val="31"/>
          <w:lang w:eastAsia="zh-CN"/>
        </w:rPr>
        <w:t>购意向</w:t>
      </w:r>
      <w:r>
        <w:rPr>
          <w:rFonts w:ascii="FangSong_GB2312" w:hAnsi="FangSong_GB2312" w:eastAsia="FangSong_GB2312" w:cs="FangSong_GB2312"/>
          <w:spacing w:val="5"/>
          <w:sz w:val="31"/>
          <w:szCs w:val="31"/>
          <w:lang w:eastAsia="zh-CN"/>
        </w:rPr>
        <w:t>公开如下：</w:t>
      </w:r>
    </w:p>
    <w:tbl>
      <w:tblPr>
        <w:tblStyle w:val="6"/>
        <w:tblW w:w="9132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0"/>
        <w:gridCol w:w="996"/>
        <w:gridCol w:w="3723"/>
        <w:gridCol w:w="824"/>
        <w:gridCol w:w="1349"/>
        <w:gridCol w:w="1200"/>
        <w:gridCol w:w="500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1" w:hRule="atLeast"/>
          <w:tblHeader/>
          <w:jc w:val="center"/>
        </w:trPr>
        <w:tc>
          <w:tcPr>
            <w:tcW w:w="540" w:type="dxa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-2"/>
                <w:sz w:val="21"/>
                <w:szCs w:val="21"/>
              </w:rPr>
              <w:t>序</w:t>
            </w:r>
            <w:r>
              <w:rPr>
                <w:rFonts w:hint="eastAsia" w:asciiTheme="minorEastAsia" w:hAnsiTheme="minorEastAsia" w:eastAsiaTheme="minorEastAsia" w:cstheme="minorEastAsia"/>
                <w:spacing w:val="29"/>
                <w:sz w:val="21"/>
                <w:szCs w:val="21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-2"/>
                <w:sz w:val="21"/>
                <w:szCs w:val="21"/>
              </w:rPr>
              <w:t>号</w:t>
            </w:r>
          </w:p>
        </w:tc>
        <w:tc>
          <w:tcPr>
            <w:tcW w:w="99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244" w:hanging="244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/>
                <w:spacing w:val="-5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-5"/>
                <w:sz w:val="21"/>
                <w:szCs w:val="21"/>
              </w:rPr>
              <w:t>采购项目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244" w:hanging="244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-9"/>
                <w:sz w:val="21"/>
                <w:szCs w:val="21"/>
              </w:rPr>
              <w:t>名称</w:t>
            </w:r>
          </w:p>
        </w:tc>
        <w:tc>
          <w:tcPr>
            <w:tcW w:w="372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244" w:hanging="244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/>
                <w:spacing w:val="-9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-9"/>
                <w:sz w:val="21"/>
                <w:szCs w:val="21"/>
              </w:rPr>
              <w:t>采购需求概况</w:t>
            </w:r>
          </w:p>
        </w:tc>
        <w:tc>
          <w:tcPr>
            <w:tcW w:w="8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/>
                <w:spacing w:val="-9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-9"/>
                <w:sz w:val="21"/>
                <w:szCs w:val="21"/>
              </w:rPr>
              <w:t>预算金额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/>
                <w:spacing w:val="-9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-9"/>
                <w:sz w:val="21"/>
                <w:szCs w:val="21"/>
              </w:rPr>
              <w:t>（万元）</w:t>
            </w:r>
          </w:p>
        </w:tc>
        <w:tc>
          <w:tcPr>
            <w:tcW w:w="134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/>
                <w:spacing w:val="-9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-9"/>
                <w:sz w:val="21"/>
                <w:szCs w:val="21"/>
                <w:lang w:eastAsia="zh-CN"/>
              </w:rPr>
              <w:t>预计采购时间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/>
                <w:spacing w:val="-9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-9"/>
                <w:sz w:val="21"/>
                <w:szCs w:val="21"/>
                <w:lang w:eastAsia="zh-CN"/>
              </w:rPr>
              <w:t xml:space="preserve"> （填写到月）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/>
                <w:spacing w:val="-9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-9"/>
                <w:sz w:val="21"/>
                <w:szCs w:val="21"/>
                <w:lang w:eastAsia="zh-CN"/>
              </w:rPr>
              <w:t>落实政府采购政策功能情况</w:t>
            </w:r>
          </w:p>
        </w:tc>
        <w:tc>
          <w:tcPr>
            <w:tcW w:w="50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244" w:hanging="244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/>
                <w:spacing w:val="-9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-9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9" w:hRule="atLeast"/>
          <w:jc w:val="center"/>
        </w:trPr>
        <w:tc>
          <w:tcPr>
            <w:tcW w:w="540" w:type="dxa"/>
            <w:shd w:val="clear" w:color="auto" w:fill="auto"/>
            <w:vAlign w:val="center"/>
          </w:tcPr>
          <w:p>
            <w:pPr>
              <w:widowControl w:val="0"/>
              <w:kinsoku/>
              <w:autoSpaceDE/>
              <w:autoSpaceDN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99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ascii="仿宋" w:hAnsi="仿宋" w:eastAsia="仿宋" w:cs="仿宋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lang w:eastAsia="zh-CN"/>
              </w:rPr>
              <w:t>百色学院建设生态铝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产业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lang w:eastAsia="zh-CN"/>
              </w:rPr>
              <w:t>专业群展厅项目</w:t>
            </w:r>
          </w:p>
        </w:tc>
        <w:tc>
          <w:tcPr>
            <w:tcW w:w="372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为更好地推进生态铝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产业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专业群建设，深化产教融合，充分展示专业群建设与产教融合成果，现拟建设百色学院生态铝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产业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专业群展厅。拟依托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东合校区体育馆二楼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场地建设，主要建设内容包括基础改造、序厅、主题展区、设备采购及展厅室外改造等，集中展示生态铝产业介绍、铝全生命周期、生产工艺流程、产业集群概况、项目成果转化及科研创新成果等内容，打造集教学、实训、展示、科普于一体的产教融合展示平台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ascii="仿宋" w:hAnsi="仿宋" w:eastAsia="仿宋" w:cs="仿宋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展厅建设是推进生态铝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产业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专业群内涵建设的重要举措，有利于系统展示专业群建设与产教融合成效，促进校企协同育人，提升专业群服务区域铝产业发展的能力和社会影响力。</w:t>
            </w:r>
          </w:p>
        </w:tc>
        <w:tc>
          <w:tcPr>
            <w:tcW w:w="824" w:type="dxa"/>
            <w:shd w:val="clear" w:color="auto" w:fill="auto"/>
            <w:vAlign w:val="center"/>
          </w:tcPr>
          <w:p>
            <w:pPr>
              <w:widowControl w:val="0"/>
              <w:kinsoku/>
              <w:autoSpaceDE/>
              <w:autoSpaceDN/>
              <w:adjustRightInd/>
              <w:snapToGrid/>
              <w:spacing w:line="400" w:lineRule="exact"/>
              <w:jc w:val="center"/>
              <w:textAlignment w:val="auto"/>
              <w:rPr>
                <w:rFonts w:ascii="仿宋" w:hAnsi="仿宋" w:eastAsia="仿宋" w:cs="仿宋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129.9242</w:t>
            </w:r>
          </w:p>
        </w:tc>
        <w:tc>
          <w:tcPr>
            <w:tcW w:w="1349" w:type="dxa"/>
            <w:shd w:val="clear" w:color="auto" w:fill="auto"/>
            <w:vAlign w:val="center"/>
          </w:tcPr>
          <w:p>
            <w:pPr>
              <w:widowControl w:val="0"/>
              <w:kinsoku/>
              <w:autoSpaceDE/>
              <w:autoSpaceDN/>
              <w:adjustRightInd/>
              <w:snapToGrid/>
              <w:spacing w:line="400" w:lineRule="exact"/>
              <w:jc w:val="center"/>
              <w:textAlignment w:val="auto"/>
              <w:rPr>
                <w:rFonts w:ascii="仿宋" w:hAnsi="仿宋" w:eastAsia="仿宋" w:cs="仿宋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2026年</w:t>
            </w:r>
            <w:r>
              <w:rPr>
                <w:rFonts w:ascii="仿宋" w:hAnsi="仿宋" w:eastAsia="仿宋" w:cs="仿宋"/>
                <w:color w:val="auto"/>
                <w:sz w:val="24"/>
                <w:szCs w:val="24"/>
                <w:lang w:eastAsia="zh-CN"/>
              </w:rPr>
              <w:t>9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月</w:t>
            </w:r>
          </w:p>
        </w:tc>
        <w:tc>
          <w:tcPr>
            <w:tcW w:w="1200" w:type="dxa"/>
            <w:shd w:val="clear" w:color="auto" w:fill="auto"/>
            <w:vAlign w:val="center"/>
          </w:tcPr>
          <w:p>
            <w:pPr>
              <w:widowControl w:val="0"/>
              <w:kinsoku/>
              <w:autoSpaceDE/>
              <w:autoSpaceDN/>
              <w:adjustRightInd/>
              <w:snapToGrid/>
              <w:spacing w:line="400" w:lineRule="exact"/>
              <w:jc w:val="both"/>
              <w:textAlignment w:val="auto"/>
              <w:rPr>
                <w:rFonts w:ascii="仿宋" w:hAnsi="仿宋" w:eastAsia="仿宋" w:cs="仿宋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ascii="仿宋" w:hAnsi="仿宋" w:eastAsia="仿宋" w:cs="仿宋"/>
                <w:snapToGrid w:val="0"/>
                <w:color w:val="auto"/>
                <w:sz w:val="24"/>
                <w:szCs w:val="24"/>
                <w:lang w:val="en-US" w:eastAsia="zh-CN" w:bidi="ar-SA"/>
              </w:rPr>
              <w:t>落实中小企业优惠政策</w:t>
            </w:r>
          </w:p>
        </w:tc>
        <w:tc>
          <w:tcPr>
            <w:tcW w:w="500" w:type="dxa"/>
            <w:shd w:val="clear" w:color="auto" w:fill="auto"/>
            <w:vAlign w:val="top"/>
          </w:tcPr>
          <w:p>
            <w:pPr>
              <w:widowControl w:val="0"/>
              <w:kinsoku/>
              <w:autoSpaceDE/>
              <w:autoSpaceDN/>
              <w:adjustRightInd/>
              <w:snapToGrid/>
              <w:spacing w:line="400" w:lineRule="exact"/>
              <w:textAlignment w:val="auto"/>
              <w:rPr>
                <w:rFonts w:ascii="仿宋" w:hAnsi="仿宋" w:eastAsia="仿宋" w:cs="仿宋"/>
                <w:snapToGrid w:val="0"/>
                <w:color w:val="0000FF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1" w:hRule="atLeast"/>
          <w:jc w:val="center"/>
        </w:trPr>
        <w:tc>
          <w:tcPr>
            <w:tcW w:w="540" w:type="dxa"/>
            <w:shd w:val="clear" w:color="auto" w:fill="auto"/>
            <w:vAlign w:val="center"/>
          </w:tcPr>
          <w:p>
            <w:pPr>
              <w:widowControl w:val="0"/>
              <w:kinsoku/>
              <w:autoSpaceDE/>
              <w:autoSpaceDN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snapToGrid w:val="0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99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lang w:eastAsia="zh-CN"/>
              </w:rPr>
              <w:t>教室空调采购安装</w:t>
            </w:r>
          </w:p>
        </w:tc>
        <w:tc>
          <w:tcPr>
            <w:tcW w:w="3723" w:type="dxa"/>
            <w:shd w:val="clear" w:color="auto" w:fill="auto"/>
            <w:vAlign w:val="center"/>
          </w:tcPr>
          <w:p>
            <w:pPr>
              <w:widowControl w:val="0"/>
              <w:kinsoku/>
              <w:autoSpaceDE/>
              <w:autoSpaceDN/>
              <w:adjustRightInd/>
              <w:snapToGrid/>
              <w:spacing w:line="400" w:lineRule="exact"/>
              <w:ind w:firstLine="420" w:firstLineChars="20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本项目拟为全校105间教室安装130台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5匹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空调，主要建设内容包括空调设备采购安装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及售后服务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。项目预期在2026年9月31日全面完工，实现教室空调全覆盖。受益师生约2.2万人，将显著改善教学环境，保障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售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后服务开展，综合满意度目标达90%以上，为学校高质量发展提供坚实的硬件支撑。</w:t>
            </w:r>
          </w:p>
        </w:tc>
        <w:tc>
          <w:tcPr>
            <w:tcW w:w="824" w:type="dxa"/>
            <w:shd w:val="clear" w:color="auto" w:fill="auto"/>
            <w:vAlign w:val="center"/>
          </w:tcPr>
          <w:p>
            <w:pPr>
              <w:widowControl w:val="0"/>
              <w:kinsoku/>
              <w:autoSpaceDE/>
              <w:autoSpaceDN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120</w:t>
            </w:r>
          </w:p>
        </w:tc>
        <w:tc>
          <w:tcPr>
            <w:tcW w:w="1349" w:type="dxa"/>
            <w:shd w:val="clear" w:color="auto" w:fill="auto"/>
            <w:vAlign w:val="center"/>
          </w:tcPr>
          <w:p>
            <w:pPr>
              <w:widowControl w:val="0"/>
              <w:kinsoku/>
              <w:autoSpaceDE/>
              <w:autoSpaceDN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2026年</w:t>
            </w:r>
            <w:r>
              <w:rPr>
                <w:rFonts w:ascii="仿宋" w:hAnsi="仿宋" w:eastAsia="仿宋" w:cs="仿宋"/>
                <w:color w:val="auto"/>
                <w:sz w:val="24"/>
                <w:szCs w:val="24"/>
                <w:lang w:eastAsia="zh-CN"/>
              </w:rPr>
              <w:t>9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月</w:t>
            </w:r>
          </w:p>
        </w:tc>
        <w:tc>
          <w:tcPr>
            <w:tcW w:w="1200" w:type="dxa"/>
            <w:shd w:val="clear" w:color="auto" w:fill="auto"/>
            <w:vAlign w:val="center"/>
          </w:tcPr>
          <w:p>
            <w:pPr>
              <w:widowControl w:val="0"/>
              <w:kinsoku/>
              <w:autoSpaceDE/>
              <w:autoSpaceDN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" w:hAnsi="仿宋" w:eastAsia="仿宋" w:cs="仿宋"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ascii="仿宋" w:hAnsi="仿宋" w:eastAsia="仿宋" w:cs="仿宋"/>
                <w:snapToGrid w:val="0"/>
                <w:color w:val="auto"/>
                <w:sz w:val="24"/>
                <w:szCs w:val="24"/>
                <w:lang w:val="en-US" w:eastAsia="zh-CN" w:bidi="ar-SA"/>
              </w:rPr>
              <w:t>落实中小企业优惠政策</w:t>
            </w:r>
          </w:p>
        </w:tc>
        <w:tc>
          <w:tcPr>
            <w:tcW w:w="500" w:type="dxa"/>
            <w:shd w:val="clear" w:color="auto" w:fill="auto"/>
            <w:vAlign w:val="top"/>
          </w:tcPr>
          <w:p>
            <w:pPr>
              <w:widowControl w:val="0"/>
              <w:kinsoku/>
              <w:autoSpaceDE/>
              <w:autoSpaceDN/>
              <w:adjustRightInd/>
              <w:snapToGrid/>
              <w:spacing w:line="400" w:lineRule="exact"/>
              <w:textAlignment w:val="auto"/>
              <w:rPr>
                <w:rFonts w:ascii="仿宋" w:hAnsi="仿宋" w:eastAsia="仿宋" w:cs="仿宋"/>
                <w:snapToGrid w:val="0"/>
                <w:color w:val="0000FF"/>
                <w:sz w:val="24"/>
                <w:szCs w:val="24"/>
                <w:lang w:val="en-US" w:eastAsia="zh-CN" w:bidi="ar-SA"/>
              </w:rPr>
            </w:pPr>
          </w:p>
        </w:tc>
      </w:tr>
    </w:tbl>
    <w:p>
      <w:pPr>
        <w:spacing w:before="161" w:line="305" w:lineRule="auto"/>
        <w:ind w:left="129" w:right="2" w:firstLine="634"/>
        <w:rPr>
          <w:rFonts w:ascii="FangSong_GB2312" w:hAnsi="FangSong_GB2312" w:eastAsia="FangSong_GB2312" w:cs="FangSong_GB2312"/>
          <w:sz w:val="31"/>
          <w:szCs w:val="31"/>
          <w:lang w:eastAsia="zh-CN"/>
        </w:rPr>
      </w:pPr>
      <w:r>
        <w:rPr>
          <w:rFonts w:ascii="FangSong_GB2312" w:hAnsi="FangSong_GB2312" w:eastAsia="FangSong_GB2312" w:cs="FangSong_GB2312"/>
          <w:spacing w:val="20"/>
          <w:sz w:val="31"/>
          <w:szCs w:val="31"/>
          <w:lang w:eastAsia="zh-CN"/>
        </w:rPr>
        <w:t>本次公开的政府采购意向是本单位政府采购</w:t>
      </w:r>
      <w:r>
        <w:rPr>
          <w:rFonts w:ascii="FangSong_GB2312" w:hAnsi="FangSong_GB2312" w:eastAsia="FangSong_GB2312" w:cs="FangSong_GB2312"/>
          <w:spacing w:val="19"/>
          <w:sz w:val="31"/>
          <w:szCs w:val="31"/>
          <w:lang w:eastAsia="zh-CN"/>
        </w:rPr>
        <w:t>工作的初步安</w:t>
      </w:r>
      <w:r>
        <w:rPr>
          <w:rFonts w:ascii="FangSong_GB2312" w:hAnsi="FangSong_GB2312" w:eastAsia="FangSong_GB2312" w:cs="FangSong_GB2312"/>
          <w:spacing w:val="9"/>
          <w:sz w:val="31"/>
          <w:szCs w:val="31"/>
          <w:lang w:eastAsia="zh-CN"/>
        </w:rPr>
        <w:t>排，具体采购项目情况以相关采购公告和采购文件</w:t>
      </w:r>
      <w:r>
        <w:rPr>
          <w:rFonts w:ascii="FangSong_GB2312" w:hAnsi="FangSong_GB2312" w:eastAsia="FangSong_GB2312" w:cs="FangSong_GB2312"/>
          <w:spacing w:val="8"/>
          <w:sz w:val="31"/>
          <w:szCs w:val="31"/>
          <w:lang w:eastAsia="zh-CN"/>
        </w:rPr>
        <w:t>为准。</w:t>
      </w:r>
    </w:p>
    <w:p>
      <w:pPr>
        <w:spacing w:line="245" w:lineRule="auto"/>
        <w:rPr>
          <w:lang w:eastAsia="zh-CN"/>
        </w:rPr>
      </w:pPr>
    </w:p>
    <w:p>
      <w:pPr>
        <w:spacing w:line="245" w:lineRule="auto"/>
        <w:rPr>
          <w:lang w:eastAsia="zh-CN"/>
        </w:rPr>
      </w:pPr>
    </w:p>
    <w:p>
      <w:pPr>
        <w:spacing w:before="101" w:line="306" w:lineRule="auto"/>
        <w:ind w:left="6948" w:right="4" w:hanging="162"/>
        <w:rPr>
          <w:rFonts w:ascii="FangSong_GB2312" w:hAnsi="FangSong_GB2312" w:eastAsia="FangSong_GB2312" w:cs="FangSong_GB2312"/>
          <w:sz w:val="31"/>
          <w:szCs w:val="31"/>
          <w:lang w:eastAsia="zh-CN"/>
        </w:rPr>
      </w:pPr>
      <w:r>
        <w:rPr>
          <w:rFonts w:hint="eastAsia" w:ascii="FangSong_GB2312" w:hAnsi="FangSong_GB2312" w:eastAsia="FangSong_GB2312" w:cs="FangSong_GB2312"/>
          <w:sz w:val="31"/>
          <w:szCs w:val="31"/>
          <w:lang w:eastAsia="zh-CN"/>
        </w:rPr>
        <w:t>百色学院</w:t>
      </w:r>
    </w:p>
    <w:p>
      <w:pPr>
        <w:spacing w:before="101" w:line="306" w:lineRule="auto"/>
        <w:ind w:right="4" w:firstLine="6320" w:firstLineChars="2000"/>
        <w:rPr>
          <w:rFonts w:ascii="FangSong_GB2312" w:hAnsi="FangSong_GB2312" w:eastAsia="FangSong_GB2312" w:cs="FangSong_GB2312"/>
          <w:sz w:val="31"/>
          <w:szCs w:val="31"/>
        </w:rPr>
      </w:pPr>
      <w:r>
        <w:rPr>
          <w:rFonts w:hint="eastAsia" w:ascii="FangSong_GB2312" w:hAnsi="FangSong_GB2312" w:eastAsia="FangSong_GB2312" w:cs="FangSong_GB2312"/>
          <w:spacing w:val="3"/>
          <w:sz w:val="31"/>
          <w:szCs w:val="31"/>
          <w:lang w:val="en-US" w:eastAsia="zh-CN"/>
        </w:rPr>
        <w:t>2026</w:t>
      </w:r>
      <w:r>
        <w:rPr>
          <w:rFonts w:ascii="FangSong_GB2312" w:hAnsi="FangSong_GB2312" w:eastAsia="FangSong_GB2312" w:cs="FangSong_GB2312"/>
          <w:spacing w:val="-9"/>
          <w:sz w:val="31"/>
          <w:szCs w:val="31"/>
        </w:rPr>
        <w:t>年</w:t>
      </w:r>
      <w:r>
        <w:rPr>
          <w:rFonts w:ascii="FangSong_GB2312" w:hAnsi="FangSong_GB2312" w:eastAsia="FangSong_GB2312" w:cs="FangSong_GB2312"/>
          <w:spacing w:val="20"/>
          <w:sz w:val="31"/>
          <w:szCs w:val="31"/>
        </w:rPr>
        <w:t xml:space="preserve"> </w:t>
      </w:r>
      <w:r>
        <w:rPr>
          <w:rFonts w:hint="eastAsia" w:ascii="FangSong_GB2312" w:hAnsi="FangSong_GB2312" w:eastAsia="FangSong_GB2312" w:cs="FangSong_GB2312"/>
          <w:spacing w:val="20"/>
          <w:sz w:val="31"/>
          <w:szCs w:val="31"/>
          <w:lang w:val="en-US" w:eastAsia="zh-CN"/>
        </w:rPr>
        <w:t>8</w:t>
      </w:r>
      <w:r>
        <w:rPr>
          <w:rFonts w:ascii="FangSong_GB2312" w:hAnsi="FangSong_GB2312" w:eastAsia="FangSong_GB2312" w:cs="FangSong_GB2312"/>
          <w:spacing w:val="-9"/>
          <w:sz w:val="31"/>
          <w:szCs w:val="31"/>
        </w:rPr>
        <w:t>月</w:t>
      </w:r>
      <w:r>
        <w:rPr>
          <w:rFonts w:hint="eastAsia" w:ascii="FangSong_GB2312" w:hAnsi="FangSong_GB2312" w:eastAsia="FangSong_GB2312" w:cs="FangSong_GB2312"/>
          <w:spacing w:val="42"/>
          <w:sz w:val="31"/>
          <w:szCs w:val="31"/>
          <w:lang w:val="en-US" w:eastAsia="zh-CN"/>
        </w:rPr>
        <w:t>16</w:t>
      </w:r>
      <w:r>
        <w:rPr>
          <w:rFonts w:ascii="FangSong_GB2312" w:hAnsi="FangSong_GB2312" w:eastAsia="FangSong_GB2312" w:cs="FangSong_GB2312"/>
          <w:spacing w:val="-9"/>
          <w:sz w:val="31"/>
          <w:szCs w:val="31"/>
        </w:rPr>
        <w:t>日</w:t>
      </w:r>
    </w:p>
    <w:p>
      <w:bookmarkStart w:id="0" w:name="_GoBack"/>
      <w:bookmarkEnd w:id="0"/>
    </w:p>
    <w:sectPr>
      <w:footerReference r:id="rId3" w:type="default"/>
      <w:pgSz w:w="11906" w:h="16838"/>
      <w:pgMar w:top="1440" w:right="1474" w:bottom="1440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angSong_GB2312">
    <w:altName w:val="仿宋_GB2312"/>
    <w:panose1 w:val="02010609060101010101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5" w:lineRule="auto"/>
      <w:ind w:left="8051"/>
      <w:rPr>
        <w:sz w:val="28"/>
        <w:szCs w:val="28"/>
      </w:rPr>
    </w:pPr>
    <w:r>
      <w:rPr>
        <w:spacing w:val="-3"/>
        <w:sz w:val="28"/>
        <w:szCs w:val="28"/>
      </w:rPr>
      <w:t>—5—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E5340D"/>
    <w:rsid w:val="000A35CA"/>
    <w:rsid w:val="009B6EB7"/>
    <w:rsid w:val="00D2200E"/>
    <w:rsid w:val="013C35F9"/>
    <w:rsid w:val="09591064"/>
    <w:rsid w:val="0D800694"/>
    <w:rsid w:val="0DE5340D"/>
    <w:rsid w:val="14885247"/>
    <w:rsid w:val="17896996"/>
    <w:rsid w:val="207227AC"/>
    <w:rsid w:val="2B345434"/>
    <w:rsid w:val="2CE9283B"/>
    <w:rsid w:val="2F02092C"/>
    <w:rsid w:val="341220D8"/>
    <w:rsid w:val="34DC731C"/>
    <w:rsid w:val="372E4C63"/>
    <w:rsid w:val="3A8E08EC"/>
    <w:rsid w:val="3CE7467D"/>
    <w:rsid w:val="3D2518E1"/>
    <w:rsid w:val="3F066C57"/>
    <w:rsid w:val="4951745C"/>
    <w:rsid w:val="4B654EF1"/>
    <w:rsid w:val="51943075"/>
    <w:rsid w:val="52E070BC"/>
    <w:rsid w:val="52FA5A96"/>
    <w:rsid w:val="53FB0D99"/>
    <w:rsid w:val="55A41778"/>
    <w:rsid w:val="6204045B"/>
    <w:rsid w:val="640E7E0F"/>
    <w:rsid w:val="654966CD"/>
    <w:rsid w:val="6C4627A9"/>
    <w:rsid w:val="6CD12293"/>
    <w:rsid w:val="72083801"/>
    <w:rsid w:val="72215956"/>
    <w:rsid w:val="729C76D9"/>
    <w:rsid w:val="79F41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iPriority="99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60"/>
      <w:szCs w:val="60"/>
    </w:rPr>
  </w:style>
  <w:style w:type="table" w:styleId="4">
    <w:name w:val="Table Grid"/>
    <w:basedOn w:val="3"/>
    <w:semiHidden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</w:style>
  <w:style w:type="paragraph" w:customStyle="1" w:styleId="8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596</Words>
  <Characters>621</Characters>
  <Lines>4</Lines>
  <Paragraphs>1</Paragraphs>
  <TotalTime>3</TotalTime>
  <ScaleCrop>false</ScaleCrop>
  <LinksUpToDate>false</LinksUpToDate>
  <CharactersWithSpaces>630</CharactersWithSpaces>
  <Application>WPS Office_11.3.0.9228_F1E327BC-269C-435d-A152-05C5408002CA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2025-01-21T06:08:00Z</dcterms:created>
  <dc:creator>DD</dc:creator>
  <cp:lastModifiedBy>1</cp:lastModifiedBy>
  <dcterms:modified xsi:type="dcterms:W3CDTF">2026-08-16T11:55:00Z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  <property fmtid="{D5CDD505-2E9C-101B-9397-08002B2CF9AE}" pid="3" name="ICV">
    <vt:lpwstr>EC7DA16A4B374E5291DFECC92D50ECC2_13</vt:lpwstr>
  </property>
  <property fmtid="{D5CDD505-2E9C-101B-9397-08002B2CF9AE}" pid="4" name="KSOTemplateDocerSaveRecord">
    <vt:lpwstr>eyJoZGlkIjoiMmJkYTFmMDI4NzFlZjc5NDRiMTM0ZWIzY2UzMmRjMjMiLCJ1c2VySWQiOiI2NjkwNjgyNDEifQ==</vt:lpwstr>
  </property>
</Properties>
</file>